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88" w:rsidRDefault="007D6688">
      <w:pPr>
        <w:widowControl/>
        <w:jc w:val="both"/>
        <w:rPr>
          <w:rFonts w:eastAsia="標楷體" w:hint="eastAsia"/>
          <w:b/>
          <w:bCs/>
          <w:sz w:val="32"/>
          <w:lang w:val="de-DE"/>
        </w:rPr>
      </w:pPr>
      <w:bookmarkStart w:id="0" w:name="_GoBack"/>
      <w:bookmarkEnd w:id="0"/>
    </w:p>
    <w:p w:rsidR="007D6688" w:rsidRDefault="007D6688">
      <w:pPr>
        <w:widowControl/>
        <w:jc w:val="both"/>
        <w:rPr>
          <w:rFonts w:eastAsia="標楷體" w:hint="eastAsia"/>
          <w:b/>
          <w:bCs/>
          <w:sz w:val="32"/>
          <w:lang w:val="de-DE"/>
        </w:rPr>
      </w:pPr>
    </w:p>
    <w:p w:rsidR="007D6688" w:rsidRDefault="007D6688">
      <w:pPr>
        <w:widowControl/>
        <w:jc w:val="both"/>
        <w:rPr>
          <w:rFonts w:eastAsia="標楷體"/>
          <w:b/>
          <w:bCs/>
          <w:sz w:val="32"/>
          <w:lang w:val="de-DE"/>
        </w:rPr>
      </w:pPr>
    </w:p>
    <w:p w:rsidR="007D6688" w:rsidRDefault="007D6688">
      <w:pPr>
        <w:widowControl/>
        <w:jc w:val="both"/>
        <w:rPr>
          <w:rFonts w:eastAsia="標楷體"/>
          <w:b/>
          <w:bCs/>
          <w:sz w:val="32"/>
          <w:lang w:val="de-DE"/>
        </w:rPr>
      </w:pPr>
    </w:p>
    <w:p w:rsidR="007D6688" w:rsidRDefault="007D6688">
      <w:pPr>
        <w:widowControl/>
        <w:jc w:val="both"/>
        <w:rPr>
          <w:rFonts w:eastAsia="標楷體"/>
          <w:b/>
          <w:bCs/>
          <w:sz w:val="32"/>
          <w:lang w:val="de-DE"/>
        </w:rPr>
      </w:pPr>
    </w:p>
    <w:p w:rsidR="007D6688" w:rsidRDefault="007D6688">
      <w:pPr>
        <w:widowControl/>
        <w:jc w:val="center"/>
        <w:rPr>
          <w:rFonts w:eastAsia="標楷體"/>
          <w:sz w:val="72"/>
          <w:szCs w:val="72"/>
          <w:lang w:val="de-DE"/>
        </w:rPr>
      </w:pPr>
      <w:r>
        <w:rPr>
          <w:rFonts w:eastAsia="標楷體" w:hAnsi="Arial"/>
          <w:sz w:val="72"/>
          <w:szCs w:val="72"/>
          <w:lang w:val="de-DE"/>
        </w:rPr>
        <w:t>公務人員陞遷之救濟</w:t>
      </w:r>
    </w:p>
    <w:p w:rsidR="007D6688" w:rsidRDefault="007D6688">
      <w:pPr>
        <w:widowControl/>
        <w:jc w:val="center"/>
        <w:rPr>
          <w:rFonts w:ascii="標楷體" w:eastAsia="標楷體" w:hAnsi="標楷體" w:hint="eastAsia"/>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jc w:val="center"/>
        <w:rPr>
          <w:rFonts w:eastAsia="標楷體"/>
          <w:sz w:val="52"/>
          <w:szCs w:val="52"/>
          <w:lang w:val="de-DE"/>
        </w:rPr>
      </w:pPr>
    </w:p>
    <w:p w:rsidR="007D6688" w:rsidRDefault="007D6688">
      <w:pPr>
        <w:widowControl/>
        <w:snapToGrid w:val="0"/>
        <w:spacing w:line="360" w:lineRule="auto"/>
        <w:jc w:val="center"/>
        <w:rPr>
          <w:rFonts w:eastAsia="標楷體"/>
          <w:snapToGrid w:val="0"/>
          <w:kern w:val="0"/>
          <w:sz w:val="28"/>
          <w:szCs w:val="28"/>
          <w:lang w:val="de-DE"/>
        </w:rPr>
      </w:pPr>
      <w:r>
        <w:rPr>
          <w:rFonts w:eastAsia="標楷體" w:hAnsi="Arial"/>
          <w:snapToGrid w:val="0"/>
          <w:kern w:val="0"/>
          <w:sz w:val="28"/>
          <w:szCs w:val="28"/>
          <w:lang w:val="de-DE"/>
        </w:rPr>
        <w:t>委託機關：公務人員保障暨培訓委員會</w:t>
      </w:r>
    </w:p>
    <w:p w:rsidR="007D6688" w:rsidRDefault="007D6688">
      <w:pPr>
        <w:widowControl/>
        <w:snapToGrid w:val="0"/>
        <w:spacing w:line="360" w:lineRule="auto"/>
        <w:jc w:val="center"/>
        <w:rPr>
          <w:rFonts w:eastAsia="標楷體"/>
          <w:sz w:val="28"/>
          <w:lang w:val="de-DE"/>
        </w:rPr>
      </w:pPr>
      <w:r>
        <w:rPr>
          <w:rFonts w:eastAsia="標楷體" w:hAnsi="Arial"/>
          <w:snapToGrid w:val="0"/>
          <w:kern w:val="0"/>
          <w:sz w:val="28"/>
          <w:szCs w:val="28"/>
          <w:lang w:val="de-DE"/>
        </w:rPr>
        <w:t>研究計畫主持人：東吳大學法律系專</w:t>
      </w:r>
      <w:smartTag w:uri="urn:schemas-microsoft-com:office:smarttags" w:element="PersonName">
        <w:smartTagPr>
          <w:attr w:name="ProductID" w:val="任副"/>
        </w:smartTagPr>
        <w:r>
          <w:rPr>
            <w:rFonts w:eastAsia="標楷體" w:hAnsi="Arial"/>
            <w:snapToGrid w:val="0"/>
            <w:kern w:val="0"/>
            <w:sz w:val="28"/>
            <w:szCs w:val="28"/>
            <w:lang w:val="de-DE"/>
          </w:rPr>
          <w:t>任副</w:t>
        </w:r>
      </w:smartTag>
      <w:r>
        <w:rPr>
          <w:rFonts w:eastAsia="標楷體" w:hAnsi="Arial"/>
          <w:snapToGrid w:val="0"/>
          <w:kern w:val="0"/>
          <w:sz w:val="28"/>
          <w:szCs w:val="28"/>
          <w:lang w:val="de-DE"/>
        </w:rPr>
        <w:t>教授</w:t>
      </w:r>
      <w:r>
        <w:rPr>
          <w:rFonts w:eastAsia="標楷體"/>
          <w:snapToGrid w:val="0"/>
          <w:kern w:val="0"/>
          <w:sz w:val="28"/>
          <w:szCs w:val="28"/>
          <w:lang w:val="de-DE"/>
        </w:rPr>
        <w:t xml:space="preserve"> </w:t>
      </w:r>
      <w:r>
        <w:rPr>
          <w:rFonts w:eastAsia="標楷體" w:hAnsi="Arial"/>
          <w:sz w:val="28"/>
          <w:lang w:val="de-DE"/>
        </w:rPr>
        <w:t>程明修</w:t>
      </w:r>
    </w:p>
    <w:p w:rsidR="007D6688" w:rsidRDefault="007D6688">
      <w:pPr>
        <w:widowControl/>
        <w:snapToGrid w:val="0"/>
        <w:spacing w:line="360" w:lineRule="auto"/>
        <w:jc w:val="center"/>
        <w:rPr>
          <w:rFonts w:eastAsia="標楷體"/>
          <w:sz w:val="28"/>
          <w:lang w:val="de-DE"/>
        </w:rPr>
      </w:pPr>
      <w:r>
        <w:rPr>
          <w:rFonts w:eastAsia="標楷體" w:hAnsi="Arial"/>
          <w:bCs/>
          <w:sz w:val="28"/>
          <w:lang w:val="de-DE"/>
        </w:rPr>
        <w:t>兼任研究員：東華大學環境政策研究所專</w:t>
      </w:r>
      <w:smartTag w:uri="urn:schemas-microsoft-com:office:smarttags" w:element="PersonName">
        <w:smartTagPr>
          <w:attr w:name="ProductID" w:val="任助理"/>
        </w:smartTagPr>
        <w:r>
          <w:rPr>
            <w:rFonts w:eastAsia="標楷體" w:hAnsi="Arial"/>
            <w:bCs/>
            <w:sz w:val="28"/>
            <w:lang w:val="de-DE"/>
          </w:rPr>
          <w:t>任助理</w:t>
        </w:r>
      </w:smartTag>
      <w:r>
        <w:rPr>
          <w:rFonts w:eastAsia="標楷體" w:hAnsi="Arial"/>
          <w:bCs/>
          <w:sz w:val="28"/>
          <w:lang w:val="de-DE"/>
        </w:rPr>
        <w:t>教授</w:t>
      </w:r>
      <w:r>
        <w:rPr>
          <w:rFonts w:eastAsia="標楷體"/>
          <w:b/>
          <w:bCs/>
          <w:sz w:val="28"/>
          <w:lang w:val="de-DE"/>
        </w:rPr>
        <w:t xml:space="preserve"> </w:t>
      </w:r>
      <w:r>
        <w:rPr>
          <w:rFonts w:eastAsia="標楷體" w:hAnsi="Arial"/>
          <w:sz w:val="28"/>
          <w:lang w:val="de-DE"/>
        </w:rPr>
        <w:t>賴宇松</w:t>
      </w:r>
    </w:p>
    <w:p w:rsidR="007D6688" w:rsidRDefault="007D6688">
      <w:pPr>
        <w:widowControl/>
        <w:snapToGrid w:val="0"/>
        <w:spacing w:line="360" w:lineRule="auto"/>
        <w:jc w:val="center"/>
        <w:rPr>
          <w:rFonts w:eastAsia="標楷體"/>
          <w:sz w:val="28"/>
          <w:lang w:val="de-DE"/>
        </w:rPr>
      </w:pPr>
      <w:r>
        <w:rPr>
          <w:rFonts w:eastAsia="標楷體" w:hAnsi="Arial"/>
          <w:bCs/>
          <w:sz w:val="28"/>
          <w:lang w:val="de-DE"/>
        </w:rPr>
        <w:t>研究助理</w:t>
      </w:r>
      <w:r>
        <w:rPr>
          <w:rFonts w:eastAsia="標楷體" w:hAnsi="Arial"/>
          <w:spacing w:val="34"/>
          <w:sz w:val="28"/>
          <w:lang w:val="de-DE"/>
        </w:rPr>
        <w:t>：東吳大學法律系碩士班研究生</w:t>
      </w:r>
      <w:r>
        <w:rPr>
          <w:rFonts w:eastAsia="標楷體"/>
          <w:spacing w:val="34"/>
          <w:sz w:val="28"/>
          <w:lang w:val="de-DE"/>
        </w:rPr>
        <w:t xml:space="preserve"> </w:t>
      </w:r>
      <w:r>
        <w:rPr>
          <w:rFonts w:eastAsia="標楷體" w:hAnsi="Arial"/>
          <w:sz w:val="28"/>
          <w:lang w:val="de-DE"/>
        </w:rPr>
        <w:t>方宜亭</w:t>
      </w:r>
    </w:p>
    <w:p w:rsidR="007D6688" w:rsidRDefault="007D6688">
      <w:pPr>
        <w:widowControl/>
        <w:snapToGrid w:val="0"/>
        <w:spacing w:line="360" w:lineRule="auto"/>
        <w:jc w:val="center"/>
        <w:rPr>
          <w:rFonts w:eastAsia="標楷體"/>
          <w:sz w:val="28"/>
          <w:lang w:val="de-DE"/>
        </w:rPr>
      </w:pPr>
      <w:r>
        <w:rPr>
          <w:rFonts w:eastAsia="標楷體" w:hAnsi="Arial"/>
          <w:sz w:val="28"/>
          <w:lang w:val="de-DE"/>
        </w:rPr>
        <w:t>中華民國九十四年</w:t>
      </w:r>
      <w:r>
        <w:rPr>
          <w:rFonts w:eastAsia="標楷體" w:hAnsi="Arial" w:hint="eastAsia"/>
          <w:sz w:val="28"/>
          <w:lang w:val="de-DE"/>
        </w:rPr>
        <w:t>十</w:t>
      </w:r>
      <w:r>
        <w:rPr>
          <w:rFonts w:eastAsia="標楷體" w:hAnsi="Arial"/>
          <w:sz w:val="28"/>
          <w:lang w:val="de-DE"/>
        </w:rPr>
        <w:t>月</w:t>
      </w:r>
    </w:p>
    <w:p w:rsidR="007D6688" w:rsidRDefault="007D6688">
      <w:pPr>
        <w:widowControl/>
        <w:tabs>
          <w:tab w:val="left" w:pos="0"/>
        </w:tabs>
        <w:snapToGrid w:val="0"/>
        <w:jc w:val="both"/>
        <w:rPr>
          <w:rFonts w:ascii="標楷體" w:eastAsia="標楷體" w:hAnsi="標楷體" w:hint="eastAsia"/>
          <w:bCs/>
          <w:snapToGrid w:val="0"/>
          <w:kern w:val="0"/>
          <w:sz w:val="32"/>
          <w:szCs w:val="32"/>
          <w:lang w:val="de-DE"/>
        </w:rPr>
      </w:pPr>
      <w:r>
        <w:rPr>
          <w:bCs/>
          <w:snapToGrid w:val="0"/>
          <w:kern w:val="0"/>
          <w:szCs w:val="28"/>
          <w:lang w:val="de-DE"/>
        </w:rPr>
        <w:br w:type="page"/>
      </w:r>
      <w:r>
        <w:rPr>
          <w:rFonts w:ascii="標楷體" w:eastAsia="標楷體" w:hAnsi="標楷體" w:hint="eastAsia"/>
          <w:bCs/>
          <w:snapToGrid w:val="0"/>
          <w:kern w:val="0"/>
          <w:sz w:val="32"/>
          <w:szCs w:val="32"/>
          <w:lang w:val="de-DE"/>
        </w:rPr>
        <w:lastRenderedPageBreak/>
        <w:t>研究大綱</w:t>
      </w:r>
    </w:p>
    <w:p w:rsidR="007D6688" w:rsidRDefault="007D6688">
      <w:pPr>
        <w:widowControl/>
        <w:tabs>
          <w:tab w:val="left" w:pos="0"/>
        </w:tabs>
        <w:snapToGrid w:val="0"/>
        <w:jc w:val="both"/>
        <w:rPr>
          <w:rFonts w:ascii="標楷體" w:eastAsia="標楷體" w:hAnsi="標楷體" w:hint="eastAsia"/>
          <w:sz w:val="32"/>
          <w:szCs w:val="32"/>
          <w:lang w:val="de-DE"/>
        </w:rPr>
      </w:pPr>
    </w:p>
    <w:p w:rsidR="007D6688" w:rsidRDefault="007D6688">
      <w:pPr>
        <w:pStyle w:val="10"/>
        <w:tabs>
          <w:tab w:val="right" w:leader="dot" w:pos="8380"/>
        </w:tabs>
        <w:rPr>
          <w:rFonts w:ascii="標楷體" w:eastAsia="標楷體" w:hAnsi="標楷體"/>
          <w:noProof/>
        </w:rPr>
      </w:pPr>
      <w:r>
        <w:rPr>
          <w:rFonts w:ascii="標楷體" w:eastAsia="標楷體" w:hAnsi="標楷體"/>
          <w:sz w:val="32"/>
          <w:szCs w:val="32"/>
          <w:lang w:val="de-DE"/>
        </w:rPr>
        <w:fldChar w:fldCharType="begin"/>
      </w:r>
      <w:r>
        <w:rPr>
          <w:rFonts w:ascii="標楷體" w:eastAsia="標楷體" w:hAnsi="標楷體"/>
          <w:sz w:val="32"/>
          <w:szCs w:val="32"/>
          <w:lang w:val="de-DE"/>
        </w:rPr>
        <w:instrText xml:space="preserve"> TOC \o "1-4" \h \z </w:instrText>
      </w:r>
      <w:r>
        <w:rPr>
          <w:rFonts w:ascii="標楷體" w:eastAsia="標楷體" w:hAnsi="標楷體"/>
          <w:sz w:val="32"/>
          <w:szCs w:val="32"/>
          <w:lang w:val="de-DE"/>
        </w:rPr>
        <w:fldChar w:fldCharType="separate"/>
      </w:r>
      <w:hyperlink w:anchor="_Toc121212925" w:history="1">
        <w:r>
          <w:rPr>
            <w:rStyle w:val="a8"/>
            <w:rFonts w:ascii="標楷體" w:eastAsia="標楷體" w:hAnsi="標楷體"/>
            <w:bCs/>
            <w:noProof/>
            <w:lang w:val="de-DE"/>
          </w:rPr>
          <w:t>1.</w:t>
        </w:r>
        <w:r>
          <w:rPr>
            <w:rStyle w:val="a8"/>
            <w:rFonts w:ascii="標楷體" w:eastAsia="標楷體" w:hAnsi="標楷體" w:hint="eastAsia"/>
            <w:bCs/>
            <w:noProof/>
            <w:lang w:val="de-DE"/>
          </w:rPr>
          <w:t>研究目的</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_Toc121212925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26" w:history="1">
        <w:r>
          <w:rPr>
            <w:rStyle w:val="a8"/>
            <w:rFonts w:ascii="標楷體" w:eastAsia="標楷體" w:hAnsi="標楷體"/>
            <w:noProof/>
            <w:lang w:val="de-DE"/>
          </w:rPr>
          <w:t>1.1.</w:t>
        </w:r>
        <w:r>
          <w:rPr>
            <w:rStyle w:val="a8"/>
            <w:rFonts w:ascii="標楷體" w:eastAsia="標楷體" w:hAnsi="標楷體" w:hint="eastAsia"/>
            <w:noProof/>
            <w:lang w:val="de-DE"/>
          </w:rPr>
          <w:t>研究主旨</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_Toc121212926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27" w:history="1">
        <w:r>
          <w:rPr>
            <w:rStyle w:val="a8"/>
            <w:rFonts w:ascii="標楷體" w:eastAsia="標楷體" w:hAnsi="標楷體"/>
            <w:noProof/>
            <w:lang w:val="de-DE"/>
          </w:rPr>
          <w:t>1.2.</w:t>
        </w:r>
        <w:r>
          <w:rPr>
            <w:rStyle w:val="a8"/>
            <w:rFonts w:ascii="標楷體" w:eastAsia="標楷體" w:hAnsi="標楷體" w:hint="eastAsia"/>
            <w:noProof/>
            <w:lang w:val="de-DE"/>
          </w:rPr>
          <w:t>研究主題背景及相關研究之檢討</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_Toc121212927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28" w:history="1">
        <w:r>
          <w:rPr>
            <w:rStyle w:val="a8"/>
            <w:rFonts w:ascii="標楷體" w:eastAsia="標楷體" w:hAnsi="標楷體"/>
            <w:noProof/>
            <w:lang w:val="de-DE"/>
          </w:rPr>
          <w:t>1.3.</w:t>
        </w:r>
        <w:r>
          <w:rPr>
            <w:rStyle w:val="a8"/>
            <w:rFonts w:ascii="標楷體" w:eastAsia="標楷體" w:hAnsi="標楷體" w:hint="eastAsia"/>
            <w:noProof/>
            <w:lang w:val="de-DE"/>
          </w:rPr>
          <w:t>研究方法與過程</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_Toc121212928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29" w:history="1">
        <w:r>
          <w:rPr>
            <w:rStyle w:val="a8"/>
            <w:rFonts w:ascii="標楷體" w:eastAsia="標楷體" w:hAnsi="標楷體"/>
            <w:noProof/>
            <w:lang w:val="de-DE"/>
          </w:rPr>
          <w:t>1.4.</w:t>
        </w:r>
        <w:r>
          <w:rPr>
            <w:rStyle w:val="a8"/>
            <w:rFonts w:ascii="標楷體" w:eastAsia="標楷體" w:hAnsi="標楷體" w:hint="eastAsia"/>
            <w:noProof/>
            <w:lang w:val="de-DE"/>
          </w:rPr>
          <w:t>研究進度及預期完成之工作項目</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_Toc121212929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30" w:history="1">
        <w:r>
          <w:rPr>
            <w:rStyle w:val="a8"/>
            <w:rFonts w:ascii="標楷體" w:eastAsia="標楷體" w:hAnsi="標楷體"/>
            <w:noProof/>
          </w:rPr>
          <w:t>2.</w:t>
        </w:r>
        <w:r>
          <w:rPr>
            <w:rStyle w:val="a8"/>
            <w:rFonts w:ascii="標楷體" w:eastAsia="標楷體" w:hAnsi="標楷體" w:hint="eastAsia"/>
            <w:noProof/>
          </w:rPr>
          <w:t>公務人員陞遷法上有關陞遷程序之規定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31" w:history="1">
        <w:r>
          <w:rPr>
            <w:rStyle w:val="a8"/>
            <w:rFonts w:ascii="標楷體" w:eastAsia="標楷體" w:hAnsi="標楷體"/>
            <w:noProof/>
          </w:rPr>
          <w:t>2.1.</w:t>
        </w:r>
        <w:r>
          <w:rPr>
            <w:rStyle w:val="a8"/>
            <w:rFonts w:ascii="標楷體" w:eastAsia="標楷體" w:hAnsi="標楷體" w:hint="eastAsia"/>
            <w:noProof/>
          </w:rPr>
          <w:t>陞任與遷調</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32" w:history="1">
        <w:r>
          <w:rPr>
            <w:rStyle w:val="a8"/>
            <w:rFonts w:ascii="標楷體" w:eastAsia="標楷體" w:hAnsi="標楷體"/>
            <w:noProof/>
            <w:lang w:val="de-DE"/>
          </w:rPr>
          <w:t>2.2.</w:t>
        </w:r>
        <w:r>
          <w:rPr>
            <w:rStyle w:val="a8"/>
            <w:rFonts w:ascii="標楷體" w:eastAsia="標楷體" w:hAnsi="標楷體" w:hint="eastAsia"/>
            <w:noProof/>
            <w:lang w:val="de-DE"/>
          </w:rPr>
          <w:t>訂定陞遷序列表</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_Toc121212932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33" w:history="1">
        <w:r>
          <w:rPr>
            <w:rStyle w:val="a8"/>
            <w:rFonts w:ascii="標楷體" w:eastAsia="標楷體" w:hAnsi="標楷體"/>
            <w:noProof/>
            <w:lang w:val="de-DE"/>
          </w:rPr>
          <w:t>2.3.</w:t>
        </w:r>
        <w:r>
          <w:rPr>
            <w:rStyle w:val="a8"/>
            <w:rFonts w:ascii="標楷體" w:eastAsia="標楷體" w:hAnsi="標楷體" w:hint="eastAsia"/>
            <w:noProof/>
            <w:lang w:val="de-DE"/>
          </w:rPr>
          <w:t>造列甄審陞遷名冊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_Toc121212933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10</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34" w:history="1">
        <w:r>
          <w:rPr>
            <w:rStyle w:val="a8"/>
            <w:rFonts w:ascii="標楷體" w:eastAsia="標楷體" w:hAnsi="標楷體"/>
            <w:noProof/>
            <w:lang w:val="de-DE"/>
          </w:rPr>
          <w:t xml:space="preserve">2.3.1. </w:t>
        </w:r>
        <w:r>
          <w:rPr>
            <w:rStyle w:val="a8"/>
            <w:rFonts w:ascii="標楷體" w:eastAsia="標楷體" w:hAnsi="標楷體" w:hint="eastAsia"/>
            <w:noProof/>
            <w:lang w:val="de-DE"/>
          </w:rPr>
          <w:t>組織甄審委員會</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_Toc121212934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11</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35" w:history="1">
        <w:r>
          <w:rPr>
            <w:rStyle w:val="a8"/>
            <w:rFonts w:ascii="標楷體" w:eastAsia="標楷體" w:hAnsi="標楷體"/>
            <w:noProof/>
            <w:lang w:val="de-DE"/>
          </w:rPr>
          <w:t xml:space="preserve">2.3.2. </w:t>
        </w:r>
        <w:r>
          <w:rPr>
            <w:rStyle w:val="a8"/>
            <w:rFonts w:ascii="標楷體" w:eastAsia="標楷體" w:hAnsi="標楷體" w:hint="eastAsia"/>
            <w:noProof/>
            <w:lang w:val="de-DE"/>
          </w:rPr>
          <w:t>甄審委員會評審</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12</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36" w:history="1">
        <w:r>
          <w:rPr>
            <w:rStyle w:val="a8"/>
            <w:rFonts w:ascii="標楷體" w:eastAsia="標楷體" w:hAnsi="標楷體"/>
            <w:noProof/>
            <w:lang w:val="de-DE"/>
          </w:rPr>
          <w:t xml:space="preserve">2.3.3. </w:t>
        </w:r>
        <w:r>
          <w:rPr>
            <w:rStyle w:val="a8"/>
            <w:rFonts w:ascii="標楷體" w:eastAsia="標楷體" w:hAnsi="標楷體" w:hint="eastAsia"/>
            <w:noProof/>
            <w:lang w:val="de-DE"/>
          </w:rPr>
          <w:t>擬定陞遷名冊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13</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37" w:history="1">
        <w:r>
          <w:rPr>
            <w:rStyle w:val="a8"/>
            <w:rFonts w:ascii="標楷體" w:eastAsia="標楷體" w:hAnsi="標楷體"/>
            <w:noProof/>
            <w:lang w:val="de-DE"/>
          </w:rPr>
          <w:t>2.4.</w:t>
        </w:r>
        <w:r>
          <w:rPr>
            <w:rStyle w:val="a8"/>
            <w:rFonts w:ascii="標楷體" w:eastAsia="標楷體" w:hAnsi="標楷體" w:hint="eastAsia"/>
            <w:noProof/>
            <w:lang w:val="de-DE"/>
          </w:rPr>
          <w:t>機關首長圈定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13</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38" w:history="1">
        <w:r>
          <w:rPr>
            <w:rStyle w:val="a8"/>
            <w:rFonts w:ascii="標楷體" w:eastAsia="標楷體" w:hAnsi="標楷體"/>
            <w:noProof/>
            <w:lang w:val="de-DE"/>
          </w:rPr>
          <w:t>2.5.</w:t>
        </w:r>
        <w:r>
          <w:rPr>
            <w:rStyle w:val="a8"/>
            <w:rFonts w:ascii="標楷體" w:eastAsia="標楷體" w:hAnsi="標楷體" w:hint="eastAsia"/>
            <w:noProof/>
            <w:lang w:val="de-DE"/>
          </w:rPr>
          <w:t>商調時原服務機關之同意</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14</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39" w:history="1">
        <w:r>
          <w:rPr>
            <w:rStyle w:val="a8"/>
            <w:rFonts w:ascii="標楷體" w:eastAsia="標楷體" w:hAnsi="標楷體"/>
            <w:noProof/>
          </w:rPr>
          <w:t>3.</w:t>
        </w:r>
        <w:r>
          <w:rPr>
            <w:rStyle w:val="a8"/>
            <w:rFonts w:ascii="標楷體" w:eastAsia="標楷體" w:hAnsi="標楷體" w:hint="eastAsia"/>
            <w:noProof/>
            <w:lang w:val="de-DE"/>
          </w:rPr>
          <w:t>目前有關公務人員陞遷事件之救濟爭議</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_Toc121212939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16</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40" w:history="1">
        <w:r>
          <w:rPr>
            <w:rStyle w:val="a8"/>
            <w:rFonts w:ascii="標楷體" w:eastAsia="標楷體" w:hAnsi="標楷體"/>
            <w:noProof/>
            <w:lang w:val="de-DE"/>
          </w:rPr>
          <w:t>3.1.</w:t>
        </w:r>
        <w:r>
          <w:rPr>
            <w:rStyle w:val="a8"/>
            <w:rFonts w:ascii="標楷體" w:eastAsia="標楷體" w:hAnsi="標楷體" w:hint="eastAsia"/>
            <w:noProof/>
            <w:lang w:val="de-DE"/>
          </w:rPr>
          <w:t>學說之立場</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16</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41" w:history="1">
        <w:r>
          <w:rPr>
            <w:rStyle w:val="a8"/>
            <w:rFonts w:ascii="標楷體" w:eastAsia="標楷體" w:hAnsi="標楷體"/>
            <w:noProof/>
            <w:lang w:val="de-DE"/>
          </w:rPr>
          <w:t>3.2.</w:t>
        </w:r>
        <w:r>
          <w:rPr>
            <w:rStyle w:val="a8"/>
            <w:rFonts w:ascii="標楷體" w:eastAsia="標楷體" w:hAnsi="標楷體" w:hint="eastAsia"/>
            <w:noProof/>
            <w:lang w:val="de-DE"/>
          </w:rPr>
          <w:t>保訓會之決定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17</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42" w:history="1">
        <w:r>
          <w:rPr>
            <w:rStyle w:val="a8"/>
            <w:rFonts w:ascii="標楷體" w:eastAsia="標楷體" w:hAnsi="標楷體"/>
            <w:noProof/>
          </w:rPr>
          <w:t>3.2.1.</w:t>
        </w:r>
        <w:r>
          <w:rPr>
            <w:rStyle w:val="a8"/>
            <w:rFonts w:ascii="標楷體" w:eastAsia="標楷體" w:hAnsi="標楷體" w:hint="eastAsia"/>
            <w:noProof/>
          </w:rPr>
          <w:t>本機關陞遷案件</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_Toc121212942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17</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3" w:history="1">
        <w:r>
          <w:rPr>
            <w:rStyle w:val="a8"/>
            <w:rFonts w:ascii="標楷體" w:eastAsia="標楷體" w:hAnsi="標楷體"/>
            <w:noProof/>
          </w:rPr>
          <w:t>3.2.1.1.</w:t>
        </w:r>
        <w:r>
          <w:rPr>
            <w:rStyle w:val="a8"/>
            <w:rFonts w:ascii="標楷體" w:eastAsia="標楷體" w:hAnsi="標楷體" w:hint="eastAsia"/>
            <w:noProof/>
          </w:rPr>
          <w:t>陞遷序列不合理</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_Toc121212943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17</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4" w:history="1">
        <w:r>
          <w:rPr>
            <w:rStyle w:val="a8"/>
            <w:rFonts w:ascii="標楷體" w:eastAsia="標楷體" w:hAnsi="標楷體"/>
            <w:noProof/>
          </w:rPr>
          <w:t>3.2.1.2.</w:t>
        </w:r>
        <w:r>
          <w:rPr>
            <w:rStyle w:val="a8"/>
            <w:rFonts w:ascii="標楷體" w:eastAsia="標楷體" w:hAnsi="標楷體" w:hint="eastAsia"/>
            <w:noProof/>
          </w:rPr>
          <w:t>內陞或外補之決定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_Toc121212944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18</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5" w:history="1">
        <w:r>
          <w:rPr>
            <w:rStyle w:val="a8"/>
            <w:rFonts w:ascii="標楷體" w:eastAsia="標楷體" w:hAnsi="標楷體"/>
            <w:noProof/>
          </w:rPr>
          <w:t>3.2.1.3.</w:t>
        </w:r>
        <w:r>
          <w:rPr>
            <w:rStyle w:val="a8"/>
            <w:rFonts w:ascii="標楷體" w:eastAsia="標楷體" w:hAnsi="標楷體" w:hint="eastAsia"/>
            <w:noProof/>
          </w:rPr>
          <w:t>內陞或外補之作業流程不一</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19</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6" w:history="1">
        <w:r>
          <w:rPr>
            <w:rStyle w:val="a8"/>
            <w:rFonts w:ascii="標楷體" w:eastAsia="標楷體" w:hAnsi="標楷體"/>
            <w:noProof/>
          </w:rPr>
          <w:t>3.2.1.4.</w:t>
        </w:r>
        <w:r>
          <w:rPr>
            <w:rStyle w:val="a8"/>
            <w:rFonts w:ascii="標楷體" w:eastAsia="標楷體" w:hAnsi="標楷體" w:hint="eastAsia"/>
            <w:noProof/>
          </w:rPr>
          <w:t>未列入甄審名冊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20</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7" w:history="1">
        <w:r>
          <w:rPr>
            <w:rStyle w:val="a8"/>
            <w:rFonts w:ascii="標楷體" w:eastAsia="標楷體" w:hAnsi="標楷體"/>
            <w:noProof/>
          </w:rPr>
          <w:t>3.2.1.5.</w:t>
        </w:r>
        <w:r>
          <w:rPr>
            <w:rStyle w:val="a8"/>
            <w:rFonts w:ascii="標楷體" w:eastAsia="標楷體" w:hAnsi="標楷體" w:hint="eastAsia"/>
            <w:noProof/>
          </w:rPr>
          <w:t>甄審委員會所為之評審決定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21</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8" w:history="1">
        <w:r>
          <w:rPr>
            <w:rStyle w:val="a8"/>
            <w:rFonts w:ascii="標楷體" w:eastAsia="標楷體" w:hAnsi="標楷體"/>
            <w:noProof/>
          </w:rPr>
          <w:t>3.2.1.6.</w:t>
        </w:r>
        <w:r>
          <w:rPr>
            <w:rStyle w:val="a8"/>
            <w:rFonts w:ascii="標楷體" w:eastAsia="標楷體" w:hAnsi="標楷體" w:hint="eastAsia"/>
            <w:noProof/>
          </w:rPr>
          <w:t>本人未獲陞遷</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21</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49" w:history="1">
        <w:r>
          <w:rPr>
            <w:rStyle w:val="a8"/>
            <w:rFonts w:ascii="標楷體" w:eastAsia="標楷體" w:hAnsi="標楷體"/>
            <w:noProof/>
          </w:rPr>
          <w:t>3.2.1.7.</w:t>
        </w:r>
        <w:r>
          <w:rPr>
            <w:rStyle w:val="a8"/>
            <w:rFonts w:ascii="標楷體" w:eastAsia="標楷體" w:hAnsi="標楷體" w:hint="eastAsia"/>
            <w:noProof/>
          </w:rPr>
          <w:t>對於他人獲得陞遷不服</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_Toc121212949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26</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50" w:history="1">
        <w:r>
          <w:rPr>
            <w:rStyle w:val="a8"/>
            <w:rFonts w:ascii="標楷體" w:eastAsia="標楷體" w:hAnsi="標楷體"/>
            <w:noProof/>
          </w:rPr>
          <w:t>3.2.1.8.</w:t>
        </w:r>
        <w:r>
          <w:rPr>
            <w:rStyle w:val="a8"/>
            <w:rFonts w:ascii="標楷體" w:eastAsia="標楷體" w:hAnsi="標楷體" w:hint="eastAsia"/>
            <w:noProof/>
          </w:rPr>
          <w:t>競爭關係下的陞遷救濟</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28</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51" w:history="1">
        <w:r>
          <w:rPr>
            <w:rStyle w:val="a8"/>
            <w:rFonts w:ascii="標楷體" w:eastAsia="標楷體" w:hAnsi="標楷體"/>
            <w:noProof/>
          </w:rPr>
          <w:t>3.2.2.</w:t>
        </w:r>
        <w:r>
          <w:rPr>
            <w:rStyle w:val="a8"/>
            <w:rFonts w:ascii="標楷體" w:eastAsia="標楷體" w:hAnsi="標楷體" w:hint="eastAsia"/>
            <w:noProof/>
          </w:rPr>
          <w:t>參加他機關陞遷案件</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30</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52" w:history="1">
        <w:r>
          <w:rPr>
            <w:rStyle w:val="a8"/>
            <w:rFonts w:ascii="標楷體" w:eastAsia="標楷體" w:hAnsi="標楷體"/>
            <w:noProof/>
          </w:rPr>
          <w:t>3.2.2.1.</w:t>
        </w:r>
        <w:r>
          <w:rPr>
            <w:rStyle w:val="a8"/>
            <w:rFonts w:ascii="標楷體" w:eastAsia="標楷體" w:hAnsi="標楷體" w:hint="eastAsia"/>
            <w:noProof/>
          </w:rPr>
          <w:t>他機關未通知甄審</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_Toc121212952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30</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53" w:history="1">
        <w:r>
          <w:rPr>
            <w:rStyle w:val="a8"/>
            <w:rFonts w:ascii="標楷體" w:eastAsia="標楷體" w:hAnsi="標楷體"/>
            <w:noProof/>
          </w:rPr>
          <w:t>3.2.2.2.</w:t>
        </w:r>
        <w:r>
          <w:rPr>
            <w:rStyle w:val="a8"/>
            <w:rFonts w:ascii="標楷體" w:eastAsia="標楷體" w:hAnsi="標楷體" w:hint="eastAsia"/>
            <w:noProof/>
          </w:rPr>
          <w:t>商調時原服務機關不同意</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_Toc121212953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31</w:t>
        </w:r>
        <w:r>
          <w:rPr>
            <w:rFonts w:ascii="標楷體" w:eastAsia="標楷體" w:hAnsi="標楷體"/>
            <w:noProof/>
            <w:webHidden/>
          </w:rPr>
          <w:fldChar w:fldCharType="end"/>
        </w:r>
      </w:hyperlink>
    </w:p>
    <w:p w:rsidR="007D6688" w:rsidRDefault="007D6688">
      <w:pPr>
        <w:pStyle w:val="40"/>
        <w:tabs>
          <w:tab w:val="right" w:leader="dot" w:pos="8380"/>
        </w:tabs>
        <w:rPr>
          <w:rFonts w:ascii="標楷體" w:eastAsia="標楷體" w:hAnsi="標楷體"/>
          <w:noProof/>
        </w:rPr>
      </w:pPr>
      <w:hyperlink w:anchor="_Toc121212954" w:history="1">
        <w:r>
          <w:rPr>
            <w:rStyle w:val="a8"/>
            <w:rFonts w:ascii="標楷體" w:eastAsia="標楷體" w:hAnsi="標楷體"/>
            <w:noProof/>
          </w:rPr>
          <w:t>3.2.2.3.</w:t>
        </w:r>
        <w:r>
          <w:rPr>
            <w:rStyle w:val="a8"/>
            <w:rFonts w:ascii="標楷體" w:eastAsia="標楷體" w:hAnsi="標楷體" w:hint="eastAsia"/>
            <w:noProof/>
          </w:rPr>
          <w:t>商調時他機關嗣後中止商調程序</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_Toc121212954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32</w:t>
        </w:r>
        <w:r>
          <w:rPr>
            <w:rFonts w:ascii="標楷體" w:eastAsia="標楷體" w:hAnsi="標楷體"/>
            <w:noProof/>
            <w:webHidden/>
          </w:rPr>
          <w:fldChar w:fldCharType="end"/>
        </w:r>
      </w:hyperlink>
    </w:p>
    <w:p w:rsidR="007D6688" w:rsidRDefault="007D6688">
      <w:pPr>
        <w:pStyle w:val="33"/>
        <w:tabs>
          <w:tab w:val="right" w:leader="dot" w:pos="8380"/>
        </w:tabs>
        <w:rPr>
          <w:rFonts w:ascii="標楷體" w:eastAsia="標楷體" w:hAnsi="標楷體"/>
          <w:noProof/>
        </w:rPr>
      </w:pPr>
      <w:hyperlink w:anchor="_Toc121212955" w:history="1">
        <w:r>
          <w:rPr>
            <w:rStyle w:val="a8"/>
            <w:rFonts w:ascii="標楷體" w:eastAsia="標楷體" w:hAnsi="標楷體"/>
            <w:noProof/>
          </w:rPr>
          <w:t>3.2.3.</w:t>
        </w:r>
        <w:r>
          <w:rPr>
            <w:rStyle w:val="a8"/>
            <w:rFonts w:ascii="標楷體" w:eastAsia="標楷體" w:hAnsi="標楷體" w:hint="eastAsia"/>
            <w:noProof/>
          </w:rPr>
          <w:t>再申訴與復審程序之選擇</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32</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56" w:history="1">
        <w:r>
          <w:rPr>
            <w:rStyle w:val="a8"/>
            <w:rFonts w:ascii="標楷體" w:eastAsia="標楷體" w:hAnsi="標楷體"/>
            <w:noProof/>
            <w:lang w:val="de-DE"/>
          </w:rPr>
          <w:t>3.3.</w:t>
        </w:r>
        <w:r>
          <w:rPr>
            <w:rStyle w:val="a8"/>
            <w:rFonts w:ascii="標楷體" w:eastAsia="標楷體" w:hAnsi="標楷體" w:hint="eastAsia"/>
            <w:noProof/>
            <w:lang w:val="de-DE"/>
          </w:rPr>
          <w:t>行政法院之裁判</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34</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57" w:history="1">
        <w:r>
          <w:rPr>
            <w:rStyle w:val="a8"/>
            <w:rFonts w:ascii="標楷體" w:eastAsia="標楷體" w:hAnsi="標楷體"/>
            <w:noProof/>
            <w:lang w:val="de-DE"/>
          </w:rPr>
          <w:t>4.</w:t>
        </w:r>
        <w:r>
          <w:rPr>
            <w:rStyle w:val="a8"/>
            <w:rFonts w:ascii="標楷體" w:eastAsia="標楷體" w:hAnsi="標楷體" w:hint="eastAsia"/>
            <w:noProof/>
            <w:lang w:val="de-DE"/>
          </w:rPr>
          <w:t>陞遷決定之法律性質</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37</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58" w:history="1">
        <w:r>
          <w:rPr>
            <w:rStyle w:val="a8"/>
            <w:rFonts w:ascii="標楷體" w:eastAsia="標楷體" w:hAnsi="標楷體"/>
            <w:noProof/>
            <w:lang w:val="de-DE"/>
          </w:rPr>
          <w:t>4.1.</w:t>
        </w:r>
        <w:r>
          <w:rPr>
            <w:rStyle w:val="a8"/>
            <w:rFonts w:ascii="標楷體" w:eastAsia="標楷體" w:hAnsi="標楷體" w:hint="eastAsia"/>
            <w:noProof/>
            <w:lang w:val="de-DE"/>
          </w:rPr>
          <w:t>管理措施</w:t>
        </w:r>
        <w:r>
          <w:rPr>
            <w:rStyle w:val="a8"/>
            <w:rFonts w:ascii="標楷體" w:eastAsia="標楷體" w:hAnsi="標楷體"/>
            <w:noProof/>
            <w:lang w:val="de-DE"/>
          </w:rPr>
          <w:t>v.s.</w:t>
        </w:r>
        <w:r>
          <w:rPr>
            <w:rStyle w:val="a8"/>
            <w:rFonts w:ascii="標楷體" w:eastAsia="標楷體" w:hAnsi="標楷體" w:hint="eastAsia"/>
            <w:noProof/>
            <w:lang w:val="de-DE"/>
          </w:rPr>
          <w:t>不利處分</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37</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59" w:history="1">
        <w:r>
          <w:rPr>
            <w:rStyle w:val="a8"/>
            <w:rFonts w:ascii="標楷體" w:eastAsia="標楷體" w:hAnsi="標楷體"/>
            <w:noProof/>
            <w:lang w:val="de-DE"/>
          </w:rPr>
          <w:t>4.2.</w:t>
        </w:r>
        <w:r>
          <w:rPr>
            <w:rStyle w:val="a8"/>
            <w:rFonts w:ascii="標楷體" w:eastAsia="標楷體" w:hAnsi="標楷體" w:hint="eastAsia"/>
            <w:noProof/>
            <w:lang w:val="de-DE"/>
          </w:rPr>
          <w:t>不利處分</w:t>
        </w:r>
        <w:r>
          <w:rPr>
            <w:rStyle w:val="a8"/>
            <w:rFonts w:ascii="標楷體" w:eastAsia="標楷體" w:hAnsi="標楷體"/>
            <w:noProof/>
            <w:lang w:val="de-DE"/>
          </w:rPr>
          <w:t>v.s.</w:t>
        </w:r>
        <w:r>
          <w:rPr>
            <w:rStyle w:val="a8"/>
            <w:rFonts w:ascii="標楷體" w:eastAsia="標楷體" w:hAnsi="標楷體" w:hint="eastAsia"/>
            <w:noProof/>
            <w:lang w:val="de-DE"/>
          </w:rPr>
          <w:t>行政處分</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_Toc121212959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39</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0" w:history="1">
        <w:r>
          <w:rPr>
            <w:rStyle w:val="a8"/>
            <w:rFonts w:ascii="標楷體" w:eastAsia="標楷體" w:hAnsi="標楷體"/>
            <w:noProof/>
            <w:lang w:val="de-DE"/>
          </w:rPr>
          <w:t>4.3.</w:t>
        </w:r>
        <w:r>
          <w:rPr>
            <w:rStyle w:val="a8"/>
            <w:rFonts w:ascii="標楷體" w:eastAsia="標楷體" w:hAnsi="標楷體" w:hint="eastAsia"/>
            <w:noProof/>
            <w:sz w:val="26"/>
            <w:lang w:val="de-DE"/>
          </w:rPr>
          <w:t>行政處分</w:t>
        </w:r>
        <w:r>
          <w:rPr>
            <w:rStyle w:val="a8"/>
            <w:rFonts w:ascii="標楷體" w:eastAsia="標楷體" w:hAnsi="標楷體"/>
            <w:noProof/>
            <w:sz w:val="26"/>
            <w:lang w:val="de-DE"/>
          </w:rPr>
          <w:t>v.s.</w:t>
        </w:r>
        <w:r>
          <w:rPr>
            <w:rStyle w:val="a8"/>
            <w:rFonts w:ascii="標楷體" w:eastAsia="標楷體" w:hAnsi="標楷體" w:hint="eastAsia"/>
            <w:noProof/>
            <w:sz w:val="26"/>
            <w:lang w:val="de-DE"/>
          </w:rPr>
          <w:t>附第三人效力之行政處分</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39</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61" w:history="1">
        <w:r>
          <w:rPr>
            <w:rStyle w:val="a8"/>
            <w:rFonts w:ascii="標楷體" w:eastAsia="標楷體" w:hAnsi="標楷體"/>
            <w:noProof/>
            <w:lang w:val="de-DE"/>
          </w:rPr>
          <w:t>5.</w:t>
        </w:r>
        <w:r>
          <w:rPr>
            <w:rStyle w:val="a8"/>
            <w:rFonts w:ascii="標楷體" w:eastAsia="標楷體" w:hAnsi="標楷體" w:hint="eastAsia"/>
            <w:noProof/>
            <w:lang w:val="de-DE"/>
          </w:rPr>
          <w:t>陞遷程序行為之法律性質</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51</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2" w:history="1">
        <w:r>
          <w:rPr>
            <w:rStyle w:val="a8"/>
            <w:rFonts w:ascii="標楷體" w:eastAsia="標楷體" w:hAnsi="標楷體"/>
            <w:noProof/>
            <w:lang w:val="de-DE"/>
          </w:rPr>
          <w:t>5.1.</w:t>
        </w:r>
        <w:r>
          <w:rPr>
            <w:rStyle w:val="a8"/>
            <w:rFonts w:ascii="標楷體" w:eastAsia="標楷體" w:hAnsi="標楷體" w:hint="eastAsia"/>
            <w:noProof/>
            <w:lang w:val="de-DE"/>
          </w:rPr>
          <w:t>陞遷程序中不利益之決定</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_Toc121212962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51</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3" w:history="1">
        <w:r>
          <w:rPr>
            <w:rStyle w:val="a8"/>
            <w:rFonts w:ascii="標楷體" w:eastAsia="標楷體" w:hAnsi="標楷體"/>
            <w:noProof/>
            <w:lang w:val="de-DE"/>
          </w:rPr>
          <w:t>5.2.</w:t>
        </w:r>
        <w:r>
          <w:rPr>
            <w:rStyle w:val="a8"/>
            <w:rFonts w:ascii="標楷體" w:eastAsia="標楷體" w:hAnsi="標楷體" w:hint="eastAsia"/>
            <w:noProof/>
            <w:lang w:val="de-DE"/>
          </w:rPr>
          <w:t>陞遷程序</w:t>
        </w:r>
        <w:r>
          <w:rPr>
            <w:rStyle w:val="a8"/>
            <w:rFonts w:ascii="標楷體" w:eastAsia="標楷體" w:hAnsi="標楷體"/>
            <w:noProof/>
            <w:lang w:val="de-DE"/>
          </w:rPr>
          <w:t>v.s.</w:t>
        </w:r>
        <w:r>
          <w:rPr>
            <w:rStyle w:val="a8"/>
            <w:rFonts w:ascii="標楷體" w:eastAsia="標楷體" w:hAnsi="標楷體" w:hint="eastAsia"/>
            <w:noProof/>
            <w:lang w:val="de-DE"/>
          </w:rPr>
          <w:t>行政程序</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_Toc121212963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51</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4" w:history="1">
        <w:r>
          <w:rPr>
            <w:rStyle w:val="a8"/>
            <w:rFonts w:ascii="標楷體" w:eastAsia="標楷體" w:hAnsi="標楷體"/>
            <w:noProof/>
            <w:lang w:val="de-DE"/>
          </w:rPr>
          <w:t>5.3.</w:t>
        </w:r>
        <w:r>
          <w:rPr>
            <w:rStyle w:val="a8"/>
            <w:rFonts w:ascii="標楷體" w:eastAsia="標楷體" w:hAnsi="標楷體" w:hint="eastAsia"/>
            <w:noProof/>
            <w:lang w:val="de-DE"/>
          </w:rPr>
          <w:t>程序行為之法律性質</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_Toc121212964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54</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65" w:history="1">
        <w:r>
          <w:rPr>
            <w:rStyle w:val="a8"/>
            <w:rFonts w:ascii="標楷體" w:eastAsia="標楷體" w:hAnsi="標楷體"/>
            <w:noProof/>
            <w:lang w:val="de-DE"/>
          </w:rPr>
          <w:t>6.</w:t>
        </w:r>
        <w:r>
          <w:rPr>
            <w:rStyle w:val="a8"/>
            <w:rFonts w:ascii="標楷體" w:eastAsia="標楷體" w:hAnsi="標楷體" w:hint="eastAsia"/>
            <w:noProof/>
            <w:lang w:val="de-DE"/>
          </w:rPr>
          <w:t>公務人員對於陞遷之請求權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63</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6" w:history="1">
        <w:r>
          <w:rPr>
            <w:rStyle w:val="a8"/>
            <w:rFonts w:ascii="標楷體" w:eastAsia="標楷體" w:hAnsi="標楷體"/>
            <w:noProof/>
            <w:lang w:val="de-DE"/>
          </w:rPr>
          <w:t>6.1.</w:t>
        </w:r>
        <w:r>
          <w:rPr>
            <w:rStyle w:val="a8"/>
            <w:rFonts w:ascii="標楷體" w:eastAsia="標楷體" w:hAnsi="標楷體" w:hint="eastAsia"/>
            <w:noProof/>
            <w:lang w:val="de-DE"/>
          </w:rPr>
          <w:t>公法上權利</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63</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7" w:history="1">
        <w:r>
          <w:rPr>
            <w:rStyle w:val="a8"/>
            <w:rFonts w:ascii="標楷體" w:eastAsia="標楷體" w:hAnsi="標楷體"/>
            <w:noProof/>
            <w:lang w:val="de-DE"/>
          </w:rPr>
          <w:t>6.2.</w:t>
        </w:r>
        <w:r>
          <w:rPr>
            <w:rStyle w:val="a8"/>
            <w:rFonts w:ascii="標楷體" w:eastAsia="標楷體" w:hAnsi="標楷體" w:hint="eastAsia"/>
            <w:noProof/>
            <w:lang w:val="de-DE"/>
          </w:rPr>
          <w:t>實體請求權與程序請求權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69</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68" w:history="1">
        <w:r>
          <w:rPr>
            <w:rStyle w:val="a8"/>
            <w:rFonts w:ascii="標楷體" w:eastAsia="標楷體" w:hAnsi="標楷體"/>
            <w:noProof/>
            <w:lang w:val="de-DE"/>
          </w:rPr>
          <w:t>6.3.</w:t>
        </w:r>
        <w:r>
          <w:rPr>
            <w:rStyle w:val="a8"/>
            <w:rFonts w:ascii="標楷體" w:eastAsia="標楷體" w:hAnsi="標楷體" w:hint="eastAsia"/>
            <w:noProof/>
            <w:lang w:val="de-DE"/>
          </w:rPr>
          <w:t>保護規範理論與競爭關係</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70</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69" w:history="1">
        <w:r>
          <w:rPr>
            <w:rStyle w:val="a8"/>
            <w:rFonts w:ascii="標楷體" w:eastAsia="標楷體" w:hAnsi="標楷體"/>
            <w:noProof/>
            <w:lang w:val="de-DE"/>
          </w:rPr>
          <w:t>7.</w:t>
        </w:r>
        <w:r>
          <w:rPr>
            <w:rStyle w:val="a8"/>
            <w:rFonts w:ascii="標楷體" w:eastAsia="標楷體" w:hAnsi="標楷體" w:hint="eastAsia"/>
            <w:noProof/>
            <w:lang w:val="de-DE"/>
          </w:rPr>
          <w:t>陞遷程序中之權利保護</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_Toc121212969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73</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70" w:history="1">
        <w:r>
          <w:rPr>
            <w:rStyle w:val="a8"/>
            <w:rFonts w:ascii="標楷體" w:eastAsia="標楷體" w:hAnsi="標楷體"/>
            <w:noProof/>
            <w:lang w:val="de-DE"/>
          </w:rPr>
          <w:t>8.</w:t>
        </w:r>
        <w:r>
          <w:rPr>
            <w:rStyle w:val="a8"/>
            <w:rFonts w:ascii="標楷體" w:eastAsia="標楷體" w:hAnsi="標楷體" w:hint="eastAsia"/>
            <w:noProof/>
            <w:lang w:val="de-DE"/>
          </w:rPr>
          <w:t>針對陞遷決定之訴訟類型</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74</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1" w:history="1">
        <w:r>
          <w:rPr>
            <w:rStyle w:val="a8"/>
            <w:rFonts w:ascii="標楷體" w:eastAsia="標楷體" w:hAnsi="標楷體"/>
            <w:noProof/>
            <w:lang w:val="de-DE"/>
          </w:rPr>
          <w:t>8.1.</w:t>
        </w:r>
        <w:r>
          <w:rPr>
            <w:rStyle w:val="a8"/>
            <w:rFonts w:ascii="標楷體" w:eastAsia="標楷體" w:hAnsi="標楷體" w:hint="eastAsia"/>
            <w:noProof/>
            <w:lang w:val="de-DE"/>
          </w:rPr>
          <w:t>撤銷訴訟</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76</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2" w:history="1">
        <w:r>
          <w:rPr>
            <w:rStyle w:val="a8"/>
            <w:rFonts w:ascii="標楷體" w:eastAsia="標楷體" w:hAnsi="標楷體"/>
            <w:noProof/>
            <w:lang w:val="de-DE"/>
          </w:rPr>
          <w:t>8.2.</w:t>
        </w:r>
        <w:r>
          <w:rPr>
            <w:rStyle w:val="a8"/>
            <w:rFonts w:ascii="標楷體" w:eastAsia="標楷體" w:hAnsi="標楷體" w:hint="eastAsia"/>
            <w:noProof/>
            <w:lang w:val="de-DE"/>
          </w:rPr>
          <w:t>課予義務訴訟</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_Toc121212972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80</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3" w:history="1">
        <w:r>
          <w:rPr>
            <w:rStyle w:val="a8"/>
            <w:rFonts w:ascii="標楷體" w:eastAsia="標楷體" w:hAnsi="標楷體"/>
            <w:noProof/>
            <w:lang w:val="de-DE"/>
          </w:rPr>
          <w:t>8.3.</w:t>
        </w:r>
        <w:r>
          <w:rPr>
            <w:rStyle w:val="a8"/>
            <w:rFonts w:ascii="標楷體" w:eastAsia="標楷體" w:hAnsi="標楷體" w:hint="eastAsia"/>
            <w:noProof/>
            <w:lang w:val="de-DE"/>
          </w:rPr>
          <w:t>一般給付訴訟與一般撤銷（形成）訴訟</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_Toc121212973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81</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74" w:history="1">
        <w:r>
          <w:rPr>
            <w:rStyle w:val="a8"/>
            <w:rFonts w:ascii="標楷體" w:eastAsia="標楷體" w:hAnsi="標楷體"/>
            <w:noProof/>
            <w:lang w:val="de-DE"/>
          </w:rPr>
          <w:t>9.</w:t>
        </w:r>
        <w:r>
          <w:rPr>
            <w:rStyle w:val="a8"/>
            <w:rFonts w:ascii="標楷體" w:eastAsia="標楷體" w:hAnsi="標楷體" w:hint="eastAsia"/>
            <w:noProof/>
            <w:lang w:val="de-DE"/>
          </w:rPr>
          <w:t>針對陞遷決定救濟之權利保護必要性</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_Toc121212974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5" w:history="1">
        <w:r>
          <w:rPr>
            <w:rStyle w:val="a8"/>
            <w:rFonts w:ascii="標楷體" w:eastAsia="標楷體" w:hAnsi="標楷體"/>
            <w:noProof/>
            <w:lang w:val="de-DE"/>
          </w:rPr>
          <w:t>9.1.</w:t>
        </w:r>
        <w:r>
          <w:rPr>
            <w:rStyle w:val="a8"/>
            <w:rFonts w:ascii="標楷體" w:eastAsia="標楷體" w:hAnsi="標楷體" w:hint="eastAsia"/>
            <w:noProof/>
            <w:lang w:val="de-DE"/>
          </w:rPr>
          <w:t>權利保護之必要性與訴訟權能之區分</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_Toc121212975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6" w:history="1">
        <w:r>
          <w:rPr>
            <w:rStyle w:val="a8"/>
            <w:rFonts w:ascii="標楷體" w:eastAsia="標楷體" w:hAnsi="標楷體"/>
            <w:noProof/>
            <w:lang w:val="de-DE"/>
          </w:rPr>
          <w:t>9.2.</w:t>
        </w:r>
        <w:r>
          <w:rPr>
            <w:rStyle w:val="a8"/>
            <w:rFonts w:ascii="標楷體" w:eastAsia="標楷體" w:hAnsi="標楷體" w:hint="eastAsia"/>
            <w:noProof/>
            <w:lang w:val="de-DE"/>
          </w:rPr>
          <w:t>紛爭已終結與爭訟之實益</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_Toc121212976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86</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77" w:history="1">
        <w:r>
          <w:rPr>
            <w:rStyle w:val="a8"/>
            <w:rFonts w:ascii="標楷體" w:eastAsia="標楷體" w:hAnsi="標楷體"/>
            <w:noProof/>
            <w:lang w:val="de-DE"/>
          </w:rPr>
          <w:t>10.</w:t>
        </w:r>
        <w:r>
          <w:rPr>
            <w:rStyle w:val="a8"/>
            <w:rFonts w:ascii="標楷體" w:eastAsia="標楷體" w:hAnsi="標楷體" w:hint="eastAsia"/>
            <w:noProof/>
            <w:lang w:val="de-DE"/>
          </w:rPr>
          <w:t>陞遷救濟時之暫時權利保護</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_Toc121212977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90</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8" w:history="1">
        <w:r>
          <w:rPr>
            <w:rStyle w:val="a8"/>
            <w:rFonts w:ascii="標楷體" w:eastAsia="標楷體" w:hAnsi="標楷體"/>
            <w:noProof/>
            <w:lang w:val="de-DE"/>
          </w:rPr>
          <w:t>10.1.</w:t>
        </w:r>
        <w:r>
          <w:rPr>
            <w:rStyle w:val="a8"/>
            <w:rFonts w:ascii="標楷體" w:eastAsia="標楷體" w:hAnsi="標楷體" w:hint="eastAsia"/>
            <w:noProof/>
            <w:lang w:val="de-DE"/>
          </w:rPr>
          <w:t>復審階段及行政訴訟中之暫時性權利保護</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_Toc121212978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90</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79" w:history="1">
        <w:r>
          <w:rPr>
            <w:rStyle w:val="a8"/>
            <w:rFonts w:ascii="標楷體" w:eastAsia="標楷體" w:hAnsi="標楷體"/>
            <w:noProof/>
            <w:lang w:val="de-DE"/>
          </w:rPr>
          <w:t>10.2</w:t>
        </w:r>
        <w:r>
          <w:rPr>
            <w:rStyle w:val="a8"/>
            <w:rFonts w:ascii="標楷體" w:eastAsia="標楷體" w:hAnsi="標楷體" w:hint="eastAsia"/>
            <w:noProof/>
            <w:lang w:val="de-DE"/>
          </w:rPr>
          <w:t>競爭關係中特殊之暫時性權利保護要求</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_Toc121212979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95</w:t>
        </w:r>
        <w:r>
          <w:rPr>
            <w:rFonts w:ascii="標楷體" w:eastAsia="標楷體" w:hAnsi="標楷體"/>
            <w:noProof/>
            <w:webHidden/>
          </w:rPr>
          <w:fldChar w:fldCharType="end"/>
        </w:r>
      </w:hyperlink>
    </w:p>
    <w:p w:rsidR="007D6688" w:rsidRDefault="007D6688">
      <w:pPr>
        <w:pStyle w:val="23"/>
        <w:tabs>
          <w:tab w:val="right" w:leader="dot" w:pos="8380"/>
        </w:tabs>
        <w:rPr>
          <w:rFonts w:ascii="標楷體" w:eastAsia="標楷體" w:hAnsi="標楷體"/>
          <w:noProof/>
        </w:rPr>
      </w:pPr>
      <w:hyperlink w:anchor="_Toc121212980" w:history="1">
        <w:r>
          <w:rPr>
            <w:rStyle w:val="a8"/>
            <w:rFonts w:ascii="標楷體" w:eastAsia="標楷體" w:hAnsi="標楷體"/>
            <w:noProof/>
            <w:lang w:val="de-DE"/>
          </w:rPr>
          <w:t>10.3.</w:t>
        </w:r>
        <w:r>
          <w:rPr>
            <w:rStyle w:val="a8"/>
            <w:rFonts w:ascii="標楷體" w:eastAsia="標楷體" w:hAnsi="標楷體" w:hint="eastAsia"/>
            <w:noProof/>
            <w:lang w:val="de-DE"/>
          </w:rPr>
          <w:t>陞遷救濟時暫時權利保護的可行性</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_Toc121212980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96</w:t>
        </w:r>
        <w:r>
          <w:rPr>
            <w:rFonts w:ascii="標楷體" w:eastAsia="標楷體" w:hAnsi="標楷體"/>
            <w:noProof/>
            <w:webHidden/>
          </w:rPr>
          <w:fldChar w:fldCharType="end"/>
        </w:r>
      </w:hyperlink>
    </w:p>
    <w:p w:rsidR="007D6688" w:rsidRDefault="007D6688">
      <w:pPr>
        <w:pStyle w:val="10"/>
        <w:tabs>
          <w:tab w:val="right" w:leader="dot" w:pos="8380"/>
        </w:tabs>
        <w:rPr>
          <w:rFonts w:ascii="標楷體" w:eastAsia="標楷體" w:hAnsi="標楷體"/>
          <w:noProof/>
        </w:rPr>
      </w:pPr>
      <w:hyperlink w:anchor="_Toc121212981" w:history="1">
        <w:r>
          <w:rPr>
            <w:rStyle w:val="a8"/>
            <w:rFonts w:ascii="標楷體" w:eastAsia="標楷體" w:hAnsi="標楷體"/>
            <w:noProof/>
            <w:lang w:val="de-DE"/>
          </w:rPr>
          <w:t>11.</w:t>
        </w:r>
        <w:r>
          <w:rPr>
            <w:rStyle w:val="a8"/>
            <w:rFonts w:ascii="標楷體" w:eastAsia="標楷體" w:hAnsi="標楷體" w:hint="eastAsia"/>
            <w:noProof/>
            <w:lang w:val="de-DE"/>
          </w:rPr>
          <w:t>結論</w:t>
        </w:r>
        <w:r>
          <w:rPr>
            <w:rFonts w:ascii="標楷體" w:eastAsia="標楷體" w:hAnsi="標楷體"/>
            <w:noProof/>
            <w:webHidden/>
          </w:rPr>
          <w:tab/>
        </w:r>
        <w:r>
          <w:rPr>
            <w:rFonts w:ascii="標楷體" w:eastAsia="標楷體" w:hAnsi="標楷體"/>
            <w:noProof/>
            <w:webHidden/>
          </w:rPr>
          <w:fldChar w:fldCharType="begin"/>
        </w:r>
        <w:r>
          <w:rPr>
            <w:rFonts w:ascii="標楷體" w:eastAsia="標楷體" w:hAnsi="標楷體"/>
            <w:noProof/>
            <w:webHidden/>
          </w:rPr>
          <w:instrText xml:space="preserve"> PAGEREF _Toc121212981 \h </w:instrText>
        </w:r>
        <w:r>
          <w:rPr>
            <w:rFonts w:ascii="標楷體" w:eastAsia="標楷體" w:hAnsi="標楷體"/>
            <w:noProof/>
          </w:rPr>
        </w:r>
        <w:r>
          <w:rPr>
            <w:rFonts w:ascii="標楷體" w:eastAsia="標楷體" w:hAnsi="標楷體"/>
            <w:noProof/>
            <w:webHidden/>
          </w:rPr>
          <w:fldChar w:fldCharType="separate"/>
        </w:r>
        <w:r>
          <w:rPr>
            <w:rFonts w:ascii="標楷體" w:eastAsia="標楷體" w:hAnsi="標楷體"/>
            <w:noProof/>
            <w:webHidden/>
          </w:rPr>
          <w:t>99</w:t>
        </w:r>
        <w:r>
          <w:rPr>
            <w:rFonts w:ascii="標楷體" w:eastAsia="標楷體" w:hAnsi="標楷體"/>
            <w:noProof/>
            <w:webHidden/>
          </w:rPr>
          <w:fldChar w:fldCharType="end"/>
        </w:r>
      </w:hyperlink>
    </w:p>
    <w:p w:rsidR="007D6688" w:rsidRDefault="007D6688">
      <w:pPr>
        <w:widowControl/>
        <w:tabs>
          <w:tab w:val="left" w:pos="0"/>
        </w:tabs>
        <w:snapToGrid w:val="0"/>
        <w:jc w:val="both"/>
        <w:rPr>
          <w:rFonts w:ascii="標楷體" w:eastAsia="標楷體" w:hAnsi="標楷體" w:hint="eastAsia"/>
          <w:sz w:val="32"/>
          <w:szCs w:val="32"/>
          <w:lang w:val="de-DE"/>
        </w:rPr>
      </w:pPr>
      <w:r>
        <w:rPr>
          <w:rFonts w:ascii="標楷體" w:eastAsia="標楷體" w:hAnsi="標楷體"/>
          <w:sz w:val="32"/>
          <w:szCs w:val="32"/>
          <w:lang w:val="de-DE"/>
        </w:rPr>
        <w:fldChar w:fldCharType="end"/>
      </w: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2520"/>
        </w:tabs>
        <w:snapToGrid w:val="0"/>
        <w:ind w:left="2519" w:hangingChars="969" w:hanging="2519"/>
        <w:jc w:val="both"/>
        <w:rPr>
          <w:rFonts w:ascii="標楷體" w:eastAsia="標楷體" w:hAnsi="標楷體" w:hint="eastAsia"/>
          <w:sz w:val="26"/>
          <w:szCs w:val="26"/>
        </w:rPr>
      </w:pPr>
      <w:r>
        <w:rPr>
          <w:rFonts w:ascii="標楷體" w:eastAsia="標楷體" w:hAnsi="標楷體" w:hint="eastAsia"/>
          <w:sz w:val="26"/>
          <w:szCs w:val="26"/>
          <w:lang w:val="de-DE"/>
        </w:rPr>
        <w:t>附論（一）：</w:t>
      </w:r>
      <w:r>
        <w:rPr>
          <w:rFonts w:ascii="標楷體" w:eastAsia="標楷體" w:hAnsi="標楷體"/>
          <w:sz w:val="26"/>
          <w:szCs w:val="26"/>
        </w:rPr>
        <w:t>德國公務員法上之競爭訴訟 – 職務安定原則與有效權利救濟間之權衡……………………………………………113</w:t>
      </w:r>
    </w:p>
    <w:p w:rsidR="007D6688" w:rsidRDefault="007D6688">
      <w:pPr>
        <w:widowControl/>
        <w:tabs>
          <w:tab w:val="left" w:pos="2520"/>
        </w:tabs>
        <w:snapToGrid w:val="0"/>
        <w:ind w:left="2519" w:hangingChars="969" w:hanging="2519"/>
        <w:jc w:val="both"/>
        <w:rPr>
          <w:rFonts w:ascii="標楷體" w:eastAsia="標楷體" w:hAnsi="標楷體"/>
          <w:sz w:val="26"/>
          <w:szCs w:val="26"/>
        </w:rPr>
      </w:pPr>
      <w:r>
        <w:rPr>
          <w:rFonts w:ascii="標楷體" w:eastAsia="標楷體" w:hAnsi="標楷體" w:hint="eastAsia"/>
          <w:sz w:val="26"/>
          <w:szCs w:val="26"/>
          <w:lang w:val="de-DE"/>
        </w:rPr>
        <w:t>附論（二）：</w:t>
      </w:r>
      <w:r>
        <w:rPr>
          <w:rFonts w:ascii="標楷體" w:eastAsia="標楷體" w:hAnsi="標楷體" w:hint="eastAsia"/>
          <w:sz w:val="26"/>
          <w:szCs w:val="26"/>
        </w:rPr>
        <w:t>日本行政事件訴訟法中有關暫時權利保護</w:t>
      </w:r>
      <w:r>
        <w:rPr>
          <w:rFonts w:ascii="標楷體" w:eastAsia="標楷體" w:hAnsi="標楷體" w:hint="eastAsia"/>
          <w:sz w:val="26"/>
          <w:szCs w:val="26"/>
          <w:lang w:val="de-DE"/>
        </w:rPr>
        <w:t>新</w:t>
      </w:r>
      <w:r>
        <w:rPr>
          <w:rFonts w:ascii="標楷體" w:eastAsia="標楷體" w:hAnsi="標楷體" w:hint="eastAsia"/>
          <w:sz w:val="26"/>
          <w:szCs w:val="26"/>
        </w:rPr>
        <w:t>規定之介紹</w:t>
      </w:r>
    </w:p>
    <w:p w:rsidR="007D6688" w:rsidRDefault="007D6688">
      <w:pPr>
        <w:widowControl/>
        <w:tabs>
          <w:tab w:val="left" w:pos="2520"/>
        </w:tabs>
        <w:snapToGrid w:val="0"/>
        <w:ind w:left="2519" w:hangingChars="969" w:hanging="2519"/>
        <w:jc w:val="both"/>
        <w:rPr>
          <w:rFonts w:ascii="標楷體" w:eastAsia="標楷體" w:hAnsi="標楷體"/>
          <w:sz w:val="26"/>
          <w:szCs w:val="26"/>
        </w:rPr>
      </w:pPr>
      <w:r>
        <w:rPr>
          <w:rFonts w:ascii="標楷體" w:eastAsia="標楷體" w:hAnsi="標楷體"/>
          <w:sz w:val="26"/>
          <w:szCs w:val="26"/>
        </w:rPr>
        <w:t xml:space="preserve">                         ………………………………………………127</w:t>
      </w:r>
    </w:p>
    <w:p w:rsidR="007D6688" w:rsidRDefault="007D6688">
      <w:pPr>
        <w:widowControl/>
        <w:tabs>
          <w:tab w:val="left" w:pos="0"/>
        </w:tabs>
        <w:snapToGrid w:val="0"/>
        <w:jc w:val="both"/>
        <w:rPr>
          <w:rFonts w:ascii="標楷體" w:eastAsia="標楷體" w:hAnsi="標楷體" w:hint="eastAsia"/>
          <w:sz w:val="26"/>
          <w:szCs w:val="26"/>
        </w:rPr>
      </w:pPr>
    </w:p>
    <w:p w:rsidR="007D6688" w:rsidRDefault="007D6688">
      <w:pPr>
        <w:widowControl/>
        <w:tabs>
          <w:tab w:val="left" w:pos="0"/>
        </w:tabs>
        <w:snapToGrid w:val="0"/>
        <w:jc w:val="both"/>
        <w:rPr>
          <w:rFonts w:ascii="標楷體" w:eastAsia="標楷體" w:hAnsi="標楷體"/>
          <w:sz w:val="26"/>
          <w:lang w:val="de-DE"/>
        </w:rPr>
      </w:pPr>
      <w:r>
        <w:rPr>
          <w:rFonts w:ascii="標楷體" w:eastAsia="標楷體" w:hAnsi="標楷體" w:hint="eastAsia"/>
          <w:sz w:val="26"/>
          <w:lang w:val="de-DE"/>
        </w:rPr>
        <w:t>參考文獻</w:t>
      </w:r>
      <w:r>
        <w:rPr>
          <w:rFonts w:ascii="標楷體" w:eastAsia="標楷體" w:hAnsi="標楷體"/>
          <w:sz w:val="26"/>
          <w:lang w:val="de-DE"/>
        </w:rPr>
        <w:t>.....................................................147</w:t>
      </w: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hint="eastAsia"/>
          <w:sz w:val="26"/>
          <w:lang w:val="de-DE"/>
        </w:rPr>
      </w:pPr>
      <w:r>
        <w:rPr>
          <w:rFonts w:ascii="標楷體" w:eastAsia="標楷體" w:hAnsi="標楷體" w:hint="eastAsia"/>
          <w:sz w:val="26"/>
          <w:lang w:val="de-DE"/>
        </w:rPr>
        <w:t>附件</w:t>
      </w: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900"/>
        </w:tabs>
        <w:snapToGrid w:val="0"/>
        <w:ind w:left="900" w:hangingChars="375" w:hanging="900"/>
        <w:jc w:val="both"/>
        <w:rPr>
          <w:rFonts w:ascii="標楷體" w:eastAsia="標楷體" w:hAnsi="標楷體"/>
        </w:rPr>
      </w:pPr>
      <w:r>
        <w:rPr>
          <w:rFonts w:ascii="標楷體" w:eastAsia="標楷體" w:hAnsi="標楷體" w:hint="eastAsia"/>
        </w:rPr>
        <w:t>附件一：公務人員陞遷法</w:t>
      </w:r>
      <w:r>
        <w:rPr>
          <w:rFonts w:ascii="標楷體" w:eastAsia="標楷體" w:hAnsi="標楷體"/>
        </w:rPr>
        <w:t xml:space="preserve"> …………………………………………………………154</w:t>
      </w:r>
    </w:p>
    <w:p w:rsidR="007D6688" w:rsidRDefault="007D6688">
      <w:pPr>
        <w:widowControl/>
        <w:tabs>
          <w:tab w:val="left" w:pos="900"/>
        </w:tabs>
        <w:snapToGrid w:val="0"/>
        <w:ind w:left="900" w:hangingChars="375" w:hanging="900"/>
        <w:jc w:val="both"/>
        <w:rPr>
          <w:rFonts w:ascii="標楷體" w:eastAsia="標楷體" w:hAnsi="標楷體" w:hint="eastAsia"/>
        </w:rPr>
      </w:pPr>
    </w:p>
    <w:p w:rsidR="007D6688" w:rsidRDefault="007D6688">
      <w:pPr>
        <w:widowControl/>
        <w:tabs>
          <w:tab w:val="left" w:pos="900"/>
        </w:tabs>
        <w:snapToGrid w:val="0"/>
        <w:ind w:left="900" w:hangingChars="375" w:hanging="900"/>
        <w:jc w:val="both"/>
        <w:rPr>
          <w:rFonts w:ascii="標楷體" w:eastAsia="標楷體" w:hAnsi="標楷體"/>
        </w:rPr>
      </w:pPr>
      <w:r>
        <w:rPr>
          <w:rFonts w:ascii="標楷體" w:eastAsia="標楷體" w:hAnsi="標楷體" w:hint="eastAsia"/>
        </w:rPr>
        <w:t>附件二：公務人員陞遷法施行細則</w:t>
      </w:r>
      <w:r>
        <w:rPr>
          <w:rFonts w:ascii="標楷體" w:eastAsia="標楷體" w:hAnsi="標楷體"/>
        </w:rPr>
        <w:t xml:space="preserve"> ………………………………………………156</w:t>
      </w:r>
    </w:p>
    <w:p w:rsidR="007D6688" w:rsidRDefault="007D6688">
      <w:pPr>
        <w:widowControl/>
        <w:tabs>
          <w:tab w:val="left" w:pos="900"/>
        </w:tabs>
        <w:snapToGrid w:val="0"/>
        <w:ind w:left="900" w:hangingChars="375" w:hanging="900"/>
        <w:jc w:val="both"/>
        <w:rPr>
          <w:rFonts w:ascii="標楷體" w:eastAsia="標楷體" w:hAnsi="標楷體" w:hint="eastAsia"/>
        </w:rPr>
      </w:pPr>
    </w:p>
    <w:p w:rsidR="007D6688" w:rsidRDefault="007D6688">
      <w:pPr>
        <w:tabs>
          <w:tab w:val="left" w:pos="900"/>
        </w:tabs>
        <w:spacing w:line="320" w:lineRule="exact"/>
        <w:ind w:left="900" w:hangingChars="375" w:hanging="900"/>
        <w:rPr>
          <w:rFonts w:ascii="標楷體" w:eastAsia="標楷體" w:hAnsi="標楷體"/>
        </w:rPr>
      </w:pPr>
      <w:r>
        <w:rPr>
          <w:rFonts w:ascii="標楷體" w:eastAsia="標楷體" w:hAnsi="標楷體" w:hint="eastAsia"/>
        </w:rPr>
        <w:t>附件三：行政院所屬人事機關（構）薦任第九職等至簡任第十職等人事室主任以上人員陞遷序列表</w:t>
      </w:r>
      <w:r>
        <w:rPr>
          <w:rFonts w:ascii="標楷體" w:eastAsia="標楷體" w:hAnsi="標楷體"/>
        </w:rPr>
        <w:t xml:space="preserve"> ………………………………………………………159</w:t>
      </w:r>
    </w:p>
    <w:p w:rsidR="007D6688" w:rsidRDefault="007D6688">
      <w:pPr>
        <w:widowControl/>
        <w:tabs>
          <w:tab w:val="left" w:pos="900"/>
        </w:tabs>
        <w:snapToGrid w:val="0"/>
        <w:ind w:left="900" w:hangingChars="375" w:hanging="900"/>
        <w:jc w:val="both"/>
        <w:rPr>
          <w:rFonts w:ascii="標楷體" w:eastAsia="標楷體" w:hAnsi="標楷體" w:hint="eastAsia"/>
        </w:rPr>
      </w:pPr>
    </w:p>
    <w:p w:rsidR="007D6688" w:rsidRDefault="007D6688">
      <w:pPr>
        <w:widowControl/>
        <w:tabs>
          <w:tab w:val="left" w:pos="900"/>
        </w:tabs>
        <w:snapToGrid w:val="0"/>
        <w:ind w:left="900" w:hangingChars="375" w:hanging="900"/>
        <w:jc w:val="both"/>
        <w:rPr>
          <w:rFonts w:ascii="標楷體" w:eastAsia="標楷體" w:hAnsi="標楷體"/>
          <w:bCs/>
        </w:rPr>
      </w:pPr>
      <w:r>
        <w:rPr>
          <w:rFonts w:ascii="標楷體" w:eastAsia="標楷體" w:hAnsi="標楷體" w:hint="eastAsia"/>
        </w:rPr>
        <w:t>附件四：</w:t>
      </w:r>
      <w:r>
        <w:rPr>
          <w:rFonts w:ascii="標楷體" w:eastAsia="標楷體" w:hAnsi="標楷體" w:hint="eastAsia"/>
          <w:lang w:val="de-DE"/>
        </w:rPr>
        <w:t>期中報告</w:t>
      </w:r>
      <w:r>
        <w:rPr>
          <w:rFonts w:ascii="標楷體" w:eastAsia="標楷體" w:hAnsi="標楷體" w:hint="eastAsia"/>
          <w:bCs/>
        </w:rPr>
        <w:t>審查會議紀錄</w:t>
      </w:r>
      <w:r>
        <w:rPr>
          <w:rFonts w:ascii="標楷體" w:eastAsia="標楷體" w:hAnsi="標楷體"/>
          <w:bCs/>
        </w:rPr>
        <w:t xml:space="preserve"> …………………………………………………162</w:t>
      </w:r>
    </w:p>
    <w:p w:rsidR="007D6688" w:rsidRDefault="007D6688">
      <w:pPr>
        <w:widowControl/>
        <w:tabs>
          <w:tab w:val="left" w:pos="900"/>
        </w:tabs>
        <w:snapToGrid w:val="0"/>
        <w:ind w:left="900" w:hangingChars="375" w:hanging="900"/>
        <w:jc w:val="both"/>
        <w:rPr>
          <w:rFonts w:ascii="標楷體" w:eastAsia="標楷體" w:hAnsi="標楷體" w:hint="eastAsia"/>
          <w:bCs/>
        </w:rPr>
      </w:pPr>
    </w:p>
    <w:p w:rsidR="007D6688" w:rsidRDefault="007D6688">
      <w:pPr>
        <w:widowControl/>
        <w:tabs>
          <w:tab w:val="left" w:pos="900"/>
        </w:tabs>
        <w:snapToGrid w:val="0"/>
        <w:ind w:left="900" w:hangingChars="375" w:hanging="900"/>
        <w:jc w:val="both"/>
        <w:rPr>
          <w:rFonts w:ascii="標楷體" w:eastAsia="標楷體" w:hAnsi="標楷體"/>
          <w:bCs/>
        </w:rPr>
      </w:pPr>
      <w:r>
        <w:rPr>
          <w:rFonts w:ascii="標楷體" w:eastAsia="標楷體" w:hAnsi="標楷體" w:hint="eastAsia"/>
        </w:rPr>
        <w:t>附件五：</w:t>
      </w:r>
      <w:r>
        <w:rPr>
          <w:rFonts w:ascii="標楷體" w:eastAsia="標楷體" w:hAnsi="標楷體" w:hint="eastAsia"/>
          <w:lang w:val="de-DE"/>
        </w:rPr>
        <w:t>期末報告</w:t>
      </w:r>
      <w:r>
        <w:rPr>
          <w:rFonts w:ascii="標楷體" w:eastAsia="標楷體" w:hAnsi="標楷體" w:hint="eastAsia"/>
          <w:bCs/>
        </w:rPr>
        <w:t>審查會議紀錄</w:t>
      </w:r>
      <w:r>
        <w:rPr>
          <w:rFonts w:ascii="標楷體" w:eastAsia="標楷體" w:hAnsi="標楷體"/>
          <w:bCs/>
        </w:rPr>
        <w:t xml:space="preserve"> …………………………………………………167</w:t>
      </w:r>
    </w:p>
    <w:p w:rsidR="007D6688" w:rsidRDefault="007D6688">
      <w:pPr>
        <w:widowControl/>
        <w:tabs>
          <w:tab w:val="left" w:pos="0"/>
        </w:tabs>
        <w:snapToGrid w:val="0"/>
        <w:jc w:val="both"/>
        <w:rPr>
          <w:rFonts w:ascii="標楷體" w:eastAsia="標楷體" w:hAnsi="標楷體" w:hint="eastAsia"/>
          <w:sz w:val="26"/>
        </w:rPr>
      </w:pPr>
    </w:p>
    <w:p w:rsidR="007D6688" w:rsidRDefault="007D6688">
      <w:pPr>
        <w:widowControl/>
        <w:tabs>
          <w:tab w:val="left" w:pos="0"/>
        </w:tabs>
        <w:snapToGrid w:val="0"/>
        <w:jc w:val="both"/>
        <w:rPr>
          <w:rFonts w:ascii="標楷體" w:eastAsia="標楷體" w:hAnsi="標楷體" w:hint="eastAsia"/>
          <w:sz w:val="26"/>
          <w:lang w:val="de-DE"/>
        </w:rPr>
      </w:pPr>
      <w:r>
        <w:rPr>
          <w:rFonts w:ascii="標楷體" w:eastAsia="標楷體" w:hAnsi="標楷體" w:hint="eastAsia"/>
          <w:sz w:val="26"/>
          <w:lang w:val="de-DE"/>
        </w:rPr>
        <w:t>附圖目錄</w:t>
      </w:r>
    </w:p>
    <w:p w:rsidR="007D6688" w:rsidRDefault="007D6688">
      <w:pPr>
        <w:widowControl/>
        <w:tabs>
          <w:tab w:val="left" w:pos="0"/>
        </w:tabs>
        <w:snapToGrid w:val="0"/>
        <w:jc w:val="both"/>
        <w:rPr>
          <w:rFonts w:ascii="標楷體" w:eastAsia="標楷體" w:hAnsi="標楷體" w:hint="eastAsia"/>
          <w:sz w:val="26"/>
          <w:lang w:val="de-DE"/>
        </w:rPr>
      </w:pPr>
    </w:p>
    <w:p w:rsidR="007D6688" w:rsidRDefault="007D6688">
      <w:pPr>
        <w:widowControl/>
        <w:tabs>
          <w:tab w:val="left" w:pos="0"/>
        </w:tabs>
        <w:snapToGrid w:val="0"/>
        <w:jc w:val="both"/>
        <w:rPr>
          <w:rFonts w:ascii="標楷體" w:eastAsia="標楷體" w:hAnsi="標楷體"/>
        </w:rPr>
      </w:pPr>
      <w:r>
        <w:rPr>
          <w:rFonts w:ascii="標楷體" w:eastAsia="標楷體" w:hAnsi="標楷體" w:hint="eastAsia"/>
          <w:lang w:val="de-DE"/>
        </w:rPr>
        <w:t>附圖一：</w:t>
      </w:r>
      <w:r>
        <w:rPr>
          <w:rFonts w:ascii="標楷體" w:eastAsia="標楷體" w:hAnsi="標楷體" w:hint="eastAsia"/>
        </w:rPr>
        <w:t>我國公務人員的陞遷流程</w:t>
      </w:r>
      <w:r>
        <w:rPr>
          <w:rFonts w:ascii="標楷體" w:eastAsia="標楷體" w:hAnsi="標楷體"/>
        </w:rPr>
        <w:t>…………………………………………………15</w:t>
      </w:r>
    </w:p>
    <w:p w:rsidR="007D6688" w:rsidRDefault="007D6688">
      <w:pPr>
        <w:widowControl/>
        <w:tabs>
          <w:tab w:val="left" w:pos="0"/>
        </w:tabs>
        <w:snapToGrid w:val="0"/>
        <w:jc w:val="both"/>
        <w:rPr>
          <w:rFonts w:ascii="標楷體" w:eastAsia="標楷體" w:hAnsi="標楷體" w:hint="eastAsia"/>
        </w:rPr>
      </w:pPr>
    </w:p>
    <w:p w:rsidR="007D6688" w:rsidRDefault="007D6688">
      <w:pPr>
        <w:widowControl/>
        <w:tabs>
          <w:tab w:val="left" w:pos="0"/>
        </w:tabs>
        <w:snapToGrid w:val="0"/>
        <w:jc w:val="both"/>
        <w:rPr>
          <w:rStyle w:val="af3"/>
          <w:rFonts w:ascii="標楷體" w:eastAsia="標楷體" w:hAnsi="標楷體"/>
        </w:rPr>
      </w:pPr>
      <w:r>
        <w:rPr>
          <w:rFonts w:ascii="標楷體" w:eastAsia="標楷體" w:hAnsi="標楷體" w:hint="eastAsia"/>
        </w:rPr>
        <w:t>附圖二：</w:t>
      </w:r>
      <w:r>
        <w:rPr>
          <w:rStyle w:val="af3"/>
          <w:rFonts w:ascii="標楷體" w:eastAsia="標楷體" w:hAnsi="標楷體" w:hint="eastAsia"/>
        </w:rPr>
        <w:t>公務人員陞遷流程與申訴、復審程序之決定</w:t>
      </w:r>
      <w:r>
        <w:rPr>
          <w:rStyle w:val="af3"/>
          <w:rFonts w:ascii="標楷體" w:eastAsia="標楷體" w:hAnsi="標楷體"/>
        </w:rPr>
        <w:t>......................34</w:t>
      </w:r>
    </w:p>
    <w:p w:rsidR="007D6688" w:rsidRDefault="007D6688">
      <w:pPr>
        <w:widowControl/>
        <w:tabs>
          <w:tab w:val="left" w:pos="0"/>
        </w:tabs>
        <w:snapToGrid w:val="0"/>
        <w:jc w:val="both"/>
        <w:rPr>
          <w:rStyle w:val="af3"/>
          <w:rFonts w:ascii="標楷體" w:eastAsia="標楷體" w:hAnsi="標楷體" w:hint="eastAsia"/>
        </w:rPr>
      </w:pPr>
    </w:p>
    <w:p w:rsidR="007D6688" w:rsidRDefault="007D6688">
      <w:pPr>
        <w:widowControl/>
        <w:tabs>
          <w:tab w:val="left" w:pos="0"/>
        </w:tabs>
        <w:snapToGrid w:val="0"/>
        <w:jc w:val="both"/>
        <w:rPr>
          <w:rFonts w:ascii="標楷體" w:eastAsia="標楷體" w:hAnsi="標楷體"/>
        </w:rPr>
      </w:pPr>
      <w:r>
        <w:rPr>
          <w:rFonts w:ascii="標楷體" w:eastAsia="標楷體" w:hAnsi="標楷體" w:hint="eastAsia"/>
        </w:rPr>
        <w:t>附圖三：附圖三：權利重大影響與行政處分屬性的演繹</w:t>
      </w:r>
      <w:r>
        <w:rPr>
          <w:rFonts w:ascii="標楷體" w:eastAsia="標楷體" w:hAnsi="標楷體"/>
        </w:rPr>
        <w:t>…………………………45</w:t>
      </w:r>
    </w:p>
    <w:p w:rsidR="007D6688" w:rsidRDefault="007D6688">
      <w:pPr>
        <w:widowControl/>
        <w:tabs>
          <w:tab w:val="left" w:pos="0"/>
        </w:tabs>
        <w:snapToGrid w:val="0"/>
        <w:jc w:val="both"/>
        <w:rPr>
          <w:rFonts w:ascii="標楷體" w:eastAsia="標楷體" w:hAnsi="標楷體" w:hint="eastAsia"/>
        </w:rPr>
      </w:pPr>
    </w:p>
    <w:p w:rsidR="007D6688" w:rsidRDefault="007D6688">
      <w:pPr>
        <w:widowControl/>
        <w:tabs>
          <w:tab w:val="left" w:pos="0"/>
        </w:tabs>
        <w:snapToGrid w:val="0"/>
        <w:jc w:val="both"/>
        <w:rPr>
          <w:rFonts w:ascii="標楷體" w:eastAsia="標楷體" w:hAnsi="標楷體"/>
        </w:rPr>
      </w:pPr>
      <w:r>
        <w:rPr>
          <w:rFonts w:ascii="標楷體" w:eastAsia="標楷體" w:hAnsi="標楷體" w:hint="eastAsia"/>
          <w:lang w:val="de-DE"/>
        </w:rPr>
        <w:t>附圖四：</w:t>
      </w:r>
      <w:r>
        <w:rPr>
          <w:rFonts w:ascii="標楷體" w:eastAsia="標楷體" w:hAnsi="標楷體" w:hint="eastAsia"/>
        </w:rPr>
        <w:t>保障法救濟類型的不足</w:t>
      </w:r>
      <w:r>
        <w:rPr>
          <w:rFonts w:ascii="標楷體" w:eastAsia="標楷體" w:hAnsi="標楷體"/>
        </w:rPr>
        <w:t>……………………………………………………47</w:t>
      </w:r>
    </w:p>
    <w:p w:rsidR="007D6688" w:rsidRDefault="007D6688">
      <w:pPr>
        <w:widowControl/>
        <w:tabs>
          <w:tab w:val="left" w:pos="0"/>
        </w:tabs>
        <w:snapToGrid w:val="0"/>
        <w:jc w:val="both"/>
        <w:rPr>
          <w:rFonts w:eastAsia="MS Mincho" w:hint="eastAsia"/>
          <w:sz w:val="28"/>
          <w:lang w:val="de-DE"/>
        </w:rPr>
      </w:pPr>
    </w:p>
    <w:p w:rsidR="007D6688" w:rsidRDefault="007D6688">
      <w:pPr>
        <w:pStyle w:val="1"/>
        <w:spacing w:before="180" w:after="180" w:line="480" w:lineRule="auto"/>
        <w:rPr>
          <w:bCs/>
          <w:lang w:val="de-DE"/>
        </w:rPr>
      </w:pPr>
      <w:r>
        <w:rPr>
          <w:bCs/>
          <w:szCs w:val="28"/>
          <w:lang w:val="de-DE"/>
        </w:rPr>
        <w:br w:type="page"/>
      </w:r>
      <w:bookmarkStart w:id="1" w:name="_Toc121199190"/>
      <w:bookmarkStart w:id="2" w:name="_Toc121212662"/>
      <w:bookmarkStart w:id="3" w:name="_Toc121212925"/>
      <w:r>
        <w:rPr>
          <w:bCs/>
          <w:lang w:val="de-DE"/>
        </w:rPr>
        <w:t>1.</w:t>
      </w:r>
      <w:r>
        <w:rPr>
          <w:bCs/>
          <w:lang w:val="de-DE"/>
        </w:rPr>
        <w:t>研究目的</w:t>
      </w:r>
      <w:bookmarkEnd w:id="1"/>
      <w:bookmarkEnd w:id="2"/>
      <w:bookmarkEnd w:id="3"/>
    </w:p>
    <w:p w:rsidR="007D6688" w:rsidRDefault="007D6688">
      <w:pPr>
        <w:pStyle w:val="2"/>
        <w:spacing w:line="480" w:lineRule="auto"/>
        <w:rPr>
          <w:lang w:val="de-DE"/>
        </w:rPr>
      </w:pPr>
      <w:bookmarkStart w:id="4" w:name="_Toc121199191"/>
      <w:bookmarkStart w:id="5" w:name="_Toc121212663"/>
      <w:bookmarkStart w:id="6" w:name="_Toc121212926"/>
      <w:r>
        <w:rPr>
          <w:lang w:val="de-DE"/>
        </w:rPr>
        <w:t>1.1.</w:t>
      </w:r>
      <w:r>
        <w:rPr>
          <w:lang w:val="de-DE"/>
        </w:rPr>
        <w:t>研究主旨</w:t>
      </w:r>
      <w:bookmarkEnd w:id="4"/>
      <w:bookmarkEnd w:id="5"/>
      <w:bookmarkEnd w:id="6"/>
    </w:p>
    <w:p w:rsidR="007D6688" w:rsidRDefault="007D6688">
      <w:pPr>
        <w:pStyle w:val="ab"/>
        <w:spacing w:before="180" w:line="480" w:lineRule="auto"/>
        <w:ind w:firstLine="480"/>
      </w:pPr>
      <w:r>
        <w:rPr>
          <w:rFonts w:hint="eastAsia"/>
        </w:rPr>
        <w:t>公務人員陞遷原為公務人員任用制度的一種類型。同時也是最能反映組織公平性與策略性的制度。陞遷制度的目標，即要能適當地運用組織內所有員工，進而同時極大化組織績效與個人滿足感，而這些目標的達成，均有賴陞遷制度的設計，同時兼顧到公平性與策略性</w:t>
      </w:r>
      <w:r>
        <w:rPr>
          <w:rStyle w:val="ae"/>
        </w:rPr>
        <w:footnoteReference w:id="1"/>
      </w:r>
      <w:r>
        <w:rPr>
          <w:rFonts w:hint="eastAsia"/>
        </w:rPr>
        <w:t>。由於陞遷避免不了競爭，因此每一個公務人員的陞遷按所涉及的問題，往往不是僅存在於單一個人權益影響的層次而已。</w:t>
      </w:r>
      <w:r>
        <w:t>本研究計畫「公務人員陞遷之救濟」主要研究重心集中於公務人員陞遷（</w:t>
      </w:r>
      <w:r>
        <w:t>Promotion, Beförderung</w:t>
      </w:r>
      <w:r>
        <w:t>）事件中衍生出與權利救濟相關之法律問題。包括公務人員是否具有請求陞遷之主觀公權利？公務人員就陞遷已辦理完竣且已由第三人陞任時，是否仍有爭訟實益？以及其他於陞遷過程所生爭議問題。</w:t>
      </w:r>
    </w:p>
    <w:p w:rsidR="007D6688" w:rsidRDefault="007D6688">
      <w:pPr>
        <w:pStyle w:val="2"/>
        <w:spacing w:line="480" w:lineRule="auto"/>
        <w:rPr>
          <w:lang w:val="de-DE"/>
        </w:rPr>
      </w:pPr>
      <w:bookmarkStart w:id="7" w:name="_Toc121199192"/>
      <w:bookmarkStart w:id="8" w:name="_Toc121212664"/>
      <w:bookmarkStart w:id="9" w:name="_Toc121212927"/>
      <w:r>
        <w:rPr>
          <w:lang w:val="de-DE"/>
        </w:rPr>
        <w:t>1.2.</w:t>
      </w:r>
      <w:r>
        <w:rPr>
          <w:lang w:val="de-DE"/>
        </w:rPr>
        <w:t>研究主題背景及相關研究之檢討</w:t>
      </w:r>
      <w:bookmarkEnd w:id="7"/>
      <w:bookmarkEnd w:id="8"/>
      <w:bookmarkEnd w:id="9"/>
    </w:p>
    <w:p w:rsidR="007D6688" w:rsidRDefault="007D6688">
      <w:pPr>
        <w:pStyle w:val="ab"/>
        <w:spacing w:before="180" w:line="480" w:lineRule="auto"/>
        <w:ind w:firstLine="480"/>
      </w:pPr>
      <w:r>
        <w:t>根據目前公務人員保障法之規定，有關公務人員權益救濟採取有其歷史成因而相當特殊的二元管道。亦即申訴管道與復審管道。針對陞遷事件，儘管論者多所批評，然仍則多認為應經申訴程序，而非復審程序（例如，保訓會保障案件決定書</w:t>
      </w:r>
      <w:r>
        <w:t>90</w:t>
      </w:r>
      <w:r>
        <w:t>公申決字第</w:t>
      </w:r>
      <w:r>
        <w:t>0042</w:t>
      </w:r>
      <w:r>
        <w:t>號）。原因無他，因為復審標的限於對公務人員不利益之處分（含重大權利影響之措施），至於陞遷事件則被認為僅屬機關內部之管理措施，復審程序無法受理。</w:t>
      </w:r>
    </w:p>
    <w:p w:rsidR="007D6688" w:rsidRDefault="007D6688">
      <w:pPr>
        <w:pStyle w:val="ab"/>
        <w:spacing w:before="180" w:line="480" w:lineRule="auto"/>
        <w:ind w:firstLine="480"/>
      </w:pPr>
      <w:r>
        <w:t>如果認為陞遷亦屬於會對公務人員權益產生重大影響的事件，欲擴大解釋復審受理事件的範圍，必須進一步解決期於爭訟程序中將面臨的問題。</w:t>
      </w:r>
    </w:p>
    <w:p w:rsidR="007D6688" w:rsidRDefault="007D6688">
      <w:pPr>
        <w:pStyle w:val="ab"/>
        <w:spacing w:before="180" w:line="480" w:lineRule="auto"/>
        <w:ind w:firstLine="480"/>
      </w:pPr>
      <w:r>
        <w:t>首先，我們必須先承認對於陞遷之決定乃可能對於公務人員發生不利益之處分。同時有必須說明保障法上的不利處分與行政程序法第</w:t>
      </w:r>
      <w:r>
        <w:t>92</w:t>
      </w:r>
      <w:r>
        <w:t>條第</w:t>
      </w:r>
      <w:r>
        <w:t>1</w:t>
      </w:r>
      <w:r>
        <w:t>項之行政處分範圍有別。同時必須要解決受理復審事件後，如果進一步提起行政訴訟時，訴訟類型的配合。</w:t>
      </w:r>
    </w:p>
    <w:p w:rsidR="007D6688" w:rsidRDefault="007D6688">
      <w:pPr>
        <w:pStyle w:val="ab"/>
        <w:spacing w:before="180" w:line="480" w:lineRule="auto"/>
        <w:ind w:firstLine="480"/>
      </w:pPr>
      <w:r>
        <w:t>可以想像地，陞遷請求之公務人員多希望救濟機關給予其給付之決定。在此必須滿足給付請求的重要前提要件，亦即陞遷請求乃公務人員公法上之公權利。否則聲請主體即非適格（即不具訴訟權能）。其次，公務人員之陞遷事件，事實上多常見於一種多數申請者的競爭關係中。有關競爭者的法律救濟乃是行政爭訟法制中相當特殊的一類。此時爭訟之主體，同要面臨是否具有公權利的解釋難題。</w:t>
      </w:r>
    </w:p>
    <w:p w:rsidR="007D6688" w:rsidRDefault="007D6688">
      <w:pPr>
        <w:pStyle w:val="ab"/>
        <w:spacing w:before="180" w:line="480" w:lineRule="auto"/>
        <w:ind w:firstLine="480"/>
      </w:pPr>
      <w:r>
        <w:t>在公務人員陞遷之競爭者爭訟事件中，另有一些相當特殊的救濟需求。例如，陞遷程序已經辦理完畢，對於自己未獲陞遷的救濟，往往須要訴求一個給付的裁判（例如課予義務訴訟）。但是假如自己尚未提出申請，而由其他競爭者先行陞遷，可能阻斷自己陞遷機會時，可能須要的是一個撤銷他人陞遷的形成決定。如果陞遷機會唯一，在競爭者當中，他人陞遷完成，而自己未獲陞遷，此時恐怕提起的訴訟就不只一種，往往須要結合撤銷與給付訴訟，合併為之。在此，我們同時必須討論原告提起訴訟是否具備原告適格，同時還要進一步評估爭訟事件有無由紛爭解決機關提共救濟之實益（即有無權利保護之必要性）。</w:t>
      </w:r>
    </w:p>
    <w:p w:rsidR="007D6688" w:rsidRDefault="007D6688">
      <w:pPr>
        <w:pStyle w:val="ab"/>
        <w:spacing w:before="180" w:line="480" w:lineRule="auto"/>
        <w:ind w:firstLine="480"/>
      </w:pPr>
      <w:r>
        <w:t>最後，在公務人員陞遷的競爭爭訟關係中，應該特別強調暫時性權利保護制度的功能。因為陞遷機會往往唯一，競爭者之間的關係往往是一種「零合」的競爭關係。假如沒有暫時性的救濟制度，即使爭訟程序完成，恐怕也已無救濟實益。</w:t>
      </w:r>
    </w:p>
    <w:p w:rsidR="007D6688" w:rsidRDefault="007D6688">
      <w:pPr>
        <w:pStyle w:val="2"/>
        <w:spacing w:line="480" w:lineRule="auto"/>
        <w:rPr>
          <w:lang w:val="de-DE"/>
        </w:rPr>
      </w:pPr>
      <w:bookmarkStart w:id="10" w:name="_Toc121199193"/>
      <w:bookmarkStart w:id="11" w:name="_Toc121212665"/>
      <w:bookmarkStart w:id="12" w:name="_Toc121212928"/>
      <w:r>
        <w:rPr>
          <w:lang w:val="de-DE"/>
        </w:rPr>
        <w:t>1.3.</w:t>
      </w:r>
      <w:r>
        <w:rPr>
          <w:lang w:val="de-DE"/>
        </w:rPr>
        <w:t>研究方法與過程</w:t>
      </w:r>
      <w:bookmarkEnd w:id="10"/>
      <w:bookmarkEnd w:id="11"/>
      <w:bookmarkEnd w:id="12"/>
    </w:p>
    <w:p w:rsidR="007D6688" w:rsidRDefault="007D6688">
      <w:pPr>
        <w:pStyle w:val="ab"/>
        <w:spacing w:before="180" w:line="480" w:lineRule="auto"/>
        <w:ind w:firstLine="480"/>
        <w:rPr>
          <w:rFonts w:hint="eastAsia"/>
        </w:rPr>
      </w:pPr>
      <w:r>
        <w:t>以上初步分析之問題，在目前行政訴訟新制中的運作經驗仍嫌不足。國內對此等攸關公務人員權益問題之探討仍未蓬勃。鑑於我國行政訴訟法制之建制受德國行政法院法之影響深遠，同時也略採日本行政事件訴訟之規定，因此本研究乃採取比較法之研究。除德國實務上已經有可資參酌之豐富經驗外，日本國於</w:t>
      </w:r>
      <w:r>
        <w:rPr>
          <w:rFonts w:hint="eastAsia"/>
        </w:rPr>
        <w:t>2004</w:t>
      </w:r>
      <w:r>
        <w:t>年新修訂之行政訴訟事件法，有相當值得借鏡之處，因此本研究希望透過德國與日本相關制度之運作經驗，提供我法法制操作之參考，解決目前理論與實務面臨之困境。</w:t>
      </w:r>
    </w:p>
    <w:p w:rsidR="007D6688" w:rsidRDefault="007D6688">
      <w:pPr>
        <w:pStyle w:val="2"/>
        <w:spacing w:line="480" w:lineRule="auto"/>
        <w:rPr>
          <w:rFonts w:hint="eastAsia"/>
          <w:lang w:val="de-DE"/>
        </w:rPr>
      </w:pPr>
      <w:bookmarkStart w:id="13" w:name="_Toc121199194"/>
      <w:bookmarkStart w:id="14" w:name="_Toc121212666"/>
      <w:bookmarkStart w:id="15" w:name="_Toc121212929"/>
      <w:r>
        <w:rPr>
          <w:lang w:val="de-DE"/>
        </w:rPr>
        <w:t>1.4.</w:t>
      </w:r>
      <w:r>
        <w:rPr>
          <w:lang w:val="de-DE"/>
        </w:rPr>
        <w:t>研究進度及預期完成之工作項目</w:t>
      </w:r>
      <w:bookmarkEnd w:id="13"/>
      <w:bookmarkEnd w:id="14"/>
      <w:bookmarkEnd w:id="15"/>
    </w:p>
    <w:p w:rsidR="007D6688" w:rsidRDefault="007D6688">
      <w:pPr>
        <w:pStyle w:val="ab"/>
        <w:spacing w:before="180" w:line="480" w:lineRule="auto"/>
        <w:ind w:firstLine="480"/>
      </w:pPr>
      <w:r>
        <w:t>本研究計畫預計六個月內完成，其詳細研究進度及預期完成之各工作項目如下：</w:t>
      </w:r>
    </w:p>
    <w:p w:rsidR="007D6688" w:rsidRDefault="007D6688">
      <w:pPr>
        <w:pStyle w:val="ab"/>
        <w:spacing w:before="180" w:line="480" w:lineRule="auto"/>
        <w:ind w:firstLine="480"/>
      </w:pPr>
      <w:r>
        <w:t>第一月上旬</w:t>
      </w:r>
      <w:r>
        <w:tab/>
      </w:r>
      <w:r>
        <w:tab/>
      </w:r>
      <w:r>
        <w:tab/>
      </w:r>
      <w:r>
        <w:tab/>
      </w:r>
      <w:r>
        <w:tab/>
      </w:r>
      <w:r>
        <w:t>提出研究計畫書及締約</w:t>
      </w:r>
    </w:p>
    <w:p w:rsidR="007D6688" w:rsidRDefault="007D6688">
      <w:pPr>
        <w:pStyle w:val="ab"/>
        <w:spacing w:before="180" w:line="480" w:lineRule="auto"/>
        <w:ind w:firstLine="480"/>
      </w:pPr>
      <w:r>
        <w:rPr>
          <w:rFonts w:hAnsi="Arial"/>
        </w:rPr>
        <w:t>第一月中旬至第三月底</w:t>
      </w:r>
      <w:r>
        <w:tab/>
      </w:r>
      <w:r>
        <w:tab/>
      </w:r>
      <w:r>
        <w:t>文獻蒐集及分析、研讀</w:t>
      </w:r>
    </w:p>
    <w:p w:rsidR="007D6688" w:rsidRDefault="007D6688">
      <w:pPr>
        <w:pStyle w:val="ab"/>
        <w:spacing w:before="180" w:line="480" w:lineRule="auto"/>
        <w:ind w:firstLine="480"/>
      </w:pPr>
      <w:r>
        <w:t>第四月中旬</w:t>
      </w:r>
      <w:r>
        <w:tab/>
      </w:r>
      <w:r>
        <w:tab/>
      </w:r>
      <w:r>
        <w:tab/>
      </w:r>
      <w:r>
        <w:tab/>
      </w:r>
      <w:r>
        <w:tab/>
      </w:r>
      <w:r>
        <w:t>完成期中報告</w:t>
      </w:r>
    </w:p>
    <w:p w:rsidR="007D6688" w:rsidRDefault="007D6688">
      <w:pPr>
        <w:pStyle w:val="ab"/>
        <w:spacing w:before="180" w:line="480" w:lineRule="auto"/>
        <w:ind w:firstLine="480"/>
      </w:pPr>
      <w:r>
        <w:t>第四月下</w:t>
      </w:r>
      <w:r>
        <w:rPr>
          <w:rFonts w:hint="eastAsia"/>
        </w:rPr>
        <w:t>旬至第六月上旬</w:t>
      </w:r>
      <w:r>
        <w:rPr>
          <w:rFonts w:hint="eastAsia"/>
        </w:rPr>
        <w:tab/>
      </w:r>
      <w:r>
        <w:rPr>
          <w:rFonts w:hint="eastAsia"/>
        </w:rPr>
        <w:tab/>
      </w:r>
      <w:r>
        <w:rPr>
          <w:rFonts w:hint="eastAsia"/>
        </w:rPr>
        <w:t>逐步完成研究並撰寫研究報告</w:t>
      </w:r>
    </w:p>
    <w:p w:rsidR="007D6688" w:rsidRDefault="007D6688">
      <w:pPr>
        <w:pStyle w:val="ab"/>
        <w:spacing w:before="180" w:line="480" w:lineRule="auto"/>
        <w:ind w:firstLine="480"/>
        <w:rPr>
          <w:rFonts w:hint="eastAsia"/>
        </w:rPr>
      </w:pPr>
      <w:r>
        <w:rPr>
          <w:rFonts w:hint="eastAsia"/>
        </w:rPr>
        <w:t>第六月中旬</w:t>
      </w:r>
      <w:r>
        <w:rPr>
          <w:rFonts w:hint="eastAsia"/>
        </w:rPr>
        <w:tab/>
      </w:r>
      <w:r>
        <w:rPr>
          <w:rFonts w:hint="eastAsia"/>
        </w:rPr>
        <w:tab/>
      </w:r>
      <w:r>
        <w:rPr>
          <w:rFonts w:hint="eastAsia"/>
        </w:rPr>
        <w:tab/>
      </w:r>
      <w:r>
        <w:rPr>
          <w:rFonts w:hint="eastAsia"/>
        </w:rPr>
        <w:tab/>
      </w:r>
      <w:r>
        <w:rPr>
          <w:rFonts w:hint="eastAsia"/>
        </w:rPr>
        <w:tab/>
      </w:r>
      <w:r>
        <w:rPr>
          <w:rFonts w:hint="eastAsia"/>
        </w:rPr>
        <w:t>期末報告</w:t>
      </w:r>
    </w:p>
    <w:p w:rsidR="007D6688" w:rsidRDefault="007D6688">
      <w:pPr>
        <w:pStyle w:val="ab"/>
        <w:spacing w:before="180" w:line="480" w:lineRule="auto"/>
        <w:ind w:firstLine="480"/>
        <w:rPr>
          <w:rFonts w:hint="eastAsia"/>
        </w:rPr>
      </w:pPr>
      <w:r>
        <w:rPr>
          <w:rFonts w:hint="eastAsia"/>
        </w:rPr>
        <w:t>第六月底</w:t>
      </w:r>
      <w:r>
        <w:tab/>
      </w:r>
      <w:r>
        <w:tab/>
      </w:r>
      <w:r>
        <w:tab/>
      </w:r>
      <w:r>
        <w:tab/>
      </w:r>
      <w:r>
        <w:tab/>
      </w:r>
      <w:r>
        <w:t>提出結案報告</w:t>
      </w:r>
    </w:p>
    <w:p w:rsidR="007D6688" w:rsidRDefault="007D6688">
      <w:pPr>
        <w:pStyle w:val="1"/>
        <w:spacing w:before="180" w:after="180" w:line="480" w:lineRule="auto"/>
        <w:rPr>
          <w:rFonts w:hint="eastAsia"/>
        </w:rPr>
      </w:pPr>
      <w:bookmarkStart w:id="16" w:name="_Toc121199195"/>
      <w:bookmarkStart w:id="17" w:name="_Toc121212667"/>
      <w:bookmarkStart w:id="18" w:name="_Toc121212930"/>
      <w:r>
        <w:rPr>
          <w:rFonts w:hint="eastAsia"/>
        </w:rPr>
        <w:t>2.</w:t>
      </w:r>
      <w:r>
        <w:t>公務人員陞遷法上有關陞遷程序</w:t>
      </w:r>
      <w:r>
        <w:rPr>
          <w:rFonts w:hint="eastAsia"/>
        </w:rPr>
        <w:t>之規定</w:t>
      </w:r>
      <w:bookmarkEnd w:id="16"/>
      <w:bookmarkEnd w:id="17"/>
      <w:bookmarkEnd w:id="18"/>
    </w:p>
    <w:p w:rsidR="007D6688" w:rsidRDefault="007D6688">
      <w:pPr>
        <w:pStyle w:val="ab"/>
        <w:spacing w:before="180" w:line="480" w:lineRule="auto"/>
        <w:ind w:firstLine="480"/>
        <w:rPr>
          <w:rFonts w:ascii="新細明體" w:hAnsi="新細明體" w:hint="eastAsia"/>
        </w:rPr>
      </w:pPr>
      <w:r>
        <w:rPr>
          <w:rFonts w:hint="eastAsia"/>
        </w:rPr>
        <w:t>我國目前有關公務人員陞遷之一般性規定，為</w:t>
      </w:r>
      <w:r>
        <w:rPr>
          <w:rFonts w:hint="eastAsia"/>
        </w:rPr>
        <w:t>2000</w:t>
      </w:r>
      <w:r>
        <w:rPr>
          <w:rFonts w:hint="eastAsia"/>
        </w:rPr>
        <w:t>年制訂之「公務人員陞遷法」（以下簡稱「陞遷法」）。依本法第</w:t>
      </w:r>
      <w:r>
        <w:t>1</w:t>
      </w:r>
      <w:r>
        <w:rPr>
          <w:rFonts w:hint="eastAsia"/>
        </w:rPr>
        <w:t>條規定，「</w:t>
      </w:r>
      <w:r>
        <w:rPr>
          <w:rFonts w:hint="eastAsia"/>
          <w:w w:val="105"/>
        </w:rPr>
        <w:t>公務人員之陞遷，依本法行之。但法律另有規定者，從其規定。」本法乃屬一般法、普通法之地位。故除有特別規定者外，公務人員之陞遷，應悉依本法規定為之。本法所規定之陞遷包括</w:t>
      </w:r>
      <w:r>
        <w:rPr>
          <w:rFonts w:ascii="新細明體" w:hAnsi="新細明體"/>
        </w:rPr>
        <w:t>陞任與遷調</w:t>
      </w:r>
      <w:r>
        <w:rPr>
          <w:rFonts w:ascii="新細明體" w:hAnsi="新細明體" w:hint="eastAsia"/>
        </w:rPr>
        <w:t>，其陞遷之程序至少應經過</w:t>
      </w:r>
      <w:r>
        <w:rPr>
          <w:rFonts w:ascii="新細明體" w:hAnsi="新細明體"/>
        </w:rPr>
        <w:t>造列甄審名冊</w:t>
      </w:r>
      <w:r>
        <w:rPr>
          <w:rFonts w:ascii="新細明體" w:hAnsi="新細明體" w:hint="eastAsia"/>
        </w:rPr>
        <w:t>、</w:t>
      </w:r>
      <w:r>
        <w:rPr>
          <w:rFonts w:ascii="新細明體" w:hAnsi="新細明體"/>
        </w:rPr>
        <w:t>甄審委員會評審</w:t>
      </w:r>
      <w:r>
        <w:rPr>
          <w:rFonts w:ascii="新細明體" w:hAnsi="新細明體" w:hint="eastAsia"/>
        </w:rPr>
        <w:t>、</w:t>
      </w:r>
      <w:r>
        <w:rPr>
          <w:rFonts w:ascii="新細明體" w:hAnsi="新細明體"/>
        </w:rPr>
        <w:t>機關首長圈定</w:t>
      </w:r>
      <w:r>
        <w:rPr>
          <w:rFonts w:ascii="新細明體" w:hAnsi="新細明體" w:hint="eastAsia"/>
        </w:rPr>
        <w:t>以及必要時</w:t>
      </w:r>
      <w:r>
        <w:rPr>
          <w:rFonts w:ascii="新細明體" w:hAnsi="新細明體"/>
        </w:rPr>
        <w:t>原服務機關之同意</w:t>
      </w:r>
      <w:r>
        <w:rPr>
          <w:rFonts w:ascii="新細明體" w:hAnsi="新細明體" w:hint="eastAsia"/>
        </w:rPr>
        <w:t>等程序</w:t>
      </w:r>
      <w:r>
        <w:rPr>
          <w:rStyle w:val="ae"/>
          <w:rFonts w:ascii="新細明體" w:hAnsi="新細明體"/>
        </w:rPr>
        <w:footnoteReference w:id="2"/>
      </w:r>
      <w:r>
        <w:rPr>
          <w:rFonts w:ascii="新細明體" w:hAnsi="新細明體" w:hint="eastAsia"/>
        </w:rPr>
        <w:t>（並參附圖一）。</w:t>
      </w:r>
    </w:p>
    <w:p w:rsidR="007D6688" w:rsidRDefault="007D6688">
      <w:pPr>
        <w:pStyle w:val="2"/>
        <w:spacing w:line="480" w:lineRule="auto"/>
        <w:rPr>
          <w:rFonts w:hint="eastAsia"/>
        </w:rPr>
      </w:pPr>
      <w:bookmarkStart w:id="19" w:name="_Toc121199196"/>
      <w:bookmarkStart w:id="20" w:name="_Toc121212668"/>
      <w:bookmarkStart w:id="21" w:name="_Toc121212931"/>
      <w:r>
        <w:rPr>
          <w:rFonts w:hint="eastAsia"/>
        </w:rPr>
        <w:t>2.1.</w:t>
      </w:r>
      <w:r>
        <w:t>陞任與遷調</w:t>
      </w:r>
      <w:bookmarkEnd w:id="19"/>
      <w:bookmarkEnd w:id="20"/>
      <w:bookmarkEnd w:id="21"/>
    </w:p>
    <w:p w:rsidR="007D6688" w:rsidRDefault="007D6688">
      <w:pPr>
        <w:pStyle w:val="ab"/>
        <w:spacing w:before="180" w:line="480" w:lineRule="auto"/>
        <w:ind w:firstLine="480"/>
        <w:rPr>
          <w:rFonts w:hint="eastAsia"/>
          <w:w w:val="105"/>
        </w:rPr>
      </w:pPr>
      <w:r>
        <w:rPr>
          <w:rFonts w:ascii="新細明體" w:hAnsi="新細明體" w:hint="eastAsia"/>
        </w:rPr>
        <w:t>根據本法第</w:t>
      </w:r>
      <w:r>
        <w:t>4</w:t>
      </w:r>
      <w:r>
        <w:rPr>
          <w:rFonts w:ascii="新細明體" w:hAnsi="新細明體" w:hint="eastAsia"/>
        </w:rPr>
        <w:t>條規定，</w:t>
      </w:r>
      <w:r>
        <w:rPr>
          <w:rFonts w:hint="eastAsia"/>
          <w:w w:val="105"/>
        </w:rPr>
        <w:t>本法所稱公務人員之陞遷，包括：</w:t>
      </w:r>
    </w:p>
    <w:p w:rsidR="007D6688" w:rsidRDefault="007D6688">
      <w:pPr>
        <w:pStyle w:val="ab"/>
        <w:spacing w:before="180" w:line="480" w:lineRule="auto"/>
        <w:ind w:firstLine="503"/>
        <w:rPr>
          <w:rFonts w:hint="eastAsia"/>
          <w:w w:val="105"/>
        </w:rPr>
      </w:pPr>
      <w:r>
        <w:rPr>
          <w:rFonts w:hint="eastAsia"/>
          <w:w w:val="105"/>
        </w:rPr>
        <w:t>（一）陞任較高之職務</w:t>
      </w:r>
    </w:p>
    <w:p w:rsidR="007D6688" w:rsidRDefault="007D6688">
      <w:pPr>
        <w:pStyle w:val="ab"/>
        <w:spacing w:before="180" w:line="480" w:lineRule="auto"/>
        <w:ind w:firstLine="503"/>
        <w:rPr>
          <w:rFonts w:hint="eastAsia"/>
          <w:kern w:val="0"/>
        </w:rPr>
      </w:pPr>
      <w:r>
        <w:rPr>
          <w:rFonts w:hint="eastAsia"/>
          <w:w w:val="105"/>
        </w:rPr>
        <w:t>根據公務人員陞遷法施行細則（</w:t>
      </w:r>
      <w:r>
        <w:rPr>
          <w:rFonts w:hint="eastAsia"/>
        </w:rPr>
        <w:t>以下簡稱「陞遷法施行細則」</w:t>
      </w:r>
      <w:r>
        <w:rPr>
          <w:rFonts w:hint="eastAsia"/>
          <w:w w:val="105"/>
        </w:rPr>
        <w:t>）</w:t>
      </w:r>
      <w:r>
        <w:rPr>
          <w:kern w:val="0"/>
        </w:rPr>
        <w:t>第</w:t>
      </w:r>
      <w:r>
        <w:rPr>
          <w:rFonts w:hint="eastAsia"/>
          <w:kern w:val="0"/>
        </w:rPr>
        <w:t>4</w:t>
      </w:r>
      <w:r>
        <w:rPr>
          <w:kern w:val="0"/>
        </w:rPr>
        <w:t>條第</w:t>
      </w:r>
      <w:r>
        <w:rPr>
          <w:rFonts w:hint="eastAsia"/>
          <w:kern w:val="0"/>
        </w:rPr>
        <w:t>1</w:t>
      </w:r>
      <w:r>
        <w:rPr>
          <w:kern w:val="0"/>
        </w:rPr>
        <w:t>款</w:t>
      </w:r>
      <w:r>
        <w:rPr>
          <w:rFonts w:hint="eastAsia"/>
          <w:kern w:val="0"/>
        </w:rPr>
        <w:t>，</w:t>
      </w:r>
      <w:r>
        <w:rPr>
          <w:kern w:val="0"/>
        </w:rPr>
        <w:t>所</w:t>
      </w:r>
      <w:r>
        <w:rPr>
          <w:rFonts w:hint="eastAsia"/>
          <w:kern w:val="0"/>
        </w:rPr>
        <w:t>謂</w:t>
      </w:r>
      <w:r>
        <w:rPr>
          <w:kern w:val="0"/>
        </w:rPr>
        <w:t>陞任較高之職務，指依法陞任高一職等、官稱官階、官等官階</w:t>
      </w:r>
      <w:r>
        <w:rPr>
          <w:kern w:val="0"/>
        </w:rPr>
        <w:t xml:space="preserve"> (</w:t>
      </w:r>
      <w:r>
        <w:rPr>
          <w:kern w:val="0"/>
        </w:rPr>
        <w:t>以下簡稱職等</w:t>
      </w:r>
      <w:r>
        <w:rPr>
          <w:kern w:val="0"/>
        </w:rPr>
        <w:t xml:space="preserve">) </w:t>
      </w:r>
      <w:r>
        <w:rPr>
          <w:kern w:val="0"/>
        </w:rPr>
        <w:t>以上之職務。其職務如跨列二個以上職等時，以所列最高職等高者，為較高之職務；所列最高職等相同時，以所列最低職等高者，為較高之職務。所</w:t>
      </w:r>
      <w:r>
        <w:rPr>
          <w:rFonts w:hint="eastAsia"/>
          <w:kern w:val="0"/>
        </w:rPr>
        <w:t>謂</w:t>
      </w:r>
      <w:r>
        <w:rPr>
          <w:kern w:val="0"/>
        </w:rPr>
        <w:t>依法陞任高一職等以上之職務</w:t>
      </w:r>
      <w:r>
        <w:rPr>
          <w:rFonts w:hint="eastAsia"/>
          <w:kern w:val="0"/>
        </w:rPr>
        <w:t>者，係指依公務人員任用法第</w:t>
      </w:r>
      <w:r>
        <w:rPr>
          <w:rFonts w:hint="eastAsia"/>
          <w:kern w:val="0"/>
        </w:rPr>
        <w:t>17</w:t>
      </w:r>
      <w:r>
        <w:rPr>
          <w:rFonts w:hint="eastAsia"/>
          <w:kern w:val="0"/>
        </w:rPr>
        <w:t>條或其他人事任用法之陞任</w:t>
      </w:r>
      <w:r>
        <w:rPr>
          <w:rStyle w:val="ae"/>
          <w:kern w:val="0"/>
        </w:rPr>
        <w:footnoteReference w:id="3"/>
      </w:r>
      <w:r>
        <w:rPr>
          <w:rFonts w:hint="eastAsia"/>
          <w:kern w:val="0"/>
        </w:rPr>
        <w:t>。</w:t>
      </w:r>
    </w:p>
    <w:p w:rsidR="007D6688" w:rsidRDefault="007D6688">
      <w:pPr>
        <w:pStyle w:val="ab"/>
        <w:spacing w:before="180" w:line="480" w:lineRule="auto"/>
        <w:ind w:firstLine="503"/>
        <w:rPr>
          <w:rFonts w:hint="eastAsia"/>
          <w:w w:val="105"/>
        </w:rPr>
      </w:pPr>
      <w:r>
        <w:rPr>
          <w:rFonts w:hint="eastAsia"/>
          <w:w w:val="105"/>
        </w:rPr>
        <w:t>（二）非主管職務陞任或遷調主管職務</w:t>
      </w:r>
    </w:p>
    <w:p w:rsidR="007D6688" w:rsidRDefault="007D6688">
      <w:pPr>
        <w:pStyle w:val="ab"/>
        <w:spacing w:before="180" w:line="480" w:lineRule="auto"/>
        <w:ind w:firstLine="503"/>
        <w:rPr>
          <w:rFonts w:hint="eastAsia"/>
          <w:w w:val="105"/>
        </w:rPr>
      </w:pPr>
      <w:r>
        <w:rPr>
          <w:rFonts w:hint="eastAsia"/>
          <w:w w:val="105"/>
        </w:rPr>
        <w:t>依公務人員陞遷法施行細則第</w:t>
      </w:r>
      <w:r>
        <w:rPr>
          <w:rFonts w:hint="eastAsia"/>
          <w:w w:val="105"/>
        </w:rPr>
        <w:t>2</w:t>
      </w:r>
      <w:r>
        <w:rPr>
          <w:rFonts w:hint="eastAsia"/>
          <w:w w:val="105"/>
        </w:rPr>
        <w:t>條第</w:t>
      </w:r>
      <w:r>
        <w:rPr>
          <w:rFonts w:hint="eastAsia"/>
          <w:w w:val="105"/>
        </w:rPr>
        <w:t>2</w:t>
      </w:r>
      <w:r>
        <w:rPr>
          <w:rFonts w:hint="eastAsia"/>
          <w:w w:val="105"/>
        </w:rPr>
        <w:t>項規定，</w:t>
      </w:r>
      <w:r>
        <w:rPr>
          <w:rFonts w:ascii="細明體" w:eastAsia="細明體" w:hAnsi="細明體" w:cs="細明體"/>
          <w:kern w:val="0"/>
        </w:rPr>
        <w:t>所</w:t>
      </w:r>
      <w:r>
        <w:rPr>
          <w:rFonts w:ascii="細明體" w:eastAsia="細明體" w:hAnsi="細明體" w:cs="細明體" w:hint="eastAsia"/>
          <w:kern w:val="0"/>
        </w:rPr>
        <w:t>謂</w:t>
      </w:r>
      <w:r>
        <w:rPr>
          <w:rFonts w:ascii="細明體" w:eastAsia="細明體" w:hAnsi="細明體" w:cs="細明體"/>
          <w:kern w:val="0"/>
        </w:rPr>
        <w:t>非主管職務陞任或遷調主管職務，</w:t>
      </w:r>
      <w:r>
        <w:rPr>
          <w:rFonts w:hint="eastAsia"/>
          <w:w w:val="105"/>
        </w:rPr>
        <w:t>指非主管陞任高一職等以上之主管職務或調任同一陞遷序列之主管職務。而根據</w:t>
      </w:r>
      <w:r>
        <w:rPr>
          <w:rFonts w:hint="eastAsia"/>
          <w:w w:val="105"/>
        </w:rPr>
        <w:t>2003</w:t>
      </w:r>
      <w:r>
        <w:rPr>
          <w:rFonts w:hint="eastAsia"/>
          <w:w w:val="105"/>
        </w:rPr>
        <w:t>年考試院送立法院審理的「公務人員陞遷法修正草案」第</w:t>
      </w:r>
      <w:r>
        <w:rPr>
          <w:rFonts w:hint="eastAsia"/>
          <w:w w:val="105"/>
        </w:rPr>
        <w:t>4</w:t>
      </w:r>
      <w:r>
        <w:rPr>
          <w:rFonts w:hint="eastAsia"/>
          <w:w w:val="105"/>
        </w:rPr>
        <w:t>條規定，曾將原條文第</w:t>
      </w:r>
      <w:r>
        <w:rPr>
          <w:rFonts w:hint="eastAsia"/>
          <w:w w:val="105"/>
        </w:rPr>
        <w:t>2</w:t>
      </w:r>
      <w:r>
        <w:rPr>
          <w:rFonts w:hint="eastAsia"/>
          <w:w w:val="105"/>
        </w:rPr>
        <w:t>款「非主管職務陞任或遷調主管職務」中「或遷調」一詞刪去。使公務人員陞任情形界定為陞任較高之職務與非主管職務陞任主管職務兩種</w:t>
      </w:r>
      <w:r>
        <w:rPr>
          <w:rStyle w:val="ae"/>
          <w:w w:val="105"/>
        </w:rPr>
        <w:footnoteReference w:id="4"/>
      </w:r>
      <w:r>
        <w:rPr>
          <w:rFonts w:hint="eastAsia"/>
          <w:w w:val="105"/>
        </w:rPr>
        <w:t>。不過在</w:t>
      </w:r>
      <w:r>
        <w:rPr>
          <w:rFonts w:hint="eastAsia"/>
          <w:w w:val="105"/>
        </w:rPr>
        <w:t>2005</w:t>
      </w:r>
      <w:r>
        <w:rPr>
          <w:rFonts w:hint="eastAsia"/>
          <w:w w:val="105"/>
        </w:rPr>
        <w:t>年月</w:t>
      </w:r>
      <w:r>
        <w:rPr>
          <w:rFonts w:hint="eastAsia"/>
          <w:w w:val="105"/>
        </w:rPr>
        <w:t>9</w:t>
      </w:r>
      <w:r>
        <w:rPr>
          <w:rFonts w:hint="eastAsia"/>
          <w:w w:val="105"/>
        </w:rPr>
        <w:t>日送立法院的新修正草案版本中，則又回復現行法之規定</w:t>
      </w:r>
      <w:r>
        <w:rPr>
          <w:rStyle w:val="ae"/>
          <w:w w:val="105"/>
        </w:rPr>
        <w:footnoteReference w:id="5"/>
      </w:r>
      <w:r>
        <w:rPr>
          <w:rFonts w:hint="eastAsia"/>
          <w:w w:val="105"/>
        </w:rPr>
        <w:t>。</w:t>
      </w:r>
    </w:p>
    <w:p w:rsidR="007D6688" w:rsidRDefault="007D6688">
      <w:pPr>
        <w:pStyle w:val="ab"/>
        <w:spacing w:before="180" w:line="480" w:lineRule="auto"/>
        <w:ind w:firstLine="503"/>
        <w:rPr>
          <w:rFonts w:hint="eastAsia"/>
          <w:w w:val="105"/>
        </w:rPr>
      </w:pPr>
      <w:r>
        <w:rPr>
          <w:rFonts w:hint="eastAsia"/>
          <w:w w:val="105"/>
        </w:rPr>
        <w:t>（三）遷調相當之職務</w:t>
      </w:r>
    </w:p>
    <w:p w:rsidR="007D6688" w:rsidRDefault="007D6688">
      <w:pPr>
        <w:pStyle w:val="ab"/>
        <w:spacing w:before="180" w:line="480" w:lineRule="auto"/>
        <w:ind w:firstLine="480"/>
        <w:rPr>
          <w:rFonts w:ascii="細明體" w:eastAsia="細明體" w:hAnsi="細明體" w:cs="細明體" w:hint="eastAsia"/>
          <w:kern w:val="0"/>
        </w:rPr>
      </w:pPr>
      <w:r>
        <w:rPr>
          <w:rFonts w:hint="eastAsia"/>
          <w:kern w:val="0"/>
        </w:rPr>
        <w:t>指依公務人員任用法律調任相當列等之職務。依本法第</w:t>
      </w:r>
      <w:r>
        <w:rPr>
          <w:rFonts w:hint="eastAsia"/>
          <w:kern w:val="0"/>
        </w:rPr>
        <w:t>13</w:t>
      </w:r>
      <w:r>
        <w:rPr>
          <w:rFonts w:hint="eastAsia"/>
          <w:kern w:val="0"/>
        </w:rPr>
        <w:t>條之規定，</w:t>
      </w:r>
      <w:r>
        <w:rPr>
          <w:rFonts w:hint="eastAsia"/>
          <w:w w:val="105"/>
        </w:rPr>
        <w:t>各機關對職務列等（稱階、等階）及職務相當之所屬人員，應配合職務性質及業務需要，實施下列各種遷調：一</w:t>
      </w:r>
      <w:r>
        <w:rPr>
          <w:rFonts w:ascii="新細明體" w:hint="eastAsia"/>
          <w:w w:val="105"/>
        </w:rPr>
        <w:t>、</w:t>
      </w:r>
      <w:r>
        <w:rPr>
          <w:rFonts w:hint="eastAsia"/>
          <w:w w:val="105"/>
        </w:rPr>
        <w:t>本機關內部單位主管之遷調。二</w:t>
      </w:r>
      <w:r>
        <w:rPr>
          <w:rFonts w:ascii="新細明體" w:hint="eastAsia"/>
          <w:w w:val="105"/>
        </w:rPr>
        <w:t>、</w:t>
      </w:r>
      <w:r>
        <w:rPr>
          <w:rFonts w:hint="eastAsia"/>
          <w:w w:val="105"/>
        </w:rPr>
        <w:t>本機關非主管人員間之遷調。三</w:t>
      </w:r>
      <w:r>
        <w:rPr>
          <w:rFonts w:ascii="新細明體" w:hint="eastAsia"/>
          <w:w w:val="105"/>
        </w:rPr>
        <w:t>、</w:t>
      </w:r>
      <w:r>
        <w:rPr>
          <w:rFonts w:hint="eastAsia"/>
          <w:w w:val="105"/>
        </w:rPr>
        <w:t>本機關主管人員與所屬機關首長或主管人員間之遷調。四</w:t>
      </w:r>
      <w:r>
        <w:rPr>
          <w:rFonts w:ascii="新細明體" w:hint="eastAsia"/>
          <w:w w:val="105"/>
        </w:rPr>
        <w:t>、</w:t>
      </w:r>
      <w:r>
        <w:rPr>
          <w:rFonts w:hint="eastAsia"/>
          <w:w w:val="105"/>
        </w:rPr>
        <w:t>所屬機關首長或主管人員間之遷調。以上各種遷調之規定，則由各主管機關定之。</w:t>
      </w:r>
    </w:p>
    <w:p w:rsidR="007D6688" w:rsidRDefault="007D6688">
      <w:pPr>
        <w:pStyle w:val="2"/>
        <w:spacing w:line="480" w:lineRule="auto"/>
        <w:rPr>
          <w:rFonts w:hint="eastAsia"/>
          <w:lang w:val="de-DE"/>
        </w:rPr>
      </w:pPr>
      <w:bookmarkStart w:id="22" w:name="_Toc121199197"/>
      <w:bookmarkStart w:id="23" w:name="_Toc121212669"/>
      <w:bookmarkStart w:id="24" w:name="_Toc121212932"/>
      <w:r>
        <w:rPr>
          <w:rFonts w:hint="eastAsia"/>
          <w:lang w:val="de-DE"/>
        </w:rPr>
        <w:t>2.2.</w:t>
      </w:r>
      <w:r>
        <w:rPr>
          <w:rFonts w:hint="eastAsia"/>
          <w:lang w:val="de-DE"/>
        </w:rPr>
        <w:t>訂定陞遷序列表</w:t>
      </w:r>
      <w:bookmarkEnd w:id="22"/>
      <w:bookmarkEnd w:id="23"/>
      <w:bookmarkEnd w:id="24"/>
    </w:p>
    <w:p w:rsidR="007D6688" w:rsidRDefault="007D6688">
      <w:pPr>
        <w:pStyle w:val="ab"/>
        <w:spacing w:before="180" w:line="480" w:lineRule="auto"/>
        <w:ind w:firstLine="480"/>
        <w:rPr>
          <w:rFonts w:ascii="細明體" w:eastAsia="細明體" w:hAnsi="細明體" w:cs="細明體" w:hint="eastAsia"/>
          <w:kern w:val="0"/>
        </w:rPr>
      </w:pPr>
      <w:r>
        <w:rPr>
          <w:rFonts w:ascii="新細明體" w:hAnsi="新細明體" w:hint="eastAsia"/>
        </w:rPr>
        <w:t>陞遷序列表不僅是機關辦理</w:t>
      </w:r>
      <w:r>
        <w:rPr>
          <w:rFonts w:ascii="新細明體" w:hAnsi="新細明體"/>
        </w:rPr>
        <w:t>本</w:t>
      </w:r>
      <w:r>
        <w:rPr>
          <w:rFonts w:ascii="新細明體" w:hAnsi="新細明體" w:hint="eastAsia"/>
        </w:rPr>
        <w:t>機關甄選時最重要的參考依據，也是提供公務人員追求生涯發展的憑藉。</w:t>
      </w:r>
      <w:r>
        <w:rPr>
          <w:rFonts w:ascii="細明體" w:eastAsia="細明體" w:hAnsi="細明體" w:cs="細明體" w:hint="eastAsia"/>
          <w:kern w:val="0"/>
        </w:rPr>
        <w:t>根據</w:t>
      </w:r>
      <w:r>
        <w:rPr>
          <w:rFonts w:hint="eastAsia"/>
        </w:rPr>
        <w:t>陞遷法第</w:t>
      </w:r>
      <w:r>
        <w:rPr>
          <w:rFonts w:hint="eastAsia"/>
        </w:rPr>
        <w:t>6</w:t>
      </w:r>
      <w:r>
        <w:rPr>
          <w:rFonts w:hint="eastAsia"/>
        </w:rPr>
        <w:t>條第</w:t>
      </w:r>
      <w:r>
        <w:rPr>
          <w:rFonts w:hint="eastAsia"/>
        </w:rPr>
        <w:t>1</w:t>
      </w:r>
      <w:r>
        <w:rPr>
          <w:rFonts w:hint="eastAsia"/>
        </w:rPr>
        <w:t>項及其施行細則第</w:t>
      </w:r>
      <w:r>
        <w:rPr>
          <w:rFonts w:hint="eastAsia"/>
        </w:rPr>
        <w:t>4</w:t>
      </w:r>
      <w:r>
        <w:rPr>
          <w:rFonts w:hint="eastAsia"/>
        </w:rPr>
        <w:t>條第</w:t>
      </w:r>
      <w:r>
        <w:rPr>
          <w:rFonts w:hint="eastAsia"/>
        </w:rPr>
        <w:t>3</w:t>
      </w:r>
      <w:r>
        <w:rPr>
          <w:rFonts w:hint="eastAsia"/>
        </w:rPr>
        <w:t>項規定，</w:t>
      </w:r>
      <w:r>
        <w:rPr>
          <w:rFonts w:ascii="細明體" w:eastAsia="細明體" w:hAnsi="細明體" w:cs="細明體"/>
          <w:kern w:val="0"/>
        </w:rPr>
        <w:t>各機關應於</w:t>
      </w:r>
      <w:r>
        <w:rPr>
          <w:rFonts w:ascii="細明體" w:eastAsia="細明體" w:hAnsi="細明體" w:cs="細明體" w:hint="eastAsia"/>
          <w:kern w:val="0"/>
        </w:rPr>
        <w:t>陞遷</w:t>
      </w:r>
      <w:r>
        <w:rPr>
          <w:rFonts w:ascii="細明體" w:eastAsia="細明體" w:hAnsi="細明體" w:cs="細明體"/>
          <w:kern w:val="0"/>
        </w:rPr>
        <w:t>法施行二個月內，</w:t>
      </w:r>
      <w:r>
        <w:rPr>
          <w:rFonts w:hint="eastAsia"/>
          <w:w w:val="105"/>
        </w:rPr>
        <w:t>依職務高低及業務需要，</w:t>
      </w:r>
      <w:r>
        <w:rPr>
          <w:rFonts w:ascii="細明體" w:eastAsia="細明體" w:hAnsi="細明體" w:cs="細明體"/>
          <w:kern w:val="0"/>
        </w:rPr>
        <w:t>訂定發布陞遷序列表</w:t>
      </w:r>
      <w:r>
        <w:rPr>
          <w:rStyle w:val="ae"/>
          <w:rFonts w:ascii="細明體" w:eastAsia="細明體" w:hAnsi="細明體" w:cs="細明體"/>
          <w:kern w:val="0"/>
        </w:rPr>
        <w:footnoteReference w:id="6"/>
      </w:r>
      <w:r>
        <w:rPr>
          <w:rFonts w:ascii="細明體" w:eastAsia="細明體" w:hAnsi="細明體" w:cs="細明體"/>
          <w:kern w:val="0"/>
        </w:rPr>
        <w:t>。依</w:t>
      </w:r>
      <w:r>
        <w:rPr>
          <w:rFonts w:hint="eastAsia"/>
        </w:rPr>
        <w:t>陞遷法</w:t>
      </w:r>
      <w:r>
        <w:rPr>
          <w:rFonts w:ascii="細明體" w:eastAsia="細明體" w:hAnsi="細明體" w:cs="細明體"/>
          <w:kern w:val="0"/>
        </w:rPr>
        <w:t>法第</w:t>
      </w:r>
      <w:r>
        <w:rPr>
          <w:rFonts w:eastAsia="細明體"/>
          <w:kern w:val="0"/>
        </w:rPr>
        <w:t>8</w:t>
      </w:r>
      <w:r>
        <w:rPr>
          <w:rFonts w:eastAsia="細明體" w:hAnsi="細明體"/>
          <w:kern w:val="0"/>
        </w:rPr>
        <w:t>條第</w:t>
      </w:r>
      <w:r>
        <w:rPr>
          <w:rFonts w:eastAsia="細明體"/>
          <w:kern w:val="0"/>
        </w:rPr>
        <w:t>2</w:t>
      </w:r>
      <w:r>
        <w:rPr>
          <w:rFonts w:eastAsia="細明體" w:hAnsi="細明體"/>
          <w:kern w:val="0"/>
        </w:rPr>
        <w:t>項，</w:t>
      </w:r>
      <w:r>
        <w:rPr>
          <w:rFonts w:ascii="細明體" w:eastAsia="細明體" w:hAnsi="細明體" w:cs="細明體" w:hint="eastAsia"/>
          <w:kern w:val="0"/>
        </w:rPr>
        <w:t>若</w:t>
      </w:r>
      <w:r>
        <w:rPr>
          <w:rFonts w:hint="eastAsia"/>
          <w:w w:val="105"/>
        </w:rPr>
        <w:t>編制員額較少或業務性質特殊之機關，經主管機關核准者，其人員之陞任甄審得由上級機關統籌辦理。則</w:t>
      </w:r>
      <w:r>
        <w:rPr>
          <w:rFonts w:ascii="細明體" w:eastAsia="細明體" w:hAnsi="細明體" w:cs="細明體"/>
          <w:kern w:val="0"/>
        </w:rPr>
        <w:t>統籌辦理下級機關人員陞任甄審之機關，其陞遷序列表應包含該下級機關職務。</w:t>
      </w:r>
    </w:p>
    <w:p w:rsidR="007D6688" w:rsidRDefault="007D6688">
      <w:pPr>
        <w:pStyle w:val="ab"/>
        <w:spacing w:before="180" w:line="480" w:lineRule="auto"/>
        <w:ind w:firstLine="480"/>
        <w:rPr>
          <w:rFonts w:hint="eastAsia"/>
          <w:w w:val="105"/>
        </w:rPr>
      </w:pPr>
      <w:r>
        <w:rPr>
          <w:rFonts w:ascii="細明體" w:eastAsia="細明體" w:hAnsi="細明體" w:cs="細明體" w:hint="eastAsia"/>
          <w:kern w:val="0"/>
        </w:rPr>
        <w:t>當</w:t>
      </w:r>
      <w:r>
        <w:rPr>
          <w:rFonts w:hint="eastAsia"/>
          <w:w w:val="105"/>
        </w:rPr>
        <w:t>各機關職缺由本機關人員陞遷時，應依陞遷序列逐級辦理陞遷。但次一序列中無適當</w:t>
      </w:r>
      <w:r>
        <w:rPr>
          <w:rStyle w:val="ae"/>
          <w:w w:val="105"/>
        </w:rPr>
        <w:footnoteReference w:id="7"/>
      </w:r>
      <w:r>
        <w:rPr>
          <w:rFonts w:hint="eastAsia"/>
          <w:w w:val="105"/>
        </w:rPr>
        <w:t>人選時，得由再次一序列人選陞任（</w:t>
      </w:r>
      <w:r>
        <w:rPr>
          <w:rFonts w:hint="eastAsia"/>
        </w:rPr>
        <w:t>陞遷法第</w:t>
      </w:r>
      <w:r>
        <w:rPr>
          <w:rFonts w:hint="eastAsia"/>
        </w:rPr>
        <w:t>6</w:t>
      </w:r>
      <w:r>
        <w:rPr>
          <w:rFonts w:hint="eastAsia"/>
        </w:rPr>
        <w:t>條第</w:t>
      </w:r>
      <w:r>
        <w:rPr>
          <w:rFonts w:hint="eastAsia"/>
        </w:rPr>
        <w:t>2</w:t>
      </w:r>
      <w:r>
        <w:rPr>
          <w:rFonts w:hint="eastAsia"/>
        </w:rPr>
        <w:t>項</w:t>
      </w:r>
      <w:r>
        <w:rPr>
          <w:rFonts w:hint="eastAsia"/>
          <w:w w:val="105"/>
        </w:rPr>
        <w:t>）。</w:t>
      </w:r>
      <w:r>
        <w:rPr>
          <w:rFonts w:ascii="細明體" w:eastAsia="細明體" w:hAnsi="細明體" w:cs="細明體"/>
          <w:kern w:val="0"/>
        </w:rPr>
        <w:t>各機關訂定陞遷序列表時，其職務列等 (稱階、等階) 相同者，應列為同一序列。跨列二個以上職等之職務，其所列最高職等相同最低職等不同者，或實施國內外駐區互調之相當職務，得視業務需要列為同一序列。但職務列等相同之主管與非主管職務或具職務歷練先後順序職務，得列為不同序列</w:t>
      </w:r>
      <w:r>
        <w:rPr>
          <w:rFonts w:hint="eastAsia"/>
          <w:w w:val="105"/>
        </w:rPr>
        <w:t>（</w:t>
      </w:r>
      <w:r>
        <w:rPr>
          <w:rFonts w:hint="eastAsia"/>
        </w:rPr>
        <w:t>陞遷法施行細則第</w:t>
      </w:r>
      <w:r>
        <w:rPr>
          <w:rFonts w:hint="eastAsia"/>
        </w:rPr>
        <w:t>4</w:t>
      </w:r>
      <w:r>
        <w:rPr>
          <w:rFonts w:hint="eastAsia"/>
        </w:rPr>
        <w:t>條第</w:t>
      </w:r>
      <w:r>
        <w:rPr>
          <w:rFonts w:hint="eastAsia"/>
        </w:rPr>
        <w:t>1</w:t>
      </w:r>
      <w:r>
        <w:rPr>
          <w:rFonts w:hint="eastAsia"/>
        </w:rPr>
        <w:t>，</w:t>
      </w:r>
      <w:r>
        <w:rPr>
          <w:rFonts w:hint="eastAsia"/>
        </w:rPr>
        <w:t>2</w:t>
      </w:r>
      <w:r>
        <w:rPr>
          <w:rFonts w:hint="eastAsia"/>
        </w:rPr>
        <w:t>項</w:t>
      </w:r>
      <w:r>
        <w:rPr>
          <w:rFonts w:hint="eastAsia"/>
          <w:w w:val="105"/>
        </w:rPr>
        <w:t>）</w:t>
      </w:r>
      <w:r>
        <w:rPr>
          <w:rFonts w:ascii="細明體" w:eastAsia="細明體" w:hAnsi="細明體" w:cs="細明體"/>
          <w:kern w:val="0"/>
        </w:rPr>
        <w:t>。</w:t>
      </w:r>
    </w:p>
    <w:p w:rsidR="007D6688" w:rsidRDefault="007D6688">
      <w:pPr>
        <w:pStyle w:val="2"/>
        <w:spacing w:line="480" w:lineRule="auto"/>
        <w:rPr>
          <w:rFonts w:hint="eastAsia"/>
          <w:lang w:val="de-DE"/>
        </w:rPr>
      </w:pPr>
      <w:bookmarkStart w:id="25" w:name="_Toc121199198"/>
      <w:bookmarkStart w:id="26" w:name="_Toc121212670"/>
      <w:bookmarkStart w:id="27" w:name="_Toc121212933"/>
      <w:r>
        <w:rPr>
          <w:rFonts w:hint="eastAsia"/>
          <w:lang w:val="de-DE"/>
        </w:rPr>
        <w:t>2.3.</w:t>
      </w:r>
      <w:r>
        <w:rPr>
          <w:lang w:val="de-DE"/>
        </w:rPr>
        <w:t>造列甄審</w:t>
      </w:r>
      <w:r>
        <w:rPr>
          <w:rFonts w:hint="eastAsia"/>
          <w:lang w:val="de-DE"/>
        </w:rPr>
        <w:t>陞遷</w:t>
      </w:r>
      <w:r>
        <w:rPr>
          <w:lang w:val="de-DE"/>
        </w:rPr>
        <w:t>名冊</w:t>
      </w:r>
      <w:bookmarkEnd w:id="25"/>
      <w:bookmarkEnd w:id="26"/>
      <w:bookmarkEnd w:id="27"/>
    </w:p>
    <w:p w:rsidR="007D6688" w:rsidRDefault="007D6688">
      <w:pPr>
        <w:pStyle w:val="ab"/>
        <w:spacing w:before="180" w:line="480" w:lineRule="auto"/>
        <w:ind w:firstLine="480"/>
        <w:rPr>
          <w:rFonts w:ascii="細明體" w:eastAsia="細明體" w:hAnsi="細明體" w:cs="細明體" w:hint="eastAsia"/>
          <w:kern w:val="0"/>
        </w:rPr>
      </w:pPr>
      <w:r>
        <w:rPr>
          <w:rFonts w:ascii="細明體" w:eastAsia="細明體" w:hAnsi="細明體" w:cs="細明體" w:hint="eastAsia"/>
          <w:kern w:val="0"/>
        </w:rPr>
        <w:t>根據陞遷法第</w:t>
      </w:r>
      <w:r>
        <w:rPr>
          <w:rFonts w:eastAsia="細明體"/>
          <w:kern w:val="0"/>
        </w:rPr>
        <w:t>5</w:t>
      </w:r>
      <w:r>
        <w:rPr>
          <w:rFonts w:ascii="細明體" w:eastAsia="細明體" w:hAnsi="細明體" w:cs="細明體" w:hint="eastAsia"/>
          <w:kern w:val="0"/>
        </w:rPr>
        <w:t>條之規定，</w:t>
      </w:r>
      <w:r>
        <w:rPr>
          <w:rFonts w:hint="eastAsia"/>
          <w:w w:val="105"/>
        </w:rPr>
        <w:t>各機關職務出缺時，除依法申請分發考試及格或依本法得免經甄審之職缺外，應就本機關或他機關具有該職務任用資格之人員，本功績原則評定陞遷。各機關職缺如由本機關人員陞遷時，應辦理</w:t>
      </w:r>
      <w:r>
        <w:rPr>
          <w:rFonts w:hint="eastAsia"/>
          <w:b/>
          <w:w w:val="105"/>
        </w:rPr>
        <w:t>甄審</w:t>
      </w:r>
      <w:r>
        <w:rPr>
          <w:rFonts w:hint="eastAsia"/>
          <w:w w:val="105"/>
        </w:rPr>
        <w:t>。如由他機關人員陞遷時，則應該</w:t>
      </w:r>
      <w:r>
        <w:rPr>
          <w:rFonts w:hint="eastAsia"/>
          <w:b/>
          <w:w w:val="105"/>
        </w:rPr>
        <w:t>公開甄選</w:t>
      </w:r>
      <w:r>
        <w:rPr>
          <w:rFonts w:hint="eastAsia"/>
          <w:w w:val="105"/>
        </w:rPr>
        <w:t>。這是</w:t>
      </w:r>
      <w:r>
        <w:rPr>
          <w:rFonts w:ascii="細明體" w:eastAsia="細明體" w:hAnsi="細明體" w:cs="細明體"/>
          <w:kern w:val="0"/>
        </w:rPr>
        <w:t>指各機關人事單位於辦理陞遷前，</w:t>
      </w:r>
      <w:r>
        <w:rPr>
          <w:rFonts w:hint="eastAsia"/>
          <w:w w:val="105"/>
        </w:rPr>
        <w:t>應本人與事適切配合之旨，考量機關特性與職務需要，依資績並重、內陞與外補兼顧原則，</w:t>
      </w:r>
      <w:r>
        <w:rPr>
          <w:rFonts w:ascii="細明體" w:eastAsia="細明體" w:hAnsi="細明體" w:cs="細明體"/>
          <w:kern w:val="0"/>
        </w:rPr>
        <w:t>簽報機關首長決定職缺擬辦內陞或外補後再行辦理。如擬外補應將職缺之機關名稱、職稱、職系、職等、辦公地點及報名規定等資料於報刊或網路公告</w:t>
      </w:r>
      <w:r>
        <w:rPr>
          <w:rFonts w:ascii="細明體" w:eastAsia="細明體" w:hAnsi="細明體" w:cs="細明體" w:hint="eastAsia"/>
          <w:kern w:val="0"/>
        </w:rPr>
        <w:t>（</w:t>
      </w:r>
      <w:r>
        <w:rPr>
          <w:rFonts w:hint="eastAsia"/>
          <w:w w:val="105"/>
        </w:rPr>
        <w:t>陞遷法施行細則第</w:t>
      </w:r>
      <w:r>
        <w:rPr>
          <w:rFonts w:hint="eastAsia"/>
          <w:w w:val="105"/>
        </w:rPr>
        <w:t>3</w:t>
      </w:r>
      <w:r>
        <w:rPr>
          <w:rFonts w:hint="eastAsia"/>
          <w:w w:val="105"/>
        </w:rPr>
        <w:t>條）</w:t>
      </w:r>
      <w:r>
        <w:rPr>
          <w:rFonts w:ascii="細明體" w:eastAsia="細明體" w:hAnsi="細明體" w:cs="細明體"/>
          <w:kern w:val="0"/>
        </w:rPr>
        <w:t>。</w:t>
      </w:r>
      <w:r>
        <w:rPr>
          <w:rFonts w:hint="eastAsia"/>
        </w:rPr>
        <w:t>人事單位則必須就具有擬陞遷職務任用資格人員，</w:t>
      </w:r>
      <w:r>
        <w:rPr>
          <w:rFonts w:hint="eastAsia"/>
          <w:w w:val="105"/>
        </w:rPr>
        <w:t>分別情形，</w:t>
      </w:r>
      <w:r>
        <w:rPr>
          <w:rFonts w:hint="eastAsia"/>
        </w:rPr>
        <w:t>依積分高低順序或資格條件造列陞遷人員名冊</w:t>
      </w:r>
      <w:r>
        <w:rPr>
          <w:rFonts w:ascii="細明體" w:eastAsia="細明體" w:hAnsi="細明體" w:cs="細明體" w:hint="eastAsia"/>
          <w:kern w:val="0"/>
        </w:rPr>
        <w:t>（</w:t>
      </w:r>
      <w:r>
        <w:rPr>
          <w:rFonts w:hint="eastAsia"/>
          <w:w w:val="105"/>
        </w:rPr>
        <w:t>陞遷法第</w:t>
      </w:r>
      <w:r>
        <w:rPr>
          <w:rFonts w:hint="eastAsia"/>
          <w:w w:val="105"/>
        </w:rPr>
        <w:t>9</w:t>
      </w:r>
      <w:r>
        <w:rPr>
          <w:rFonts w:hint="eastAsia"/>
          <w:w w:val="105"/>
        </w:rPr>
        <w:t>條第</w:t>
      </w:r>
      <w:r>
        <w:rPr>
          <w:rFonts w:hint="eastAsia"/>
          <w:w w:val="105"/>
        </w:rPr>
        <w:t>1</w:t>
      </w:r>
      <w:r>
        <w:rPr>
          <w:rFonts w:hint="eastAsia"/>
          <w:w w:val="105"/>
        </w:rPr>
        <w:t>項）</w:t>
      </w:r>
      <w:r>
        <w:rPr>
          <w:rFonts w:hint="eastAsia"/>
        </w:rPr>
        <w:t>。此時</w:t>
      </w:r>
      <w:r>
        <w:rPr>
          <w:rFonts w:ascii="細明體" w:eastAsia="細明體" w:hAnsi="細明體" w:cs="細明體"/>
          <w:kern w:val="0"/>
        </w:rPr>
        <w:t>人事單位造列</w:t>
      </w:r>
      <w:r>
        <w:rPr>
          <w:rFonts w:ascii="細明體" w:eastAsia="細明體" w:hAnsi="細明體" w:cs="細明體" w:hint="eastAsia"/>
          <w:kern w:val="0"/>
        </w:rPr>
        <w:t>之</w:t>
      </w:r>
      <w:r>
        <w:rPr>
          <w:rFonts w:ascii="細明體" w:eastAsia="細明體" w:hAnsi="細明體" w:cs="細明體"/>
          <w:kern w:val="0"/>
        </w:rPr>
        <w:t>名冊</w:t>
      </w:r>
      <w:r>
        <w:rPr>
          <w:rFonts w:ascii="細明體" w:eastAsia="細明體" w:hAnsi="細明體" w:cs="細明體" w:hint="eastAsia"/>
          <w:kern w:val="0"/>
        </w:rPr>
        <w:t>，於</w:t>
      </w:r>
      <w:r>
        <w:rPr>
          <w:rFonts w:ascii="細明體" w:eastAsia="細明體" w:hAnsi="細明體" w:cs="細明體"/>
          <w:kern w:val="0"/>
        </w:rPr>
        <w:t>辦理機關人員陞任時，就具有任用資格人員，依標準核計分數後，依積分高低造列。</w:t>
      </w:r>
      <w:r>
        <w:rPr>
          <w:rFonts w:ascii="細明體" w:eastAsia="細明體" w:hAnsi="細明體" w:cs="細明體" w:hint="eastAsia"/>
          <w:kern w:val="0"/>
        </w:rPr>
        <w:t>而於</w:t>
      </w:r>
      <w:r>
        <w:rPr>
          <w:rFonts w:ascii="細明體" w:eastAsia="細明體" w:hAnsi="細明體" w:cs="細明體"/>
          <w:kern w:val="0"/>
        </w:rPr>
        <w:t>辦理本機關以外人員公開甄選時，依符合公開甄選人員所具資格條件高低造列</w:t>
      </w:r>
      <w:r>
        <w:rPr>
          <w:rFonts w:ascii="細明體" w:eastAsia="細明體" w:hAnsi="細明體" w:cs="細明體" w:hint="eastAsia"/>
          <w:kern w:val="0"/>
        </w:rPr>
        <w:t>。最後在</w:t>
      </w:r>
      <w:r>
        <w:rPr>
          <w:rFonts w:ascii="細明體" w:eastAsia="細明體" w:hAnsi="細明體" w:cs="細明體"/>
          <w:kern w:val="0"/>
        </w:rPr>
        <w:t>辦理本機關人員遷調時，</w:t>
      </w:r>
      <w:r>
        <w:rPr>
          <w:rFonts w:ascii="細明體" w:eastAsia="細明體" w:hAnsi="細明體" w:cs="細明體" w:hint="eastAsia"/>
          <w:kern w:val="0"/>
        </w:rPr>
        <w:t>則</w:t>
      </w:r>
      <w:r>
        <w:rPr>
          <w:rFonts w:ascii="細明體" w:eastAsia="細明體" w:hAnsi="細明體" w:cs="細明體"/>
          <w:kern w:val="0"/>
        </w:rPr>
        <w:t>依相關規定，核計分數或依其所具資格條件高低造列</w:t>
      </w:r>
      <w:r>
        <w:rPr>
          <w:rFonts w:ascii="細明體" w:eastAsia="細明體" w:hAnsi="細明體" w:cs="細明體" w:hint="eastAsia"/>
          <w:kern w:val="0"/>
        </w:rPr>
        <w:t>（</w:t>
      </w:r>
      <w:r>
        <w:rPr>
          <w:rFonts w:hint="eastAsia"/>
          <w:w w:val="105"/>
        </w:rPr>
        <w:t>施行細則第</w:t>
      </w:r>
      <w:r>
        <w:rPr>
          <w:rFonts w:hint="eastAsia"/>
          <w:w w:val="105"/>
        </w:rPr>
        <w:t>10</w:t>
      </w:r>
      <w:r>
        <w:rPr>
          <w:rFonts w:hint="eastAsia"/>
          <w:w w:val="105"/>
        </w:rPr>
        <w:t>條第</w:t>
      </w:r>
      <w:r>
        <w:rPr>
          <w:rFonts w:hint="eastAsia"/>
          <w:w w:val="105"/>
        </w:rPr>
        <w:t>1</w:t>
      </w:r>
      <w:r>
        <w:rPr>
          <w:rFonts w:hint="eastAsia"/>
          <w:w w:val="105"/>
        </w:rPr>
        <w:t>項）</w:t>
      </w:r>
      <w:r>
        <w:rPr>
          <w:rFonts w:ascii="細明體" w:eastAsia="細明體" w:hAnsi="細明體" w:cs="細明體"/>
          <w:kern w:val="0"/>
        </w:rPr>
        <w:t>。</w:t>
      </w:r>
    </w:p>
    <w:p w:rsidR="007D6688" w:rsidRDefault="007D6688">
      <w:pPr>
        <w:pStyle w:val="3"/>
        <w:spacing w:before="180" w:after="180" w:line="480" w:lineRule="auto"/>
        <w:rPr>
          <w:rFonts w:hint="eastAsia"/>
          <w:lang w:val="de-DE"/>
        </w:rPr>
      </w:pPr>
      <w:bookmarkStart w:id="28" w:name="_Toc121199199"/>
      <w:bookmarkStart w:id="29" w:name="_Toc121212671"/>
      <w:bookmarkStart w:id="30" w:name="_Toc121212934"/>
      <w:smartTag w:uri="urn:schemas-microsoft-com:office:smarttags" w:element="chsdate">
        <w:smartTagPr>
          <w:attr w:name="Year" w:val="1899"/>
          <w:attr w:name="Month" w:val="12"/>
          <w:attr w:name="Day" w:val="30"/>
          <w:attr w:name="IsLunarDate" w:val="False"/>
          <w:attr w:name="IsROCDate" w:val="False"/>
        </w:smartTagPr>
        <w:r>
          <w:rPr>
            <w:rFonts w:hint="eastAsia"/>
            <w:lang w:val="de-DE"/>
          </w:rPr>
          <w:t>2.3.1</w:t>
        </w:r>
      </w:smartTag>
      <w:r>
        <w:rPr>
          <w:rFonts w:hint="eastAsia"/>
          <w:lang w:val="de-DE"/>
        </w:rPr>
        <w:t xml:space="preserve">. </w:t>
      </w:r>
      <w:r>
        <w:rPr>
          <w:rFonts w:hint="eastAsia"/>
          <w:lang w:val="de-DE"/>
        </w:rPr>
        <w:t>組織</w:t>
      </w:r>
      <w:r>
        <w:rPr>
          <w:lang w:val="de-DE"/>
        </w:rPr>
        <w:t>甄審委員會</w:t>
      </w:r>
      <w:bookmarkEnd w:id="28"/>
      <w:bookmarkEnd w:id="29"/>
      <w:bookmarkEnd w:id="30"/>
    </w:p>
    <w:p w:rsidR="007D6688" w:rsidRDefault="007D6688">
      <w:pPr>
        <w:pStyle w:val="ab"/>
        <w:spacing w:before="180" w:line="480" w:lineRule="auto"/>
        <w:ind w:firstLine="480"/>
        <w:rPr>
          <w:rFonts w:hint="eastAsia"/>
          <w:w w:val="105"/>
        </w:rPr>
      </w:pPr>
      <w:r>
        <w:t>除</w:t>
      </w:r>
      <w:r>
        <w:rPr>
          <w:w w:val="105"/>
        </w:rPr>
        <w:t>本機關人員之遷調，得視業務實際需要．免經甄審程序外，各機關辦理公務人員之陞遷，應組織甄審委員會，辦理甄審相關事宜。編制員額較少或業務性質特殊之機關，經主管機關核准者，其人員之陞任甄審得由上級機關統籌辦理，則不受此之限制（陞遷法</w:t>
      </w:r>
      <w:r>
        <w:rPr>
          <w:spacing w:val="45"/>
          <w:kern w:val="0"/>
        </w:rPr>
        <w:t>第</w:t>
      </w:r>
      <w:r>
        <w:rPr>
          <w:rFonts w:hAnsi="Arial"/>
          <w:spacing w:val="45"/>
          <w:kern w:val="0"/>
        </w:rPr>
        <w:t>8</w:t>
      </w:r>
      <w:r>
        <w:rPr>
          <w:kern w:val="0"/>
        </w:rPr>
        <w:t>條</w:t>
      </w:r>
      <w:r>
        <w:rPr>
          <w:w w:val="105"/>
        </w:rPr>
        <w:t>）。</w:t>
      </w:r>
    </w:p>
    <w:p w:rsidR="007D6688" w:rsidRDefault="007D6688">
      <w:pPr>
        <w:pStyle w:val="ab"/>
        <w:spacing w:before="180" w:line="480" w:lineRule="auto"/>
        <w:ind w:firstLine="480"/>
        <w:rPr>
          <w:rFonts w:hint="eastAsia"/>
          <w:kern w:val="0"/>
        </w:rPr>
      </w:pPr>
      <w:r>
        <w:rPr>
          <w:kern w:val="0"/>
        </w:rPr>
        <w:t>各機關</w:t>
      </w:r>
      <w:r>
        <w:rPr>
          <w:rFonts w:hint="eastAsia"/>
          <w:kern w:val="0"/>
        </w:rPr>
        <w:t>所</w:t>
      </w:r>
      <w:r>
        <w:rPr>
          <w:kern w:val="0"/>
        </w:rPr>
        <w:t>組織</w:t>
      </w:r>
      <w:r>
        <w:rPr>
          <w:rFonts w:hint="eastAsia"/>
          <w:kern w:val="0"/>
        </w:rPr>
        <w:t>之</w:t>
      </w:r>
      <w:r>
        <w:rPr>
          <w:kern w:val="0"/>
        </w:rPr>
        <w:t>甄審委員會，應置委員五人至二十一人，由機關首長就本機關人員中指定之，並指定一人為主席，人事主管人員為當然委員。但委員每滿三人應有一人由本機關人員票選產生之。委員之任期一年，期滿得連任。甄審委員會須有應出席人過半數之出席，始得開會，其決議以出席人過半數之同意為之；可否同數時取決於主席</w:t>
      </w:r>
      <w:r>
        <w:rPr>
          <w:w w:val="105"/>
        </w:rPr>
        <w:t>（</w:t>
      </w:r>
      <w:r>
        <w:rPr>
          <w:rFonts w:hint="eastAsia"/>
          <w:w w:val="105"/>
        </w:rPr>
        <w:t>施行細則</w:t>
      </w:r>
      <w:r>
        <w:rPr>
          <w:spacing w:val="45"/>
          <w:kern w:val="0"/>
        </w:rPr>
        <w:t>第</w:t>
      </w:r>
      <w:r>
        <w:rPr>
          <w:rFonts w:hAnsi="Arial"/>
          <w:spacing w:val="45"/>
          <w:kern w:val="0"/>
        </w:rPr>
        <w:t>8</w:t>
      </w:r>
      <w:r>
        <w:rPr>
          <w:kern w:val="0"/>
        </w:rPr>
        <w:t>條</w:t>
      </w:r>
      <w:r>
        <w:rPr>
          <w:rFonts w:hint="eastAsia"/>
          <w:kern w:val="0"/>
        </w:rPr>
        <w:t>第</w:t>
      </w:r>
      <w:r>
        <w:rPr>
          <w:rFonts w:hint="eastAsia"/>
          <w:kern w:val="0"/>
        </w:rPr>
        <w:t>1</w:t>
      </w:r>
      <w:r>
        <w:rPr>
          <w:rFonts w:ascii="新細明體" w:hAnsi="新細明體" w:hint="eastAsia"/>
          <w:kern w:val="0"/>
        </w:rPr>
        <w:t>、</w:t>
      </w:r>
      <w:r>
        <w:rPr>
          <w:rFonts w:hint="eastAsia"/>
          <w:kern w:val="0"/>
        </w:rPr>
        <w:t>2</w:t>
      </w:r>
      <w:r>
        <w:rPr>
          <w:rFonts w:hint="eastAsia"/>
          <w:kern w:val="0"/>
        </w:rPr>
        <w:t>項</w:t>
      </w:r>
      <w:r>
        <w:rPr>
          <w:w w:val="105"/>
        </w:rPr>
        <w:t>）</w:t>
      </w:r>
      <w:r>
        <w:rPr>
          <w:kern w:val="0"/>
        </w:rPr>
        <w:t>。</w:t>
      </w:r>
    </w:p>
    <w:p w:rsidR="007D6688" w:rsidRDefault="007D6688">
      <w:pPr>
        <w:pStyle w:val="3"/>
        <w:spacing w:before="180" w:after="180" w:line="480" w:lineRule="auto"/>
        <w:rPr>
          <w:rFonts w:hint="eastAsia"/>
          <w:lang w:val="de-DE"/>
        </w:rPr>
      </w:pPr>
      <w:bookmarkStart w:id="31" w:name="_Toc121199200"/>
      <w:bookmarkStart w:id="32" w:name="_Toc121212672"/>
      <w:bookmarkStart w:id="33" w:name="_Toc121212935"/>
      <w:smartTag w:uri="urn:schemas-microsoft-com:office:smarttags" w:element="chsdate">
        <w:smartTagPr>
          <w:attr w:name="Year" w:val="1899"/>
          <w:attr w:name="Month" w:val="12"/>
          <w:attr w:name="Day" w:val="30"/>
          <w:attr w:name="IsLunarDate" w:val="False"/>
          <w:attr w:name="IsROCDate" w:val="False"/>
        </w:smartTagPr>
        <w:r>
          <w:rPr>
            <w:rFonts w:hint="eastAsia"/>
            <w:lang w:val="de-DE"/>
          </w:rPr>
          <w:t>2.3.2</w:t>
        </w:r>
      </w:smartTag>
      <w:r>
        <w:rPr>
          <w:rFonts w:hint="eastAsia"/>
          <w:lang w:val="de-DE"/>
        </w:rPr>
        <w:t xml:space="preserve">. </w:t>
      </w:r>
      <w:r>
        <w:rPr>
          <w:lang w:val="de-DE"/>
        </w:rPr>
        <w:t>甄審委員會</w:t>
      </w:r>
      <w:r>
        <w:rPr>
          <w:rFonts w:hint="eastAsia"/>
          <w:lang w:val="de-DE"/>
        </w:rPr>
        <w:t>評審</w:t>
      </w:r>
      <w:bookmarkEnd w:id="31"/>
      <w:bookmarkEnd w:id="32"/>
      <w:bookmarkEnd w:id="33"/>
    </w:p>
    <w:p w:rsidR="007D6688" w:rsidRDefault="007D6688">
      <w:pPr>
        <w:pStyle w:val="ab"/>
        <w:spacing w:before="180" w:line="480" w:lineRule="auto"/>
        <w:ind w:firstLine="503"/>
        <w:rPr>
          <w:rFonts w:hint="eastAsia"/>
          <w:w w:val="105"/>
        </w:rPr>
      </w:pPr>
      <w:r>
        <w:rPr>
          <w:rFonts w:hint="eastAsia"/>
          <w:w w:val="105"/>
        </w:rPr>
        <w:t>各機關辦理公務人員之陞遷時，除應由人事單位就具有擬陞遷職務任用資格人員，分別情形，依積分高低順序或資格條件造列名冊外，並應檢同有關資料，報請本機關首長交付甄審委員會進行評審</w:t>
      </w:r>
      <w:r>
        <w:rPr>
          <w:w w:val="105"/>
        </w:rPr>
        <w:t>（陞遷法</w:t>
      </w:r>
      <w:r>
        <w:rPr>
          <w:w w:val="105"/>
        </w:rPr>
        <w:t xml:space="preserve"> </w:t>
      </w:r>
      <w:r>
        <w:rPr>
          <w:spacing w:val="45"/>
          <w:kern w:val="0"/>
        </w:rPr>
        <w:t>第</w:t>
      </w:r>
      <w:r>
        <w:rPr>
          <w:rFonts w:hAnsi="Arial" w:hint="eastAsia"/>
          <w:spacing w:val="45"/>
          <w:kern w:val="0"/>
        </w:rPr>
        <w:t>9</w:t>
      </w:r>
      <w:r>
        <w:rPr>
          <w:kern w:val="0"/>
        </w:rPr>
        <w:t>條</w:t>
      </w:r>
      <w:r>
        <w:rPr>
          <w:rFonts w:hint="eastAsia"/>
          <w:kern w:val="0"/>
        </w:rPr>
        <w:t>第</w:t>
      </w:r>
      <w:r>
        <w:rPr>
          <w:rFonts w:hint="eastAsia"/>
          <w:kern w:val="0"/>
        </w:rPr>
        <w:t>1</w:t>
      </w:r>
      <w:r>
        <w:rPr>
          <w:rFonts w:hint="eastAsia"/>
          <w:kern w:val="0"/>
        </w:rPr>
        <w:t>項</w:t>
      </w:r>
      <w:r>
        <w:rPr>
          <w:w w:val="105"/>
        </w:rPr>
        <w:t>）</w:t>
      </w:r>
      <w:r>
        <w:rPr>
          <w:rFonts w:hint="eastAsia"/>
          <w:w w:val="105"/>
          <w:sz w:val="18"/>
        </w:rPr>
        <w:t>。</w:t>
      </w:r>
      <w:r>
        <w:rPr>
          <w:w w:val="105"/>
        </w:rPr>
        <w:t>陞遷法</w:t>
      </w:r>
      <w:r>
        <w:rPr>
          <w:rFonts w:hint="eastAsia"/>
          <w:w w:val="105"/>
        </w:rPr>
        <w:t>施行細則</w:t>
      </w:r>
      <w:r>
        <w:rPr>
          <w:spacing w:val="45"/>
          <w:kern w:val="0"/>
        </w:rPr>
        <w:t>第</w:t>
      </w:r>
      <w:r>
        <w:rPr>
          <w:rFonts w:hAnsi="Arial" w:hint="eastAsia"/>
          <w:spacing w:val="45"/>
          <w:kern w:val="0"/>
        </w:rPr>
        <w:t>9</w:t>
      </w:r>
      <w:r>
        <w:rPr>
          <w:kern w:val="0"/>
        </w:rPr>
        <w:t>條</w:t>
      </w:r>
      <w:r>
        <w:rPr>
          <w:rFonts w:hint="eastAsia"/>
          <w:kern w:val="0"/>
        </w:rPr>
        <w:t>第</w:t>
      </w:r>
      <w:r>
        <w:rPr>
          <w:rFonts w:hint="eastAsia"/>
          <w:kern w:val="0"/>
        </w:rPr>
        <w:t>1</w:t>
      </w:r>
      <w:r>
        <w:rPr>
          <w:rFonts w:hint="eastAsia"/>
          <w:kern w:val="0"/>
        </w:rPr>
        <w:t>、</w:t>
      </w:r>
      <w:r>
        <w:rPr>
          <w:rFonts w:hint="eastAsia"/>
          <w:kern w:val="0"/>
        </w:rPr>
        <w:t>2</w:t>
      </w:r>
      <w:r>
        <w:rPr>
          <w:rFonts w:hint="eastAsia"/>
          <w:kern w:val="0"/>
        </w:rPr>
        <w:t>款並規定，</w:t>
      </w:r>
      <w:r>
        <w:rPr>
          <w:rFonts w:ascii="細明體" w:eastAsia="細明體" w:hAnsi="細明體" w:cs="細明體"/>
          <w:kern w:val="0"/>
        </w:rPr>
        <w:t>甄審委員會</w:t>
      </w:r>
      <w:r>
        <w:rPr>
          <w:rFonts w:ascii="細明體" w:eastAsia="細明體" w:hAnsi="細明體" w:cs="細明體" w:hint="eastAsia"/>
          <w:kern w:val="0"/>
        </w:rPr>
        <w:t>的功能之一係</w:t>
      </w:r>
      <w:r>
        <w:rPr>
          <w:rFonts w:ascii="細明體" w:eastAsia="細明體" w:hAnsi="細明體" w:cs="細明體"/>
          <w:kern w:val="0"/>
        </w:rPr>
        <w:t>辦理陞任候選人員資績評分之審查</w:t>
      </w:r>
      <w:r>
        <w:rPr>
          <w:rFonts w:ascii="細明體" w:eastAsia="細明體" w:hAnsi="細明體" w:cs="細明體" w:hint="eastAsia"/>
          <w:kern w:val="0"/>
        </w:rPr>
        <w:t>與</w:t>
      </w:r>
      <w:r>
        <w:rPr>
          <w:rFonts w:ascii="細明體" w:eastAsia="細明體" w:hAnsi="細明體" w:cs="細明體"/>
          <w:kern w:val="0"/>
        </w:rPr>
        <w:t>遷調候選人員資格條件之審查。</w:t>
      </w:r>
      <w:r>
        <w:rPr>
          <w:rFonts w:hint="eastAsia"/>
          <w:w w:val="105"/>
        </w:rPr>
        <w:t>各機關如果是辦理本機關人員之陞任時，應注意其品德及對國家之忠誠，並依擬陞任職務所需知能，就考試、學歷、職務歷練、訓練、進修、年資、考績（成）、獎懲及發展潛能等項目，訂定標準，評定分數，並得視職缺之職責程度及業務性質，對具有基層服務年資或持有職業證照者酌予加分</w:t>
      </w:r>
      <w:r>
        <w:rPr>
          <w:w w:val="105"/>
        </w:rPr>
        <w:t>（陞遷法</w:t>
      </w:r>
      <w:r>
        <w:rPr>
          <w:spacing w:val="45"/>
          <w:kern w:val="0"/>
        </w:rPr>
        <w:t>第</w:t>
      </w:r>
      <w:r>
        <w:rPr>
          <w:rFonts w:hAnsi="Arial" w:hint="eastAsia"/>
          <w:spacing w:val="45"/>
          <w:kern w:val="0"/>
        </w:rPr>
        <w:t>7</w:t>
      </w:r>
      <w:r>
        <w:rPr>
          <w:kern w:val="0"/>
        </w:rPr>
        <w:t>條</w:t>
      </w:r>
      <w:r>
        <w:rPr>
          <w:rFonts w:hint="eastAsia"/>
          <w:kern w:val="0"/>
        </w:rPr>
        <w:t>第</w:t>
      </w:r>
      <w:r>
        <w:rPr>
          <w:rFonts w:hint="eastAsia"/>
          <w:kern w:val="0"/>
        </w:rPr>
        <w:t>1</w:t>
      </w:r>
      <w:r>
        <w:rPr>
          <w:rFonts w:hint="eastAsia"/>
          <w:kern w:val="0"/>
        </w:rPr>
        <w:t>項</w:t>
      </w:r>
      <w:r>
        <w:rPr>
          <w:w w:val="105"/>
        </w:rPr>
        <w:t>）</w:t>
      </w:r>
      <w:r>
        <w:rPr>
          <w:rFonts w:hint="eastAsia"/>
          <w:w w:val="105"/>
        </w:rPr>
        <w:t>。如果評定之積分有二人以上相同時，以較高職等（官稱官階、官等官階）或訓練進修及發展潛能積分較高者，優先陞任</w:t>
      </w:r>
      <w:r>
        <w:rPr>
          <w:w w:val="105"/>
        </w:rPr>
        <w:t>（陞遷法</w:t>
      </w:r>
      <w:r>
        <w:rPr>
          <w:spacing w:val="45"/>
          <w:kern w:val="0"/>
        </w:rPr>
        <w:t>第</w:t>
      </w:r>
      <w:r>
        <w:rPr>
          <w:rFonts w:hAnsi="Arial" w:hint="eastAsia"/>
          <w:spacing w:val="45"/>
          <w:kern w:val="0"/>
        </w:rPr>
        <w:t>7</w:t>
      </w:r>
      <w:r>
        <w:rPr>
          <w:kern w:val="0"/>
        </w:rPr>
        <w:t>條</w:t>
      </w:r>
      <w:r>
        <w:rPr>
          <w:rFonts w:hint="eastAsia"/>
          <w:kern w:val="0"/>
        </w:rPr>
        <w:t>第</w:t>
      </w:r>
      <w:r>
        <w:rPr>
          <w:rFonts w:hint="eastAsia"/>
          <w:kern w:val="0"/>
        </w:rPr>
        <w:t>2</w:t>
      </w:r>
      <w:r>
        <w:rPr>
          <w:rFonts w:hint="eastAsia"/>
          <w:kern w:val="0"/>
        </w:rPr>
        <w:t>項</w:t>
      </w:r>
      <w:r>
        <w:rPr>
          <w:w w:val="105"/>
        </w:rPr>
        <w:t>）</w:t>
      </w:r>
      <w:r>
        <w:rPr>
          <w:rFonts w:hint="eastAsia"/>
          <w:w w:val="105"/>
        </w:rPr>
        <w:t>。此項評分標準原則上由各主管院（指</w:t>
      </w:r>
      <w:r>
        <w:rPr>
          <w:rFonts w:ascii="細明體" w:eastAsia="細明體" w:hAnsi="細明體" w:cs="細明體"/>
          <w:kern w:val="0"/>
        </w:rPr>
        <w:t>行政院、立法院、司法院、考試院及監察院</w:t>
      </w:r>
      <w:r>
        <w:rPr>
          <w:rFonts w:ascii="細明體" w:eastAsia="細明體" w:hAnsi="細明體" w:cs="細明體" w:hint="eastAsia"/>
          <w:kern w:val="0"/>
        </w:rPr>
        <w:t>。</w:t>
      </w:r>
      <w:r>
        <w:rPr>
          <w:rFonts w:ascii="細明體" w:eastAsia="細明體" w:hAnsi="細明體" w:cs="細明體"/>
          <w:kern w:val="0"/>
        </w:rPr>
        <w:t>總統府、國民大會及國家安全會議</w:t>
      </w:r>
      <w:r>
        <w:rPr>
          <w:rFonts w:ascii="細明體" w:eastAsia="細明體" w:hAnsi="細明體" w:cs="細明體" w:hint="eastAsia"/>
          <w:kern w:val="0"/>
        </w:rPr>
        <w:t>則</w:t>
      </w:r>
      <w:r>
        <w:rPr>
          <w:rFonts w:ascii="細明體" w:eastAsia="細明體" w:hAnsi="細明體" w:cs="細明體"/>
          <w:kern w:val="0"/>
        </w:rPr>
        <w:t>準用</w:t>
      </w:r>
      <w:r>
        <w:rPr>
          <w:rFonts w:ascii="細明體" w:eastAsia="細明體" w:hAnsi="細明體" w:cs="細明體" w:hint="eastAsia"/>
          <w:kern w:val="0"/>
        </w:rPr>
        <w:t>之</w:t>
      </w:r>
      <w:r>
        <w:rPr>
          <w:rFonts w:hint="eastAsia"/>
          <w:w w:val="105"/>
        </w:rPr>
        <w:t>）訂定。但各主管院得視實際需要授權所屬機關依其業務特性定之</w:t>
      </w:r>
      <w:r>
        <w:rPr>
          <w:w w:val="105"/>
        </w:rPr>
        <w:t>（陞遷法</w:t>
      </w:r>
      <w:r>
        <w:rPr>
          <w:spacing w:val="45"/>
          <w:kern w:val="0"/>
        </w:rPr>
        <w:t>第</w:t>
      </w:r>
      <w:r>
        <w:rPr>
          <w:rFonts w:hAnsi="Arial" w:hint="eastAsia"/>
          <w:spacing w:val="45"/>
          <w:kern w:val="0"/>
        </w:rPr>
        <w:t>7</w:t>
      </w:r>
      <w:r>
        <w:rPr>
          <w:kern w:val="0"/>
        </w:rPr>
        <w:t>條</w:t>
      </w:r>
      <w:r>
        <w:rPr>
          <w:rFonts w:hint="eastAsia"/>
          <w:kern w:val="0"/>
        </w:rPr>
        <w:t>第</w:t>
      </w:r>
      <w:r>
        <w:rPr>
          <w:rFonts w:hint="eastAsia"/>
          <w:kern w:val="0"/>
        </w:rPr>
        <w:t>3</w:t>
      </w:r>
      <w:r>
        <w:rPr>
          <w:rFonts w:hint="eastAsia"/>
          <w:kern w:val="0"/>
        </w:rPr>
        <w:t>項、施行細則第</w:t>
      </w:r>
      <w:r>
        <w:rPr>
          <w:rFonts w:hint="eastAsia"/>
          <w:kern w:val="0"/>
        </w:rPr>
        <w:t>5</w:t>
      </w:r>
      <w:r>
        <w:rPr>
          <w:rFonts w:hint="eastAsia"/>
          <w:kern w:val="0"/>
        </w:rPr>
        <w:t>條第</w:t>
      </w:r>
      <w:r>
        <w:rPr>
          <w:rFonts w:hint="eastAsia"/>
          <w:kern w:val="0"/>
        </w:rPr>
        <w:t>1</w:t>
      </w:r>
      <w:r>
        <w:rPr>
          <w:rFonts w:hint="eastAsia"/>
          <w:kern w:val="0"/>
        </w:rPr>
        <w:t>、</w:t>
      </w:r>
      <w:r>
        <w:rPr>
          <w:rFonts w:hint="eastAsia"/>
          <w:kern w:val="0"/>
        </w:rPr>
        <w:t>2</w:t>
      </w:r>
      <w:r>
        <w:rPr>
          <w:rFonts w:hint="eastAsia"/>
          <w:kern w:val="0"/>
        </w:rPr>
        <w:t>項</w:t>
      </w:r>
      <w:r>
        <w:rPr>
          <w:w w:val="105"/>
        </w:rPr>
        <w:t>）</w:t>
      </w:r>
      <w:r>
        <w:rPr>
          <w:rFonts w:hint="eastAsia"/>
          <w:w w:val="105"/>
        </w:rPr>
        <w:t>。</w:t>
      </w:r>
    </w:p>
    <w:p w:rsidR="007D6688" w:rsidRDefault="007D6688">
      <w:pPr>
        <w:pStyle w:val="ab"/>
        <w:spacing w:before="180" w:line="480" w:lineRule="auto"/>
        <w:ind w:firstLine="503"/>
        <w:rPr>
          <w:rFonts w:hint="eastAsia"/>
          <w:w w:val="105"/>
        </w:rPr>
      </w:pPr>
      <w:r>
        <w:rPr>
          <w:rFonts w:hint="eastAsia"/>
          <w:w w:val="105"/>
        </w:rPr>
        <w:t>如果各機關辦理公務人員之遷調，得參酌陞任之規定，自行訂定資格條件之審查項目</w:t>
      </w:r>
      <w:r>
        <w:rPr>
          <w:w w:val="105"/>
        </w:rPr>
        <w:t>（陞遷法</w:t>
      </w:r>
      <w:r>
        <w:rPr>
          <w:spacing w:val="45"/>
          <w:kern w:val="0"/>
        </w:rPr>
        <w:t>第</w:t>
      </w:r>
      <w:r>
        <w:rPr>
          <w:rFonts w:hAnsi="Arial" w:hint="eastAsia"/>
          <w:spacing w:val="45"/>
          <w:kern w:val="0"/>
        </w:rPr>
        <w:t>7</w:t>
      </w:r>
      <w:r>
        <w:rPr>
          <w:kern w:val="0"/>
        </w:rPr>
        <w:t>條</w:t>
      </w:r>
      <w:r>
        <w:rPr>
          <w:rFonts w:hint="eastAsia"/>
          <w:kern w:val="0"/>
        </w:rPr>
        <w:t>第</w:t>
      </w:r>
      <w:r>
        <w:rPr>
          <w:rFonts w:hint="eastAsia"/>
          <w:kern w:val="0"/>
        </w:rPr>
        <w:t>4</w:t>
      </w:r>
      <w:r>
        <w:rPr>
          <w:rFonts w:hint="eastAsia"/>
          <w:kern w:val="0"/>
        </w:rPr>
        <w:t>項</w:t>
      </w:r>
      <w:r>
        <w:rPr>
          <w:w w:val="105"/>
        </w:rPr>
        <w:t>）</w:t>
      </w:r>
      <w:r>
        <w:rPr>
          <w:rFonts w:hint="eastAsia"/>
          <w:w w:val="105"/>
        </w:rPr>
        <w:t>。</w:t>
      </w:r>
    </w:p>
    <w:p w:rsidR="007D6688" w:rsidRDefault="007D6688">
      <w:pPr>
        <w:pStyle w:val="ab"/>
        <w:spacing w:before="180" w:line="480" w:lineRule="auto"/>
        <w:ind w:firstLine="503"/>
        <w:rPr>
          <w:rFonts w:ascii="細明體" w:eastAsia="細明體" w:hAnsi="細明體" w:cs="細明體"/>
          <w:kern w:val="0"/>
        </w:rPr>
      </w:pPr>
      <w:r>
        <w:rPr>
          <w:rFonts w:hint="eastAsia"/>
          <w:w w:val="105"/>
        </w:rPr>
        <w:t>各主管院</w:t>
      </w:r>
      <w:r>
        <w:rPr>
          <w:rFonts w:ascii="細明體" w:eastAsia="細明體" w:hAnsi="細明體" w:cs="細明體"/>
          <w:kern w:val="0"/>
        </w:rPr>
        <w:t>訂定</w:t>
      </w:r>
      <w:r>
        <w:rPr>
          <w:rFonts w:ascii="細明體" w:eastAsia="細明體" w:hAnsi="細明體" w:cs="細明體" w:hint="eastAsia"/>
          <w:kern w:val="0"/>
        </w:rPr>
        <w:t>評分</w:t>
      </w:r>
      <w:r>
        <w:rPr>
          <w:rFonts w:ascii="細明體" w:eastAsia="細明體" w:hAnsi="細明體" w:cs="細明體"/>
          <w:kern w:val="0"/>
        </w:rPr>
        <w:t>標準時，應依機關業務性質、職務特性或任用層級，就各項目分別訂定評定因素、評分標準及最高分數，並以一百分為滿分</w:t>
      </w:r>
      <w:r>
        <w:rPr>
          <w:w w:val="105"/>
        </w:rPr>
        <w:t>（</w:t>
      </w:r>
      <w:r>
        <w:rPr>
          <w:rFonts w:hint="eastAsia"/>
          <w:kern w:val="0"/>
        </w:rPr>
        <w:t>施行細則第</w:t>
      </w:r>
      <w:r>
        <w:rPr>
          <w:rFonts w:hint="eastAsia"/>
          <w:kern w:val="0"/>
        </w:rPr>
        <w:t>5</w:t>
      </w:r>
      <w:r>
        <w:rPr>
          <w:rFonts w:hint="eastAsia"/>
          <w:kern w:val="0"/>
        </w:rPr>
        <w:t>條第</w:t>
      </w:r>
      <w:r>
        <w:rPr>
          <w:rFonts w:hint="eastAsia"/>
          <w:kern w:val="0"/>
        </w:rPr>
        <w:t>3</w:t>
      </w:r>
      <w:r>
        <w:rPr>
          <w:rFonts w:hint="eastAsia"/>
          <w:kern w:val="0"/>
        </w:rPr>
        <w:t>項</w:t>
      </w:r>
      <w:r>
        <w:rPr>
          <w:w w:val="105"/>
        </w:rPr>
        <w:t>）</w:t>
      </w:r>
      <w:r>
        <w:rPr>
          <w:rFonts w:ascii="細明體" w:eastAsia="細明體" w:hAnsi="細明體" w:cs="細明體"/>
          <w:kern w:val="0"/>
        </w:rPr>
        <w:t>。</w:t>
      </w:r>
    </w:p>
    <w:p w:rsidR="007D6688" w:rsidRDefault="007D6688">
      <w:pPr>
        <w:pStyle w:val="ab"/>
        <w:spacing w:before="180" w:line="480" w:lineRule="auto"/>
        <w:ind w:firstLine="480"/>
        <w:rPr>
          <w:rFonts w:hint="eastAsia"/>
          <w:w w:val="105"/>
          <w:sz w:val="18"/>
        </w:rPr>
      </w:pPr>
      <w:r>
        <w:rPr>
          <w:rFonts w:ascii="細明體" w:eastAsia="細明體" w:hAnsi="細明體" w:cs="細明體"/>
          <w:kern w:val="0"/>
        </w:rPr>
        <w:t>甄審委員會</w:t>
      </w:r>
      <w:r>
        <w:rPr>
          <w:rFonts w:ascii="細明體" w:eastAsia="細明體" w:hAnsi="細明體" w:cs="細明體" w:hint="eastAsia"/>
          <w:kern w:val="0"/>
        </w:rPr>
        <w:t>的另外任務還包括</w:t>
      </w:r>
      <w:r>
        <w:rPr>
          <w:rFonts w:ascii="細明體" w:eastAsia="細明體" w:hAnsi="細明體" w:cs="細明體"/>
          <w:kern w:val="0"/>
        </w:rPr>
        <w:t>辦理面試及測驗方式之決定</w:t>
      </w:r>
      <w:r>
        <w:rPr>
          <w:w w:val="105"/>
        </w:rPr>
        <w:t>（</w:t>
      </w:r>
      <w:r>
        <w:rPr>
          <w:rFonts w:hint="eastAsia"/>
          <w:kern w:val="0"/>
        </w:rPr>
        <w:t>施行細則第</w:t>
      </w:r>
      <w:r>
        <w:rPr>
          <w:rFonts w:hint="eastAsia"/>
          <w:kern w:val="0"/>
        </w:rPr>
        <w:t>9</w:t>
      </w:r>
      <w:r>
        <w:rPr>
          <w:rFonts w:hint="eastAsia"/>
          <w:kern w:val="0"/>
        </w:rPr>
        <w:t>條第</w:t>
      </w:r>
      <w:r>
        <w:rPr>
          <w:rFonts w:hint="eastAsia"/>
          <w:kern w:val="0"/>
        </w:rPr>
        <w:t>3</w:t>
      </w:r>
      <w:r>
        <w:rPr>
          <w:rFonts w:hint="eastAsia"/>
          <w:kern w:val="0"/>
        </w:rPr>
        <w:t>款</w:t>
      </w:r>
      <w:r>
        <w:rPr>
          <w:w w:val="105"/>
        </w:rPr>
        <w:t>）</w:t>
      </w:r>
      <w:r>
        <w:rPr>
          <w:rFonts w:ascii="細明體" w:eastAsia="細明體" w:hAnsi="細明體" w:cs="細明體"/>
          <w:kern w:val="0"/>
        </w:rPr>
        <w:t>。</w:t>
      </w:r>
      <w:r>
        <w:rPr>
          <w:rFonts w:hint="eastAsia"/>
          <w:w w:val="105"/>
        </w:rPr>
        <w:t>各機關辦理本機關人員之陞任，必要時，並得舉行面試或測驗。如係主管職務，並應評核其領導能力。擬由他機關人員陞任時，得參酌本項規定辦理之</w:t>
      </w:r>
      <w:r>
        <w:rPr>
          <w:w w:val="105"/>
        </w:rPr>
        <w:t>（陞遷法</w:t>
      </w:r>
      <w:r>
        <w:rPr>
          <w:rFonts w:hint="eastAsia"/>
          <w:kern w:val="0"/>
        </w:rPr>
        <w:t>第</w:t>
      </w:r>
      <w:r>
        <w:rPr>
          <w:rFonts w:hint="eastAsia"/>
          <w:kern w:val="0"/>
        </w:rPr>
        <w:t>7</w:t>
      </w:r>
      <w:r>
        <w:rPr>
          <w:rFonts w:hint="eastAsia"/>
          <w:kern w:val="0"/>
        </w:rPr>
        <w:t>條第</w:t>
      </w:r>
      <w:r>
        <w:rPr>
          <w:rFonts w:hint="eastAsia"/>
          <w:kern w:val="0"/>
        </w:rPr>
        <w:t>1</w:t>
      </w:r>
      <w:r>
        <w:rPr>
          <w:rFonts w:hint="eastAsia"/>
          <w:kern w:val="0"/>
        </w:rPr>
        <w:t>項</w:t>
      </w:r>
      <w:r>
        <w:rPr>
          <w:w w:val="105"/>
        </w:rPr>
        <w:t>）</w:t>
      </w:r>
      <w:r>
        <w:rPr>
          <w:rFonts w:ascii="細明體" w:eastAsia="細明體" w:hAnsi="細明體" w:cs="細明體"/>
          <w:kern w:val="0"/>
        </w:rPr>
        <w:t>。</w:t>
      </w:r>
      <w:r>
        <w:rPr>
          <w:rFonts w:ascii="細明體" w:eastAsia="細明體" w:hAnsi="細明體" w:cs="細明體" w:hint="eastAsia"/>
          <w:kern w:val="0"/>
        </w:rPr>
        <w:t>面試與測驗舉行與否，理論上應屬機關首長或主管之裁量權限。</w:t>
      </w:r>
    </w:p>
    <w:p w:rsidR="007D6688" w:rsidRDefault="007D6688">
      <w:pPr>
        <w:pStyle w:val="3"/>
        <w:spacing w:before="180" w:after="180" w:line="480" w:lineRule="auto"/>
        <w:rPr>
          <w:rFonts w:ascii="標楷體" w:hAnsi="標楷體" w:hint="eastAsia"/>
          <w:lang w:val="de-DE"/>
        </w:rPr>
      </w:pPr>
      <w:bookmarkStart w:id="34" w:name="_Toc121199201"/>
      <w:bookmarkStart w:id="35" w:name="_Toc121212673"/>
      <w:bookmarkStart w:id="36" w:name="_Toc121212936"/>
      <w:smartTag w:uri="urn:schemas-microsoft-com:office:smarttags" w:element="chsdate">
        <w:smartTagPr>
          <w:attr w:name="Year" w:val="1899"/>
          <w:attr w:name="Month" w:val="12"/>
          <w:attr w:name="Day" w:val="30"/>
          <w:attr w:name="IsLunarDate" w:val="False"/>
          <w:attr w:name="IsROCDate" w:val="False"/>
        </w:smartTagPr>
        <w:r>
          <w:rPr>
            <w:rFonts w:hint="eastAsia"/>
            <w:lang w:val="de-DE"/>
          </w:rPr>
          <w:t>2.3.3</w:t>
        </w:r>
      </w:smartTag>
      <w:r>
        <w:rPr>
          <w:rFonts w:hint="eastAsia"/>
          <w:lang w:val="de-DE"/>
        </w:rPr>
        <w:t xml:space="preserve">. </w:t>
      </w:r>
      <w:r>
        <w:rPr>
          <w:rFonts w:ascii="標楷體" w:hAnsi="標楷體" w:hint="eastAsia"/>
          <w:lang w:val="de-DE"/>
        </w:rPr>
        <w:t>擬定陞遷名冊</w:t>
      </w:r>
      <w:bookmarkEnd w:id="34"/>
      <w:bookmarkEnd w:id="35"/>
      <w:bookmarkEnd w:id="36"/>
    </w:p>
    <w:p w:rsidR="007D6688" w:rsidRDefault="007D6688">
      <w:pPr>
        <w:pStyle w:val="ab"/>
        <w:spacing w:before="180" w:line="480" w:lineRule="auto"/>
        <w:ind w:firstLine="480"/>
        <w:rPr>
          <w:rFonts w:hint="eastAsia"/>
          <w:w w:val="105"/>
          <w:sz w:val="18"/>
        </w:rPr>
      </w:pPr>
      <w:r>
        <w:rPr>
          <w:rFonts w:ascii="細明體" w:eastAsia="細明體" w:hAnsi="細明體" w:cs="細明體" w:hint="eastAsia"/>
          <w:kern w:val="0"/>
        </w:rPr>
        <w:t>根據</w:t>
      </w:r>
      <w:r>
        <w:rPr>
          <w:w w:val="105"/>
        </w:rPr>
        <w:t>陞遷法</w:t>
      </w:r>
      <w:r>
        <w:rPr>
          <w:rFonts w:hint="eastAsia"/>
          <w:kern w:val="0"/>
        </w:rPr>
        <w:t>施行細則第</w:t>
      </w:r>
      <w:r>
        <w:rPr>
          <w:rFonts w:hint="eastAsia"/>
          <w:kern w:val="0"/>
        </w:rPr>
        <w:t>9</w:t>
      </w:r>
      <w:r>
        <w:rPr>
          <w:rFonts w:hint="eastAsia"/>
          <w:kern w:val="0"/>
        </w:rPr>
        <w:t>條第</w:t>
      </w:r>
      <w:r>
        <w:rPr>
          <w:rFonts w:hint="eastAsia"/>
          <w:kern w:val="0"/>
        </w:rPr>
        <w:t>4</w:t>
      </w:r>
      <w:r>
        <w:rPr>
          <w:rFonts w:hint="eastAsia"/>
          <w:kern w:val="0"/>
        </w:rPr>
        <w:t>、</w:t>
      </w:r>
      <w:r>
        <w:rPr>
          <w:rFonts w:hint="eastAsia"/>
          <w:kern w:val="0"/>
        </w:rPr>
        <w:t>5</w:t>
      </w:r>
      <w:r>
        <w:rPr>
          <w:rFonts w:hint="eastAsia"/>
          <w:kern w:val="0"/>
        </w:rPr>
        <w:t>款規定，</w:t>
      </w:r>
      <w:r>
        <w:rPr>
          <w:rFonts w:ascii="細明體" w:eastAsia="細明體" w:hAnsi="細明體" w:cs="細明體"/>
          <w:kern w:val="0"/>
        </w:rPr>
        <w:t>甄審委員會</w:t>
      </w:r>
      <w:r>
        <w:rPr>
          <w:rFonts w:ascii="細明體" w:eastAsia="細明體" w:hAnsi="細明體" w:cs="細明體" w:hint="eastAsia"/>
          <w:kern w:val="0"/>
        </w:rPr>
        <w:t>除</w:t>
      </w:r>
      <w:r>
        <w:rPr>
          <w:rFonts w:ascii="細明體" w:eastAsia="細明體" w:hAnsi="細明體" w:cs="細明體"/>
          <w:kern w:val="0"/>
        </w:rPr>
        <w:t>審查陞任候選人員資績評分</w:t>
      </w:r>
      <w:r>
        <w:rPr>
          <w:rFonts w:ascii="細明體" w:eastAsia="細明體" w:hAnsi="細明體" w:cs="細明體" w:hint="eastAsia"/>
          <w:kern w:val="0"/>
        </w:rPr>
        <w:t>以及</w:t>
      </w:r>
      <w:r>
        <w:rPr>
          <w:rFonts w:ascii="細明體" w:eastAsia="細明體" w:hAnsi="細明體" w:cs="細明體"/>
          <w:kern w:val="0"/>
        </w:rPr>
        <w:t>遷調候選人員資格條件之</w:t>
      </w:r>
      <w:r>
        <w:rPr>
          <w:rFonts w:ascii="細明體" w:eastAsia="細明體" w:hAnsi="細明體" w:cs="細明體" w:hint="eastAsia"/>
          <w:kern w:val="0"/>
        </w:rPr>
        <w:t>外，並應</w:t>
      </w:r>
      <w:r>
        <w:rPr>
          <w:rFonts w:ascii="細明體" w:eastAsia="細明體" w:hAnsi="細明體" w:cs="細明體"/>
          <w:kern w:val="0"/>
        </w:rPr>
        <w:t>排定陞任候選人員之名次</w:t>
      </w:r>
      <w:r>
        <w:rPr>
          <w:rFonts w:ascii="細明體" w:eastAsia="細明體" w:hAnsi="細明體" w:cs="細明體" w:hint="eastAsia"/>
          <w:kern w:val="0"/>
        </w:rPr>
        <w:t>以及</w:t>
      </w:r>
      <w:r>
        <w:rPr>
          <w:rFonts w:ascii="細明體" w:eastAsia="細明體" w:hAnsi="細明體" w:cs="細明體"/>
          <w:kern w:val="0"/>
        </w:rPr>
        <w:t>遷調候選人員遴用順序</w:t>
      </w:r>
      <w:r>
        <w:rPr>
          <w:rFonts w:ascii="細明體" w:eastAsia="細明體" w:hAnsi="細明體" w:cs="細明體" w:hint="eastAsia"/>
          <w:kern w:val="0"/>
        </w:rPr>
        <w:t>。這是指人事機關依陞遷法第9條</w:t>
      </w:r>
      <w:r>
        <w:rPr>
          <w:rFonts w:ascii="細明體" w:eastAsia="細明體" w:hAnsi="細明體" w:cs="細明體"/>
          <w:kern w:val="0"/>
        </w:rPr>
        <w:t>造列</w:t>
      </w:r>
      <w:r>
        <w:rPr>
          <w:rFonts w:ascii="細明體" w:eastAsia="細明體" w:hAnsi="細明體" w:cs="細明體" w:hint="eastAsia"/>
          <w:kern w:val="0"/>
        </w:rPr>
        <w:t>之</w:t>
      </w:r>
      <w:r>
        <w:rPr>
          <w:rFonts w:ascii="細明體" w:eastAsia="細明體" w:hAnsi="細明體" w:cs="細明體"/>
          <w:kern w:val="0"/>
        </w:rPr>
        <w:t>名冊</w:t>
      </w:r>
      <w:r>
        <w:rPr>
          <w:rFonts w:ascii="細明體" w:eastAsia="細明體" w:hAnsi="細明體" w:cs="細明體" w:hint="eastAsia"/>
          <w:kern w:val="0"/>
        </w:rPr>
        <w:t>，於其</w:t>
      </w:r>
      <w:r>
        <w:rPr>
          <w:rFonts w:ascii="細明體" w:eastAsia="細明體" w:hAnsi="細明體" w:cs="細明體"/>
          <w:kern w:val="0"/>
        </w:rPr>
        <w:t>報請機關首長交付甄審委員會評審後，甄審委員會</w:t>
      </w:r>
      <w:r>
        <w:rPr>
          <w:rFonts w:ascii="細明體" w:eastAsia="細明體" w:hAnsi="細明體" w:cs="細明體" w:hint="eastAsia"/>
          <w:kern w:val="0"/>
        </w:rPr>
        <w:t>應</w:t>
      </w:r>
      <w:r>
        <w:rPr>
          <w:rFonts w:ascii="細明體" w:eastAsia="細明體" w:hAnsi="細明體" w:cs="細明體"/>
          <w:kern w:val="0"/>
        </w:rPr>
        <w:t>提出陞任候選人員名次或遷調候選人員遴用順序，報請機關首長圈定之。</w:t>
      </w:r>
    </w:p>
    <w:p w:rsidR="007D6688" w:rsidRDefault="007D6688">
      <w:pPr>
        <w:pStyle w:val="2"/>
        <w:spacing w:line="480" w:lineRule="auto"/>
        <w:rPr>
          <w:rFonts w:hint="eastAsia"/>
          <w:lang w:val="de-DE"/>
        </w:rPr>
      </w:pPr>
      <w:bookmarkStart w:id="37" w:name="_Toc121199202"/>
      <w:bookmarkStart w:id="38" w:name="_Toc121212674"/>
      <w:bookmarkStart w:id="39" w:name="_Toc121212937"/>
      <w:r>
        <w:rPr>
          <w:rFonts w:hint="eastAsia"/>
          <w:lang w:val="de-DE"/>
        </w:rPr>
        <w:t>2.4.</w:t>
      </w:r>
      <w:r>
        <w:rPr>
          <w:lang w:val="de-DE"/>
        </w:rPr>
        <w:t>機關首長圈定</w:t>
      </w:r>
      <w:bookmarkEnd w:id="37"/>
      <w:bookmarkEnd w:id="38"/>
      <w:bookmarkEnd w:id="39"/>
    </w:p>
    <w:p w:rsidR="007D6688" w:rsidRDefault="007D6688">
      <w:pPr>
        <w:pStyle w:val="ab"/>
        <w:spacing w:before="180" w:line="480" w:lineRule="auto"/>
        <w:ind w:firstLine="480"/>
        <w:rPr>
          <w:rFonts w:hint="eastAsia"/>
          <w:w w:val="105"/>
          <w:sz w:val="18"/>
        </w:rPr>
      </w:pPr>
      <w:r>
        <w:rPr>
          <w:rFonts w:ascii="細明體" w:eastAsia="細明體" w:hAnsi="細明體" w:cs="細明體"/>
          <w:kern w:val="0"/>
        </w:rPr>
        <w:t>甄審委員會</w:t>
      </w:r>
      <w:r>
        <w:rPr>
          <w:rFonts w:ascii="細明體" w:eastAsia="細明體" w:hAnsi="細明體" w:cs="細明體" w:hint="eastAsia"/>
          <w:kern w:val="0"/>
        </w:rPr>
        <w:t>所</w:t>
      </w:r>
      <w:r>
        <w:rPr>
          <w:rFonts w:ascii="細明體" w:eastAsia="細明體" w:hAnsi="細明體" w:cs="細明體"/>
          <w:kern w:val="0"/>
        </w:rPr>
        <w:t>提出</w:t>
      </w:r>
      <w:r>
        <w:rPr>
          <w:rFonts w:ascii="細明體" w:eastAsia="細明體" w:hAnsi="細明體" w:cs="細明體" w:hint="eastAsia"/>
          <w:kern w:val="0"/>
        </w:rPr>
        <w:t>之</w:t>
      </w:r>
      <w:r>
        <w:rPr>
          <w:rFonts w:ascii="細明體" w:eastAsia="細明體" w:hAnsi="細明體" w:cs="細明體"/>
          <w:kern w:val="0"/>
        </w:rPr>
        <w:t>陞任候選人員名次或遷調候選人員遴用順序，報請機關首長圈定</w:t>
      </w:r>
      <w:r>
        <w:rPr>
          <w:rFonts w:ascii="細明體" w:eastAsia="細明體" w:hAnsi="細明體" w:cs="細明體" w:hint="eastAsia"/>
          <w:kern w:val="0"/>
        </w:rPr>
        <w:t>時，</w:t>
      </w:r>
      <w:r>
        <w:rPr>
          <w:rFonts w:hint="eastAsia"/>
          <w:w w:val="105"/>
        </w:rPr>
        <w:t>本機關首長可就前三名中圈定陞補之；如陞遷二人以上時，就陞遷人數之二倍中圈定陞補之</w:t>
      </w:r>
      <w:r>
        <w:rPr>
          <w:w w:val="105"/>
        </w:rPr>
        <w:t>（陞遷法</w:t>
      </w:r>
      <w:r>
        <w:rPr>
          <w:rFonts w:hint="eastAsia"/>
          <w:kern w:val="0"/>
        </w:rPr>
        <w:t>第</w:t>
      </w:r>
      <w:r>
        <w:rPr>
          <w:rFonts w:hint="eastAsia"/>
          <w:kern w:val="0"/>
        </w:rPr>
        <w:t>9</w:t>
      </w:r>
      <w:r>
        <w:rPr>
          <w:rFonts w:hint="eastAsia"/>
          <w:kern w:val="0"/>
        </w:rPr>
        <w:t>條第</w:t>
      </w:r>
      <w:r>
        <w:rPr>
          <w:rFonts w:hint="eastAsia"/>
          <w:kern w:val="0"/>
        </w:rPr>
        <w:t>1</w:t>
      </w:r>
      <w:r>
        <w:rPr>
          <w:rFonts w:hint="eastAsia"/>
          <w:kern w:val="0"/>
        </w:rPr>
        <w:t>項</w:t>
      </w:r>
      <w:r>
        <w:rPr>
          <w:w w:val="105"/>
        </w:rPr>
        <w:t>）</w:t>
      </w:r>
      <w:r>
        <w:rPr>
          <w:rFonts w:ascii="細明體" w:eastAsia="細明體" w:hAnsi="細明體" w:cs="細明體"/>
          <w:kern w:val="0"/>
        </w:rPr>
        <w:t>。</w:t>
      </w:r>
      <w:r>
        <w:rPr>
          <w:rFonts w:hint="eastAsia"/>
          <w:w w:val="105"/>
        </w:rPr>
        <w:t>機關首長對甄審委員會報請圈定陞遷之人選有不同意見時，並得退回重行依</w:t>
      </w:r>
      <w:r>
        <w:rPr>
          <w:w w:val="105"/>
        </w:rPr>
        <w:t>陞遷法</w:t>
      </w:r>
      <w:r>
        <w:rPr>
          <w:rFonts w:hint="eastAsia"/>
          <w:w w:val="105"/>
        </w:rPr>
        <w:t>相關規定改依其他甄選方式辦理陞遷事宜</w:t>
      </w:r>
      <w:r>
        <w:rPr>
          <w:w w:val="105"/>
        </w:rPr>
        <w:t>（陞遷法</w:t>
      </w:r>
      <w:r>
        <w:rPr>
          <w:rFonts w:hint="eastAsia"/>
          <w:kern w:val="0"/>
        </w:rPr>
        <w:t>第</w:t>
      </w:r>
      <w:r>
        <w:rPr>
          <w:rFonts w:hint="eastAsia"/>
          <w:kern w:val="0"/>
        </w:rPr>
        <w:t>9</w:t>
      </w:r>
      <w:r>
        <w:rPr>
          <w:rFonts w:hint="eastAsia"/>
          <w:kern w:val="0"/>
        </w:rPr>
        <w:t>條第</w:t>
      </w:r>
      <w:r>
        <w:rPr>
          <w:rFonts w:hint="eastAsia"/>
          <w:kern w:val="0"/>
        </w:rPr>
        <w:t>2</w:t>
      </w:r>
      <w:r>
        <w:rPr>
          <w:rFonts w:hint="eastAsia"/>
          <w:kern w:val="0"/>
        </w:rPr>
        <w:t>項</w:t>
      </w:r>
      <w:r>
        <w:rPr>
          <w:w w:val="105"/>
        </w:rPr>
        <w:t>）</w:t>
      </w:r>
      <w:r>
        <w:rPr>
          <w:rFonts w:hint="eastAsia"/>
          <w:w w:val="105"/>
        </w:rPr>
        <w:t>。這是</w:t>
      </w:r>
      <w:r>
        <w:rPr>
          <w:rFonts w:ascii="細明體" w:eastAsia="細明體" w:hAnsi="細明體" w:cs="細明體"/>
          <w:kern w:val="0"/>
        </w:rPr>
        <w:t>指如由本機關人員陞遷與由他機關人員陞遷之改變，或增列舉行面試或測驗方式等依</w:t>
      </w:r>
      <w:r>
        <w:rPr>
          <w:w w:val="105"/>
        </w:rPr>
        <w:t>陞遷</w:t>
      </w:r>
      <w:r>
        <w:rPr>
          <w:rFonts w:ascii="細明體" w:eastAsia="細明體" w:hAnsi="細明體" w:cs="細明體"/>
          <w:kern w:val="0"/>
        </w:rPr>
        <w:t>法規定辦理之事項</w:t>
      </w:r>
      <w:r>
        <w:rPr>
          <w:w w:val="105"/>
        </w:rPr>
        <w:t>（</w:t>
      </w:r>
      <w:r>
        <w:rPr>
          <w:rFonts w:hint="eastAsia"/>
          <w:kern w:val="0"/>
        </w:rPr>
        <w:t>施行細則第</w:t>
      </w:r>
      <w:r>
        <w:rPr>
          <w:rFonts w:hint="eastAsia"/>
          <w:kern w:val="0"/>
        </w:rPr>
        <w:t>10</w:t>
      </w:r>
      <w:r>
        <w:rPr>
          <w:rFonts w:hint="eastAsia"/>
          <w:kern w:val="0"/>
        </w:rPr>
        <w:t>條第</w:t>
      </w:r>
      <w:r>
        <w:rPr>
          <w:rFonts w:hint="eastAsia"/>
          <w:kern w:val="0"/>
        </w:rPr>
        <w:t>3</w:t>
      </w:r>
      <w:r>
        <w:rPr>
          <w:rFonts w:hint="eastAsia"/>
          <w:kern w:val="0"/>
        </w:rPr>
        <w:t>項</w:t>
      </w:r>
      <w:r>
        <w:rPr>
          <w:w w:val="105"/>
        </w:rPr>
        <w:t>）</w:t>
      </w:r>
      <w:r>
        <w:rPr>
          <w:rFonts w:ascii="細明體" w:eastAsia="細明體" w:hAnsi="細明體" w:cs="細明體"/>
          <w:kern w:val="0"/>
        </w:rPr>
        <w:t>。</w:t>
      </w:r>
    </w:p>
    <w:p w:rsidR="007D6688" w:rsidRDefault="007D6688">
      <w:pPr>
        <w:pStyle w:val="2"/>
        <w:spacing w:line="480" w:lineRule="auto"/>
        <w:rPr>
          <w:rFonts w:hint="eastAsia"/>
          <w:lang w:val="de-DE"/>
        </w:rPr>
      </w:pPr>
      <w:bookmarkStart w:id="40" w:name="_Toc121199203"/>
      <w:bookmarkStart w:id="41" w:name="_Toc121212675"/>
      <w:bookmarkStart w:id="42" w:name="_Toc121212938"/>
      <w:r>
        <w:rPr>
          <w:rFonts w:hint="eastAsia"/>
          <w:lang w:val="de-DE"/>
        </w:rPr>
        <w:t>2.5.</w:t>
      </w:r>
      <w:r>
        <w:rPr>
          <w:lang w:val="de-DE"/>
        </w:rPr>
        <w:t>商調時原服務機關之同意</w:t>
      </w:r>
      <w:bookmarkEnd w:id="40"/>
      <w:bookmarkEnd w:id="41"/>
      <w:bookmarkEnd w:id="42"/>
    </w:p>
    <w:p w:rsidR="007D6688" w:rsidRDefault="007D6688">
      <w:pPr>
        <w:pStyle w:val="ab"/>
        <w:spacing w:before="180" w:line="480" w:lineRule="auto"/>
        <w:ind w:firstLine="480"/>
      </w:pPr>
      <w:r>
        <w:rPr>
          <w:rFonts w:hAnsi="新細明體"/>
        </w:rPr>
        <w:t>基於公務上之利益，經常需要投入其他公務機關之公務員以供公務之需。</w:t>
      </w:r>
      <w:r>
        <w:rPr>
          <w:rFonts w:ascii="細明體" w:eastAsia="細明體" w:hAnsi="細明體" w:cs="細明體" w:hint="eastAsia"/>
          <w:kern w:val="0"/>
        </w:rPr>
        <w:t>依</w:t>
      </w:r>
      <w:r>
        <w:rPr>
          <w:rFonts w:hint="eastAsia"/>
        </w:rPr>
        <w:t>公務人員任用法第</w:t>
      </w:r>
      <w:r>
        <w:t>22</w:t>
      </w:r>
      <w:r>
        <w:rPr>
          <w:rFonts w:hint="eastAsia"/>
        </w:rPr>
        <w:t>條規定：「各機關不得任用其他機關人員。如業務需要時，得指名商調。」同法施行細則第</w:t>
      </w:r>
      <w:r>
        <w:t>21</w:t>
      </w:r>
      <w:r>
        <w:rPr>
          <w:rFonts w:hint="eastAsia"/>
        </w:rPr>
        <w:t>條規定：「本法第</w:t>
      </w:r>
      <w:r>
        <w:t>22</w:t>
      </w:r>
      <w:r>
        <w:rPr>
          <w:rFonts w:hint="eastAsia"/>
        </w:rPr>
        <w:t>條所稱如業務需要時，得指名商調之，指各機關職務出缺，如因業務需要，需任用其他機關人員時，應經該機關依公務人員陞遷法規規定辦理後，詳細敘明擬調人員之職稱、姓名及擬任之職務，函商原服務機關同意，始得調用。」</w:t>
      </w:r>
      <w:r>
        <w:rPr>
          <w:rFonts w:hAnsi="新細明體"/>
          <w:color w:val="000000"/>
        </w:rPr>
        <w:t>原則上</w:t>
      </w:r>
      <w:r>
        <w:rPr>
          <w:rFonts w:hAnsi="新細明體"/>
        </w:rPr>
        <w:t>須經公務員之同意。商調時，機關首長</w:t>
      </w:r>
      <w:r>
        <w:rPr>
          <w:rFonts w:hAnsi="新細明體" w:hint="eastAsia"/>
        </w:rPr>
        <w:t>也</w:t>
      </w:r>
      <w:r>
        <w:rPr>
          <w:rFonts w:hAnsi="新細明體"/>
        </w:rPr>
        <w:t>須書面表示同意</w:t>
      </w:r>
      <w:r>
        <w:rPr>
          <w:rFonts w:ascii="Arial" w:eastAsia="標楷體" w:hAnsi="Arial" w:hint="eastAsia"/>
        </w:rPr>
        <w:t>。</w: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sz w:val="26"/>
        </w:rPr>
      </w:pPr>
      <w:r>
        <w:rPr>
          <w:rFonts w:eastAsia="標楷體" w:hint="eastAsia"/>
          <w:sz w:val="26"/>
        </w:rPr>
        <w:t>附圖一：我國公務人員的陞遷流程</w:t>
      </w:r>
      <w:r w:rsidR="00003D2B">
        <w:rPr>
          <w:rFonts w:eastAsia="標楷體"/>
          <w:noProof/>
          <w:sz w:val="26"/>
        </w:rPr>
        <mc:AlternateContent>
          <mc:Choice Requires="wps">
            <w:drawing>
              <wp:anchor distT="0" distB="0" distL="114300" distR="114300" simplePos="0" relativeHeight="251633152" behindDoc="0" locked="0" layoutInCell="1" allowOverlap="1">
                <wp:simplePos x="0" y="0"/>
                <wp:positionH relativeFrom="column">
                  <wp:posOffset>3658235</wp:posOffset>
                </wp:positionH>
                <wp:positionV relativeFrom="paragraph">
                  <wp:posOffset>228600</wp:posOffset>
                </wp:positionV>
                <wp:extent cx="1485900" cy="685800"/>
                <wp:effectExtent l="10160" t="9525" r="18415" b="9525"/>
                <wp:wrapTopAndBottom/>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各機關應訂定陞遷序列表；並劃分「本機關」與「他機關」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05pt;margin-top:18pt;width:117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lNKQIAAFI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" strokeweight="1.5pt">
                <v:textbox>
                  <w:txbxContent>
                    <w:p w:rsidR="00E02252" w:rsidRDefault="00E02252">
                      <w:pPr>
                        <w:adjustRightInd w:val="0"/>
                        <w:snapToGrid w:val="0"/>
                        <w:spacing w:line="240" w:lineRule="atLeast"/>
                        <w:jc w:val="both"/>
                        <w:rPr>
                          <w:rFonts w:hint="eastAsia"/>
                          <w:sz w:val="22"/>
                        </w:rPr>
                      </w:pPr>
                      <w:r>
                        <w:rPr>
                          <w:rFonts w:hint="eastAsia"/>
                          <w:sz w:val="22"/>
                        </w:rPr>
                        <w:t>各機關應訂定陞遷序列表；並劃分「本機關」與「他機關」</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sz w:val="26"/>
        </w:rPr>
      </w:pPr>
      <w:r>
        <w:rPr>
          <w:rFonts w:eastAsia="標楷體"/>
          <w:noProof/>
          <w:sz w:val="26"/>
        </w:rPr>
        <mc:AlternateContent>
          <mc:Choice Requires="wps">
            <w:drawing>
              <wp:anchor distT="0" distB="0" distL="114300" distR="114300" simplePos="0" relativeHeight="251649536" behindDoc="0" locked="0" layoutInCell="1" allowOverlap="1">
                <wp:simplePos x="0" y="0"/>
                <wp:positionH relativeFrom="column">
                  <wp:posOffset>2858135</wp:posOffset>
                </wp:positionH>
                <wp:positionV relativeFrom="paragraph">
                  <wp:posOffset>244475</wp:posOffset>
                </wp:positionV>
                <wp:extent cx="800100" cy="0"/>
                <wp:effectExtent l="19685" t="63500" r="18415" b="60325"/>
                <wp:wrapTopAndBottom/>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52E2" id="Line 19"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19.25pt" to="288.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32128" behindDoc="0" locked="0" layoutInCell="1" allowOverlap="1">
                <wp:simplePos x="0" y="0"/>
                <wp:positionH relativeFrom="column">
                  <wp:posOffset>1715135</wp:posOffset>
                </wp:positionH>
                <wp:positionV relativeFrom="paragraph">
                  <wp:posOffset>130175</wp:posOffset>
                </wp:positionV>
                <wp:extent cx="1143000" cy="457200"/>
                <wp:effectExtent l="10160" t="15875" r="18415" b="1270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19050">
                          <a:solidFill>
                            <a:srgbClr val="000000"/>
                          </a:solidFill>
                          <a:miter lim="800000"/>
                          <a:headEnd/>
                          <a:tailEnd/>
                        </a:ln>
                      </wps:spPr>
                      <wps:txbx>
                        <w:txbxContent>
                          <w:p w:rsidR="00E02252" w:rsidRDefault="00E02252">
                            <w:pPr>
                              <w:pStyle w:val="af"/>
                              <w:rPr>
                                <w:rFonts w:hint="eastAsia"/>
                              </w:rPr>
                            </w:pPr>
                            <w:r>
                              <w:rPr>
                                <w:rFonts w:hint="eastAsia"/>
                              </w:rPr>
                              <w:t>職務出缺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05pt;margin-top:10.25pt;width:90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" strokeweight="1.5pt">
                <v:textbox>
                  <w:txbxContent>
                    <w:p w:rsidR="00E02252" w:rsidRDefault="00E02252">
                      <w:pPr>
                        <w:pStyle w:val="af"/>
                        <w:rPr>
                          <w:rFonts w:hint="eastAsia"/>
                        </w:rPr>
                      </w:pPr>
                      <w:r>
                        <w:rPr>
                          <w:rFonts w:hint="eastAsia"/>
                        </w:rPr>
                        <w:t>職務出缺</w:t>
                      </w:r>
                    </w:p>
                  </w:txbxContent>
                </v:textbox>
                <w10:wrap type="topAndBottom"/>
              </v:shap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sz w:val="26"/>
        </w:rPr>
      </w:pPr>
      <w:r>
        <w:rPr>
          <w:rFonts w:eastAsia="標楷體"/>
          <w:noProof/>
          <w:sz w:val="26"/>
        </w:rPr>
        <mc:AlternateContent>
          <mc:Choice Requires="wps">
            <w:drawing>
              <wp:anchor distT="0" distB="0" distL="114300" distR="114300" simplePos="0" relativeHeight="251654656" behindDoc="0" locked="0" layoutInCell="1" allowOverlap="1">
                <wp:simplePos x="0" y="0"/>
                <wp:positionH relativeFrom="column">
                  <wp:posOffset>2400935</wp:posOffset>
                </wp:positionH>
                <wp:positionV relativeFrom="paragraph">
                  <wp:posOffset>130175</wp:posOffset>
                </wp:positionV>
                <wp:extent cx="0" cy="228600"/>
                <wp:effectExtent l="10160" t="15875" r="18415" b="12700"/>
                <wp:wrapTopAndBottom/>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F376"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0.25pt" to="18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nEwIAACoEAAAOAAAAZHJzL2Uyb0RvYy54bWysU02P2yAQvVfqf0DcE3/U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" strokeweight="1.5pt">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53632" behindDoc="0" locked="0" layoutInCell="1" allowOverlap="1">
                <wp:simplePos x="0" y="0"/>
                <wp:positionH relativeFrom="column">
                  <wp:posOffset>3429635</wp:posOffset>
                </wp:positionH>
                <wp:positionV relativeFrom="paragraph">
                  <wp:posOffset>130175</wp:posOffset>
                </wp:positionV>
                <wp:extent cx="0" cy="228600"/>
                <wp:effectExtent l="57785" t="15875" r="66040" b="22225"/>
                <wp:wrapTopAndBottom/>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BDD3"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05pt,10.25pt" to="270.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52608" behindDoc="0" locked="0" layoutInCell="1" allowOverlap="1">
                <wp:simplePos x="0" y="0"/>
                <wp:positionH relativeFrom="column">
                  <wp:posOffset>4801235</wp:posOffset>
                </wp:positionH>
                <wp:positionV relativeFrom="paragraph">
                  <wp:posOffset>130175</wp:posOffset>
                </wp:positionV>
                <wp:extent cx="0" cy="228600"/>
                <wp:effectExtent l="57785" t="15875" r="66040" b="22225"/>
                <wp:wrapTopAndBottom/>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0F29"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05pt,10.25pt" to="378.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51584" behindDoc="0" locked="0" layoutInCell="1" allowOverlap="1">
                <wp:simplePos x="0" y="0"/>
                <wp:positionH relativeFrom="column">
                  <wp:posOffset>1029335</wp:posOffset>
                </wp:positionH>
                <wp:positionV relativeFrom="paragraph">
                  <wp:posOffset>130175</wp:posOffset>
                </wp:positionV>
                <wp:extent cx="3771900" cy="0"/>
                <wp:effectExtent l="10160" t="15875" r="18415" b="12700"/>
                <wp:wrapTopAndBottom/>
                <wp:docPr id="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91923" id="Line 2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0.25pt" to="37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if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" strokeweight="1.5pt">
                <w10:wrap type="topAndBottom"/>
              </v:line>
            </w:pict>
          </mc:Fallback>
        </mc:AlternateContent>
      </w:r>
      <w:r>
        <w:rPr>
          <w:rFonts w:eastAsia="標楷體"/>
          <w:noProof/>
          <w:sz w:val="26"/>
        </w:rPr>
        <mc:AlternateContent>
          <mc:Choice Requires="wps">
            <w:drawing>
              <wp:anchor distT="0" distB="0" distL="114300" distR="114300" simplePos="0" relativeHeight="251650560" behindDoc="0" locked="0" layoutInCell="1" allowOverlap="1">
                <wp:simplePos x="0" y="0"/>
                <wp:positionH relativeFrom="column">
                  <wp:posOffset>1029335</wp:posOffset>
                </wp:positionH>
                <wp:positionV relativeFrom="paragraph">
                  <wp:posOffset>130175</wp:posOffset>
                </wp:positionV>
                <wp:extent cx="0" cy="228600"/>
                <wp:effectExtent l="57785" t="15875" r="66040" b="22225"/>
                <wp:wrapTopAndBottom/>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0C69" id="Line 2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0.25pt" to="81.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8512" behindDoc="0" locked="0" layoutInCell="1" allowOverlap="1">
                <wp:simplePos x="0" y="0"/>
                <wp:positionH relativeFrom="column">
                  <wp:posOffset>4458335</wp:posOffset>
                </wp:positionH>
                <wp:positionV relativeFrom="paragraph">
                  <wp:posOffset>130175</wp:posOffset>
                </wp:positionV>
                <wp:extent cx="685800" cy="1028700"/>
                <wp:effectExtent l="10160" t="15875" r="18415" b="12700"/>
                <wp:wrapTopAndBottom/>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287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免經甄審逕行陞遷或優先陞任人員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51.05pt;margin-top:10.25pt;width:54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5aKLQIAAFo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" strokeweight="1.5pt">
                <v:textbox>
                  <w:txbxContent>
                    <w:p w:rsidR="00E02252" w:rsidRDefault="00E02252">
                      <w:pPr>
                        <w:adjustRightInd w:val="0"/>
                        <w:snapToGrid w:val="0"/>
                        <w:spacing w:line="240" w:lineRule="atLeast"/>
                        <w:jc w:val="both"/>
                        <w:rPr>
                          <w:rFonts w:hint="eastAsia"/>
                          <w:sz w:val="22"/>
                        </w:rPr>
                      </w:pPr>
                      <w:r>
                        <w:rPr>
                          <w:rFonts w:hint="eastAsia"/>
                          <w:sz w:val="22"/>
                        </w:rPr>
                        <w:t>免經甄審逕行陞遷或優先陞任人員</w:t>
                      </w:r>
                    </w:p>
                  </w:txbxContent>
                </v:textbox>
                <w10:wrap type="topAndBottom"/>
              </v:shape>
            </w:pict>
          </mc:Fallback>
        </mc:AlternateContent>
      </w:r>
      <w:r>
        <w:rPr>
          <w:rFonts w:eastAsia="標楷體"/>
          <w:noProof/>
          <w:sz w:val="26"/>
        </w:rPr>
        <mc:AlternateContent>
          <mc:Choice Requires="wps">
            <w:drawing>
              <wp:anchor distT="0" distB="0" distL="114300" distR="114300" simplePos="0" relativeHeight="251635200" behindDoc="0" locked="0" layoutInCell="1" allowOverlap="1">
                <wp:simplePos x="0" y="0"/>
                <wp:positionH relativeFrom="column">
                  <wp:posOffset>2972435</wp:posOffset>
                </wp:positionH>
                <wp:positionV relativeFrom="paragraph">
                  <wp:posOffset>130175</wp:posOffset>
                </wp:positionV>
                <wp:extent cx="1028700" cy="1028700"/>
                <wp:effectExtent l="10160" t="15875" r="18415" b="12700"/>
                <wp:wrapTopAndBottom/>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遷調：遷調相關職務；非主管職務遷調主管職務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34.05pt;margin-top:10.25pt;width:81pt;height:8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" strokeweight="1.5pt">
                <v:textbox>
                  <w:txbxContent>
                    <w:p w:rsidR="00E02252" w:rsidRDefault="00E02252">
                      <w:pPr>
                        <w:adjustRightInd w:val="0"/>
                        <w:snapToGrid w:val="0"/>
                        <w:spacing w:line="240" w:lineRule="atLeast"/>
                        <w:jc w:val="both"/>
                        <w:rPr>
                          <w:rFonts w:hint="eastAsia"/>
                          <w:sz w:val="22"/>
                        </w:rPr>
                      </w:pPr>
                      <w:r>
                        <w:rPr>
                          <w:rFonts w:hint="eastAsia"/>
                          <w:sz w:val="22"/>
                        </w:rPr>
                        <w:t>遷調：遷調相關職務；非主管職務遷調主管職務</w:t>
                      </w:r>
                    </w:p>
                  </w:txbxContent>
                </v:textbox>
                <w10:wrap type="topAndBottom"/>
              </v:shape>
            </w:pict>
          </mc:Fallback>
        </mc:AlternateContent>
      </w:r>
      <w:r>
        <w:rPr>
          <w:rFonts w:eastAsia="標楷體"/>
          <w:noProof/>
          <w:sz w:val="26"/>
        </w:rPr>
        <mc:AlternateContent>
          <mc:Choice Requires="wps">
            <w:drawing>
              <wp:anchor distT="0" distB="0" distL="114300" distR="114300" simplePos="0" relativeHeight="251634176" behindDoc="0" locked="0" layoutInCell="1" allowOverlap="1">
                <wp:simplePos x="0" y="0"/>
                <wp:positionH relativeFrom="column">
                  <wp:posOffset>229235</wp:posOffset>
                </wp:positionH>
                <wp:positionV relativeFrom="paragraph">
                  <wp:posOffset>130175</wp:posOffset>
                </wp:positionV>
                <wp:extent cx="1943100" cy="457200"/>
                <wp:effectExtent l="10160" t="15875" r="18415" b="12700"/>
                <wp:wrapTopAndBottom/>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陞任：陞任較高職務；非主管職務陞任主管職務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8.05pt;margin-top:10.25pt;width:153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" strokeweight="1.5pt">
                <v:textbox>
                  <w:txbxContent>
                    <w:p w:rsidR="00E02252" w:rsidRDefault="00E02252">
                      <w:pPr>
                        <w:adjustRightInd w:val="0"/>
                        <w:snapToGrid w:val="0"/>
                        <w:spacing w:line="240" w:lineRule="atLeast"/>
                        <w:rPr>
                          <w:rFonts w:hint="eastAsia"/>
                          <w:sz w:val="22"/>
                        </w:rPr>
                      </w:pPr>
                      <w:r>
                        <w:rPr>
                          <w:rFonts w:hint="eastAsia"/>
                          <w:sz w:val="22"/>
                        </w:rPr>
                        <w:t>陞任：陞任較高職務；非主管職務陞任主管職務</w:t>
                      </w:r>
                    </w:p>
                  </w:txbxContent>
                </v:textbox>
                <w10:wrap type="topAndBottom"/>
              </v:shap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55680" behindDoc="0" locked="0" layoutInCell="1" allowOverlap="1">
                <wp:simplePos x="0" y="0"/>
                <wp:positionH relativeFrom="column">
                  <wp:posOffset>1029335</wp:posOffset>
                </wp:positionH>
                <wp:positionV relativeFrom="paragraph">
                  <wp:posOffset>130175</wp:posOffset>
                </wp:positionV>
                <wp:extent cx="0" cy="228600"/>
                <wp:effectExtent l="57785" t="15875" r="66040" b="22225"/>
                <wp:wrapTopAndBottom/>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FD28"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0.25pt" to="81.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I0KQ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36224" behindDoc="0" locked="0" layoutInCell="1" allowOverlap="1">
                <wp:simplePos x="0" y="0"/>
                <wp:positionH relativeFrom="column">
                  <wp:posOffset>229235</wp:posOffset>
                </wp:positionH>
                <wp:positionV relativeFrom="paragraph">
                  <wp:posOffset>130175</wp:posOffset>
                </wp:positionV>
                <wp:extent cx="2057400" cy="342900"/>
                <wp:effectExtent l="10160" t="15875" r="18415" b="12700"/>
                <wp:wrapTopAndBottom/>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簽報機關首長決定內陞或外補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8.05pt;margin-top:10.25pt;width:162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Oh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" strokeweight="1.5pt">
                <v:textbox>
                  <w:txbxContent>
                    <w:p w:rsidR="00E02252" w:rsidRDefault="00E02252">
                      <w:pPr>
                        <w:adjustRightInd w:val="0"/>
                        <w:snapToGrid w:val="0"/>
                        <w:spacing w:line="240" w:lineRule="atLeast"/>
                        <w:rPr>
                          <w:rFonts w:hint="eastAsia"/>
                          <w:sz w:val="22"/>
                        </w:rPr>
                      </w:pPr>
                      <w:r>
                        <w:rPr>
                          <w:rFonts w:hint="eastAsia"/>
                          <w:sz w:val="22"/>
                        </w:rPr>
                        <w:t>簽報機關首長決定內陞或外補</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3088" behindDoc="0" locked="0" layoutInCell="1" allowOverlap="1">
                <wp:simplePos x="0" y="0"/>
                <wp:positionH relativeFrom="column">
                  <wp:posOffset>4915535</wp:posOffset>
                </wp:positionH>
                <wp:positionV relativeFrom="paragraph">
                  <wp:posOffset>244475</wp:posOffset>
                </wp:positionV>
                <wp:extent cx="0" cy="3543300"/>
                <wp:effectExtent l="10160" t="15875" r="18415" b="12700"/>
                <wp:wrapTopAndBottom/>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5AAE" id="Line 4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05pt,19.25pt" to="387.05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" strokeweight="1.5pt">
                <w10:wrap type="topAndBottom"/>
              </v:line>
            </w:pict>
          </mc:Fallback>
        </mc:AlternateContent>
      </w:r>
      <w:r>
        <w:rPr>
          <w:rFonts w:eastAsia="標楷體"/>
          <w:noProof/>
          <w:sz w:val="26"/>
        </w:rPr>
        <mc:AlternateContent>
          <mc:Choice Requires="wps">
            <w:drawing>
              <wp:anchor distT="0" distB="0" distL="114300" distR="114300" simplePos="0" relativeHeight="251667968" behindDoc="0" locked="0" layoutInCell="1" allowOverlap="1">
                <wp:simplePos x="0" y="0"/>
                <wp:positionH relativeFrom="column">
                  <wp:posOffset>3658235</wp:posOffset>
                </wp:positionH>
                <wp:positionV relativeFrom="paragraph">
                  <wp:posOffset>244475</wp:posOffset>
                </wp:positionV>
                <wp:extent cx="228600" cy="342900"/>
                <wp:effectExtent l="10160" t="15875" r="56515" b="50800"/>
                <wp:wrapTopAndBottom/>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3E60" id="Line 3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9.25pt" to="306.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66944" behindDoc="0" locked="0" layoutInCell="1" allowOverlap="1">
                <wp:simplePos x="0" y="0"/>
                <wp:positionH relativeFrom="column">
                  <wp:posOffset>3201035</wp:posOffset>
                </wp:positionH>
                <wp:positionV relativeFrom="paragraph">
                  <wp:posOffset>244475</wp:posOffset>
                </wp:positionV>
                <wp:extent cx="228600" cy="342900"/>
                <wp:effectExtent l="57785" t="15875" r="18415" b="50800"/>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15C9F" id="Line 3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19.25pt" to="270.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2FMwIAAFsEAAAOAAAAZHJzL2Uyb0RvYy54bWysVM2O2jAQvlfqO1i+Q37IUo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57728" behindDoc="0" locked="0" layoutInCell="1" allowOverlap="1">
                <wp:simplePos x="0" y="0"/>
                <wp:positionH relativeFrom="column">
                  <wp:posOffset>1143635</wp:posOffset>
                </wp:positionH>
                <wp:positionV relativeFrom="paragraph">
                  <wp:posOffset>244475</wp:posOffset>
                </wp:positionV>
                <wp:extent cx="342900" cy="342900"/>
                <wp:effectExtent l="10160" t="15875" r="56515" b="5080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5CA6"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9.25pt" to="117.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56704" behindDoc="0" locked="0" layoutInCell="1" allowOverlap="1">
                <wp:simplePos x="0" y="0"/>
                <wp:positionH relativeFrom="column">
                  <wp:posOffset>686435</wp:posOffset>
                </wp:positionH>
                <wp:positionV relativeFrom="paragraph">
                  <wp:posOffset>244475</wp:posOffset>
                </wp:positionV>
                <wp:extent cx="342900" cy="342900"/>
                <wp:effectExtent l="57785" t="15875" r="18415" b="5080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6B4D" id="Line 2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9.25pt" to="81.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h+MgIAAFsEAAAOAAAAZHJzL2Uyb0RvYy54bWysVM2O2jAQvlfqO1i+QxLIUo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" strokeweight="1.5pt">
                <v:stroke endarrow="block"/>
                <w10:wrap type="topAndBottom"/>
              </v:lin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6464" behindDoc="0" locked="0" layoutInCell="1" allowOverlap="1">
                <wp:simplePos x="0" y="0"/>
                <wp:positionH relativeFrom="column">
                  <wp:posOffset>3658235</wp:posOffset>
                </wp:positionH>
                <wp:positionV relativeFrom="paragraph">
                  <wp:posOffset>130175</wp:posOffset>
                </wp:positionV>
                <wp:extent cx="800100" cy="1257300"/>
                <wp:effectExtent l="10160" t="15875" r="18415" b="12700"/>
                <wp:wrapTopAndBottom/>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本機關人員之遷調，得視業務實際需要免經甄審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88.05pt;margin-top:10.25pt;width:63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" strokeweight="1.5pt">
                <v:textbox>
                  <w:txbxContent>
                    <w:p w:rsidR="00E02252" w:rsidRDefault="00E02252">
                      <w:pPr>
                        <w:adjustRightInd w:val="0"/>
                        <w:snapToGrid w:val="0"/>
                        <w:spacing w:line="240" w:lineRule="atLeast"/>
                        <w:jc w:val="both"/>
                        <w:rPr>
                          <w:rFonts w:hint="eastAsia"/>
                          <w:sz w:val="22"/>
                        </w:rPr>
                      </w:pPr>
                      <w:r>
                        <w:rPr>
                          <w:rFonts w:hint="eastAsia"/>
                          <w:sz w:val="22"/>
                        </w:rPr>
                        <w:t>本機關人員之遷調，得視業務實際需要免經甄審</w:t>
                      </w:r>
                    </w:p>
                  </w:txbxContent>
                </v:textbox>
                <w10:wrap type="topAndBottom"/>
              </v:shape>
            </w:pict>
          </mc:Fallback>
        </mc:AlternateContent>
      </w:r>
      <w:r>
        <w:rPr>
          <w:rFonts w:eastAsia="標楷體"/>
          <w:noProof/>
          <w:sz w:val="26"/>
        </w:rPr>
        <mc:AlternateContent>
          <mc:Choice Requires="wps">
            <w:drawing>
              <wp:anchor distT="0" distB="0" distL="114300" distR="114300" simplePos="0" relativeHeight="251647488" behindDoc="0" locked="0" layoutInCell="1" allowOverlap="1">
                <wp:simplePos x="0" y="0"/>
                <wp:positionH relativeFrom="column">
                  <wp:posOffset>2743835</wp:posOffset>
                </wp:positionH>
                <wp:positionV relativeFrom="paragraph">
                  <wp:posOffset>130175</wp:posOffset>
                </wp:positionV>
                <wp:extent cx="800100" cy="914400"/>
                <wp:effectExtent l="10160" t="15875" r="18415" b="12700"/>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各機關自行訂定資格條件之審查項目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16.05pt;margin-top:10.25pt;width:63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" strokeweight="1.5pt">
                <v:textbox>
                  <w:txbxContent>
                    <w:p w:rsidR="00E02252" w:rsidRDefault="00E02252">
                      <w:pPr>
                        <w:adjustRightInd w:val="0"/>
                        <w:snapToGrid w:val="0"/>
                        <w:spacing w:line="240" w:lineRule="atLeast"/>
                        <w:jc w:val="both"/>
                        <w:rPr>
                          <w:rFonts w:hint="eastAsia"/>
                          <w:sz w:val="22"/>
                        </w:rPr>
                      </w:pPr>
                      <w:r>
                        <w:rPr>
                          <w:rFonts w:hint="eastAsia"/>
                          <w:sz w:val="22"/>
                        </w:rPr>
                        <w:t>各機關自行訂定資格條件之審查項目</w:t>
                      </w:r>
                    </w:p>
                  </w:txbxContent>
                </v:textbox>
                <w10:wrap type="topAndBottom"/>
              </v:shape>
            </w:pict>
          </mc:Fallback>
        </mc:AlternateContent>
      </w:r>
      <w:r>
        <w:rPr>
          <w:rFonts w:eastAsia="標楷體"/>
          <w:noProof/>
          <w:sz w:val="26"/>
        </w:rPr>
        <mc:AlternateContent>
          <mc:Choice Requires="wps">
            <w:drawing>
              <wp:anchor distT="0" distB="0" distL="114300" distR="114300" simplePos="0" relativeHeight="251638272" behindDoc="0" locked="0" layoutInCell="1" allowOverlap="1">
                <wp:simplePos x="0" y="0"/>
                <wp:positionH relativeFrom="column">
                  <wp:posOffset>1372235</wp:posOffset>
                </wp:positionH>
                <wp:positionV relativeFrom="paragraph">
                  <wp:posOffset>130175</wp:posOffset>
                </wp:positionV>
                <wp:extent cx="800100" cy="457200"/>
                <wp:effectExtent l="10160" t="15875" r="18415" b="12700"/>
                <wp:wrapTopAndBottom/>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外補：</w:t>
                            </w:r>
                          </w:p>
                          <w:p w:rsidR="00E02252" w:rsidRDefault="00E02252">
                            <w:pPr>
                              <w:adjustRightInd w:val="0"/>
                              <w:snapToGrid w:val="0"/>
                              <w:spacing w:line="240" w:lineRule="atLeast"/>
                              <w:rPr>
                                <w:rFonts w:hint="eastAsia"/>
                                <w:sz w:val="22"/>
                              </w:rPr>
                            </w:pPr>
                            <w:r>
                              <w:rPr>
                                <w:rFonts w:hint="eastAsia"/>
                                <w:sz w:val="22"/>
                              </w:rPr>
                              <w:t>公開甄選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08.05pt;margin-top:10.25pt;width:63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" strokeweight="1.5pt">
                <v:textbox>
                  <w:txbxContent>
                    <w:p w:rsidR="00E02252" w:rsidRDefault="00E02252">
                      <w:pPr>
                        <w:adjustRightInd w:val="0"/>
                        <w:snapToGrid w:val="0"/>
                        <w:spacing w:line="240" w:lineRule="atLeast"/>
                        <w:rPr>
                          <w:rFonts w:hint="eastAsia"/>
                          <w:sz w:val="22"/>
                        </w:rPr>
                      </w:pPr>
                      <w:r>
                        <w:rPr>
                          <w:rFonts w:hint="eastAsia"/>
                          <w:sz w:val="22"/>
                        </w:rPr>
                        <w:t>外補：</w:t>
                      </w:r>
                    </w:p>
                    <w:p w:rsidR="00E02252" w:rsidRDefault="00E02252">
                      <w:pPr>
                        <w:adjustRightInd w:val="0"/>
                        <w:snapToGrid w:val="0"/>
                        <w:spacing w:line="240" w:lineRule="atLeast"/>
                        <w:rPr>
                          <w:rFonts w:hint="eastAsia"/>
                          <w:sz w:val="22"/>
                        </w:rPr>
                      </w:pPr>
                      <w:r>
                        <w:rPr>
                          <w:rFonts w:hint="eastAsia"/>
                          <w:sz w:val="22"/>
                        </w:rPr>
                        <w:t>公開甄選</w:t>
                      </w:r>
                    </w:p>
                  </w:txbxContent>
                </v:textbox>
                <w10:wrap type="topAndBottom"/>
              </v:shape>
            </w:pict>
          </mc:Fallback>
        </mc:AlternateContent>
      </w:r>
      <w:r>
        <w:rPr>
          <w:rFonts w:eastAsia="標楷體"/>
          <w:noProof/>
          <w:sz w:val="26"/>
        </w:rPr>
        <mc:AlternateContent>
          <mc:Choice Requires="wps">
            <w:drawing>
              <wp:anchor distT="0" distB="0" distL="114300" distR="114300" simplePos="0" relativeHeight="251637248" behindDoc="0" locked="0" layoutInCell="1" allowOverlap="1">
                <wp:simplePos x="0" y="0"/>
                <wp:positionH relativeFrom="column">
                  <wp:posOffset>229235</wp:posOffset>
                </wp:positionH>
                <wp:positionV relativeFrom="paragraph">
                  <wp:posOffset>130175</wp:posOffset>
                </wp:positionV>
                <wp:extent cx="800100" cy="457200"/>
                <wp:effectExtent l="10160" t="15875" r="18415" b="12700"/>
                <wp:wrapTopAndBottom/>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內陞：</w:t>
                            </w:r>
                          </w:p>
                          <w:p w:rsidR="00E02252" w:rsidRDefault="00E02252">
                            <w:pPr>
                              <w:adjustRightInd w:val="0"/>
                              <w:snapToGrid w:val="0"/>
                              <w:spacing w:line="240" w:lineRule="atLeast"/>
                              <w:rPr>
                                <w:rFonts w:hint="eastAsia"/>
                                <w:sz w:val="22"/>
                              </w:rPr>
                            </w:pPr>
                            <w:r>
                              <w:rPr>
                                <w:rFonts w:hint="eastAsia"/>
                                <w:sz w:val="22"/>
                              </w:rPr>
                              <w:t>辦理甄審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8.05pt;margin-top:10.25pt;width:63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" strokeweight="1.5pt">
                <v:textbox>
                  <w:txbxContent>
                    <w:p w:rsidR="00E02252" w:rsidRDefault="00E02252">
                      <w:pPr>
                        <w:adjustRightInd w:val="0"/>
                        <w:snapToGrid w:val="0"/>
                        <w:spacing w:line="240" w:lineRule="atLeast"/>
                        <w:rPr>
                          <w:rFonts w:hint="eastAsia"/>
                          <w:sz w:val="22"/>
                        </w:rPr>
                      </w:pPr>
                      <w:r>
                        <w:rPr>
                          <w:rFonts w:hint="eastAsia"/>
                          <w:sz w:val="22"/>
                        </w:rPr>
                        <w:t>內陞：</w:t>
                      </w:r>
                    </w:p>
                    <w:p w:rsidR="00E02252" w:rsidRDefault="00E02252">
                      <w:pPr>
                        <w:adjustRightInd w:val="0"/>
                        <w:snapToGrid w:val="0"/>
                        <w:spacing w:line="240" w:lineRule="atLeast"/>
                        <w:rPr>
                          <w:rFonts w:hint="eastAsia"/>
                          <w:sz w:val="22"/>
                        </w:rPr>
                      </w:pPr>
                      <w:r>
                        <w:rPr>
                          <w:rFonts w:hint="eastAsia"/>
                          <w:sz w:val="22"/>
                        </w:rPr>
                        <w:t>辦理甄審</w:t>
                      </w:r>
                    </w:p>
                  </w:txbxContent>
                </v:textbox>
                <w10:wrap type="topAndBottom"/>
              </v:shap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59776" behindDoc="0" locked="0" layoutInCell="1" allowOverlap="1">
                <wp:simplePos x="0" y="0"/>
                <wp:positionH relativeFrom="column">
                  <wp:posOffset>1372235</wp:posOffset>
                </wp:positionH>
                <wp:positionV relativeFrom="paragraph">
                  <wp:posOffset>130175</wp:posOffset>
                </wp:positionV>
                <wp:extent cx="228600" cy="342900"/>
                <wp:effectExtent l="57785" t="15875" r="18415" b="5080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5630" id="Line 2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10.25pt" to="126.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58752" behindDoc="0" locked="0" layoutInCell="1" allowOverlap="1">
                <wp:simplePos x="0" y="0"/>
                <wp:positionH relativeFrom="column">
                  <wp:posOffset>686435</wp:posOffset>
                </wp:positionH>
                <wp:positionV relativeFrom="paragraph">
                  <wp:posOffset>130175</wp:posOffset>
                </wp:positionV>
                <wp:extent cx="228600" cy="342900"/>
                <wp:effectExtent l="10160" t="15875" r="56515" b="50800"/>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ACB2"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0.25pt" to="72.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39296" behindDoc="0" locked="0" layoutInCell="1" allowOverlap="1">
                <wp:simplePos x="0" y="0"/>
                <wp:positionH relativeFrom="column">
                  <wp:posOffset>229235</wp:posOffset>
                </wp:positionH>
                <wp:positionV relativeFrom="paragraph">
                  <wp:posOffset>244475</wp:posOffset>
                </wp:positionV>
                <wp:extent cx="2057400" cy="685800"/>
                <wp:effectExtent l="10160" t="15875" r="18415" b="12700"/>
                <wp:wrapTopAndBottom/>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人事單位就具有擬陞遷職務任用資格人員，依積分高低順序或資格條件造列陞遷人員名冊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18.05pt;margin-top:19.25pt;width:162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sKLAIAAFo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" strokeweight="1.5pt">
                <v:textbox>
                  <w:txbxContent>
                    <w:p w:rsidR="00E02252" w:rsidRDefault="00E02252">
                      <w:pPr>
                        <w:adjustRightInd w:val="0"/>
                        <w:snapToGrid w:val="0"/>
                        <w:spacing w:line="240" w:lineRule="atLeast"/>
                        <w:jc w:val="both"/>
                        <w:rPr>
                          <w:rFonts w:hint="eastAsia"/>
                          <w:sz w:val="22"/>
                        </w:rPr>
                      </w:pPr>
                      <w:r>
                        <w:rPr>
                          <w:rFonts w:hint="eastAsia"/>
                          <w:sz w:val="22"/>
                        </w:rPr>
                        <w:t>人事單位就具有擬陞遷職務任用資格人員，依積分高低順序或資格條件造列陞遷人員名冊</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68992" behindDoc="0" locked="0" layoutInCell="1" allowOverlap="1">
                <wp:simplePos x="0" y="0"/>
                <wp:positionH relativeFrom="column">
                  <wp:posOffset>3201035</wp:posOffset>
                </wp:positionH>
                <wp:positionV relativeFrom="paragraph">
                  <wp:posOffset>130175</wp:posOffset>
                </wp:positionV>
                <wp:extent cx="0" cy="228600"/>
                <wp:effectExtent l="10160" t="15875" r="18415" b="12700"/>
                <wp:wrapTopAndBottom/>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C760" id="Line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10.25pt" to="252.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9V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" strokeweight="1.5pt">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1040" behindDoc="0" locked="0" layoutInCell="1" allowOverlap="1">
                <wp:simplePos x="0" y="0"/>
                <wp:positionH relativeFrom="column">
                  <wp:posOffset>3315335</wp:posOffset>
                </wp:positionH>
                <wp:positionV relativeFrom="paragraph">
                  <wp:posOffset>244475</wp:posOffset>
                </wp:positionV>
                <wp:extent cx="457200" cy="1828800"/>
                <wp:effectExtent l="67310" t="15875" r="18415" b="31750"/>
                <wp:wrapTopAndBottom/>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7A28" id="Line 4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9.25pt" to="297.0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70016" behindDoc="0" locked="0" layoutInCell="1" allowOverlap="1">
                <wp:simplePos x="0" y="0"/>
                <wp:positionH relativeFrom="column">
                  <wp:posOffset>2286635</wp:posOffset>
                </wp:positionH>
                <wp:positionV relativeFrom="paragraph">
                  <wp:posOffset>130175</wp:posOffset>
                </wp:positionV>
                <wp:extent cx="914400" cy="0"/>
                <wp:effectExtent l="19685" t="63500" r="18415" b="60325"/>
                <wp:wrapTopAndBottom/>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790F" id="Line 3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0.25pt" to="252.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60800" behindDoc="0" locked="0" layoutInCell="1" allowOverlap="1">
                <wp:simplePos x="0" y="0"/>
                <wp:positionH relativeFrom="column">
                  <wp:posOffset>1143635</wp:posOffset>
                </wp:positionH>
                <wp:positionV relativeFrom="paragraph">
                  <wp:posOffset>244475</wp:posOffset>
                </wp:positionV>
                <wp:extent cx="0" cy="342900"/>
                <wp:effectExtent l="57785" t="15875" r="66040" b="22225"/>
                <wp:wrapTopAndBottom/>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97CB"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9.25pt" to="90.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wDKQIAAEwEAAAOAAAAZHJzL2Uyb0RvYy54bWysVMGO2jAQvVfqP1i+QxLIUo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" strokeweight="1.5pt">
                <v:stroke endarrow="block"/>
                <w10:wrap type="topAndBottom"/>
              </v:lin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0320" behindDoc="0" locked="0" layoutInCell="1" allowOverlap="1">
                <wp:simplePos x="0" y="0"/>
                <wp:positionH relativeFrom="column">
                  <wp:posOffset>229235</wp:posOffset>
                </wp:positionH>
                <wp:positionV relativeFrom="paragraph">
                  <wp:posOffset>130175</wp:posOffset>
                </wp:positionV>
                <wp:extent cx="1943100" cy="457200"/>
                <wp:effectExtent l="10160" t="15875" r="18415" b="12700"/>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甄審委員會評審，並報請圈定人選順序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18.05pt;margin-top:10.25pt;width:153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" strokeweight="1.5pt">
                <v:textbox>
                  <w:txbxContent>
                    <w:p w:rsidR="00E02252" w:rsidRDefault="00E02252">
                      <w:pPr>
                        <w:adjustRightInd w:val="0"/>
                        <w:snapToGrid w:val="0"/>
                        <w:spacing w:line="240" w:lineRule="atLeast"/>
                        <w:rPr>
                          <w:rFonts w:hint="eastAsia"/>
                          <w:sz w:val="22"/>
                        </w:rPr>
                      </w:pPr>
                      <w:r>
                        <w:rPr>
                          <w:rFonts w:hint="eastAsia"/>
                          <w:sz w:val="22"/>
                        </w:rPr>
                        <w:t>甄審委員會評審，並報請圈定人選順序</w:t>
                      </w:r>
                    </w:p>
                  </w:txbxContent>
                </v:textbox>
                <w10:wrap type="topAndBottom"/>
              </v:shap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64896" behindDoc="0" locked="0" layoutInCell="1" allowOverlap="1">
                <wp:simplePos x="0" y="0"/>
                <wp:positionH relativeFrom="column">
                  <wp:posOffset>1143635</wp:posOffset>
                </wp:positionH>
                <wp:positionV relativeFrom="paragraph">
                  <wp:posOffset>130175</wp:posOffset>
                </wp:positionV>
                <wp:extent cx="0" cy="228600"/>
                <wp:effectExtent l="57785" t="15875" r="66040" b="22225"/>
                <wp:wrapTopAndBottom/>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7E78" id="Line 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0.25pt" to="90.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62848" behindDoc="0" locked="0" layoutInCell="1" allowOverlap="1">
                <wp:simplePos x="0" y="0"/>
                <wp:positionH relativeFrom="column">
                  <wp:posOffset>572135</wp:posOffset>
                </wp:positionH>
                <wp:positionV relativeFrom="paragraph">
                  <wp:posOffset>130175</wp:posOffset>
                </wp:positionV>
                <wp:extent cx="0" cy="1485900"/>
                <wp:effectExtent l="57785" t="15875" r="66040" b="22225"/>
                <wp:wrapTopAndBottom/>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7A8B" id="Line 3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0.25pt" to="45.0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Th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63872" behindDoc="0" locked="0" layoutInCell="1" allowOverlap="1">
                <wp:simplePos x="0" y="0"/>
                <wp:positionH relativeFrom="column">
                  <wp:posOffset>572135</wp:posOffset>
                </wp:positionH>
                <wp:positionV relativeFrom="paragraph">
                  <wp:posOffset>130175</wp:posOffset>
                </wp:positionV>
                <wp:extent cx="914400" cy="0"/>
                <wp:effectExtent l="10160" t="15875" r="18415" b="12700"/>
                <wp:wrapTopAndBottom/>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314C" id="Line 3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0.25pt" to="11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9AGQIAADQ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" strokeweight="1.5pt">
                <w10:wrap type="topAndBottom"/>
              </v:line>
            </w:pict>
          </mc:Fallback>
        </mc:AlternateContent>
      </w:r>
      <w:r>
        <w:rPr>
          <w:rFonts w:eastAsia="標楷體"/>
          <w:noProof/>
          <w:sz w:val="26"/>
        </w:rPr>
        <mc:AlternateContent>
          <mc:Choice Requires="wps">
            <w:drawing>
              <wp:anchor distT="0" distB="0" distL="114300" distR="114300" simplePos="0" relativeHeight="251661824" behindDoc="0" locked="0" layoutInCell="1" allowOverlap="1">
                <wp:simplePos x="0" y="0"/>
                <wp:positionH relativeFrom="column">
                  <wp:posOffset>1486535</wp:posOffset>
                </wp:positionH>
                <wp:positionV relativeFrom="paragraph">
                  <wp:posOffset>130175</wp:posOffset>
                </wp:positionV>
                <wp:extent cx="0" cy="228600"/>
                <wp:effectExtent l="57785" t="15875" r="66040" b="22225"/>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8C21"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10.25pt" to="117.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1344" behindDoc="0" locked="0" layoutInCell="1" allowOverlap="1">
                <wp:simplePos x="0" y="0"/>
                <wp:positionH relativeFrom="column">
                  <wp:posOffset>1143635</wp:posOffset>
                </wp:positionH>
                <wp:positionV relativeFrom="paragraph">
                  <wp:posOffset>130175</wp:posOffset>
                </wp:positionV>
                <wp:extent cx="1371600" cy="1028700"/>
                <wp:effectExtent l="10160" t="15875" r="18415" b="1270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機關首長就前三名中圈定陞補之；如陞遷二人以上時，就陞遷人數之二倍中圈定陞補之。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90.05pt;margin-top:10.25pt;width:108pt;height: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" strokeweight="1.5pt">
                <v:textbox>
                  <w:txbxContent>
                    <w:p w:rsidR="00E02252" w:rsidRDefault="00E02252">
                      <w:pPr>
                        <w:adjustRightInd w:val="0"/>
                        <w:snapToGrid w:val="0"/>
                        <w:spacing w:line="240" w:lineRule="atLeast"/>
                        <w:jc w:val="both"/>
                        <w:rPr>
                          <w:rFonts w:hint="eastAsia"/>
                          <w:sz w:val="22"/>
                        </w:rPr>
                      </w:pPr>
                      <w:r>
                        <w:rPr>
                          <w:rFonts w:hint="eastAsia"/>
                          <w:sz w:val="22"/>
                        </w:rPr>
                        <w:t>機關首長就前三名中圈定陞補之；如陞遷二人以上時，就陞遷人數之二倍中圈定陞補之。</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3392" behindDoc="0" locked="0" layoutInCell="1" allowOverlap="1">
                <wp:simplePos x="0" y="0"/>
                <wp:positionH relativeFrom="column">
                  <wp:posOffset>2858135</wp:posOffset>
                </wp:positionH>
                <wp:positionV relativeFrom="paragraph">
                  <wp:posOffset>244475</wp:posOffset>
                </wp:positionV>
                <wp:extent cx="800100" cy="342900"/>
                <wp:effectExtent l="10160" t="15875" r="18415" b="1270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rPr>
                                <w:rFonts w:hint="eastAsia"/>
                                <w:sz w:val="22"/>
                              </w:rPr>
                            </w:pPr>
                            <w:r>
                              <w:rPr>
                                <w:rFonts w:hint="eastAsia"/>
                                <w:sz w:val="22"/>
                              </w:rPr>
                              <w:t>人選核定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225.05pt;margin-top:19.25pt;width:63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" strokeweight="1.5pt">
                <v:textbox>
                  <w:txbxContent>
                    <w:p w:rsidR="00E02252" w:rsidRDefault="00E02252">
                      <w:pPr>
                        <w:adjustRightInd w:val="0"/>
                        <w:snapToGrid w:val="0"/>
                        <w:spacing w:line="240" w:lineRule="atLeast"/>
                        <w:rPr>
                          <w:rFonts w:hint="eastAsia"/>
                          <w:sz w:val="22"/>
                        </w:rPr>
                      </w:pPr>
                      <w:r>
                        <w:rPr>
                          <w:rFonts w:hint="eastAsia"/>
                          <w:sz w:val="22"/>
                        </w:rPr>
                        <w:t>人選核定</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2064" behindDoc="0" locked="0" layoutInCell="1" allowOverlap="1">
                <wp:simplePos x="0" y="0"/>
                <wp:positionH relativeFrom="column">
                  <wp:posOffset>3658235</wp:posOffset>
                </wp:positionH>
                <wp:positionV relativeFrom="paragraph">
                  <wp:posOffset>130175</wp:posOffset>
                </wp:positionV>
                <wp:extent cx="1257300" cy="0"/>
                <wp:effectExtent l="19685" t="63500" r="18415" b="60325"/>
                <wp:wrapTopAndBottom/>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E160" id="Line 4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0.25pt" to="3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N3MQIAAFc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" strokeweight="1.5pt">
                <v:stroke endarrow="block"/>
                <w10:wrap type="topAndBottom"/>
              </v:line>
            </w:pict>
          </mc:Fallback>
        </mc:AlternateContent>
      </w:r>
      <w:r>
        <w:rPr>
          <w:rFonts w:eastAsia="標楷體"/>
          <w:noProof/>
          <w:sz w:val="26"/>
        </w:rPr>
        <mc:AlternateContent>
          <mc:Choice Requires="wps">
            <w:drawing>
              <wp:anchor distT="0" distB="0" distL="114300" distR="114300" simplePos="0" relativeHeight="251665920" behindDoc="0" locked="0" layoutInCell="1" allowOverlap="1">
                <wp:simplePos x="0" y="0"/>
                <wp:positionH relativeFrom="column">
                  <wp:posOffset>2515235</wp:posOffset>
                </wp:positionH>
                <wp:positionV relativeFrom="paragraph">
                  <wp:posOffset>244475</wp:posOffset>
                </wp:positionV>
                <wp:extent cx="342900" cy="0"/>
                <wp:effectExtent l="10160" t="63500" r="27940" b="60325"/>
                <wp:wrapTopAndBottom/>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AADBD" id="Line 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9.25pt" to="22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DKQ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" strokeweight="1.5pt">
                <v:stroke endarrow="block"/>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4112" behindDoc="0" locked="0" layoutInCell="1" allowOverlap="1">
                <wp:simplePos x="0" y="0"/>
                <wp:positionH relativeFrom="column">
                  <wp:posOffset>3315335</wp:posOffset>
                </wp:positionH>
                <wp:positionV relativeFrom="paragraph">
                  <wp:posOffset>130175</wp:posOffset>
                </wp:positionV>
                <wp:extent cx="0" cy="1600200"/>
                <wp:effectExtent l="57785" t="25400" r="66040" b="12700"/>
                <wp:wrapTopAndBottom/>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3122" id="Line 43"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0.25pt" to="261.0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" strokeweight="1.5pt">
                <v:stroke dashstyle="1 1" endarrow="block" endcap="round"/>
                <w10:wrap type="topAndBottom"/>
              </v:lin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4416" behindDoc="0" locked="0" layoutInCell="1" allowOverlap="1">
                <wp:simplePos x="0" y="0"/>
                <wp:positionH relativeFrom="column">
                  <wp:posOffset>3772535</wp:posOffset>
                </wp:positionH>
                <wp:positionV relativeFrom="paragraph">
                  <wp:posOffset>244475</wp:posOffset>
                </wp:positionV>
                <wp:extent cx="1257300" cy="685800"/>
                <wp:effectExtent l="10160" t="15875" r="18415" b="12700"/>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000000"/>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color w:val="FFFFFF"/>
                                <w:sz w:val="22"/>
                              </w:rPr>
                            </w:pPr>
                            <w:r>
                              <w:rPr>
                                <w:rFonts w:hint="eastAsia"/>
                                <w:color w:val="FFFFFF"/>
                                <w:sz w:val="22"/>
                              </w:rPr>
                              <w:t>公務人員對於違法致損害權益得提起救濟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297.05pt;margin-top:19.25pt;width:99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" fillcolor="black" strokeweight="1.5pt">
                <v:textbox>
                  <w:txbxContent>
                    <w:p w:rsidR="00E02252" w:rsidRDefault="00E02252">
                      <w:pPr>
                        <w:adjustRightInd w:val="0"/>
                        <w:snapToGrid w:val="0"/>
                        <w:spacing w:line="240" w:lineRule="atLeast"/>
                        <w:jc w:val="both"/>
                        <w:rPr>
                          <w:rFonts w:hint="eastAsia"/>
                          <w:color w:val="FFFFFF"/>
                          <w:sz w:val="22"/>
                        </w:rPr>
                      </w:pPr>
                      <w:r>
                        <w:rPr>
                          <w:rFonts w:hint="eastAsia"/>
                          <w:color w:val="FFFFFF"/>
                          <w:sz w:val="22"/>
                        </w:rPr>
                        <w:t>公務人員對於違法致損害權益得提起救濟</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2368" behindDoc="0" locked="0" layoutInCell="1" allowOverlap="1">
                <wp:simplePos x="0" y="0"/>
                <wp:positionH relativeFrom="column">
                  <wp:posOffset>114935</wp:posOffset>
                </wp:positionH>
                <wp:positionV relativeFrom="paragraph">
                  <wp:posOffset>244475</wp:posOffset>
                </wp:positionV>
                <wp:extent cx="1371600" cy="1257300"/>
                <wp:effectExtent l="10160" t="15875" r="18415" b="1270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19050">
                          <a:solidFill>
                            <a:srgbClr val="000000"/>
                          </a:solidFill>
                          <a:miter lim="800000"/>
                          <a:headEnd/>
                          <a:tailEnd/>
                        </a:ln>
                      </wps:spPr>
                      <wps:txbx>
                        <w:txbxContent>
                          <w:p w:rsidR="00E02252" w:rsidRDefault="00E02252">
                            <w:pPr>
                              <w:adjustRightInd w:val="0"/>
                              <w:snapToGrid w:val="0"/>
                              <w:spacing w:line="240" w:lineRule="atLeast"/>
                              <w:jc w:val="both"/>
                              <w:rPr>
                                <w:rFonts w:hint="eastAsia"/>
                                <w:sz w:val="22"/>
                              </w:rPr>
                            </w:pPr>
                            <w:r>
                              <w:rPr>
                                <w:rFonts w:hint="eastAsia"/>
                                <w:sz w:val="22"/>
                              </w:rPr>
                              <w:t>機關首長對報請圈定陞遷之人選有不同意見時，得退回重行依本法相關規定改依其他甄選方式辦理陞遷事宜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left:0;text-align:left;margin-left:9.05pt;margin-top:19.25pt;width:108pt;height: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" strokeweight="1.5pt">
                <v:textbox>
                  <w:txbxContent>
                    <w:p w:rsidR="00E02252" w:rsidRDefault="00E02252">
                      <w:pPr>
                        <w:adjustRightInd w:val="0"/>
                        <w:snapToGrid w:val="0"/>
                        <w:spacing w:line="240" w:lineRule="atLeast"/>
                        <w:jc w:val="both"/>
                        <w:rPr>
                          <w:rFonts w:hint="eastAsia"/>
                          <w:sz w:val="22"/>
                        </w:rPr>
                      </w:pPr>
                      <w:r>
                        <w:rPr>
                          <w:rFonts w:hint="eastAsia"/>
                          <w:sz w:val="22"/>
                        </w:rPr>
                        <w:t>機關首長對報請圈定陞遷之人選有不同意見時，得退回重行依本法相關規定改依其他甄選方式辦理陞遷事宜</w:t>
                      </w:r>
                    </w:p>
                  </w:txbxContent>
                </v:textbox>
                <w10:wrap type="topAndBottom"/>
              </v:shape>
            </w:pict>
          </mc:Fallback>
        </mc:AlternateContent>
      </w: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6160" behindDoc="0" locked="0" layoutInCell="1" allowOverlap="1">
                <wp:simplePos x="0" y="0"/>
                <wp:positionH relativeFrom="column">
                  <wp:posOffset>3315335</wp:posOffset>
                </wp:positionH>
                <wp:positionV relativeFrom="paragraph">
                  <wp:posOffset>130175</wp:posOffset>
                </wp:positionV>
                <wp:extent cx="457200" cy="0"/>
                <wp:effectExtent l="10160" t="15875" r="18415" b="12700"/>
                <wp:wrapTopAndBottom/>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2594" id="Line 4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0.25pt" to="29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TJQIAAE4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" strokeweight="1.5pt">
                <v:stroke dashstyle="1 1" endcap="round"/>
                <w10:wrap type="topAndBottom"/>
              </v:lin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45440" behindDoc="0" locked="0" layoutInCell="1" allowOverlap="1">
                <wp:simplePos x="0" y="0"/>
                <wp:positionH relativeFrom="column">
                  <wp:posOffset>3772535</wp:posOffset>
                </wp:positionH>
                <wp:positionV relativeFrom="paragraph">
                  <wp:posOffset>130175</wp:posOffset>
                </wp:positionV>
                <wp:extent cx="1371600" cy="914400"/>
                <wp:effectExtent l="10160" t="15875" r="18415" b="1270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19050">
                          <a:solidFill>
                            <a:srgbClr val="000000"/>
                          </a:solidFill>
                          <a:miter lim="800000"/>
                          <a:headEnd/>
                          <a:tailEnd/>
                        </a:ln>
                      </wps:spPr>
                      <wps:txbx>
                        <w:txbxContent>
                          <w:p w:rsidR="00E02252" w:rsidRDefault="00E02252">
                            <w:pPr>
                              <w:pStyle w:val="31"/>
                              <w:snapToGrid w:val="0"/>
                              <w:spacing w:after="0"/>
                              <w:jc w:val="both"/>
                              <w:rPr>
                                <w:rFonts w:hint="eastAsia"/>
                                <w:sz w:val="20"/>
                                <w:szCs w:val="20"/>
                              </w:rPr>
                            </w:pPr>
                            <w:r>
                              <w:rPr>
                                <w:rFonts w:hint="eastAsia"/>
                                <w:sz w:val="20"/>
                                <w:szCs w:val="20"/>
                              </w:rPr>
                              <w:t>陞任高一官等職務應依法經陞官等訓練；初任各官等之主管職務實施管理才能發展訓練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297.05pt;margin-top:10.25pt;width:108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oKwIAAFo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" strokeweight="1.5pt">
                <v:textbox>
                  <w:txbxContent>
                    <w:p w:rsidR="00E02252" w:rsidRDefault="00E02252">
                      <w:pPr>
                        <w:pStyle w:val="31"/>
                        <w:snapToGrid w:val="0"/>
                        <w:spacing w:after="0"/>
                        <w:jc w:val="both"/>
                        <w:rPr>
                          <w:rFonts w:hint="eastAsia"/>
                          <w:sz w:val="20"/>
                          <w:szCs w:val="20"/>
                        </w:rPr>
                      </w:pPr>
                      <w:r>
                        <w:rPr>
                          <w:rFonts w:hint="eastAsia"/>
                          <w:sz w:val="20"/>
                          <w:szCs w:val="20"/>
                        </w:rPr>
                        <w:t>陞任高一官等職務應依法經陞官等訓練；初任各官等之主管職務實施管理才能發展訓練</w:t>
                      </w:r>
                    </w:p>
                  </w:txbxContent>
                </v:textbox>
                <w10:wrap type="topAndBottom"/>
              </v:shap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003D2B">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noProof/>
          <w:sz w:val="26"/>
        </w:rPr>
        <mc:AlternateContent>
          <mc:Choice Requires="wps">
            <w:drawing>
              <wp:anchor distT="0" distB="0" distL="114300" distR="114300" simplePos="0" relativeHeight="251675136" behindDoc="0" locked="0" layoutInCell="1" allowOverlap="1">
                <wp:simplePos x="0" y="0"/>
                <wp:positionH relativeFrom="column">
                  <wp:posOffset>3315335</wp:posOffset>
                </wp:positionH>
                <wp:positionV relativeFrom="paragraph">
                  <wp:posOffset>130175</wp:posOffset>
                </wp:positionV>
                <wp:extent cx="457200" cy="0"/>
                <wp:effectExtent l="10160" t="15875" r="18415" b="12700"/>
                <wp:wrapTopAndBottom/>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1328" id="Line 4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0.25pt" to="29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bIJQ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" strokeweight="1.5pt">
                <v:stroke dashstyle="1 1" endcap="round"/>
                <w10:wrap type="topAndBottom"/>
              </v:line>
            </w:pict>
          </mc:Fallback>
        </mc:AlternateContent>
      </w: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p>
    <w:p w:rsidR="007D6688" w:rsidRDefault="007D6688">
      <w:pPr>
        <w:framePr w:w="8100" w:h="720" w:hSpace="180" w:wrap="notBeside" w:vAnchor="text" w:hAnchor="page" w:x="1969" w:y="3"/>
        <w:pBdr>
          <w:top w:val="single" w:sz="6" w:space="7" w:color="000000"/>
          <w:left w:val="single" w:sz="6" w:space="7" w:color="000000"/>
          <w:bottom w:val="single" w:sz="6" w:space="7" w:color="000000"/>
          <w:right w:val="single" w:sz="6" w:space="7" w:color="000000"/>
        </w:pBdr>
        <w:shd w:val="solid" w:color="FFFFFF" w:fill="FFFFFF"/>
        <w:jc w:val="both"/>
        <w:rPr>
          <w:rFonts w:eastAsia="標楷體" w:hint="eastAsia"/>
          <w:sz w:val="26"/>
        </w:rPr>
      </w:pPr>
      <w:r>
        <w:rPr>
          <w:rFonts w:eastAsia="標楷體" w:hint="eastAsia"/>
          <w:sz w:val="26"/>
        </w:rPr>
        <w:t>本原始圖表引自，行政院人事行政局委託，國立台北大學公共行政暨政策學系，公務人員陞遷制度之研究，</w:t>
      </w:r>
      <w:r>
        <w:rPr>
          <w:rFonts w:eastAsia="標楷體" w:hint="eastAsia"/>
          <w:sz w:val="26"/>
        </w:rPr>
        <w:t>2003.12</w:t>
      </w:r>
      <w:r>
        <w:rPr>
          <w:rFonts w:eastAsia="標楷體" w:hint="eastAsia"/>
          <w:sz w:val="26"/>
        </w:rPr>
        <w:t>，頁</w:t>
      </w:r>
      <w:r>
        <w:rPr>
          <w:rFonts w:eastAsia="標楷體" w:hint="eastAsia"/>
          <w:sz w:val="26"/>
        </w:rPr>
        <w:t>37</w:t>
      </w:r>
      <w:r>
        <w:rPr>
          <w:rFonts w:eastAsia="標楷體" w:hint="eastAsia"/>
          <w:sz w:val="26"/>
        </w:rPr>
        <w:t>。</w:t>
      </w:r>
    </w:p>
    <w:p w:rsidR="007D6688" w:rsidRDefault="007D6688">
      <w:pPr>
        <w:pStyle w:val="1"/>
        <w:spacing w:before="180" w:after="180" w:line="480" w:lineRule="auto"/>
        <w:rPr>
          <w:rFonts w:hint="eastAsia"/>
          <w:lang w:val="de-DE"/>
        </w:rPr>
      </w:pPr>
      <w:bookmarkStart w:id="43" w:name="_Toc121199204"/>
      <w:bookmarkStart w:id="44" w:name="_Toc121212676"/>
      <w:bookmarkStart w:id="45" w:name="_Toc121212939"/>
      <w:r>
        <w:t>3</w:t>
      </w:r>
      <w:r>
        <w:rPr>
          <w:rFonts w:hint="eastAsia"/>
        </w:rPr>
        <w:t>.</w:t>
      </w:r>
      <w:r>
        <w:rPr>
          <w:lang w:val="de-DE"/>
        </w:rPr>
        <w:t>目前有關公務人員陞遷事件之救濟爭議</w:t>
      </w:r>
      <w:bookmarkEnd w:id="43"/>
      <w:bookmarkEnd w:id="44"/>
      <w:bookmarkEnd w:id="45"/>
    </w:p>
    <w:p w:rsidR="007D6688" w:rsidRDefault="007D6688">
      <w:pPr>
        <w:pStyle w:val="ab"/>
        <w:spacing w:before="180" w:line="480" w:lineRule="auto"/>
        <w:ind w:firstLine="480"/>
      </w:pPr>
      <w:r>
        <w:rPr>
          <w:rFonts w:hAnsi="新細明體"/>
        </w:rPr>
        <w:t>根據陞遷法第</w:t>
      </w:r>
      <w:r>
        <w:t>15</w:t>
      </w:r>
      <w:r>
        <w:rPr>
          <w:rFonts w:hAnsi="新細明體"/>
        </w:rPr>
        <w:t>條規定，公務人員對本機關辦理之陞遷，如認有違法致損害其權益者，得依公務人員保障法（以下簡稱「保障法」）提起救濟。依保障法第四條之規定，公務人員權益之救濟，依復審、申訴、再申訴之程序行之。復審程序規定於保障法第</w:t>
      </w:r>
      <w:r>
        <w:t>25</w:t>
      </w:r>
      <w:r>
        <w:rPr>
          <w:rFonts w:hAnsi="新細明體"/>
        </w:rPr>
        <w:t>條以下，係公務人員對於服務機關或人事主管機關所為之「行政處分」，認為違法或顯然不當，致損害其權利或利益時，不服處分而向公務人員保障暨培訓委員會（以下簡稱「保訓會」）提起的救濟程序。至於公務人員對於服務機關所為之「管理措施或有關工作條件之處置」認為不當，致影響其權益時，則得依保障法第</w:t>
      </w:r>
      <w:r>
        <w:t>77</w:t>
      </w:r>
      <w:r>
        <w:rPr>
          <w:rFonts w:hAnsi="新細明體"/>
        </w:rPr>
        <w:t>條提起申訴、再申訴。對於陞遷案件應如何選擇救濟程序，目前在實務上迭生爭議</w:t>
      </w:r>
      <w:r>
        <w:rPr>
          <w:rFonts w:eastAsia="標楷體"/>
        </w:rPr>
        <w:t>。</w:t>
      </w:r>
    </w:p>
    <w:p w:rsidR="007D6688" w:rsidRDefault="007D6688">
      <w:pPr>
        <w:pStyle w:val="2"/>
        <w:spacing w:line="480" w:lineRule="auto"/>
        <w:rPr>
          <w:rFonts w:hint="eastAsia"/>
          <w:lang w:val="de-DE"/>
        </w:rPr>
      </w:pPr>
      <w:bookmarkStart w:id="46" w:name="_Toc121199205"/>
      <w:bookmarkStart w:id="47" w:name="_Toc121212677"/>
      <w:bookmarkStart w:id="48" w:name="_Toc121212940"/>
      <w:r>
        <w:rPr>
          <w:lang w:val="de-DE"/>
        </w:rPr>
        <w:t>3.1.</w:t>
      </w:r>
      <w:r>
        <w:rPr>
          <w:lang w:val="de-DE"/>
        </w:rPr>
        <w:t>學說之立場</w:t>
      </w:r>
      <w:bookmarkEnd w:id="46"/>
      <w:bookmarkEnd w:id="47"/>
      <w:bookmarkEnd w:id="48"/>
    </w:p>
    <w:p w:rsidR="007D6688" w:rsidRDefault="007D6688">
      <w:pPr>
        <w:pStyle w:val="22"/>
        <w:spacing w:line="480" w:lineRule="auto"/>
      </w:pPr>
      <w:r>
        <w:rPr>
          <w:rFonts w:hint="eastAsia"/>
        </w:rPr>
        <w:t>國內學說對於公務人員</w:t>
      </w:r>
      <w:r>
        <w:t xml:space="preserve"> </w:t>
      </w:r>
      <w:r>
        <w:rPr>
          <w:rFonts w:hint="eastAsia"/>
        </w:rPr>
        <w:t>陞遷決定之性質與救濟問題直接探討者並不多見。其中大多循著大法官解釋突破傳統特別權力關係的脈絡，泛論陞遷決定是否重大影響公務人員身份或財產上地位，而論斷其法律性質是否為行政處分，以及得否進行復審。對於陞遷流程中衍生的具體爭議問題說明，則似不多見</w:t>
      </w:r>
      <w:r>
        <w:rPr>
          <w:rStyle w:val="ae"/>
        </w:rPr>
        <w:footnoteReference w:id="8"/>
      </w:r>
      <w:r>
        <w:rPr>
          <w:rFonts w:hint="eastAsia"/>
        </w:rPr>
        <w:t>。</w:t>
      </w:r>
    </w:p>
    <w:p w:rsidR="007D6688" w:rsidRDefault="007D6688">
      <w:pPr>
        <w:pStyle w:val="2"/>
        <w:spacing w:line="480" w:lineRule="auto"/>
        <w:rPr>
          <w:rFonts w:hint="eastAsia"/>
          <w:lang w:val="de-DE"/>
        </w:rPr>
      </w:pPr>
      <w:bookmarkStart w:id="49" w:name="_Toc121199206"/>
      <w:bookmarkStart w:id="50" w:name="_Toc121212678"/>
      <w:bookmarkStart w:id="51" w:name="_Toc121212941"/>
      <w:r>
        <w:rPr>
          <w:lang w:val="de-DE"/>
        </w:rPr>
        <w:t>3.2.</w:t>
      </w:r>
      <w:r>
        <w:rPr>
          <w:lang w:val="de-DE"/>
        </w:rPr>
        <w:t>保訓會之決定</w:t>
      </w:r>
      <w:bookmarkEnd w:id="49"/>
      <w:bookmarkEnd w:id="50"/>
      <w:bookmarkEnd w:id="51"/>
    </w:p>
    <w:p w:rsidR="007D6688" w:rsidRDefault="007D6688">
      <w:pPr>
        <w:pStyle w:val="ab"/>
        <w:spacing w:before="180" w:line="480" w:lineRule="auto"/>
        <w:ind w:firstLine="480"/>
        <w:rPr>
          <w:rFonts w:ascii="Arial" w:eastAsia="標楷體" w:hAnsi="Arial" w:hint="eastAsia"/>
        </w:rPr>
      </w:pPr>
      <w:r>
        <w:rPr>
          <w:rFonts w:ascii="新細明體" w:hAnsi="新細明體" w:hint="eastAsia"/>
        </w:rPr>
        <w:t>針對公務人員因陞遷案件而尋求保障救濟，分別視其係於本機關辦理陞遷或參加他機關之陞遷所生之爭議類型，保訓會之決定略可歸整如下</w:t>
      </w:r>
      <w:r>
        <w:rPr>
          <w:rFonts w:ascii="Arial" w:eastAsia="標楷體" w:hAnsi="Arial" w:hint="eastAsia"/>
        </w:rPr>
        <w:t>。</w:t>
      </w:r>
    </w:p>
    <w:p w:rsidR="007D6688" w:rsidRDefault="007D6688">
      <w:pPr>
        <w:pStyle w:val="3"/>
        <w:spacing w:before="180" w:after="180" w:line="480" w:lineRule="auto"/>
        <w:rPr>
          <w:rFonts w:hint="eastAsia"/>
        </w:rPr>
      </w:pPr>
      <w:bookmarkStart w:id="52" w:name="_Toc121199207"/>
      <w:bookmarkStart w:id="53" w:name="_Toc121212679"/>
      <w:bookmarkStart w:id="54" w:name="_Toc121212942"/>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w:t>
      </w:r>
      <w:r>
        <w:rPr>
          <w:rFonts w:hint="eastAsia"/>
        </w:rPr>
        <w:t>本機關陞遷案件</w:t>
      </w:r>
      <w:bookmarkEnd w:id="52"/>
      <w:bookmarkEnd w:id="53"/>
      <w:bookmarkEnd w:id="54"/>
    </w:p>
    <w:p w:rsidR="007D6688" w:rsidRDefault="007D6688">
      <w:pPr>
        <w:pStyle w:val="4"/>
        <w:spacing w:line="480" w:lineRule="auto"/>
        <w:rPr>
          <w:rFonts w:hint="eastAsia"/>
        </w:rPr>
      </w:pPr>
      <w:bookmarkStart w:id="55" w:name="_Toc121199208"/>
      <w:bookmarkStart w:id="56" w:name="_Toc121212680"/>
      <w:bookmarkStart w:id="57" w:name="_Toc121212943"/>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.1.</w:t>
      </w:r>
      <w:r>
        <w:rPr>
          <w:rFonts w:hint="eastAsia"/>
        </w:rPr>
        <w:t>陞遷序列不合理</w:t>
      </w:r>
      <w:bookmarkEnd w:id="55"/>
      <w:bookmarkEnd w:id="56"/>
      <w:bookmarkEnd w:id="57"/>
    </w:p>
    <w:p w:rsidR="007D6688" w:rsidRDefault="007D6688">
      <w:pPr>
        <w:pStyle w:val="ab"/>
        <w:spacing w:before="180" w:line="480" w:lineRule="auto"/>
        <w:ind w:firstLine="480"/>
        <w:rPr>
          <w:rStyle w:val="af3"/>
          <w:rFonts w:ascii="Times New Roman" w:hAnsi="Times New Roman"/>
        </w:rPr>
      </w:pPr>
      <w:r>
        <w:rPr>
          <w:rFonts w:hAnsi="新細明體"/>
        </w:rPr>
        <w:t>公務人員陞遷救濟案件有可能因不滿機關陞遷序列表所定之陞遷序列而提起。保訓會之立場認為</w:t>
      </w:r>
      <w:r>
        <w:rPr>
          <w:rStyle w:val="af3"/>
          <w:rFonts w:ascii="Times New Roman"/>
        </w:rPr>
        <w:t>陞遷序列表僅為抽象性規範，並非「具體」管理措施，故不得提起再申訴救濟。這種見解應該是將公務人員保障法第</w:t>
      </w:r>
      <w:r>
        <w:rPr>
          <w:rStyle w:val="af3"/>
          <w:rFonts w:ascii="Times New Roman" w:hAnsi="Times New Roman" w:hint="eastAsia"/>
        </w:rPr>
        <w:t>77</w:t>
      </w:r>
      <w:r>
        <w:rPr>
          <w:rStyle w:val="af3"/>
          <w:rFonts w:ascii="Times New Roman"/>
        </w:rPr>
        <w:t>條第</w:t>
      </w:r>
      <w:r>
        <w:rPr>
          <w:rStyle w:val="af3"/>
          <w:rFonts w:ascii="Times New Roman" w:hAnsi="Times New Roman"/>
        </w:rPr>
        <w:t>1</w:t>
      </w:r>
      <w:r>
        <w:rPr>
          <w:rStyle w:val="af3"/>
          <w:rFonts w:ascii="Times New Roman"/>
        </w:rPr>
        <w:t>項規定：「公務人員對服務機關所提供之工作條件及所為之管理認為不當者，得依本法提出申訴、再申訴。」限縮解釋其再申訴程序標的僅限於「『具體』管理措施」，而不包括其他抽象管理行為。</w:t>
      </w:r>
    </w:p>
    <w:p w:rsidR="007D6688" w:rsidRDefault="007D6688">
      <w:pPr>
        <w:pStyle w:val="ab"/>
        <w:spacing w:before="180" w:line="480" w:lineRule="auto"/>
        <w:ind w:firstLine="480"/>
        <w:rPr>
          <w:rFonts w:ascii="Arial" w:eastAsia="標楷體" w:hAnsi="Arial" w:hint="eastAsia"/>
        </w:rPr>
      </w:pPr>
      <w:r>
        <w:rPr>
          <w:rStyle w:val="stext1"/>
          <w:rFonts w:ascii="sөũ" w:hAnsi="sөũ" w:hint="eastAsia"/>
          <w:color w:val="000000"/>
          <w:sz w:val="24"/>
          <w:szCs w:val="24"/>
        </w:rPr>
        <w:t>例如</w:t>
      </w:r>
      <w:r>
        <w:rPr>
          <w:rFonts w:ascii="sөũ" w:hAnsi="sөũ" w:cs="新細明體"/>
          <w:b/>
          <w:color w:val="000000"/>
          <w:kern w:val="0"/>
          <w:u w:val="single"/>
        </w:rPr>
        <w:t>保訓會</w:t>
      </w:r>
      <w:r>
        <w:rPr>
          <w:rFonts w:ascii="sөũ" w:hAnsi="sөũ" w:cs="新細明體" w:hint="eastAsia"/>
          <w:b/>
          <w:color w:val="000000"/>
          <w:kern w:val="0"/>
          <w:u w:val="single"/>
        </w:rPr>
        <w:t>（</w:t>
      </w:r>
      <w:r>
        <w:rPr>
          <w:rFonts w:ascii="sөũ" w:hAnsi="sөũ" w:cs="新細明體"/>
          <w:b/>
          <w:color w:val="000000"/>
          <w:kern w:val="0"/>
          <w:u w:val="single"/>
        </w:rPr>
        <w:t>90</w:t>
      </w:r>
      <w:r>
        <w:rPr>
          <w:rFonts w:ascii="sөũ" w:hAnsi="sөũ" w:cs="新細明體" w:hint="eastAsia"/>
          <w:b/>
          <w:color w:val="000000"/>
          <w:kern w:val="0"/>
          <w:u w:val="single"/>
        </w:rPr>
        <w:t>）</w:t>
      </w:r>
      <w:r>
        <w:rPr>
          <w:rFonts w:ascii="sөũ" w:hAnsi="sөũ" w:cs="新細明體"/>
          <w:b/>
          <w:color w:val="000000"/>
          <w:kern w:val="0"/>
          <w:u w:val="single"/>
        </w:rPr>
        <w:t>公申決字第</w:t>
      </w:r>
      <w:r>
        <w:rPr>
          <w:rFonts w:ascii="sөũ" w:hAnsi="sөũ" w:cs="新細明體"/>
          <w:b/>
          <w:color w:val="000000"/>
          <w:kern w:val="0"/>
          <w:u w:val="single"/>
        </w:rPr>
        <w:t>0190</w:t>
      </w:r>
      <w:r>
        <w:rPr>
          <w:rFonts w:ascii="sөũ" w:hAnsi="sөũ" w:cs="新細明體"/>
          <w:b/>
          <w:color w:val="000000"/>
          <w:kern w:val="0"/>
          <w:u w:val="single"/>
        </w:rPr>
        <w:t>號</w:t>
      </w:r>
      <w:r>
        <w:rPr>
          <w:rFonts w:ascii="sөũ" w:hAnsi="sөũ" w:cs="新細明體" w:hint="eastAsia"/>
          <w:b/>
          <w:color w:val="000000"/>
          <w:kern w:val="0"/>
          <w:u w:val="single"/>
        </w:rPr>
        <w:t>決定（以下簡稱「吳台生案」）</w:t>
      </w:r>
      <w:r>
        <w:rPr>
          <w:rStyle w:val="stext1"/>
          <w:rFonts w:hint="eastAsia"/>
          <w:color w:val="000000"/>
          <w:sz w:val="24"/>
          <w:szCs w:val="24"/>
        </w:rPr>
        <w:t>謂</w:t>
      </w:r>
      <w:r>
        <w:rPr>
          <w:rFonts w:ascii="sөũ" w:hAnsi="sөũ" w:cs="新細明體" w:hint="eastAsia"/>
          <w:color w:val="000000"/>
          <w:kern w:val="0"/>
        </w:rPr>
        <w:t>：「</w:t>
      </w:r>
      <w:r>
        <w:rPr>
          <w:rStyle w:val="stext1"/>
          <w:rFonts w:ascii="sөũ" w:hAnsi="sөũ"/>
          <w:color w:val="000000"/>
          <w:sz w:val="24"/>
          <w:szCs w:val="24"/>
        </w:rPr>
        <w:t>公務人員不服服務機關辦理之陞遷而提出申訴、再申訴，須以有具體管理措施存在為前提，若無具體管理措施、管理措施已不存在、非對公務人員所為之管理措施或恐將來有損害其權益之管理措施發生而預行請求救濟，其所提申訴、再申訴於法皆屬不合。卷查本案再申訴人現任高雄市政府地政處土地開發總隊（以下簡稱土地開發總隊）薦任第七職等技士，因認高雄市政府地政處暨所屬機關人員陞遷序列表，未將一級單位主管納入及部分職務之</w:t>
      </w:r>
      <w:r>
        <w:rPr>
          <w:rStyle w:val="stext1"/>
          <w:rFonts w:ascii="sөũ" w:hAnsi="sөũ"/>
          <w:sz w:val="24"/>
          <w:szCs w:val="24"/>
        </w:rPr>
        <w:t>陞遷序列不盡合理</w:t>
      </w:r>
      <w:r>
        <w:rPr>
          <w:rStyle w:val="stext1"/>
          <w:rFonts w:ascii="sөũ" w:hAnsi="sөũ"/>
          <w:color w:val="000000"/>
          <w:sz w:val="24"/>
          <w:szCs w:val="24"/>
        </w:rPr>
        <w:t>，應予撤銷該陞遷序列表，重新依法訂定，暨土地開發總隊違法辦理第四科科長陞任，損害同仁權益，其人事命令應予撤銷，就符合陞遷序列者重新辦理陞遷，向高雄市政府地政處提出申訴，嗣不服申訴函復，向本會提出再申訴。惟查再申訴人對上開事項於申訴之前，並未向服務機關提出具體之請求，且服務機關亦未對其有任何具體之管理措施，其逕依救濟程序以申訴書及再申訴書訴請救濟，其程序已於法未合。再者，</w:t>
      </w:r>
      <w:r>
        <w:rPr>
          <w:rStyle w:val="stext1"/>
          <w:rFonts w:ascii="sөũ" w:hAnsi="sөũ"/>
          <w:b/>
          <w:color w:val="000000"/>
          <w:sz w:val="24"/>
          <w:szCs w:val="24"/>
          <w:u w:val="single"/>
        </w:rPr>
        <w:t>再申訴人所爭之該陞遷序列表亦僅為抽象性規範，並非具體管理措施</w:t>
      </w:r>
      <w:r>
        <w:rPr>
          <w:rStyle w:val="stext1"/>
          <w:rFonts w:ascii="sөũ" w:hAnsi="sөũ"/>
          <w:color w:val="000000"/>
          <w:sz w:val="24"/>
          <w:szCs w:val="24"/>
        </w:rPr>
        <w:t>；復以各機關內部一級單位主管以上人員之陞遷，要否經甄審程序本屬該機關首長之權限，土地開發總隊長官依其權責辦理第四科科長陞任案，除未見該機關有因該案而對再申訴人有具體管理措施外，再申訴人亦並非該人事命令之對象，再申訴人與之應無關連，是以，再申訴人逕依申訴、再申訴程序作爭執，於法亦有未合。綜上所述，本案爰應不予受理。</w:t>
      </w:r>
      <w:r>
        <w:rPr>
          <w:rStyle w:val="stext1"/>
          <w:rFonts w:ascii="sөũ" w:hAnsi="sөũ" w:hint="eastAsia"/>
          <w:color w:val="000000"/>
          <w:sz w:val="24"/>
          <w:szCs w:val="24"/>
        </w:rPr>
        <w:t>」</w:t>
      </w:r>
    </w:p>
    <w:p w:rsidR="007D6688" w:rsidRDefault="007D6688">
      <w:pPr>
        <w:pStyle w:val="4"/>
        <w:spacing w:line="480" w:lineRule="auto"/>
        <w:rPr>
          <w:rFonts w:hint="eastAsia"/>
        </w:rPr>
      </w:pPr>
      <w:bookmarkStart w:id="58" w:name="_Toc121199209"/>
      <w:bookmarkStart w:id="59" w:name="_Toc121212681"/>
      <w:bookmarkStart w:id="60" w:name="_Toc121212944"/>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.2.</w:t>
      </w:r>
      <w:r>
        <w:rPr>
          <w:rFonts w:hint="eastAsia"/>
        </w:rPr>
        <w:t>內陞或外補之決定</w:t>
      </w:r>
      <w:bookmarkEnd w:id="58"/>
      <w:bookmarkEnd w:id="59"/>
      <w:bookmarkEnd w:id="60"/>
    </w:p>
    <w:p w:rsidR="007D6688" w:rsidRDefault="007D6688">
      <w:pPr>
        <w:pStyle w:val="ab"/>
        <w:spacing w:before="180" w:line="480" w:lineRule="auto"/>
        <w:ind w:firstLine="480"/>
        <w:rPr>
          <w:rFonts w:hint="eastAsia"/>
        </w:rPr>
      </w:pPr>
      <w:r>
        <w:rPr>
          <w:rStyle w:val="stext1"/>
          <w:rFonts w:ascii="sөũ" w:hAnsi="sөũ"/>
          <w:sz w:val="24"/>
          <w:szCs w:val="24"/>
        </w:rPr>
        <w:t>陞遷法第</w:t>
      </w:r>
      <w:r>
        <w:rPr>
          <w:rStyle w:val="stext1"/>
          <w:rFonts w:ascii="sөũ" w:hAnsi="sөũ"/>
          <w:sz w:val="24"/>
          <w:szCs w:val="24"/>
        </w:rPr>
        <w:t>5</w:t>
      </w:r>
      <w:r>
        <w:rPr>
          <w:rStyle w:val="stext1"/>
          <w:rFonts w:ascii="sөũ" w:hAnsi="sөũ"/>
          <w:sz w:val="24"/>
          <w:szCs w:val="24"/>
        </w:rPr>
        <w:t>條第</w:t>
      </w:r>
      <w:r>
        <w:rPr>
          <w:rStyle w:val="stext1"/>
          <w:rFonts w:ascii="sөũ" w:hAnsi="sөũ"/>
          <w:sz w:val="24"/>
          <w:szCs w:val="24"/>
        </w:rPr>
        <w:t>2</w:t>
      </w:r>
      <w:r>
        <w:rPr>
          <w:rStyle w:val="stext1"/>
          <w:rFonts w:ascii="sөũ" w:hAnsi="sөũ"/>
          <w:sz w:val="24"/>
          <w:szCs w:val="24"/>
        </w:rPr>
        <w:t>項：「各機關職缺如由本機關人員陞遷時，應辦理甄審。</w:t>
      </w:r>
      <w:r>
        <w:rPr>
          <w:rStyle w:val="stext1"/>
          <w:rFonts w:ascii="sөũ" w:hAnsi="sөũ"/>
          <w:sz w:val="24"/>
          <w:szCs w:val="24"/>
        </w:rPr>
        <w:t>…</w:t>
      </w:r>
      <w:r>
        <w:rPr>
          <w:rStyle w:val="stext1"/>
          <w:rFonts w:ascii="sөũ" w:hAnsi="sөũ"/>
          <w:sz w:val="24"/>
          <w:szCs w:val="24"/>
        </w:rPr>
        <w:t>」第</w:t>
      </w:r>
      <w:r>
        <w:rPr>
          <w:rStyle w:val="stext1"/>
          <w:rFonts w:ascii="sөũ" w:hAnsi="sөũ"/>
          <w:sz w:val="24"/>
          <w:szCs w:val="24"/>
        </w:rPr>
        <w:t>6</w:t>
      </w:r>
      <w:r>
        <w:rPr>
          <w:rStyle w:val="stext1"/>
          <w:rFonts w:ascii="sөũ" w:hAnsi="sөũ"/>
          <w:sz w:val="24"/>
          <w:szCs w:val="24"/>
        </w:rPr>
        <w:t>條第</w:t>
      </w:r>
      <w:r>
        <w:rPr>
          <w:rStyle w:val="stext1"/>
          <w:rFonts w:ascii="sөũ" w:hAnsi="sөũ"/>
          <w:sz w:val="24"/>
          <w:szCs w:val="24"/>
        </w:rPr>
        <w:t>1</w:t>
      </w:r>
      <w:r>
        <w:rPr>
          <w:rStyle w:val="stext1"/>
          <w:rFonts w:ascii="sөũ" w:hAnsi="sөũ"/>
          <w:sz w:val="24"/>
          <w:szCs w:val="24"/>
        </w:rPr>
        <w:t>項：「各機關應依職務高低及業務需要，訂定陞遷序列表。」第</w:t>
      </w:r>
      <w:r>
        <w:rPr>
          <w:rStyle w:val="stext1"/>
          <w:rFonts w:ascii="sөũ" w:hAnsi="sөũ"/>
          <w:sz w:val="24"/>
          <w:szCs w:val="24"/>
        </w:rPr>
        <w:t>6</w:t>
      </w:r>
      <w:r>
        <w:rPr>
          <w:rStyle w:val="stext1"/>
          <w:rFonts w:ascii="sөũ" w:hAnsi="sөũ"/>
          <w:sz w:val="24"/>
          <w:szCs w:val="24"/>
        </w:rPr>
        <w:t>條第</w:t>
      </w:r>
      <w:r>
        <w:rPr>
          <w:rStyle w:val="stext1"/>
          <w:rFonts w:ascii="sөũ" w:hAnsi="sөũ"/>
          <w:sz w:val="24"/>
          <w:szCs w:val="24"/>
        </w:rPr>
        <w:t>2</w:t>
      </w:r>
      <w:r>
        <w:rPr>
          <w:rStyle w:val="stext1"/>
          <w:rFonts w:ascii="sөũ" w:hAnsi="sөũ"/>
          <w:sz w:val="24"/>
          <w:szCs w:val="24"/>
        </w:rPr>
        <w:t>項：「各機關職缺由本機關人員陞遷時，應依陞遷序列表逐級辦理陞遷。</w:t>
      </w:r>
      <w:r>
        <w:rPr>
          <w:rStyle w:val="stext1"/>
          <w:rFonts w:ascii="sөũ" w:hAnsi="sөũ"/>
          <w:sz w:val="24"/>
          <w:szCs w:val="24"/>
        </w:rPr>
        <w:t>…</w:t>
      </w:r>
      <w:r>
        <w:rPr>
          <w:rStyle w:val="stext1"/>
          <w:rFonts w:ascii="sөũ" w:hAnsi="sөũ"/>
          <w:sz w:val="24"/>
          <w:szCs w:val="24"/>
        </w:rPr>
        <w:t>。」同法施行細則第</w:t>
      </w:r>
      <w:r>
        <w:rPr>
          <w:rStyle w:val="stext1"/>
          <w:rFonts w:ascii="sөũ" w:hAnsi="sөũ"/>
          <w:sz w:val="24"/>
          <w:szCs w:val="24"/>
        </w:rPr>
        <w:t>3</w:t>
      </w:r>
      <w:r>
        <w:rPr>
          <w:rStyle w:val="stext1"/>
          <w:rFonts w:ascii="sөũ" w:hAnsi="sөũ"/>
          <w:sz w:val="24"/>
          <w:szCs w:val="24"/>
        </w:rPr>
        <w:t>條第</w:t>
      </w:r>
      <w:r>
        <w:rPr>
          <w:rStyle w:val="stext1"/>
          <w:rFonts w:ascii="sөũ" w:hAnsi="sөũ"/>
          <w:sz w:val="24"/>
          <w:szCs w:val="24"/>
        </w:rPr>
        <w:t>1</w:t>
      </w:r>
      <w:r>
        <w:rPr>
          <w:rStyle w:val="stext1"/>
          <w:rFonts w:ascii="sөũ" w:hAnsi="sөũ"/>
          <w:sz w:val="24"/>
          <w:szCs w:val="24"/>
        </w:rPr>
        <w:t>項：「本法第五條第二項所稱各機關職缺如由本機關人員陞遷時，應辦理甄審。</w:t>
      </w:r>
      <w:r>
        <w:rPr>
          <w:rStyle w:val="stext1"/>
          <w:rFonts w:ascii="sөũ" w:hAnsi="sөũ"/>
          <w:sz w:val="24"/>
          <w:szCs w:val="24"/>
        </w:rPr>
        <w:t>…</w:t>
      </w:r>
      <w:r>
        <w:rPr>
          <w:rStyle w:val="stext1"/>
          <w:rFonts w:ascii="sөũ" w:hAnsi="sөũ"/>
          <w:sz w:val="24"/>
          <w:szCs w:val="24"/>
        </w:rPr>
        <w:t>指各機關人事單位於辦理陞遷前，應依本法第二條之原則，簽報機關首長決定職缺擬辦內陞或外補後再行辦理。</w:t>
      </w:r>
      <w:r>
        <w:rPr>
          <w:rStyle w:val="stext1"/>
          <w:rFonts w:ascii="sөũ" w:hAnsi="sөũ"/>
          <w:sz w:val="24"/>
          <w:szCs w:val="24"/>
        </w:rPr>
        <w:t>…</w:t>
      </w:r>
      <w:r>
        <w:rPr>
          <w:rStyle w:val="stext1"/>
          <w:rFonts w:ascii="sөũ" w:hAnsi="sөũ"/>
          <w:sz w:val="24"/>
          <w:szCs w:val="24"/>
        </w:rPr>
        <w:t>。」及任用法第</w:t>
      </w:r>
      <w:r>
        <w:rPr>
          <w:rStyle w:val="stext1"/>
          <w:rFonts w:ascii="sөũ" w:hAnsi="sөũ"/>
          <w:sz w:val="24"/>
          <w:szCs w:val="24"/>
        </w:rPr>
        <w:t>24</w:t>
      </w:r>
      <w:r>
        <w:rPr>
          <w:rStyle w:val="stext1"/>
          <w:rFonts w:ascii="sөũ" w:hAnsi="sөũ"/>
          <w:sz w:val="24"/>
          <w:szCs w:val="24"/>
        </w:rPr>
        <w:t>條：「各機關擬任公務人員，經依職權規定先派代理，限於實際代理之日起三個月內送請銓敘部銓敘審定。</w:t>
      </w:r>
      <w:r>
        <w:rPr>
          <w:rStyle w:val="stext1"/>
          <w:rFonts w:ascii="sөũ" w:hAnsi="sөũ"/>
          <w:sz w:val="24"/>
          <w:szCs w:val="24"/>
        </w:rPr>
        <w:t>…</w:t>
      </w:r>
      <w:r>
        <w:rPr>
          <w:rStyle w:val="stext1"/>
          <w:rFonts w:ascii="sөũ" w:hAnsi="sөũ"/>
          <w:sz w:val="24"/>
          <w:szCs w:val="24"/>
        </w:rPr>
        <w:t>經銓敘審定不合格者，應即停止其代理。」之規定，</w:t>
      </w:r>
      <w:r>
        <w:rPr>
          <w:rStyle w:val="stext1"/>
          <w:rFonts w:ascii="sөũ" w:hAnsi="sөũ" w:hint="eastAsia"/>
          <w:sz w:val="24"/>
          <w:szCs w:val="24"/>
        </w:rPr>
        <w:t>機關</w:t>
      </w:r>
      <w:r>
        <w:rPr>
          <w:rStyle w:val="stext1"/>
          <w:rFonts w:ascii="sөũ" w:hAnsi="sөũ"/>
          <w:sz w:val="24"/>
          <w:szCs w:val="24"/>
        </w:rPr>
        <w:t>職務出缺時，應由人事單位簽報機關首長決定職缺擬辦內陞或外補，其採內陞者，即應依陞遷序列表所定序列逐級辦理甄審，並按甄審結果報請機關首長圈定陞補、發布派令。</w:t>
      </w:r>
      <w:r>
        <w:rPr>
          <w:rStyle w:val="stext1"/>
          <w:rFonts w:ascii="sөũ" w:hAnsi="sөũ" w:hint="eastAsia"/>
          <w:sz w:val="24"/>
          <w:szCs w:val="24"/>
        </w:rPr>
        <w:t>機關首長對於內陞或外補之決定應屬機關首長之合義務決定空間。例如</w:t>
      </w:r>
      <w:r>
        <w:rPr>
          <w:rStyle w:val="stext1"/>
          <w:rFonts w:ascii="taipei" w:hAnsi="taipei"/>
          <w:b/>
          <w:color w:val="000000"/>
          <w:sz w:val="24"/>
          <w:szCs w:val="24"/>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w:t>
      </w:r>
      <w:r>
        <w:rPr>
          <w:rStyle w:val="stext1"/>
          <w:rFonts w:ascii="sөũ" w:hAnsi="sөũ" w:hint="eastAsia"/>
          <w:b/>
          <w:color w:val="000000"/>
          <w:sz w:val="24"/>
          <w:szCs w:val="24"/>
          <w:u w:val="single"/>
        </w:rPr>
        <w:t>4</w:t>
      </w:r>
      <w:r>
        <w:rPr>
          <w:rStyle w:val="stext1"/>
          <w:rFonts w:ascii="sөũ" w:hAnsi="sөũ" w:hint="eastAsia"/>
          <w:b/>
          <w:color w:val="000000"/>
          <w:sz w:val="24"/>
          <w:szCs w:val="24"/>
          <w:u w:val="single"/>
        </w:rPr>
        <w:t>）</w:t>
      </w:r>
      <w:r>
        <w:rPr>
          <w:rFonts w:cs="新細明體"/>
          <w:b/>
          <w:color w:val="000000"/>
          <w:kern w:val="0"/>
          <w:u w:val="single"/>
        </w:rPr>
        <w:t>公審決字第</w:t>
      </w:r>
      <w:r>
        <w:rPr>
          <w:rFonts w:cs="新細明體"/>
          <w:b/>
          <w:color w:val="000000"/>
          <w:kern w:val="0"/>
          <w:u w:val="single"/>
        </w:rPr>
        <w:t>0014</w:t>
      </w:r>
      <w:r>
        <w:rPr>
          <w:rFonts w:cs="新細明體"/>
          <w:b/>
          <w:color w:val="000000"/>
          <w:kern w:val="0"/>
          <w:u w:val="single"/>
        </w:rPr>
        <w:t>號</w:t>
      </w:r>
      <w:r>
        <w:rPr>
          <w:rStyle w:val="stext1"/>
          <w:rFonts w:hint="eastAsia"/>
          <w:b/>
          <w:color w:val="000000"/>
          <w:sz w:val="24"/>
          <w:szCs w:val="24"/>
          <w:u w:val="single"/>
        </w:rPr>
        <w:t>決定（以下簡稱「</w:t>
      </w:r>
      <w:r>
        <w:rPr>
          <w:b/>
          <w:color w:val="000000"/>
          <w:u w:val="single"/>
        </w:rPr>
        <w:t>蔡逸媚</w:t>
      </w:r>
      <w:r>
        <w:rPr>
          <w:rFonts w:hint="eastAsia"/>
          <w:b/>
          <w:u w:val="single"/>
        </w:rPr>
        <w:t>案</w:t>
      </w:r>
      <w:r>
        <w:rPr>
          <w:rStyle w:val="stext1"/>
          <w:rFonts w:hint="eastAsia"/>
          <w:b/>
          <w:color w:val="000000"/>
          <w:sz w:val="24"/>
          <w:szCs w:val="24"/>
          <w:u w:val="single"/>
        </w:rPr>
        <w:t>」）</w:t>
      </w:r>
      <w:r>
        <w:rPr>
          <w:rStyle w:val="stext1"/>
          <w:rFonts w:hint="eastAsia"/>
          <w:color w:val="000000"/>
          <w:sz w:val="24"/>
          <w:szCs w:val="24"/>
        </w:rPr>
        <w:t>即指出：「</w:t>
      </w:r>
      <w:r>
        <w:rPr>
          <w:rStyle w:val="stext1"/>
          <w:rFonts w:ascii="sөũ" w:hAnsi="sөũ" w:hint="eastAsia"/>
          <w:b/>
          <w:sz w:val="24"/>
          <w:szCs w:val="24"/>
          <w:u w:val="single"/>
        </w:rPr>
        <w:t>機</w:t>
      </w:r>
      <w:r>
        <w:rPr>
          <w:rStyle w:val="stext1"/>
          <w:rFonts w:ascii="sөũ" w:hAnsi="sөũ"/>
          <w:b/>
          <w:sz w:val="24"/>
          <w:szCs w:val="24"/>
          <w:u w:val="single"/>
        </w:rPr>
        <w:t>關遇有職務出缺時，機關首長本得衡酌業務需要裁量決定是否辦理甄補，並非具有該職務之任用資格者即當然陞任</w:t>
      </w:r>
      <w:r>
        <w:rPr>
          <w:rStyle w:val="stext1"/>
          <w:rFonts w:ascii="sөũ" w:hAnsi="sөũ"/>
          <w:sz w:val="24"/>
          <w:szCs w:val="24"/>
        </w:rPr>
        <w:t>，是以，臺中行政法院縱早有一等書記官職缺，仍須由該院考量業務需要，依上開陞遷法規辦理內陞或外補，非當然由具有任用資格之復審人陞任該職務。</w:t>
      </w:r>
      <w:r>
        <w:rPr>
          <w:rStyle w:val="stext1"/>
          <w:rFonts w:ascii="sөũ" w:hAnsi="sөũ" w:hint="eastAsia"/>
          <w:color w:val="000000"/>
        </w:rPr>
        <w:t>」</w:t>
      </w:r>
    </w:p>
    <w:p w:rsidR="007D6688" w:rsidRDefault="007D6688">
      <w:pPr>
        <w:pStyle w:val="4"/>
        <w:spacing w:line="480" w:lineRule="auto"/>
        <w:rPr>
          <w:rFonts w:hint="eastAsia"/>
        </w:rPr>
      </w:pPr>
      <w:bookmarkStart w:id="61" w:name="_Toc121199210"/>
      <w:bookmarkStart w:id="62" w:name="_Toc121212682"/>
      <w:bookmarkStart w:id="63" w:name="_Toc121212945"/>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.3.</w:t>
      </w:r>
      <w:r>
        <w:rPr>
          <w:rFonts w:hint="eastAsia"/>
        </w:rPr>
        <w:t>內陞或外補之作業流程不一</w:t>
      </w:r>
      <w:bookmarkEnd w:id="61"/>
      <w:bookmarkEnd w:id="62"/>
      <w:bookmarkEnd w:id="63"/>
    </w:p>
    <w:p w:rsidR="007D6688" w:rsidRDefault="007D6688">
      <w:pPr>
        <w:pStyle w:val="ab"/>
        <w:spacing w:before="180" w:line="480" w:lineRule="auto"/>
        <w:ind w:firstLine="480"/>
        <w:rPr>
          <w:rFonts w:hint="eastAsia"/>
        </w:rPr>
      </w:pPr>
      <w:r>
        <w:rPr>
          <w:rStyle w:val="stext1"/>
          <w:rFonts w:ascii="sөũ" w:hAnsi="sөũ" w:hint="eastAsia"/>
          <w:sz w:val="24"/>
          <w:szCs w:val="24"/>
        </w:rPr>
        <w:t>根據</w:t>
      </w:r>
      <w:r>
        <w:rPr>
          <w:rStyle w:val="stext1"/>
          <w:rFonts w:ascii="sөũ" w:hAnsi="sөũ"/>
          <w:sz w:val="24"/>
          <w:szCs w:val="24"/>
        </w:rPr>
        <w:t>陞遷法</w:t>
      </w:r>
      <w:r>
        <w:rPr>
          <w:rStyle w:val="stext1"/>
          <w:rFonts w:ascii="sөũ" w:hAnsi="sөũ" w:hint="eastAsia"/>
          <w:sz w:val="24"/>
          <w:szCs w:val="24"/>
        </w:rPr>
        <w:t>之相關規定，</w:t>
      </w:r>
      <w:r>
        <w:rPr>
          <w:rStyle w:val="stext1"/>
          <w:rFonts w:ascii="sөũ" w:hAnsi="sөũ"/>
          <w:sz w:val="24"/>
          <w:szCs w:val="24"/>
        </w:rPr>
        <w:t>各機關職缺如由本機關人員陞遷時，應辦理甄審。各機關人事單位於辦理陞遷前，應簽報機關首長決定職缺擬辦內陞或外補後再行辦理。</w:t>
      </w:r>
      <w:r>
        <w:rPr>
          <w:rStyle w:val="stext1"/>
          <w:rFonts w:ascii="sөũ" w:hAnsi="sөũ" w:hint="eastAsia"/>
          <w:sz w:val="24"/>
          <w:szCs w:val="24"/>
        </w:rPr>
        <w:t>而對於內陞或外補之作業流程，往往有不一致之限制或條件。若針對此類有關內陞或外補的作業標準不服，目前</w:t>
      </w:r>
      <w:r>
        <w:rPr>
          <w:rStyle w:val="stext1"/>
          <w:rFonts w:ascii="sөũ" w:hAnsi="sөũ" w:hint="eastAsia"/>
          <w:color w:val="000000"/>
          <w:sz w:val="24"/>
          <w:szCs w:val="24"/>
        </w:rPr>
        <w:t>保訓會的立場係認定此類作業僅係一般抽象規範，倘公務人員未對主管機關為一定之陞遷請求，同時也</w:t>
      </w:r>
      <w:r>
        <w:rPr>
          <w:rStyle w:val="stext"/>
          <w:b/>
          <w:u w:val="single"/>
        </w:rPr>
        <w:t>未見服務機關對</w:t>
      </w:r>
      <w:r>
        <w:rPr>
          <w:rStyle w:val="stext"/>
          <w:rFonts w:hint="eastAsia"/>
          <w:b/>
          <w:u w:val="single"/>
        </w:rPr>
        <w:t>特定公務人員</w:t>
      </w:r>
      <w:r>
        <w:rPr>
          <w:rStyle w:val="stext"/>
          <w:b/>
          <w:u w:val="single"/>
        </w:rPr>
        <w:t>有任何具體之管理措施</w:t>
      </w:r>
      <w:r>
        <w:rPr>
          <w:rStyle w:val="stext1"/>
          <w:rFonts w:ascii="sөũ" w:hAnsi="sөũ"/>
          <w:color w:val="000000"/>
          <w:sz w:val="24"/>
          <w:szCs w:val="24"/>
        </w:rPr>
        <w:t>，</w:t>
      </w:r>
      <w:r>
        <w:rPr>
          <w:rStyle w:val="stext1"/>
          <w:rFonts w:ascii="sөũ" w:hAnsi="sөũ" w:hint="eastAsia"/>
          <w:color w:val="000000"/>
          <w:sz w:val="24"/>
          <w:szCs w:val="24"/>
        </w:rPr>
        <w:t>尚</w:t>
      </w:r>
      <w:r>
        <w:rPr>
          <w:rStyle w:val="stext1"/>
          <w:rFonts w:ascii="sөũ" w:hAnsi="sөũ"/>
          <w:color w:val="000000"/>
          <w:sz w:val="24"/>
          <w:szCs w:val="24"/>
        </w:rPr>
        <w:t>不得依據保障法所定</w:t>
      </w:r>
      <w:r>
        <w:rPr>
          <w:rStyle w:val="stext1"/>
          <w:rFonts w:ascii="sөũ" w:hAnsi="sөũ" w:hint="eastAsia"/>
          <w:color w:val="000000"/>
          <w:sz w:val="24"/>
          <w:szCs w:val="24"/>
        </w:rPr>
        <w:t>再申訴</w:t>
      </w:r>
      <w:r>
        <w:rPr>
          <w:rStyle w:val="stext1"/>
          <w:rFonts w:ascii="sөũ" w:hAnsi="sөũ"/>
          <w:color w:val="000000"/>
          <w:sz w:val="24"/>
          <w:szCs w:val="24"/>
        </w:rPr>
        <w:t>程序請求救濟</w:t>
      </w:r>
      <w:r>
        <w:rPr>
          <w:rStyle w:val="stext1"/>
          <w:rFonts w:ascii="sөũ" w:hAnsi="sөũ" w:hint="eastAsia"/>
          <w:color w:val="000000"/>
          <w:sz w:val="24"/>
          <w:szCs w:val="24"/>
        </w:rPr>
        <w:t>。例如</w:t>
      </w:r>
      <w:r>
        <w:rPr>
          <w:rStyle w:val="stext1"/>
          <w:rFonts w:ascii="taipei" w:hAnsi="taipei"/>
          <w:b/>
          <w:color w:val="000000"/>
          <w:sz w:val="24"/>
          <w:szCs w:val="24"/>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92</w:t>
      </w:r>
      <w:r>
        <w:rPr>
          <w:rStyle w:val="stext1"/>
          <w:rFonts w:ascii="sөũ" w:hAnsi="sөũ" w:hint="eastAsia"/>
          <w:b/>
          <w:color w:val="000000"/>
          <w:sz w:val="24"/>
          <w:szCs w:val="24"/>
          <w:u w:val="single"/>
        </w:rPr>
        <w:t>）</w:t>
      </w:r>
      <w:r>
        <w:rPr>
          <w:rStyle w:val="stext1"/>
          <w:rFonts w:ascii="sөũ" w:hAnsi="sөũ"/>
          <w:b/>
          <w:color w:val="000000"/>
          <w:sz w:val="24"/>
          <w:szCs w:val="24"/>
          <w:u w:val="single"/>
        </w:rPr>
        <w:t>公申決字第</w:t>
      </w:r>
      <w:r>
        <w:rPr>
          <w:rStyle w:val="stext1"/>
          <w:rFonts w:ascii="sөũ" w:hAnsi="sөũ"/>
          <w:b/>
          <w:color w:val="000000"/>
          <w:sz w:val="24"/>
          <w:szCs w:val="24"/>
          <w:u w:val="single"/>
        </w:rPr>
        <w:t>0295</w:t>
      </w:r>
      <w:r>
        <w:rPr>
          <w:rStyle w:val="stext1"/>
          <w:rFonts w:ascii="sөũ" w:hAnsi="sөũ"/>
          <w:b/>
          <w:color w:val="000000"/>
          <w:sz w:val="24"/>
          <w:szCs w:val="24"/>
          <w:u w:val="single"/>
        </w:rPr>
        <w:t>號</w:t>
      </w:r>
      <w:r>
        <w:rPr>
          <w:rStyle w:val="stext1"/>
          <w:rFonts w:hint="eastAsia"/>
          <w:b/>
          <w:color w:val="000000"/>
          <w:sz w:val="24"/>
          <w:szCs w:val="24"/>
          <w:u w:val="single"/>
        </w:rPr>
        <w:t>決定（以下簡稱「</w:t>
      </w:r>
      <w:r>
        <w:rPr>
          <w:rFonts w:hint="eastAsia"/>
          <w:b/>
          <w:u w:val="single"/>
        </w:rPr>
        <w:t>林睿駿案</w:t>
      </w:r>
      <w:r>
        <w:rPr>
          <w:rStyle w:val="stext1"/>
          <w:rFonts w:hint="eastAsia"/>
          <w:b/>
          <w:color w:val="000000"/>
          <w:sz w:val="24"/>
          <w:szCs w:val="24"/>
          <w:u w:val="single"/>
        </w:rPr>
        <w:t>」）</w:t>
      </w:r>
      <w:r>
        <w:rPr>
          <w:rStyle w:val="stext1"/>
          <w:rFonts w:hint="eastAsia"/>
          <w:color w:val="000000"/>
          <w:sz w:val="24"/>
          <w:szCs w:val="24"/>
        </w:rPr>
        <w:t>謂</w:t>
      </w:r>
      <w:r>
        <w:rPr>
          <w:rStyle w:val="stext"/>
          <w:rFonts w:hint="eastAsia"/>
        </w:rPr>
        <w:t>：「</w:t>
      </w:r>
      <w:r>
        <w:rPr>
          <w:rStyle w:val="stext"/>
        </w:rPr>
        <w:t>查本件再申訴人現任國立臺北商業技術學院（以下簡稱臺北商技學院）生活輔導組組員，因不服該校九十年三月甄選庶務組長辦理內陞、外補兩套作業標準，侵害次一序列候選人員權益，於九十二年七月四日以申訴書向該校提起申訴，嗣不服該校九十二年九月二十二日北商技人字第０九二０００五二００號函附同年</w:t>
      </w:r>
      <w:smartTag w:uri="urn:schemas-microsoft-com:office:smarttags" w:element="chsdate">
        <w:smartTagPr>
          <w:attr w:name="Year" w:val="2005"/>
          <w:attr w:name="Month" w:val="8"/>
          <w:attr w:name="Day" w:val="5"/>
          <w:attr w:name="IsLunarDate" w:val="False"/>
          <w:attr w:name="IsROCDate" w:val="False"/>
        </w:smartTagPr>
        <w:r>
          <w:rPr>
            <w:rStyle w:val="stext"/>
          </w:rPr>
          <w:t>八月五日</w:t>
        </w:r>
      </w:smartTag>
      <w:r>
        <w:rPr>
          <w:rStyle w:val="stext"/>
        </w:rPr>
        <w:t>職工申訴評議書，向本會提起再申訴。茲依再申訴書所載，再申訴人所申訴者係為臺北商技學院九十年三月甄選庶務組長辦理內陞、外補兩套作業標準，侵害次一序列候選人員權益，致其認為排名無法與未經考試及格人員競爭而未報名應試。而卷查除上開作業標準係屬一般規範非屬對再申訴人之管理措施外，再申訴人對上開陞遷事項於申訴之前，並未向服務機關提出具體之請求，且亦未見服務機關對其有任何具體之管理措施，衡諸前揭說明，本件並無得提起申訴、再申訴之標的，而再申訴人依申訴、再申訴程序提起救濟，於法即有未合，本件應不予受理。</w:t>
      </w:r>
      <w:r>
        <w:rPr>
          <w:rStyle w:val="stext"/>
          <w:rFonts w:hint="eastAsia"/>
        </w:rPr>
        <w:t>」</w:t>
      </w:r>
    </w:p>
    <w:p w:rsidR="007D6688" w:rsidRDefault="007D6688">
      <w:pPr>
        <w:pStyle w:val="4"/>
        <w:spacing w:line="480" w:lineRule="auto"/>
        <w:rPr>
          <w:rFonts w:hint="eastAsia"/>
        </w:rPr>
      </w:pPr>
      <w:bookmarkStart w:id="64" w:name="_Toc121199211"/>
      <w:bookmarkStart w:id="65" w:name="_Toc121212683"/>
      <w:bookmarkStart w:id="66" w:name="_Toc121212946"/>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.4.</w:t>
      </w:r>
      <w:r>
        <w:rPr>
          <w:rFonts w:hint="eastAsia"/>
        </w:rPr>
        <w:t>未列入甄審名冊</w:t>
      </w:r>
      <w:bookmarkEnd w:id="64"/>
      <w:bookmarkEnd w:id="65"/>
      <w:bookmarkEnd w:id="66"/>
    </w:p>
    <w:p w:rsidR="007D6688" w:rsidRDefault="007D6688">
      <w:pPr>
        <w:pStyle w:val="ab"/>
        <w:spacing w:before="180" w:line="480" w:lineRule="auto"/>
        <w:ind w:firstLine="480"/>
        <w:rPr>
          <w:rStyle w:val="stext1"/>
          <w:rFonts w:ascii="sөũ" w:hAnsi="sөũ" w:hint="eastAsia"/>
          <w:color w:val="000000"/>
          <w:sz w:val="24"/>
          <w:szCs w:val="24"/>
        </w:rPr>
      </w:pPr>
      <w:r>
        <w:rPr>
          <w:rStyle w:val="stext1"/>
          <w:rFonts w:ascii="sөũ" w:hAnsi="sөũ" w:hint="eastAsia"/>
          <w:color w:val="000000"/>
          <w:sz w:val="24"/>
          <w:szCs w:val="24"/>
        </w:rPr>
        <w:t>機關若直接拒絕公務人員參加甄選，保訓會似認為此時機關已作成一內部管理措施，得經再申訴程序尋求救濟。例如</w:t>
      </w:r>
      <w:r>
        <w:rPr>
          <w:rStyle w:val="stext1"/>
          <w:rFonts w:ascii="taipei" w:hAnsi="taipei"/>
          <w:b/>
          <w:color w:val="000000"/>
          <w:sz w:val="24"/>
          <w:szCs w:val="24"/>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w:t>
      </w:r>
      <w:r>
        <w:rPr>
          <w:rStyle w:val="stext1"/>
          <w:rFonts w:ascii="sөũ" w:hAnsi="sөũ" w:hint="eastAsia"/>
          <w:b/>
          <w:color w:val="000000"/>
          <w:sz w:val="24"/>
          <w:szCs w:val="24"/>
          <w:u w:val="single"/>
        </w:rPr>
        <w:t>0</w:t>
      </w:r>
      <w:r>
        <w:rPr>
          <w:rStyle w:val="stext1"/>
          <w:rFonts w:ascii="sөũ" w:hAnsi="sөũ" w:hint="eastAsia"/>
          <w:b/>
          <w:color w:val="000000"/>
          <w:sz w:val="24"/>
          <w:szCs w:val="24"/>
          <w:u w:val="single"/>
        </w:rPr>
        <w:t>）</w:t>
      </w:r>
      <w:r>
        <w:rPr>
          <w:rStyle w:val="stext1"/>
          <w:rFonts w:ascii="sөũ" w:hAnsi="sөũ"/>
          <w:b/>
          <w:color w:val="000000"/>
          <w:sz w:val="24"/>
          <w:szCs w:val="24"/>
          <w:u w:val="single"/>
        </w:rPr>
        <w:t>公</w:t>
      </w:r>
      <w:r>
        <w:rPr>
          <w:rStyle w:val="stext1"/>
          <w:rFonts w:ascii="sөũ" w:hAnsi="sөũ" w:hint="eastAsia"/>
          <w:b/>
          <w:color w:val="000000"/>
          <w:sz w:val="24"/>
          <w:szCs w:val="24"/>
          <w:u w:val="single"/>
        </w:rPr>
        <w:t>申</w:t>
      </w:r>
      <w:r>
        <w:rPr>
          <w:rStyle w:val="stext1"/>
          <w:rFonts w:ascii="sөũ" w:hAnsi="sөũ"/>
          <w:b/>
          <w:color w:val="000000"/>
          <w:sz w:val="24"/>
          <w:szCs w:val="24"/>
          <w:u w:val="single"/>
        </w:rPr>
        <w:t>決字第</w:t>
      </w:r>
      <w:r>
        <w:rPr>
          <w:rStyle w:val="stext1"/>
          <w:rFonts w:ascii="sөũ" w:hAnsi="sөũ"/>
          <w:b/>
          <w:color w:val="000000"/>
          <w:sz w:val="24"/>
          <w:szCs w:val="24"/>
          <w:u w:val="single"/>
        </w:rPr>
        <w:t>0</w:t>
      </w:r>
      <w:r>
        <w:rPr>
          <w:rStyle w:val="stext1"/>
          <w:rFonts w:ascii="sөũ" w:hAnsi="sөũ" w:hint="eastAsia"/>
          <w:b/>
          <w:color w:val="000000"/>
          <w:sz w:val="24"/>
          <w:szCs w:val="24"/>
          <w:u w:val="single"/>
        </w:rPr>
        <w:t>133</w:t>
      </w:r>
      <w:r>
        <w:rPr>
          <w:rStyle w:val="stext1"/>
          <w:rFonts w:ascii="sөũ" w:hAnsi="sөũ"/>
          <w:b/>
          <w:color w:val="000000"/>
          <w:sz w:val="24"/>
          <w:szCs w:val="24"/>
          <w:u w:val="single"/>
        </w:rPr>
        <w:t>號</w:t>
      </w:r>
      <w:r>
        <w:rPr>
          <w:rStyle w:val="stext1"/>
          <w:rFonts w:hint="eastAsia"/>
          <w:b/>
          <w:color w:val="000000"/>
          <w:sz w:val="24"/>
          <w:szCs w:val="24"/>
          <w:u w:val="single"/>
        </w:rPr>
        <w:t>決定（以下簡稱「</w:t>
      </w:r>
      <w:r>
        <w:rPr>
          <w:rStyle w:val="stext1"/>
          <w:rFonts w:ascii="sөũ" w:hAnsi="sөũ"/>
          <w:b/>
          <w:color w:val="000000"/>
          <w:sz w:val="24"/>
          <w:szCs w:val="24"/>
          <w:u w:val="single"/>
        </w:rPr>
        <w:t>吳俊模</w:t>
      </w:r>
      <w:r>
        <w:rPr>
          <w:rFonts w:hint="eastAsia"/>
          <w:b/>
          <w:u w:val="single"/>
        </w:rPr>
        <w:t>案</w:t>
      </w:r>
      <w:r>
        <w:rPr>
          <w:rStyle w:val="stext1"/>
          <w:rFonts w:hint="eastAsia"/>
          <w:b/>
          <w:color w:val="000000"/>
          <w:sz w:val="24"/>
          <w:szCs w:val="24"/>
          <w:u w:val="single"/>
        </w:rPr>
        <w:t>」）</w:t>
      </w:r>
      <w:r>
        <w:rPr>
          <w:rStyle w:val="stext1"/>
          <w:rFonts w:hint="eastAsia"/>
          <w:color w:val="000000"/>
          <w:sz w:val="24"/>
          <w:szCs w:val="24"/>
        </w:rPr>
        <w:t>謂：「</w:t>
      </w:r>
      <w:r>
        <w:rPr>
          <w:rStyle w:val="stext1"/>
          <w:rFonts w:ascii="sөũ" w:hAnsi="sөũ"/>
          <w:color w:val="000000"/>
          <w:sz w:val="24"/>
          <w:szCs w:val="24"/>
        </w:rPr>
        <w:t>緣再申訴人現職為行政院海岸巡防署海洋巡防總局（以下簡稱海防局）南部機動海巡隊艦艇駕駛員，原係財政部關稅總局（以下簡稱關稅總局）移撥該局人員，因不服海防局委請關稅總局辦理之八十九年關務人員升任甄審會議所為再申訴人現職俸級（四七五俸點）未滿一年，與規定不符，不得參加本次升任甄審之決議，向海防局提出申訴，嗣不服該局</w:t>
      </w:r>
      <w:smartTag w:uri="urn:schemas-microsoft-com:office:smarttags" w:element="chsdate">
        <w:smartTagPr>
          <w:attr w:name="Year" w:val="1990"/>
          <w:attr w:name="Month" w:val="4"/>
          <w:attr w:name="Day" w:val="3"/>
          <w:attr w:name="IsLunarDate" w:val="False"/>
          <w:attr w:name="IsROCDate" w:val="False"/>
        </w:smartTagPr>
        <w:r>
          <w:rPr>
            <w:rStyle w:val="stext1"/>
            <w:rFonts w:ascii="sөũ" w:hAnsi="sөũ"/>
            <w:color w:val="000000"/>
            <w:sz w:val="24"/>
            <w:szCs w:val="24"/>
          </w:rPr>
          <w:t>九十年四月三日</w:t>
        </w:r>
      </w:smartTag>
      <w:r>
        <w:rPr>
          <w:rStyle w:val="stext1"/>
          <w:rFonts w:ascii="sөũ" w:hAnsi="sөũ"/>
          <w:color w:val="000000"/>
          <w:sz w:val="24"/>
          <w:szCs w:val="24"/>
        </w:rPr>
        <w:t>（九０）洋局人字第一六三二八號書函之函復，爰向本會提出申訴（應為再申訴，以下同）</w:t>
      </w:r>
      <w:r>
        <w:rPr>
          <w:rStyle w:val="stext1"/>
          <w:rFonts w:ascii="sөũ" w:hAnsi="sөũ" w:hint="eastAsia"/>
          <w:color w:val="000000"/>
          <w:sz w:val="24"/>
          <w:szCs w:val="24"/>
        </w:rPr>
        <w:t>…。」保訓會雖受理該案，但最後以再申訴無理由而駁回之。</w:t>
      </w:r>
    </w:p>
    <w:p w:rsidR="007D6688" w:rsidRDefault="007D6688">
      <w:pPr>
        <w:pStyle w:val="ab"/>
        <w:spacing w:before="180" w:line="480" w:lineRule="auto"/>
        <w:ind w:firstLine="480"/>
        <w:rPr>
          <w:rStyle w:val="stext1"/>
          <w:rFonts w:ascii="sөũ" w:hAnsi="sөũ" w:hint="eastAsia"/>
          <w:color w:val="000000"/>
          <w:sz w:val="24"/>
          <w:szCs w:val="24"/>
        </w:rPr>
      </w:pPr>
      <w:r>
        <w:rPr>
          <w:rStyle w:val="stext1"/>
          <w:rFonts w:ascii="sөũ" w:hAnsi="sөũ" w:hint="eastAsia"/>
          <w:color w:val="000000"/>
          <w:sz w:val="24"/>
          <w:szCs w:val="24"/>
        </w:rPr>
        <w:t>相對地，對於公務人員消極未被列入陞遷名冊之案件，保訓會有決定認為</w:t>
      </w:r>
      <w:r>
        <w:rPr>
          <w:rStyle w:val="stext1"/>
          <w:rFonts w:ascii="sөũ" w:hAnsi="sөũ"/>
          <w:b/>
          <w:color w:val="000000"/>
          <w:sz w:val="24"/>
          <w:szCs w:val="24"/>
          <w:u w:val="single"/>
        </w:rPr>
        <w:t>未獲列入陞任或遷調名冊，乃係機關內部所為之管理措施</w:t>
      </w:r>
      <w:r>
        <w:rPr>
          <w:rStyle w:val="stext1"/>
          <w:rFonts w:ascii="sөũ" w:hAnsi="sөũ"/>
          <w:color w:val="000000"/>
          <w:sz w:val="24"/>
          <w:szCs w:val="24"/>
        </w:rPr>
        <w:t>，對</w:t>
      </w:r>
      <w:r>
        <w:rPr>
          <w:rStyle w:val="stext1"/>
          <w:rFonts w:ascii="sөũ" w:hAnsi="sөũ" w:hint="eastAsia"/>
          <w:color w:val="000000"/>
          <w:sz w:val="24"/>
          <w:szCs w:val="24"/>
        </w:rPr>
        <w:t>公務人員</w:t>
      </w:r>
      <w:r>
        <w:rPr>
          <w:rStyle w:val="stext1"/>
          <w:rFonts w:ascii="sөũ" w:hAnsi="sөũ"/>
          <w:color w:val="000000"/>
          <w:sz w:val="24"/>
          <w:szCs w:val="24"/>
        </w:rPr>
        <w:t>之權利尚無重大影響，且未改變其公務人員之身分關係，不得依據保障法所定復審程序請求救濟</w:t>
      </w:r>
      <w:r>
        <w:rPr>
          <w:rStyle w:val="stext1"/>
          <w:rFonts w:ascii="sөũ" w:hAnsi="sөũ" w:hint="eastAsia"/>
          <w:color w:val="000000"/>
          <w:sz w:val="24"/>
          <w:szCs w:val="24"/>
        </w:rPr>
        <w:t>。</w:t>
      </w:r>
    </w:p>
    <w:p w:rsidR="007D6688" w:rsidRDefault="007D6688">
      <w:pPr>
        <w:pStyle w:val="ab"/>
        <w:spacing w:before="180" w:line="480" w:lineRule="auto"/>
        <w:ind w:firstLine="480"/>
        <w:rPr>
          <w:rStyle w:val="stext1"/>
          <w:rFonts w:ascii="sөũ" w:hAnsi="sөũ" w:hint="eastAsia"/>
          <w:color w:val="000000"/>
          <w:sz w:val="24"/>
          <w:szCs w:val="24"/>
        </w:rPr>
      </w:pPr>
      <w:r>
        <w:rPr>
          <w:rStyle w:val="stext1"/>
          <w:rFonts w:ascii="sөũ" w:hAnsi="sөũ" w:hint="eastAsia"/>
          <w:color w:val="000000"/>
          <w:sz w:val="24"/>
          <w:szCs w:val="24"/>
        </w:rPr>
        <w:t>例如</w:t>
      </w:r>
      <w:r>
        <w:rPr>
          <w:rStyle w:val="stext1"/>
          <w:rFonts w:ascii="taipei" w:hAnsi="taipei"/>
          <w:b/>
          <w:color w:val="000000"/>
          <w:sz w:val="24"/>
          <w:szCs w:val="24"/>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91</w:t>
      </w:r>
      <w:r>
        <w:rPr>
          <w:rStyle w:val="stext1"/>
          <w:rFonts w:ascii="sөũ" w:hAnsi="sөũ" w:hint="eastAsia"/>
          <w:b/>
          <w:color w:val="000000"/>
          <w:sz w:val="24"/>
          <w:szCs w:val="24"/>
          <w:u w:val="single"/>
        </w:rPr>
        <w:t>）</w:t>
      </w:r>
      <w:r>
        <w:rPr>
          <w:rStyle w:val="stext1"/>
          <w:rFonts w:ascii="sөũ" w:hAnsi="sөũ"/>
          <w:b/>
          <w:color w:val="000000"/>
          <w:sz w:val="24"/>
          <w:szCs w:val="24"/>
          <w:u w:val="single"/>
        </w:rPr>
        <w:t>公審決字第</w:t>
      </w:r>
      <w:r>
        <w:rPr>
          <w:rStyle w:val="stext1"/>
          <w:rFonts w:ascii="sөũ" w:hAnsi="sөũ"/>
          <w:b/>
          <w:color w:val="000000"/>
          <w:sz w:val="24"/>
          <w:szCs w:val="24"/>
          <w:u w:val="single"/>
        </w:rPr>
        <w:t>0061</w:t>
      </w:r>
      <w:r>
        <w:rPr>
          <w:rStyle w:val="stext1"/>
          <w:rFonts w:ascii="sөũ" w:hAnsi="sөũ"/>
          <w:b/>
          <w:color w:val="000000"/>
          <w:sz w:val="24"/>
          <w:szCs w:val="24"/>
          <w:u w:val="single"/>
        </w:rPr>
        <w:t>號</w:t>
      </w:r>
      <w:r>
        <w:rPr>
          <w:rStyle w:val="stext1"/>
          <w:rFonts w:hint="eastAsia"/>
          <w:b/>
          <w:color w:val="000000"/>
          <w:sz w:val="24"/>
          <w:szCs w:val="24"/>
          <w:u w:val="single"/>
        </w:rPr>
        <w:t>決定（以下簡稱「</w:t>
      </w:r>
      <w:r>
        <w:rPr>
          <w:rFonts w:hint="eastAsia"/>
          <w:b/>
          <w:u w:val="single"/>
        </w:rPr>
        <w:t>張夢麟案</w:t>
      </w:r>
      <w:r>
        <w:rPr>
          <w:rStyle w:val="stext1"/>
          <w:rFonts w:hint="eastAsia"/>
          <w:b/>
          <w:color w:val="000000"/>
          <w:sz w:val="24"/>
          <w:szCs w:val="24"/>
          <w:u w:val="single"/>
        </w:rPr>
        <w:t>」）</w:t>
      </w:r>
      <w:r>
        <w:rPr>
          <w:rStyle w:val="stext1"/>
          <w:rFonts w:hint="eastAsia"/>
          <w:color w:val="000000"/>
          <w:sz w:val="24"/>
          <w:szCs w:val="24"/>
        </w:rPr>
        <w:t>謂：「</w:t>
      </w:r>
      <w:r>
        <w:rPr>
          <w:rStyle w:val="stext1"/>
          <w:rFonts w:ascii="sөũ" w:hAnsi="sөũ"/>
          <w:color w:val="000000"/>
          <w:sz w:val="24"/>
          <w:szCs w:val="24"/>
        </w:rPr>
        <w:t>查再復審人現任法務部調查局臺灣省調查處調查專員，因認法務部調查局</w:t>
      </w:r>
      <w:smartTag w:uri="urn:schemas-microsoft-com:office:smarttags" w:element="chsdate">
        <w:smartTagPr>
          <w:attr w:name="Year" w:val="1990"/>
          <w:attr w:name="Month" w:val="6"/>
          <w:attr w:name="Day" w:val="20"/>
          <w:attr w:name="IsLunarDate" w:val="False"/>
          <w:attr w:name="IsROCDate" w:val="False"/>
        </w:smartTagPr>
        <w:r>
          <w:rPr>
            <w:rStyle w:val="stext1"/>
            <w:rFonts w:ascii="sөũ" w:hAnsi="sөũ"/>
            <w:color w:val="000000"/>
            <w:sz w:val="24"/>
            <w:szCs w:val="24"/>
          </w:rPr>
          <w:t>九十年六月二十日</w:t>
        </w:r>
      </w:smartTag>
      <w:r>
        <w:rPr>
          <w:rStyle w:val="stext1"/>
          <w:rFonts w:ascii="sөũ" w:hAnsi="sөũ"/>
          <w:color w:val="000000"/>
          <w:sz w:val="24"/>
          <w:szCs w:val="24"/>
        </w:rPr>
        <w:t>第一五三次人事甄審委員會辦理縣市調查站主任職缺作業，違反公務人員陞遷法及其相關法規，未將其列入陞任或遷調名冊事件，向法務部提出復審，嗣不服復審決定，向本會提出再復審，按再復審人未獲列入陞任或遷調名冊，乃係機關內部所為之管理措施，對再復審人之權利尚無重大影響，且未改變其公務人員之身分關係，亦非其基於公務人員身分所產生公法上財產請求權遭受侵害，揆諸前開說明，尚不得依據公務人員保障法所定復審、再復審程序請求救濟，法務部復審決定不予受理，其認事用法，核無違誤，再復審人續向本會提起再復審，仍應不予受理。</w:t>
      </w:r>
      <w:r>
        <w:rPr>
          <w:rStyle w:val="ae"/>
          <w:rFonts w:ascii="sөũ" w:hAnsi="sөũ" w:hint="eastAsia"/>
          <w:color w:val="000000"/>
        </w:rPr>
        <w:footnoteReference w:id="9"/>
      </w:r>
      <w:r>
        <w:rPr>
          <w:rStyle w:val="stext1"/>
          <w:rFonts w:ascii="sөũ" w:hAnsi="sөũ" w:hint="eastAsia"/>
          <w:color w:val="000000"/>
          <w:sz w:val="24"/>
          <w:szCs w:val="24"/>
        </w:rPr>
        <w:t>」</w:t>
      </w:r>
    </w:p>
    <w:p w:rsidR="007D6688" w:rsidRDefault="007D6688">
      <w:pPr>
        <w:pStyle w:val="4"/>
        <w:spacing w:line="480" w:lineRule="auto"/>
      </w:pPr>
      <w:bookmarkStart w:id="67" w:name="_Toc121199212"/>
      <w:bookmarkStart w:id="68" w:name="_Toc121212684"/>
      <w:bookmarkStart w:id="69" w:name="_Toc121212947"/>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.5.</w:t>
      </w:r>
      <w:r>
        <w:t>甄審委員會所為之評審決定</w:t>
      </w:r>
      <w:bookmarkEnd w:id="67"/>
      <w:bookmarkEnd w:id="68"/>
      <w:bookmarkEnd w:id="69"/>
    </w:p>
    <w:p w:rsidR="007D6688" w:rsidRDefault="007D6688">
      <w:pPr>
        <w:pStyle w:val="ab"/>
        <w:spacing w:before="180" w:line="480" w:lineRule="auto"/>
        <w:ind w:firstLine="503"/>
        <w:rPr>
          <w:rStyle w:val="stext1"/>
          <w:rFonts w:ascii="sөũ" w:hAnsi="sөũ" w:hint="eastAsia"/>
          <w:color w:val="000000"/>
        </w:rPr>
      </w:pPr>
      <w:r>
        <w:rPr>
          <w:rFonts w:hint="eastAsia"/>
          <w:w w:val="105"/>
        </w:rPr>
        <w:t>各機關辦理公務人員之陞遷時，除應由人事單位就具有擬陞遷職務任用資格人員，分別情形，依積分高低順序或資格條件造列名冊外，並應檢同有關資料，報請本機關首長交付甄審委員會進行評審</w:t>
      </w:r>
      <w:r>
        <w:rPr>
          <w:w w:val="105"/>
        </w:rPr>
        <w:t>（陞遷法</w:t>
      </w:r>
      <w:r>
        <w:rPr>
          <w:spacing w:val="45"/>
          <w:kern w:val="0"/>
        </w:rPr>
        <w:t>第</w:t>
      </w:r>
      <w:r>
        <w:rPr>
          <w:rFonts w:hAnsi="Arial" w:hint="eastAsia"/>
          <w:spacing w:val="45"/>
          <w:kern w:val="0"/>
        </w:rPr>
        <w:t>9</w:t>
      </w:r>
      <w:r>
        <w:rPr>
          <w:kern w:val="0"/>
        </w:rPr>
        <w:t>條</w:t>
      </w:r>
      <w:r>
        <w:rPr>
          <w:rFonts w:hint="eastAsia"/>
          <w:kern w:val="0"/>
        </w:rPr>
        <w:t>第</w:t>
      </w:r>
      <w:r>
        <w:rPr>
          <w:rFonts w:hint="eastAsia"/>
          <w:kern w:val="0"/>
        </w:rPr>
        <w:t>1</w:t>
      </w:r>
      <w:r>
        <w:rPr>
          <w:rFonts w:hint="eastAsia"/>
          <w:kern w:val="0"/>
        </w:rPr>
        <w:t>項</w:t>
      </w:r>
      <w:r>
        <w:rPr>
          <w:w w:val="105"/>
        </w:rPr>
        <w:t>）</w:t>
      </w:r>
      <w:r>
        <w:rPr>
          <w:rFonts w:hint="eastAsia"/>
          <w:w w:val="105"/>
        </w:rPr>
        <w:t>。對於此一評審決定，保訓會並不認為係一具體管理措施。例如</w:t>
      </w:r>
      <w:r>
        <w:rPr>
          <w:rStyle w:val="af3"/>
          <w:b/>
          <w:u w:val="single"/>
        </w:rPr>
        <w:t>保訓會</w:t>
      </w:r>
      <w:r>
        <w:rPr>
          <w:rStyle w:val="af3"/>
          <w:rFonts w:hint="eastAsia"/>
          <w:b/>
          <w:u w:val="single"/>
        </w:rPr>
        <w:t>（94）</w:t>
      </w:r>
      <w:r>
        <w:rPr>
          <w:rStyle w:val="af3"/>
          <w:b/>
          <w:u w:val="single"/>
        </w:rPr>
        <w:t>公申決字第0</w:t>
      </w:r>
      <w:r>
        <w:rPr>
          <w:rStyle w:val="af3"/>
          <w:rFonts w:hint="eastAsia"/>
          <w:b/>
          <w:u w:val="single"/>
        </w:rPr>
        <w:t>113</w:t>
      </w:r>
      <w:r>
        <w:rPr>
          <w:rStyle w:val="af3"/>
          <w:b/>
          <w:u w:val="single"/>
        </w:rPr>
        <w:t>號</w:t>
      </w:r>
      <w:r>
        <w:rPr>
          <w:rStyle w:val="af3"/>
          <w:rFonts w:hint="eastAsia"/>
          <w:b/>
          <w:u w:val="single"/>
        </w:rPr>
        <w:t>決定（以下簡稱「張克難案」）</w:t>
      </w:r>
      <w:r>
        <w:rPr>
          <w:rStyle w:val="stext1"/>
          <w:rFonts w:ascii="sөũ" w:hAnsi="sөũ" w:hint="eastAsia"/>
          <w:sz w:val="24"/>
          <w:szCs w:val="24"/>
        </w:rPr>
        <w:t>指出：「</w:t>
      </w:r>
      <w:r>
        <w:rPr>
          <w:rStyle w:val="stext1"/>
          <w:rFonts w:ascii="sөũ" w:hAnsi="sөũ"/>
          <w:sz w:val="24"/>
          <w:szCs w:val="24"/>
        </w:rPr>
        <w:t>依相關人事法規，以各機關辦理人員陞遷，應由人事單位就具有擬陞遷職務任用資格人員，造列名冊並檢同有關資料，報請本機關首長交付甄審委員會評審後，依程序報請機關首長就評審結果圈定陞補人員，並據以核發派令。是本件臺北市稅捐稽徵處</w:t>
      </w:r>
      <w:r>
        <w:rPr>
          <w:rStyle w:val="stext1"/>
          <w:rFonts w:ascii="sөũ" w:hAnsi="sөũ"/>
          <w:b/>
          <w:sz w:val="24"/>
          <w:szCs w:val="24"/>
          <w:u w:val="single"/>
        </w:rPr>
        <w:t>甄審委員會對於薦任第八職等法制職系秘書職缺之遷調作業所為之評審決定，僅係派令核發之前置程序，非屬對再申訴人所為之具體管理措施</w:t>
      </w:r>
      <w:r>
        <w:rPr>
          <w:rStyle w:val="stext1"/>
          <w:rFonts w:ascii="sөũ" w:hAnsi="sөũ"/>
          <w:sz w:val="24"/>
          <w:szCs w:val="24"/>
        </w:rPr>
        <w:t>。</w:t>
      </w:r>
      <w:r>
        <w:rPr>
          <w:rStyle w:val="stext1"/>
          <w:rFonts w:ascii="sөũ" w:hAnsi="sөũ" w:hint="eastAsia"/>
          <w:sz w:val="24"/>
          <w:szCs w:val="24"/>
        </w:rPr>
        <w:t>」但是在陞遷程序中，甄審會評分決定前，人事單位就具有任用資格人員，依陞遷法第</w:t>
      </w:r>
      <w:r>
        <w:rPr>
          <w:rStyle w:val="stext1"/>
          <w:rFonts w:ascii="sөũ" w:hAnsi="sөũ" w:hint="eastAsia"/>
          <w:sz w:val="24"/>
          <w:szCs w:val="24"/>
        </w:rPr>
        <w:t>7</w:t>
      </w:r>
      <w:r>
        <w:rPr>
          <w:rStyle w:val="stext1"/>
          <w:rFonts w:ascii="sөũ" w:hAnsi="sөũ" w:hint="eastAsia"/>
          <w:sz w:val="24"/>
          <w:szCs w:val="24"/>
        </w:rPr>
        <w:t>條所定標準，核計分數，依積分高低造列名冊，（所謂資績計分部分），保訓會則肯認屬機關之具體管理措施（</w:t>
      </w:r>
      <w:r>
        <w:rPr>
          <w:rStyle w:val="af3"/>
          <w:b/>
          <w:u w:val="single"/>
        </w:rPr>
        <w:t>保訓會</w:t>
      </w:r>
      <w:r>
        <w:rPr>
          <w:rStyle w:val="af3"/>
          <w:rFonts w:hint="eastAsia"/>
          <w:b/>
          <w:u w:val="single"/>
        </w:rPr>
        <w:t>（92）</w:t>
      </w:r>
      <w:r>
        <w:rPr>
          <w:rStyle w:val="af3"/>
          <w:b/>
          <w:u w:val="single"/>
        </w:rPr>
        <w:t>公申決字第0</w:t>
      </w:r>
      <w:r>
        <w:rPr>
          <w:rStyle w:val="af3"/>
          <w:rFonts w:hint="eastAsia"/>
          <w:b/>
          <w:u w:val="single"/>
        </w:rPr>
        <w:t>327</w:t>
      </w:r>
      <w:r>
        <w:rPr>
          <w:rStyle w:val="af3"/>
          <w:b/>
          <w:u w:val="single"/>
        </w:rPr>
        <w:t>號</w:t>
      </w:r>
      <w:r>
        <w:rPr>
          <w:rStyle w:val="af3"/>
          <w:rFonts w:hint="eastAsia"/>
          <w:b/>
          <w:u w:val="single"/>
        </w:rPr>
        <w:t>決定（以下簡稱「</w:t>
      </w:r>
      <w:r>
        <w:rPr>
          <w:rFonts w:hint="eastAsia"/>
          <w:b/>
          <w:u w:val="single"/>
        </w:rPr>
        <w:t>莊靜儀</w:t>
      </w:r>
      <w:r>
        <w:rPr>
          <w:rStyle w:val="af3"/>
          <w:rFonts w:hint="eastAsia"/>
          <w:b/>
          <w:u w:val="single"/>
        </w:rPr>
        <w:t>案」）</w:t>
      </w:r>
      <w:r>
        <w:rPr>
          <w:rStyle w:val="stext1"/>
          <w:rFonts w:ascii="sөũ" w:hAnsi="sөũ" w:hint="eastAsia"/>
          <w:sz w:val="24"/>
          <w:szCs w:val="24"/>
        </w:rPr>
        <w:t>。</w:t>
      </w:r>
    </w:p>
    <w:p w:rsidR="007D6688" w:rsidRDefault="007D6688">
      <w:pPr>
        <w:pStyle w:val="4"/>
        <w:spacing w:line="480" w:lineRule="auto"/>
        <w:rPr>
          <w:rFonts w:hint="eastAsia"/>
        </w:rPr>
      </w:pPr>
      <w:bookmarkStart w:id="70" w:name="_Toc121199213"/>
      <w:bookmarkStart w:id="71" w:name="_Toc121212685"/>
      <w:bookmarkStart w:id="72" w:name="_Toc121212948"/>
      <w:smartTag w:uri="urn:schemas-microsoft-com:office:smarttags" w:element="chsdate">
        <w:smartTagPr>
          <w:attr w:name="Year" w:val="1899"/>
          <w:attr w:name="Month" w:val="12"/>
          <w:attr w:name="Day" w:val="30"/>
          <w:attr w:name="IsLunarDate" w:val="False"/>
          <w:attr w:name="IsROCDate" w:val="False"/>
        </w:smartTagPr>
        <w:r>
          <w:t>3.2.1</w:t>
        </w:r>
      </w:smartTag>
      <w:r>
        <w:t>.</w:t>
      </w:r>
      <w:r>
        <w:rPr>
          <w:rFonts w:hint="eastAsia"/>
        </w:rPr>
        <w:t>6</w:t>
      </w:r>
      <w:r>
        <w:t>.</w:t>
      </w:r>
      <w:r>
        <w:rPr>
          <w:rFonts w:hint="eastAsia"/>
        </w:rPr>
        <w:t>本人未獲陞遷</w:t>
      </w:r>
      <w:bookmarkEnd w:id="70"/>
      <w:bookmarkEnd w:id="71"/>
      <w:bookmarkEnd w:id="72"/>
    </w:p>
    <w:p w:rsidR="007D6688" w:rsidRDefault="007D6688">
      <w:pPr>
        <w:pStyle w:val="22"/>
        <w:spacing w:line="480" w:lineRule="auto"/>
        <w:rPr>
          <w:rStyle w:val="af3"/>
          <w:rFonts w:hint="eastAsia"/>
          <w:b/>
          <w:u w:val="single"/>
        </w:rPr>
      </w:pPr>
      <w:r>
        <w:rPr>
          <w:rStyle w:val="af3"/>
          <w:rFonts w:hint="eastAsia"/>
          <w:b/>
          <w:u w:val="single"/>
        </w:rPr>
        <w:t>（一）判斷餘地與裁量之尊重</w:t>
      </w:r>
    </w:p>
    <w:p w:rsidR="007D6688" w:rsidRDefault="007D6688">
      <w:pPr>
        <w:pStyle w:val="22"/>
        <w:spacing w:line="480" w:lineRule="auto"/>
        <w:rPr>
          <w:rStyle w:val="af3"/>
          <w:rFonts w:hint="eastAsia"/>
        </w:rPr>
      </w:pPr>
      <w:r>
        <w:rPr>
          <w:rStyle w:val="af3"/>
          <w:rFonts w:hint="eastAsia"/>
        </w:rPr>
        <w:t>對於本人雖參與甄審，惟最終未獲陞遷之案件，保訓會認為人事</w:t>
      </w:r>
      <w:r>
        <w:rPr>
          <w:rStyle w:val="af3"/>
        </w:rPr>
        <w:t>甄審會</w:t>
      </w:r>
      <w:r>
        <w:rPr>
          <w:rStyle w:val="af3"/>
          <w:rFonts w:hint="eastAsia"/>
        </w:rPr>
        <w:t>對</w:t>
      </w:r>
      <w:r>
        <w:rPr>
          <w:rStyle w:val="af3"/>
        </w:rPr>
        <w:t>符合資格條件者之服務情形、專長才能、發展潛力、領導統御等因素作綜合考評</w:t>
      </w:r>
      <w:r>
        <w:rPr>
          <w:rStyle w:val="af3"/>
          <w:rFonts w:hint="eastAsia"/>
        </w:rPr>
        <w:t>時，</w:t>
      </w:r>
      <w:r>
        <w:rPr>
          <w:rStyle w:val="af3"/>
        </w:rPr>
        <w:t>類此考評工作，富高度屬人性，除辦理考評業務有法定程序上之瑕疵、對事實認定有違誤、審議未遵守一般公認價值判斷之標準、有「與事件無關之考慮」牽涉在內及有違反平等原則等情事外，機關學校首長或甄審會或審議會對符合資格者考評之「判斷餘地」理應尊重</w:t>
      </w:r>
      <w:r>
        <w:rPr>
          <w:rStyle w:val="af3"/>
          <w:rFonts w:hint="eastAsia"/>
        </w:rPr>
        <w:t>。換言之，保訓會原則上並不進行審查。例如</w:t>
      </w:r>
      <w:r>
        <w:rPr>
          <w:rStyle w:val="af3"/>
          <w:b/>
          <w:u w:val="single"/>
        </w:rPr>
        <w:t>保訓會</w:t>
      </w:r>
      <w:r>
        <w:rPr>
          <w:rStyle w:val="af3"/>
          <w:rFonts w:hint="eastAsia"/>
          <w:b/>
          <w:u w:val="single"/>
        </w:rPr>
        <w:t>（</w:t>
      </w:r>
      <w:r>
        <w:rPr>
          <w:rStyle w:val="af3"/>
          <w:b/>
          <w:u w:val="single"/>
        </w:rPr>
        <w:t>86</w:t>
      </w:r>
      <w:r>
        <w:rPr>
          <w:rStyle w:val="af3"/>
          <w:rFonts w:hint="eastAsia"/>
          <w:b/>
          <w:u w:val="single"/>
        </w:rPr>
        <w:t>）</w:t>
      </w:r>
      <w:r>
        <w:rPr>
          <w:rStyle w:val="af3"/>
          <w:b/>
          <w:u w:val="single"/>
        </w:rPr>
        <w:t>公申決字第0096號</w:t>
      </w:r>
      <w:r>
        <w:rPr>
          <w:rStyle w:val="af3"/>
          <w:rFonts w:hint="eastAsia"/>
          <w:b/>
          <w:u w:val="single"/>
        </w:rPr>
        <w:t>決定（以下簡稱「陳進福案」）</w:t>
      </w:r>
      <w:r>
        <w:rPr>
          <w:rStyle w:val="af3"/>
          <w:rFonts w:hint="eastAsia"/>
        </w:rPr>
        <w:t>謂：「『</w:t>
      </w:r>
      <w:r>
        <w:rPr>
          <w:rStyle w:val="af3"/>
        </w:rPr>
        <w:t>現職委任公務人員參加晉升薦任官等訓練遴選要點</w:t>
      </w:r>
      <w:r>
        <w:rPr>
          <w:rStyle w:val="af3"/>
          <w:rFonts w:hint="eastAsia"/>
        </w:rPr>
        <w:t>』</w:t>
      </w:r>
      <w:r>
        <w:rPr>
          <w:rStyle w:val="af3"/>
        </w:rPr>
        <w:t>第二點第一項：</w:t>
      </w:r>
      <w:r>
        <w:rPr>
          <w:rStyle w:val="af3"/>
          <w:rFonts w:hint="eastAsia"/>
        </w:rPr>
        <w:t>『</w:t>
      </w:r>
      <w:r>
        <w:rPr>
          <w:rStyle w:val="af3"/>
        </w:rPr>
        <w:t>遴選現職委任公務人員參加晉升薦任官等訓練，應就具有公務人員任用法第十七條第三項所定資格條件者加以遴選，並依考試與學歷、訓練進修、年資、考績、獎懲及綜合考評等項所定標準加以評定，積分高者優先受訓。其遴選評分標準如附表。</w:t>
      </w:r>
      <w:r>
        <w:rPr>
          <w:rStyle w:val="af3"/>
          <w:rFonts w:hint="eastAsia"/>
        </w:rPr>
        <w:t>』……</w:t>
      </w:r>
      <w:r>
        <w:rPr>
          <w:rStyle w:val="af3"/>
        </w:rPr>
        <w:t>等規定觀之，各機關、學校辦理遴選現職委任公務人員參加晉升薦任官等訓練時，應依</w:t>
      </w:r>
      <w:r>
        <w:rPr>
          <w:rStyle w:val="af3"/>
          <w:rFonts w:hint="eastAsia"/>
        </w:rPr>
        <w:t>『</w:t>
      </w:r>
      <w:r>
        <w:rPr>
          <w:rStyle w:val="af3"/>
        </w:rPr>
        <w:t>各機關學校遴選現職委任公務人員參加晉升薦任官等訓練評分標準表</w:t>
      </w:r>
      <w:r>
        <w:rPr>
          <w:rStyle w:val="af3"/>
          <w:rFonts w:hint="eastAsia"/>
        </w:rPr>
        <w:t>』</w:t>
      </w:r>
      <w:r>
        <w:rPr>
          <w:rStyle w:val="af3"/>
        </w:rPr>
        <w:t>(以下簡稱評分標準表) 所定之標準評定積分。次按該評分標準表之</w:t>
      </w:r>
      <w:r>
        <w:rPr>
          <w:rStyle w:val="af3"/>
          <w:rFonts w:hint="eastAsia"/>
        </w:rPr>
        <w:t>『</w:t>
      </w:r>
      <w:r>
        <w:rPr>
          <w:rStyle w:val="af3"/>
        </w:rPr>
        <w:t>考試與學歷</w:t>
      </w:r>
      <w:r>
        <w:rPr>
          <w:rStyle w:val="af3"/>
          <w:rFonts w:hint="eastAsia"/>
        </w:rPr>
        <w:t>』</w:t>
      </w:r>
      <w:r>
        <w:rPr>
          <w:rStyle w:val="af3"/>
        </w:rPr>
        <w:t>、</w:t>
      </w:r>
      <w:r>
        <w:rPr>
          <w:rStyle w:val="af3"/>
          <w:rFonts w:hint="eastAsia"/>
        </w:rPr>
        <w:t>『</w:t>
      </w:r>
      <w:r>
        <w:rPr>
          <w:rStyle w:val="af3"/>
        </w:rPr>
        <w:t>訓練進修</w:t>
      </w:r>
      <w:r>
        <w:rPr>
          <w:rStyle w:val="af3"/>
          <w:rFonts w:hint="eastAsia"/>
        </w:rPr>
        <w:t>』</w:t>
      </w:r>
      <w:r>
        <w:rPr>
          <w:rStyle w:val="af3"/>
        </w:rPr>
        <w:t>、</w:t>
      </w:r>
      <w:r>
        <w:rPr>
          <w:rStyle w:val="af3"/>
          <w:rFonts w:hint="eastAsia"/>
        </w:rPr>
        <w:t>『</w:t>
      </w:r>
      <w:r>
        <w:rPr>
          <w:rStyle w:val="af3"/>
        </w:rPr>
        <w:t>年資</w:t>
      </w:r>
      <w:r>
        <w:rPr>
          <w:rStyle w:val="af3"/>
          <w:rFonts w:hint="eastAsia"/>
        </w:rPr>
        <w:t>』</w:t>
      </w:r>
      <w:r>
        <w:rPr>
          <w:rStyle w:val="af3"/>
        </w:rPr>
        <w:t>、</w:t>
      </w:r>
      <w:r>
        <w:rPr>
          <w:rStyle w:val="af3"/>
          <w:rFonts w:hint="eastAsia"/>
        </w:rPr>
        <w:t>『</w:t>
      </w:r>
      <w:r>
        <w:rPr>
          <w:rStyle w:val="af3"/>
        </w:rPr>
        <w:t>考績</w:t>
      </w:r>
      <w:r>
        <w:rPr>
          <w:rStyle w:val="af3"/>
          <w:rFonts w:hint="eastAsia"/>
        </w:rPr>
        <w:t>』</w:t>
      </w:r>
      <w:r>
        <w:rPr>
          <w:rStyle w:val="af3"/>
        </w:rPr>
        <w:t>、</w:t>
      </w:r>
      <w:r>
        <w:rPr>
          <w:rStyle w:val="af3"/>
          <w:rFonts w:hint="eastAsia"/>
        </w:rPr>
        <w:t>『</w:t>
      </w:r>
      <w:r>
        <w:rPr>
          <w:rStyle w:val="af3"/>
        </w:rPr>
        <w:t>獎懲</w:t>
      </w:r>
      <w:r>
        <w:rPr>
          <w:rStyle w:val="af3"/>
          <w:rFonts w:hint="eastAsia"/>
        </w:rPr>
        <w:t>』</w:t>
      </w:r>
      <w:r>
        <w:rPr>
          <w:rStyle w:val="af3"/>
        </w:rPr>
        <w:t>等項，均有一定之評分標準，至</w:t>
      </w:r>
      <w:r>
        <w:rPr>
          <w:rStyle w:val="af3"/>
          <w:rFonts w:hint="eastAsia"/>
        </w:rPr>
        <w:t>『</w:t>
      </w:r>
      <w:r>
        <w:rPr>
          <w:rStyle w:val="af3"/>
        </w:rPr>
        <w:t>綜合考評</w:t>
      </w:r>
      <w:r>
        <w:rPr>
          <w:rStyle w:val="af3"/>
          <w:rFonts w:hint="eastAsia"/>
        </w:rPr>
        <w:t>』</w:t>
      </w:r>
      <w:r>
        <w:rPr>
          <w:rStyle w:val="af3"/>
        </w:rPr>
        <w:t>一項，其因素欄規定：</w:t>
      </w:r>
      <w:r>
        <w:rPr>
          <w:rStyle w:val="af3"/>
          <w:rFonts w:hint="eastAsia"/>
        </w:rPr>
        <w:t>『</w:t>
      </w:r>
      <w:r>
        <w:rPr>
          <w:rStyle w:val="af3"/>
        </w:rPr>
        <w:t>由機關、學校首長或授權甄審會或審議會議就各該機關符合公務人員任用法第十七條第三項資格條件者之服務情形、專長才能、發展潛力、領導統御等因素作綜合考評。</w:t>
      </w:r>
      <w:r>
        <w:rPr>
          <w:rStyle w:val="af3"/>
          <w:rFonts w:hint="eastAsia"/>
        </w:rPr>
        <w:t>』</w:t>
      </w:r>
      <w:r>
        <w:rPr>
          <w:rStyle w:val="af3"/>
        </w:rPr>
        <w:t>惟類此考評工作，富高度屬人性，除辦理考評業務有法定程序上之瑕疵、對事實認定有違誤、審議未遵守一般公認價值判斷之標準、有「與事件無關之考慮」牽涉在內及有違反平等原則等情事外，機關學校首長或甄審會或審議會對符合資格者考評之</w:t>
      </w:r>
      <w:r>
        <w:rPr>
          <w:rStyle w:val="af3"/>
          <w:rFonts w:hint="eastAsia"/>
        </w:rPr>
        <w:t>『</w:t>
      </w:r>
      <w:r>
        <w:rPr>
          <w:rStyle w:val="af3"/>
        </w:rPr>
        <w:t>判斷餘地</w:t>
      </w:r>
      <w:r>
        <w:rPr>
          <w:rStyle w:val="af3"/>
          <w:rFonts w:hint="eastAsia"/>
        </w:rPr>
        <w:t>』</w:t>
      </w:r>
      <w:r>
        <w:rPr>
          <w:rStyle w:val="af3"/>
        </w:rPr>
        <w:t>理應尊重。</w:t>
      </w:r>
      <w:r>
        <w:rPr>
          <w:rStyle w:val="af3"/>
          <w:rFonts w:hint="eastAsia"/>
        </w:rPr>
        <w:t>」本案雖非直接屬於公務人員陞遷案例，而屬未獲機關遴薦參加晉升官等訓練事件而提起之再申訴事件。惟同樣涉及</w:t>
      </w:r>
      <w:r>
        <w:rPr>
          <w:rStyle w:val="af3"/>
        </w:rPr>
        <w:t>機關首長或甄審會或審議會對符合資格者考評之判斷餘地</w:t>
      </w:r>
      <w:r>
        <w:rPr>
          <w:rStyle w:val="af3"/>
          <w:rFonts w:hint="eastAsia"/>
        </w:rPr>
        <w:t>，其法理相當，料保訓會之立場應不致有所差異。</w:t>
      </w:r>
    </w:p>
    <w:p w:rsidR="007D6688" w:rsidRDefault="007D6688">
      <w:pPr>
        <w:pStyle w:val="22"/>
        <w:spacing w:line="480" w:lineRule="auto"/>
        <w:rPr>
          <w:rStyle w:val="stext1"/>
          <w:rFonts w:ascii="sөũ" w:hAnsi="sөũ" w:hint="eastAsia"/>
          <w:color w:val="000000"/>
          <w:sz w:val="24"/>
          <w:szCs w:val="24"/>
        </w:rPr>
      </w:pPr>
      <w:r>
        <w:rPr>
          <w:rStyle w:val="stext1"/>
          <w:rFonts w:ascii="sөũ" w:hAnsi="sөũ"/>
          <w:color w:val="000000"/>
          <w:sz w:val="24"/>
          <w:szCs w:val="24"/>
        </w:rPr>
        <w:t>依陞遷法</w:t>
      </w:r>
      <w:r>
        <w:rPr>
          <w:rStyle w:val="stext1"/>
          <w:rFonts w:ascii="sөũ" w:hAnsi="sөũ" w:hint="eastAsia"/>
          <w:color w:val="000000"/>
          <w:sz w:val="24"/>
          <w:szCs w:val="24"/>
        </w:rPr>
        <w:t>之相關</w:t>
      </w:r>
      <w:r>
        <w:rPr>
          <w:rStyle w:val="stext1"/>
          <w:rFonts w:ascii="sөũ" w:hAnsi="sөũ"/>
          <w:color w:val="000000"/>
          <w:sz w:val="24"/>
          <w:szCs w:val="24"/>
        </w:rPr>
        <w:t>規定，各機關職務出缺時，應由人事單位簽報機關首長決定職缺擬辦內陞或外補後再行辦理陞遷，且辦理陞遷時，應就具有擬陞遷職務任用資格人員，分別情形，依積分高低順序或資格條件造列名冊，並檢同有關資料，交甄審委員會評審後，報請機關首長就前三名中圈定陞補之。</w:t>
      </w:r>
      <w:r>
        <w:rPr>
          <w:rStyle w:val="stext1"/>
          <w:rFonts w:ascii="sөũ" w:hAnsi="sөũ" w:hint="eastAsia"/>
          <w:color w:val="000000"/>
          <w:sz w:val="24"/>
          <w:szCs w:val="24"/>
        </w:rPr>
        <w:t>因此不只</w:t>
      </w:r>
      <w:r>
        <w:rPr>
          <w:rStyle w:val="stext1"/>
          <w:rFonts w:ascii="sөũ" w:hAnsi="sөũ"/>
          <w:color w:val="000000"/>
          <w:sz w:val="24"/>
          <w:szCs w:val="24"/>
        </w:rPr>
        <w:t>機關首長在合理及必要之範圍內，基於內部管理、領導統御及業務運作需要，就公務人員之職務陞遷，應本專才、專業、適才、適所之旨外，並應就公務人員個人之工作表現、品行操守、學識能力等各方面考核評量。類此考評工作，富高度屬人性，</w:t>
      </w:r>
      <w:r>
        <w:rPr>
          <w:rStyle w:val="stext1"/>
          <w:rFonts w:ascii="sөũ" w:hAnsi="sөũ" w:hint="eastAsia"/>
          <w:color w:val="000000"/>
          <w:sz w:val="24"/>
          <w:szCs w:val="24"/>
        </w:rPr>
        <w:t>所以</w:t>
      </w:r>
      <w:r>
        <w:rPr>
          <w:rStyle w:val="stext1"/>
          <w:rFonts w:ascii="sөũ" w:hAnsi="sөũ"/>
          <w:color w:val="000000"/>
          <w:sz w:val="24"/>
          <w:szCs w:val="24"/>
        </w:rPr>
        <w:t>除考評違反相關人事法令規定、具有法定程序上之瑕疵、對事實認定有違誤、未遵守一般公認價值判斷之標準、有與事件無關之考慮牽涉在內及有違反平等原則等情事外，主管長官對部屬所為之考評及職務陞遷之判斷餘地，應予尊重。</w:t>
      </w:r>
      <w:r>
        <w:rPr>
          <w:rStyle w:val="stext1"/>
          <w:rFonts w:ascii="sөũ" w:hAnsi="sөũ" w:hint="eastAsia"/>
          <w:b/>
          <w:color w:val="000000"/>
          <w:sz w:val="24"/>
          <w:szCs w:val="24"/>
          <w:u w:val="single"/>
        </w:rPr>
        <w:t>甚至於即使</w:t>
      </w:r>
      <w:r>
        <w:rPr>
          <w:rStyle w:val="stext1"/>
          <w:rFonts w:ascii="sөũ" w:hAnsi="sөũ"/>
          <w:b/>
          <w:color w:val="000000"/>
          <w:sz w:val="24"/>
          <w:szCs w:val="24"/>
          <w:u w:val="single"/>
        </w:rPr>
        <w:t>資績分數排序為第一，機關首長</w:t>
      </w:r>
      <w:r>
        <w:rPr>
          <w:rStyle w:val="stext1"/>
          <w:rFonts w:ascii="sөũ" w:hAnsi="sөũ" w:hint="eastAsia"/>
          <w:b/>
          <w:color w:val="000000"/>
          <w:sz w:val="24"/>
          <w:szCs w:val="24"/>
          <w:u w:val="single"/>
        </w:rPr>
        <w:t>亦</w:t>
      </w:r>
      <w:r>
        <w:rPr>
          <w:rStyle w:val="stext1"/>
          <w:rFonts w:ascii="sөũ" w:hAnsi="sөũ"/>
          <w:b/>
          <w:color w:val="000000"/>
          <w:sz w:val="24"/>
          <w:szCs w:val="24"/>
          <w:u w:val="single"/>
        </w:rPr>
        <w:t>非不得就前三名中圈定</w:t>
      </w:r>
      <w:r>
        <w:rPr>
          <w:rStyle w:val="stext1"/>
          <w:rFonts w:ascii="sөũ" w:hAnsi="sөũ" w:hint="eastAsia"/>
          <w:b/>
          <w:color w:val="000000"/>
          <w:sz w:val="24"/>
          <w:szCs w:val="24"/>
          <w:u w:val="single"/>
        </w:rPr>
        <w:t>其他</w:t>
      </w:r>
      <w:r>
        <w:rPr>
          <w:rStyle w:val="stext1"/>
          <w:rFonts w:ascii="sөũ" w:hAnsi="sөũ"/>
          <w:b/>
          <w:color w:val="000000"/>
          <w:sz w:val="24"/>
          <w:szCs w:val="24"/>
          <w:u w:val="single"/>
        </w:rPr>
        <w:t>人陞補。</w:t>
      </w:r>
      <w:r>
        <w:rPr>
          <w:rStyle w:val="stext1"/>
          <w:rFonts w:ascii="sөũ" w:hAnsi="sөũ" w:hint="eastAsia"/>
          <w:b/>
          <w:color w:val="000000"/>
          <w:sz w:val="24"/>
          <w:szCs w:val="24"/>
          <w:u w:val="single"/>
        </w:rPr>
        <w:t>除非有</w:t>
      </w:r>
      <w:r>
        <w:rPr>
          <w:rStyle w:val="stext1"/>
          <w:rFonts w:ascii="sөũ" w:hAnsi="sөũ"/>
          <w:b/>
          <w:color w:val="000000"/>
          <w:sz w:val="24"/>
          <w:szCs w:val="24"/>
          <w:u w:val="single"/>
        </w:rPr>
        <w:t>其他足資證明</w:t>
      </w:r>
      <w:r>
        <w:rPr>
          <w:rStyle w:val="stext1"/>
          <w:rFonts w:ascii="sөũ" w:hAnsi="sөũ" w:hint="eastAsia"/>
          <w:b/>
          <w:color w:val="000000"/>
          <w:sz w:val="24"/>
          <w:szCs w:val="24"/>
          <w:u w:val="single"/>
        </w:rPr>
        <w:t>首長</w:t>
      </w:r>
      <w:r>
        <w:rPr>
          <w:rStyle w:val="stext1"/>
          <w:rFonts w:ascii="sөũ" w:hAnsi="sөũ"/>
          <w:b/>
          <w:color w:val="000000"/>
          <w:sz w:val="24"/>
          <w:szCs w:val="24"/>
          <w:u w:val="single"/>
        </w:rPr>
        <w:t>對其有不當考量，致影響</w:t>
      </w:r>
      <w:r>
        <w:rPr>
          <w:rStyle w:val="stext1"/>
          <w:rFonts w:ascii="sөũ" w:hAnsi="sөũ" w:hint="eastAsia"/>
          <w:b/>
          <w:color w:val="000000"/>
          <w:sz w:val="24"/>
          <w:szCs w:val="24"/>
          <w:u w:val="single"/>
        </w:rPr>
        <w:t>陞遷</w:t>
      </w:r>
      <w:r>
        <w:rPr>
          <w:rStyle w:val="stext1"/>
          <w:rFonts w:ascii="sөũ" w:hAnsi="sөũ"/>
          <w:b/>
          <w:color w:val="000000"/>
          <w:sz w:val="24"/>
          <w:szCs w:val="24"/>
          <w:u w:val="single"/>
        </w:rPr>
        <w:t>之具體事證</w:t>
      </w:r>
      <w:r>
        <w:rPr>
          <w:rStyle w:val="stext1"/>
          <w:rFonts w:ascii="sөũ" w:hAnsi="sөũ" w:hint="eastAsia"/>
          <w:color w:val="000000"/>
          <w:sz w:val="24"/>
          <w:szCs w:val="24"/>
        </w:rPr>
        <w:t>。</w:t>
      </w:r>
      <w:r>
        <w:rPr>
          <w:rStyle w:val="af3"/>
          <w:rFonts w:hint="eastAsia"/>
        </w:rPr>
        <w:t>例如</w:t>
      </w:r>
      <w:r>
        <w:rPr>
          <w:rStyle w:val="af3"/>
          <w:b/>
          <w:u w:val="single"/>
        </w:rPr>
        <w:t>保訓會</w:t>
      </w:r>
      <w:r>
        <w:rPr>
          <w:rStyle w:val="af3"/>
          <w:rFonts w:hint="eastAsia"/>
          <w:b/>
          <w:u w:val="single"/>
        </w:rPr>
        <w:t>（93）</w:t>
      </w:r>
      <w:r>
        <w:rPr>
          <w:rStyle w:val="af3"/>
          <w:b/>
          <w:u w:val="single"/>
        </w:rPr>
        <w:t>公</w:t>
      </w:r>
      <w:r>
        <w:rPr>
          <w:rStyle w:val="af3"/>
          <w:rFonts w:hint="eastAsia"/>
          <w:b/>
          <w:u w:val="single"/>
        </w:rPr>
        <w:t>審</w:t>
      </w:r>
      <w:r>
        <w:rPr>
          <w:rStyle w:val="af3"/>
          <w:b/>
          <w:u w:val="single"/>
        </w:rPr>
        <w:t>決字第0</w:t>
      </w:r>
      <w:r>
        <w:rPr>
          <w:rStyle w:val="af3"/>
          <w:rFonts w:hint="eastAsia"/>
          <w:b/>
          <w:u w:val="single"/>
        </w:rPr>
        <w:t>260號決定（以下簡稱「</w:t>
      </w:r>
      <w:r>
        <w:rPr>
          <w:rStyle w:val="stext1"/>
          <w:rFonts w:ascii="sөũ" w:hAnsi="sөũ"/>
          <w:b/>
          <w:color w:val="000000"/>
          <w:sz w:val="24"/>
          <w:szCs w:val="24"/>
          <w:u w:val="single"/>
        </w:rPr>
        <w:t>張福恒</w:t>
      </w:r>
      <w:r>
        <w:rPr>
          <w:rStyle w:val="af3"/>
          <w:rFonts w:hint="eastAsia"/>
          <w:b/>
          <w:u w:val="single"/>
        </w:rPr>
        <w:t>案」）</w:t>
      </w:r>
      <w:r>
        <w:rPr>
          <w:rStyle w:val="af3"/>
          <w:rFonts w:hint="eastAsia"/>
        </w:rPr>
        <w:t>即認為，</w:t>
      </w:r>
      <w:r>
        <w:rPr>
          <w:rStyle w:val="stext1"/>
          <w:rFonts w:ascii="sөũ" w:hAnsi="sөũ"/>
          <w:color w:val="000000"/>
          <w:sz w:val="24"/>
          <w:szCs w:val="24"/>
        </w:rPr>
        <w:t>機關首長基於領導統御及業務運作需要，就公務人員職務陞遷之考核評量，富高度屬人性，對於機關首長之決定，應予尊重。</w:t>
      </w:r>
      <w:r>
        <w:rPr>
          <w:rStyle w:val="stext1"/>
          <w:rFonts w:ascii="sөũ" w:hAnsi="sөũ" w:hint="eastAsia"/>
          <w:color w:val="000000"/>
          <w:sz w:val="24"/>
          <w:szCs w:val="24"/>
        </w:rPr>
        <w:t>顯然保訓會承認機關首長此一陞遷圈選決定除非有裁量之瑕疵（例如裁量濫用），否則也應予以尊重</w:t>
      </w:r>
      <w:r>
        <w:rPr>
          <w:rStyle w:val="ae"/>
          <w:rFonts w:ascii="sөũ" w:hAnsi="sөũ" w:hint="eastAsia"/>
          <w:color w:val="000000"/>
        </w:rPr>
        <w:footnoteReference w:id="10"/>
      </w:r>
      <w:r>
        <w:rPr>
          <w:rStyle w:val="stext1"/>
          <w:rFonts w:ascii="sөũ" w:hAnsi="sөũ" w:hint="eastAsia"/>
          <w:color w:val="000000"/>
          <w:sz w:val="24"/>
          <w:szCs w:val="24"/>
        </w:rPr>
        <w:t>。</w:t>
      </w:r>
    </w:p>
    <w:p w:rsidR="007D6688" w:rsidRDefault="007D6688">
      <w:pPr>
        <w:pStyle w:val="22"/>
        <w:spacing w:line="480" w:lineRule="auto"/>
        <w:rPr>
          <w:rStyle w:val="stext1"/>
          <w:rFonts w:ascii="sөũ" w:hAnsi="sөũ" w:hint="eastAsia"/>
          <w:color w:val="000000"/>
          <w:sz w:val="24"/>
          <w:szCs w:val="24"/>
        </w:rPr>
      </w:pPr>
      <w:r>
        <w:rPr>
          <w:rStyle w:val="af3"/>
          <w:rFonts w:hint="eastAsia"/>
        </w:rPr>
        <w:t>同時對於請求陞遷之公務人員是否具有所謂「陞遷請求權」的認定，在若干案件中，保訓會至少承認當事人具有所謂形式之（主觀）公法上權利。對於其申請應為適法之決定。例如</w:t>
      </w:r>
      <w:r>
        <w:rPr>
          <w:rStyle w:val="af3"/>
          <w:b/>
          <w:u w:val="single"/>
        </w:rPr>
        <w:t>保訓會</w:t>
      </w:r>
      <w:r>
        <w:rPr>
          <w:rStyle w:val="af3"/>
          <w:rFonts w:hint="eastAsia"/>
          <w:b/>
          <w:u w:val="single"/>
        </w:rPr>
        <w:t>（93）</w:t>
      </w:r>
      <w:r>
        <w:rPr>
          <w:rStyle w:val="af3"/>
          <w:b/>
          <w:u w:val="single"/>
        </w:rPr>
        <w:t>公</w:t>
      </w:r>
      <w:r>
        <w:rPr>
          <w:rStyle w:val="af3"/>
          <w:rFonts w:hint="eastAsia"/>
          <w:b/>
          <w:u w:val="single"/>
        </w:rPr>
        <w:t>審</w:t>
      </w:r>
      <w:r>
        <w:rPr>
          <w:rStyle w:val="af3"/>
          <w:b/>
          <w:u w:val="single"/>
        </w:rPr>
        <w:t>決字第0</w:t>
      </w:r>
      <w:r>
        <w:rPr>
          <w:rStyle w:val="af3"/>
          <w:rFonts w:hint="eastAsia"/>
          <w:b/>
          <w:u w:val="single"/>
        </w:rPr>
        <w:t>352號決定（以下簡稱「</w:t>
      </w:r>
      <w:r>
        <w:rPr>
          <w:b/>
          <w:u w:val="single"/>
        </w:rPr>
        <w:t>謝隆寶</w:t>
      </w:r>
      <w:r>
        <w:rPr>
          <w:rFonts w:hint="eastAsia"/>
          <w:b/>
          <w:u w:val="single"/>
        </w:rPr>
        <w:t>I</w:t>
      </w:r>
      <w:r>
        <w:rPr>
          <w:rStyle w:val="af3"/>
          <w:rFonts w:hint="eastAsia"/>
          <w:b/>
          <w:u w:val="single"/>
        </w:rPr>
        <w:t>案」）</w:t>
      </w:r>
      <w:r>
        <w:rPr>
          <w:rStyle w:val="af3"/>
          <w:rFonts w:hint="eastAsia"/>
        </w:rPr>
        <w:t>謂：「</w:t>
      </w:r>
      <w:r>
        <w:rPr>
          <w:rStyle w:val="stext1"/>
          <w:rFonts w:ascii="sөũ" w:hAnsi="sөũ"/>
          <w:color w:val="000000"/>
          <w:sz w:val="24"/>
          <w:szCs w:val="24"/>
        </w:rPr>
        <w:t>件復審人於九十三年八月十七日復審書主張依保障法第二十六條提起復審，並於九十三年九月十二日復審補充說明書中稱，其係於九十三年七月二十四日以書面報告，向臺南市警察局請求，應依臺南市警察局九十二年度第十一序列職務人員陞職資績計分排名次序陞職小隊長。如前述，</w:t>
      </w:r>
      <w:r>
        <w:rPr>
          <w:rStyle w:val="stext1"/>
          <w:rFonts w:ascii="sөũ" w:hAnsi="sөũ"/>
          <w:b/>
          <w:sz w:val="24"/>
          <w:szCs w:val="24"/>
          <w:u w:val="single"/>
        </w:rPr>
        <w:t>復審人上開九十三年七月二十四日之書面報告，已有向臺南市警察局請求陞任為刑警隊小隊長之申請，惟依卷附資料，臺南市警察局就復審人上開申請案件，迄今已逾二個月期間，仍未作成處分，揆諸上揭規定，洵有未洽，臺南市警察局應於二個月內為一定之處分。</w:t>
      </w:r>
      <w:r>
        <w:rPr>
          <w:rStyle w:val="stext1"/>
          <w:rFonts w:ascii="sөũ" w:hAnsi="sөũ" w:hint="eastAsia"/>
          <w:sz w:val="24"/>
          <w:szCs w:val="24"/>
        </w:rPr>
        <w:t>」</w:t>
      </w:r>
    </w:p>
    <w:p w:rsidR="007D6688" w:rsidRDefault="007D6688">
      <w:pPr>
        <w:pStyle w:val="22"/>
        <w:spacing w:line="480" w:lineRule="auto"/>
        <w:rPr>
          <w:rStyle w:val="af3"/>
          <w:rFonts w:hint="eastAsia"/>
          <w:b/>
        </w:rPr>
      </w:pPr>
      <w:r>
        <w:rPr>
          <w:rStyle w:val="af3"/>
          <w:rFonts w:hint="eastAsia"/>
          <w:b/>
          <w:u w:val="single"/>
        </w:rPr>
        <w:t>（二）陞遷辦理完成而欠缺</w:t>
      </w:r>
      <w:r>
        <w:rPr>
          <w:rStyle w:val="stext1"/>
          <w:rFonts w:ascii="sөũ" w:hAnsi="sөũ"/>
          <w:b/>
          <w:color w:val="000000"/>
          <w:sz w:val="24"/>
          <w:szCs w:val="24"/>
          <w:u w:val="single"/>
        </w:rPr>
        <w:t>權利保護之必要</w:t>
      </w:r>
      <w:r>
        <w:rPr>
          <w:rStyle w:val="stext1"/>
          <w:rFonts w:ascii="sөũ" w:hAnsi="sөũ" w:hint="eastAsia"/>
          <w:b/>
          <w:color w:val="000000"/>
          <w:sz w:val="24"/>
          <w:szCs w:val="24"/>
          <w:u w:val="single"/>
        </w:rPr>
        <w:t>性</w:t>
      </w:r>
    </w:p>
    <w:p w:rsidR="007D6688" w:rsidRDefault="007D6688">
      <w:pPr>
        <w:pStyle w:val="22"/>
        <w:spacing w:line="480" w:lineRule="auto"/>
        <w:rPr>
          <w:rStyle w:val="af3"/>
          <w:rFonts w:hint="eastAsia"/>
        </w:rPr>
      </w:pPr>
      <w:r>
        <w:rPr>
          <w:rStyle w:val="af3"/>
          <w:rFonts w:hint="eastAsia"/>
        </w:rPr>
        <w:t>另外在一些公務人員不服陞遷決定，但於其提起救濟時陞遷已辦理完成的案件，保訓會認為</w:t>
      </w:r>
      <w:r>
        <w:rPr>
          <w:rStyle w:val="stext1"/>
          <w:rFonts w:ascii="sөũ" w:hAnsi="sөũ"/>
          <w:color w:val="000000"/>
          <w:sz w:val="24"/>
          <w:szCs w:val="24"/>
        </w:rPr>
        <w:t>公務人員提出再申訴，倘對於當事人被侵害之權利或法律上利益，縱經審議之結果，亦無從補救，或無法回復其法律上之地位或其他利益者，其再申訴已無實益，即屬欠缺權利保護之必要。</w:t>
      </w:r>
    </w:p>
    <w:p w:rsidR="007D6688" w:rsidRDefault="007D6688">
      <w:pPr>
        <w:pStyle w:val="22"/>
        <w:spacing w:line="480" w:lineRule="auto"/>
        <w:rPr>
          <w:rStyle w:val="af3"/>
          <w:rFonts w:hint="eastAsia"/>
        </w:rPr>
      </w:pPr>
      <w:r>
        <w:rPr>
          <w:rStyle w:val="stext1"/>
          <w:rFonts w:ascii="sөũ" w:hAnsi="sөũ" w:hint="eastAsia"/>
          <w:color w:val="000000"/>
          <w:sz w:val="24"/>
          <w:szCs w:val="24"/>
        </w:rPr>
        <w:t>例如</w:t>
      </w:r>
      <w:r>
        <w:rPr>
          <w:rStyle w:val="af3"/>
          <w:b/>
          <w:u w:val="single"/>
        </w:rPr>
        <w:t>保訓會</w:t>
      </w:r>
      <w:r>
        <w:rPr>
          <w:rStyle w:val="af3"/>
          <w:rFonts w:hint="eastAsia"/>
          <w:b/>
          <w:u w:val="single"/>
        </w:rPr>
        <w:t>（91）</w:t>
      </w:r>
      <w:r>
        <w:rPr>
          <w:rStyle w:val="af3"/>
          <w:b/>
          <w:u w:val="single"/>
        </w:rPr>
        <w:t>公</w:t>
      </w:r>
      <w:r>
        <w:rPr>
          <w:rStyle w:val="af3"/>
          <w:rFonts w:hint="eastAsia"/>
          <w:b/>
          <w:u w:val="single"/>
        </w:rPr>
        <w:t>申</w:t>
      </w:r>
      <w:r>
        <w:rPr>
          <w:rStyle w:val="af3"/>
          <w:b/>
          <w:u w:val="single"/>
        </w:rPr>
        <w:t>決字第0</w:t>
      </w:r>
      <w:r>
        <w:rPr>
          <w:rStyle w:val="af3"/>
          <w:rFonts w:hint="eastAsia"/>
          <w:b/>
          <w:u w:val="single"/>
        </w:rPr>
        <w:t>343號決定（以下簡稱「</w:t>
      </w:r>
      <w:r>
        <w:rPr>
          <w:b/>
          <w:color w:val="000000"/>
          <w:u w:val="single"/>
        </w:rPr>
        <w:t>稅代州</w:t>
      </w:r>
      <w:r>
        <w:rPr>
          <w:rStyle w:val="af3"/>
          <w:rFonts w:hint="eastAsia"/>
          <w:b/>
          <w:u w:val="single"/>
        </w:rPr>
        <w:t>案」）</w:t>
      </w:r>
      <w:r>
        <w:rPr>
          <w:rStyle w:val="af3"/>
          <w:rFonts w:hint="eastAsia"/>
        </w:rPr>
        <w:t>謂：「</w:t>
      </w:r>
      <w:r>
        <w:rPr>
          <w:rStyle w:val="stext1"/>
          <w:rFonts w:ascii="sөũ" w:hAnsi="sөũ"/>
          <w:color w:val="000000"/>
          <w:sz w:val="24"/>
          <w:szCs w:val="24"/>
        </w:rPr>
        <w:t>再申訴人固主張高雄市政府兵役處未待其懲處案所提救濟程序確定，人事甄審委員會即剔除其參與陞遷之資格，違反公平原則，請求重新審議云云，惟卷查該處第二科股長傅</w:t>
      </w:r>
      <w:r>
        <w:rPr>
          <w:rStyle w:val="stext1"/>
          <w:rFonts w:ascii="sөũ" w:hAnsi="sөũ"/>
          <w:color w:val="000000"/>
          <w:sz w:val="24"/>
          <w:szCs w:val="24"/>
        </w:rPr>
        <w:t>○○</w:t>
      </w:r>
      <w:r>
        <w:rPr>
          <w:rStyle w:val="stext1"/>
          <w:rFonts w:ascii="sөũ" w:hAnsi="sөũ"/>
          <w:color w:val="000000"/>
          <w:sz w:val="24"/>
          <w:szCs w:val="24"/>
        </w:rPr>
        <w:t>經銓敘部核定自九十一年二月十六日自願退休生效，該職缺經該處同年</w:t>
      </w:r>
      <w:smartTag w:uri="urn:schemas-microsoft-com:office:smarttags" w:element="chsdate">
        <w:smartTagPr>
          <w:attr w:name="Year" w:val="2005"/>
          <w:attr w:name="Month" w:val="2"/>
          <w:attr w:name="Day" w:val="5"/>
          <w:attr w:name="IsLunarDate" w:val="False"/>
          <w:attr w:name="IsROCDate" w:val="False"/>
        </w:smartTagPr>
        <w:r>
          <w:rPr>
            <w:rStyle w:val="stext1"/>
            <w:rFonts w:ascii="sөũ" w:hAnsi="sөũ"/>
            <w:color w:val="000000"/>
            <w:sz w:val="24"/>
            <w:szCs w:val="24"/>
          </w:rPr>
          <w:t>二月五日</w:t>
        </w:r>
      </w:smartTag>
      <w:r>
        <w:rPr>
          <w:rStyle w:val="stext1"/>
          <w:rFonts w:ascii="sөũ" w:hAnsi="sөũ"/>
          <w:color w:val="000000"/>
          <w:sz w:val="24"/>
          <w:szCs w:val="24"/>
        </w:rPr>
        <w:t>循行政程序簽陳高雄市市長同年</w:t>
      </w:r>
      <w:smartTag w:uri="urn:schemas-microsoft-com:office:smarttags" w:element="chsdate">
        <w:smartTagPr>
          <w:attr w:name="Year" w:val="2005"/>
          <w:attr w:name="Month" w:val="2"/>
          <w:attr w:name="Day" w:val="20"/>
          <w:attr w:name="IsLunarDate" w:val="False"/>
          <w:attr w:name="IsROCDate" w:val="False"/>
        </w:smartTagPr>
        <w:r>
          <w:rPr>
            <w:rStyle w:val="stext1"/>
            <w:rFonts w:ascii="sөũ" w:hAnsi="sөũ"/>
            <w:color w:val="000000"/>
            <w:sz w:val="24"/>
            <w:szCs w:val="24"/>
          </w:rPr>
          <w:t>二月二十日</w:t>
        </w:r>
      </w:smartTag>
      <w:r>
        <w:rPr>
          <w:rStyle w:val="stext1"/>
          <w:rFonts w:ascii="sөũ" w:hAnsi="sөũ"/>
          <w:color w:val="000000"/>
          <w:sz w:val="24"/>
          <w:szCs w:val="24"/>
        </w:rPr>
        <w:t>核准辦理內陞補實，該處茲於九十一年二月二十七日召開九十年第二次人事甄審委員會，辦理評審該處第二科股長職缺陞遷案，討論結果因再申訴人最近一年（九十年）年終考績考列丙等，爰決議依公務人員陞遷法第十二條第五款規定，剔除其陞任資格。該甄審委員會評審後依規定程序於同年</w:t>
      </w:r>
      <w:smartTag w:uri="urn:schemas-microsoft-com:office:smarttags" w:element="chsdate">
        <w:smartTagPr>
          <w:attr w:name="Year" w:val="2005"/>
          <w:attr w:name="Month" w:val="2"/>
          <w:attr w:name="Day" w:val="27"/>
          <w:attr w:name="IsLunarDate" w:val="False"/>
          <w:attr w:name="IsROCDate" w:val="False"/>
        </w:smartTagPr>
        <w:r>
          <w:rPr>
            <w:rStyle w:val="stext1"/>
            <w:rFonts w:ascii="sөũ" w:hAnsi="sөũ"/>
            <w:color w:val="000000"/>
            <w:sz w:val="24"/>
            <w:szCs w:val="24"/>
          </w:rPr>
          <w:t>二月二十七日</w:t>
        </w:r>
      </w:smartTag>
      <w:r>
        <w:rPr>
          <w:rStyle w:val="stext1"/>
          <w:rFonts w:ascii="sөũ" w:hAnsi="sөũ"/>
          <w:color w:val="000000"/>
          <w:sz w:val="24"/>
          <w:szCs w:val="24"/>
        </w:rPr>
        <w:t>報請該處處長圈定由科員黃</w:t>
      </w:r>
      <w:r>
        <w:rPr>
          <w:rStyle w:val="stext1"/>
          <w:rFonts w:ascii="sөũ" w:hAnsi="sөũ"/>
          <w:color w:val="000000"/>
          <w:sz w:val="24"/>
          <w:szCs w:val="24"/>
        </w:rPr>
        <w:t>○○</w:t>
      </w:r>
      <w:r>
        <w:rPr>
          <w:rStyle w:val="stext1"/>
          <w:rFonts w:ascii="sөũ" w:hAnsi="sөũ"/>
          <w:color w:val="000000"/>
          <w:sz w:val="24"/>
          <w:szCs w:val="24"/>
        </w:rPr>
        <w:t>陞任，並經該處九十一年三月一日高市兵役人字第三００五號令核布及報經銓敘部九十一年三月十四日部銓四字第０九一二一二二四一０號函銓敘審定，自九十一年三月一日生效在案。雖再申訴人不服該處</w:t>
      </w:r>
      <w:smartTag w:uri="urn:schemas-microsoft-com:office:smarttags" w:element="chsdate">
        <w:smartTagPr>
          <w:attr w:name="Year" w:val="1990"/>
          <w:attr w:name="Month" w:val="12"/>
          <w:attr w:name="Day" w:val="26"/>
          <w:attr w:name="IsLunarDate" w:val="False"/>
          <w:attr w:name="IsROCDate" w:val="False"/>
        </w:smartTagPr>
        <w:r>
          <w:rPr>
            <w:rStyle w:val="stext1"/>
            <w:rFonts w:ascii="sөũ" w:hAnsi="sөũ"/>
            <w:color w:val="000000"/>
            <w:sz w:val="24"/>
            <w:szCs w:val="24"/>
          </w:rPr>
          <w:t>九十年十二月二十六日</w:t>
        </w:r>
      </w:smartTag>
      <w:r>
        <w:rPr>
          <w:rStyle w:val="stext1"/>
          <w:rFonts w:ascii="sөũ" w:hAnsi="sөũ"/>
          <w:color w:val="000000"/>
          <w:sz w:val="24"/>
          <w:szCs w:val="24"/>
        </w:rPr>
        <w:t>予以記過二次之懲處，提出申訴、再申訴，案經本會以九十一年五月七日九一公申決字第００九二號再申訴決定書決定撤銷在案，其九十年年終考績並經該處以九十一年七月九日高市兵役人字第０九一０００九八三七號考績通知書重新核布為甲等，但因</w:t>
      </w:r>
      <w:r>
        <w:rPr>
          <w:rStyle w:val="stext1"/>
          <w:rFonts w:ascii="sөũ" w:hAnsi="sөũ"/>
          <w:b/>
          <w:color w:val="000000"/>
          <w:sz w:val="24"/>
          <w:szCs w:val="24"/>
          <w:u w:val="single"/>
        </w:rPr>
        <w:t>該陞遷案業已依程序陞補完成，顯屬無法補救</w:t>
      </w:r>
      <w:r>
        <w:rPr>
          <w:rStyle w:val="stext1"/>
          <w:rFonts w:ascii="sөũ" w:hAnsi="sөũ"/>
          <w:color w:val="000000"/>
          <w:sz w:val="24"/>
          <w:szCs w:val="24"/>
        </w:rPr>
        <w:t>，準此，</w:t>
      </w:r>
      <w:r>
        <w:rPr>
          <w:rStyle w:val="stext1"/>
          <w:rFonts w:ascii="sөũ" w:hAnsi="sөũ"/>
          <w:b/>
          <w:color w:val="000000"/>
          <w:sz w:val="24"/>
          <w:szCs w:val="24"/>
          <w:u w:val="single"/>
        </w:rPr>
        <w:t>本案再申訴人所不服該處人事甄審委員會剔除渠參加陞任股長甄審之決議</w:t>
      </w:r>
      <w:r>
        <w:rPr>
          <w:rStyle w:val="stext1"/>
          <w:rFonts w:ascii="sөũ" w:hAnsi="sөũ"/>
          <w:color w:val="000000"/>
          <w:sz w:val="24"/>
          <w:szCs w:val="24"/>
        </w:rPr>
        <w:t>，揆諸首揭說明，</w:t>
      </w:r>
      <w:r>
        <w:rPr>
          <w:rStyle w:val="stext1"/>
          <w:rFonts w:ascii="sөũ" w:hAnsi="sөũ"/>
          <w:b/>
          <w:color w:val="000000"/>
          <w:sz w:val="24"/>
          <w:szCs w:val="24"/>
          <w:u w:val="single"/>
        </w:rPr>
        <w:t>其所提出之再申訴顯已無實益，自屬欠缺權利保護之要件</w:t>
      </w:r>
      <w:r>
        <w:rPr>
          <w:rStyle w:val="stext1"/>
          <w:rFonts w:ascii="sөũ" w:hAnsi="sөũ"/>
          <w:color w:val="000000"/>
          <w:sz w:val="24"/>
          <w:szCs w:val="24"/>
        </w:rPr>
        <w:t>，爰應予以駁回。</w:t>
      </w:r>
      <w:r>
        <w:rPr>
          <w:rStyle w:val="stext1"/>
          <w:rFonts w:ascii="sөũ" w:hAnsi="sөũ" w:hint="eastAsia"/>
          <w:color w:val="000000"/>
          <w:sz w:val="24"/>
          <w:szCs w:val="24"/>
        </w:rPr>
        <w:t>」</w:t>
      </w:r>
    </w:p>
    <w:p w:rsidR="007D6688" w:rsidRDefault="007D6688">
      <w:pPr>
        <w:pStyle w:val="22"/>
        <w:spacing w:line="480" w:lineRule="auto"/>
        <w:rPr>
          <w:rStyle w:val="stext1"/>
          <w:rFonts w:ascii="sөũ" w:hAnsi="sөũ" w:hint="eastAsia"/>
          <w:color w:val="000000"/>
          <w:sz w:val="24"/>
          <w:szCs w:val="24"/>
        </w:rPr>
      </w:pPr>
      <w:r>
        <w:rPr>
          <w:rStyle w:val="stext1"/>
          <w:rFonts w:ascii="sөũ" w:hAnsi="sөũ" w:hint="eastAsia"/>
          <w:color w:val="000000"/>
          <w:sz w:val="24"/>
          <w:szCs w:val="24"/>
        </w:rPr>
        <w:t>又</w:t>
      </w:r>
      <w:r>
        <w:rPr>
          <w:rStyle w:val="stext1"/>
          <w:rFonts w:ascii="sөũ" w:hAnsi="sөũ"/>
          <w:color w:val="000000"/>
          <w:sz w:val="24"/>
          <w:szCs w:val="24"/>
        </w:rPr>
        <w:t>公務人員對於服務機關或人事主管機關所為之行政處分，認為違法或顯然不當，致損害其權利或利益者，得依公務人員保障法第</w:t>
      </w:r>
      <w:r>
        <w:rPr>
          <w:rStyle w:val="stext1"/>
          <w:rFonts w:ascii="sөũ" w:hAnsi="sөũ"/>
          <w:color w:val="000000"/>
          <w:sz w:val="24"/>
          <w:szCs w:val="24"/>
        </w:rPr>
        <w:t>25</w:t>
      </w:r>
      <w:r>
        <w:rPr>
          <w:rStyle w:val="stext1"/>
          <w:rFonts w:ascii="sөũ" w:hAnsi="sөũ"/>
          <w:color w:val="000000"/>
          <w:sz w:val="24"/>
          <w:szCs w:val="24"/>
        </w:rPr>
        <w:t>條規定，提起復審，惟公務人員提起復審時，如已無實益，</w:t>
      </w:r>
      <w:r>
        <w:rPr>
          <w:rStyle w:val="stext1"/>
          <w:rFonts w:ascii="sөũ" w:hAnsi="sөũ" w:hint="eastAsia"/>
          <w:color w:val="000000"/>
          <w:sz w:val="24"/>
          <w:szCs w:val="24"/>
        </w:rPr>
        <w:t>亦</w:t>
      </w:r>
      <w:r>
        <w:rPr>
          <w:rStyle w:val="stext1"/>
          <w:rFonts w:ascii="sөũ" w:hAnsi="sөũ"/>
          <w:color w:val="000000"/>
          <w:sz w:val="24"/>
          <w:szCs w:val="24"/>
        </w:rPr>
        <w:t>屬</w:t>
      </w:r>
      <w:r>
        <w:rPr>
          <w:rStyle w:val="stext1"/>
          <w:rFonts w:ascii="sөũ" w:hAnsi="sөũ"/>
          <w:b/>
          <w:color w:val="000000"/>
          <w:sz w:val="24"/>
          <w:szCs w:val="24"/>
          <w:u w:val="single"/>
        </w:rPr>
        <w:t>欠缺權利保護之必要</w:t>
      </w:r>
      <w:r>
        <w:rPr>
          <w:rStyle w:val="stext1"/>
          <w:rFonts w:ascii="sөũ" w:hAnsi="sөũ"/>
          <w:color w:val="000000"/>
          <w:sz w:val="24"/>
          <w:szCs w:val="24"/>
        </w:rPr>
        <w:t>，應予駁回。</w:t>
      </w:r>
      <w:r>
        <w:rPr>
          <w:rStyle w:val="stext1"/>
          <w:rFonts w:ascii="sөũ" w:hAnsi="sөũ" w:hint="eastAsia"/>
          <w:color w:val="000000"/>
          <w:sz w:val="24"/>
          <w:szCs w:val="24"/>
        </w:rPr>
        <w:t>例如</w:t>
      </w:r>
      <w:r>
        <w:rPr>
          <w:rStyle w:val="af3"/>
          <w:b/>
          <w:u w:val="single"/>
        </w:rPr>
        <w:t>保訓會</w:t>
      </w:r>
      <w:r>
        <w:rPr>
          <w:rStyle w:val="af3"/>
          <w:rFonts w:hint="eastAsia"/>
          <w:b/>
          <w:u w:val="single"/>
        </w:rPr>
        <w:t>（94）</w:t>
      </w:r>
      <w:r>
        <w:rPr>
          <w:rStyle w:val="af3"/>
          <w:b/>
          <w:u w:val="single"/>
        </w:rPr>
        <w:t>公</w:t>
      </w:r>
      <w:r>
        <w:rPr>
          <w:rStyle w:val="af3"/>
          <w:rFonts w:hint="eastAsia"/>
          <w:b/>
          <w:u w:val="single"/>
        </w:rPr>
        <w:t>審</w:t>
      </w:r>
      <w:r>
        <w:rPr>
          <w:rStyle w:val="af3"/>
          <w:b/>
          <w:u w:val="single"/>
        </w:rPr>
        <w:t>決字第0</w:t>
      </w:r>
      <w:r>
        <w:rPr>
          <w:rStyle w:val="af3"/>
          <w:rFonts w:hint="eastAsia"/>
          <w:b/>
          <w:u w:val="single"/>
        </w:rPr>
        <w:t>037號決定（以下簡稱「</w:t>
      </w:r>
      <w:r>
        <w:rPr>
          <w:b/>
          <w:u w:val="single"/>
        </w:rPr>
        <w:t>謝隆寶</w:t>
      </w:r>
      <w:r>
        <w:rPr>
          <w:rFonts w:hint="eastAsia"/>
          <w:b/>
          <w:u w:val="single"/>
        </w:rPr>
        <w:t>II</w:t>
      </w:r>
      <w:r>
        <w:rPr>
          <w:rStyle w:val="af3"/>
          <w:rFonts w:hint="eastAsia"/>
          <w:b/>
          <w:u w:val="single"/>
        </w:rPr>
        <w:t>案」）</w:t>
      </w:r>
      <w:r>
        <w:rPr>
          <w:rStyle w:val="af3"/>
          <w:rFonts w:hint="eastAsia"/>
        </w:rPr>
        <w:t>謂：「</w:t>
      </w:r>
      <w:r>
        <w:rPr>
          <w:rStyle w:val="stext1"/>
          <w:rFonts w:ascii="sөũ" w:hAnsi="sөũ"/>
          <w:color w:val="000000"/>
          <w:sz w:val="24"/>
          <w:szCs w:val="24"/>
        </w:rPr>
        <w:t>本件復審人前以南市警局</w:t>
      </w:r>
      <w:r>
        <w:rPr>
          <w:rStyle w:val="stext1"/>
          <w:rFonts w:ascii="sөũ" w:hAnsi="sөũ"/>
          <w:color w:val="000000"/>
          <w:sz w:val="24"/>
          <w:szCs w:val="24"/>
        </w:rPr>
        <w:t>92</w:t>
      </w:r>
      <w:r>
        <w:rPr>
          <w:rStyle w:val="stext1"/>
          <w:rFonts w:ascii="sөũ" w:hAnsi="sөũ"/>
          <w:color w:val="000000"/>
          <w:sz w:val="24"/>
          <w:szCs w:val="24"/>
        </w:rPr>
        <w:t>年第</w:t>
      </w:r>
      <w:r>
        <w:rPr>
          <w:rStyle w:val="stext1"/>
          <w:rFonts w:ascii="sөũ" w:hAnsi="sөũ"/>
          <w:color w:val="000000"/>
          <w:sz w:val="24"/>
          <w:szCs w:val="24"/>
        </w:rPr>
        <w:t>11</w:t>
      </w:r>
      <w:r>
        <w:rPr>
          <w:rStyle w:val="stext1"/>
          <w:rFonts w:ascii="sөũ" w:hAnsi="sөũ"/>
          <w:color w:val="000000"/>
          <w:sz w:val="24"/>
          <w:szCs w:val="24"/>
        </w:rPr>
        <w:t>序列職務人員遷調資積計分名次其排序第一，請求陞任該局刑警隊小隊長職務。惟查南市警局辦理該小隊長職缺之陞補案，係經</w:t>
      </w:r>
      <w:smartTag w:uri="urn:schemas-microsoft-com:office:smarttags" w:element="chsdate">
        <w:smartTagPr>
          <w:attr w:name="Year" w:val="1993"/>
          <w:attr w:name="Month" w:val="6"/>
          <w:attr w:name="Day" w:val="23"/>
          <w:attr w:name="IsLunarDate" w:val="False"/>
          <w:attr w:name="IsROCDate" w:val="False"/>
        </w:smartTagPr>
        <w:r>
          <w:rPr>
            <w:rStyle w:val="stext1"/>
            <w:rFonts w:ascii="sөũ" w:hAnsi="sөũ"/>
            <w:color w:val="000000"/>
            <w:sz w:val="24"/>
            <w:szCs w:val="24"/>
          </w:rPr>
          <w:t>93</w:t>
        </w:r>
        <w:r>
          <w:rPr>
            <w:rStyle w:val="stext1"/>
            <w:rFonts w:ascii="sөũ" w:hAnsi="sөũ"/>
            <w:color w:val="000000"/>
            <w:sz w:val="24"/>
            <w:szCs w:val="24"/>
          </w:rPr>
          <w:t>年</w:t>
        </w:r>
        <w:r>
          <w:rPr>
            <w:rStyle w:val="stext1"/>
            <w:rFonts w:ascii="sөũ" w:hAnsi="sөũ"/>
            <w:color w:val="000000"/>
            <w:sz w:val="24"/>
            <w:szCs w:val="24"/>
          </w:rPr>
          <w:t>6</w:t>
        </w:r>
        <w:r>
          <w:rPr>
            <w:rStyle w:val="stext1"/>
            <w:rFonts w:ascii="sөũ" w:hAnsi="sөũ"/>
            <w:color w:val="000000"/>
            <w:sz w:val="24"/>
            <w:szCs w:val="24"/>
          </w:rPr>
          <w:t>月</w:t>
        </w:r>
        <w:r>
          <w:rPr>
            <w:rStyle w:val="stext1"/>
            <w:rFonts w:ascii="sөũ" w:hAnsi="sөũ"/>
            <w:color w:val="000000"/>
            <w:sz w:val="24"/>
            <w:szCs w:val="24"/>
          </w:rPr>
          <w:t>23</w:t>
        </w:r>
        <w:r>
          <w:rPr>
            <w:rStyle w:val="stext1"/>
            <w:rFonts w:ascii="sөũ" w:hAnsi="sөũ"/>
            <w:color w:val="000000"/>
            <w:sz w:val="24"/>
            <w:szCs w:val="24"/>
          </w:rPr>
          <w:t>日</w:t>
        </w:r>
      </w:smartTag>
      <w:r>
        <w:rPr>
          <w:rStyle w:val="stext1"/>
          <w:rFonts w:ascii="sөũ" w:hAnsi="sөũ"/>
          <w:color w:val="000000"/>
          <w:sz w:val="24"/>
          <w:szCs w:val="24"/>
        </w:rPr>
        <w:t>該局</w:t>
      </w:r>
      <w:r>
        <w:rPr>
          <w:rStyle w:val="stext1"/>
          <w:rFonts w:ascii="sөũ" w:hAnsi="sөũ"/>
          <w:color w:val="000000"/>
          <w:sz w:val="24"/>
          <w:szCs w:val="24"/>
        </w:rPr>
        <w:t>92</w:t>
      </w:r>
      <w:r>
        <w:rPr>
          <w:rStyle w:val="stext1"/>
          <w:rFonts w:ascii="sөũ" w:hAnsi="sөũ"/>
          <w:color w:val="000000"/>
          <w:sz w:val="24"/>
          <w:szCs w:val="24"/>
        </w:rPr>
        <w:t>年第</w:t>
      </w:r>
      <w:r>
        <w:rPr>
          <w:rStyle w:val="stext1"/>
          <w:rFonts w:ascii="sөũ" w:hAnsi="sөũ"/>
          <w:color w:val="000000"/>
          <w:sz w:val="24"/>
          <w:szCs w:val="24"/>
        </w:rPr>
        <w:t>16</w:t>
      </w:r>
      <w:r>
        <w:rPr>
          <w:rStyle w:val="stext1"/>
          <w:rFonts w:ascii="sөũ" w:hAnsi="sөũ"/>
          <w:color w:val="000000"/>
          <w:sz w:val="24"/>
          <w:szCs w:val="24"/>
        </w:rPr>
        <w:t>次人事甄審委員會甄審由該局</w:t>
      </w:r>
      <w:r>
        <w:rPr>
          <w:rStyle w:val="stext1"/>
          <w:rFonts w:ascii="sөũ" w:hAnsi="sөũ"/>
          <w:color w:val="000000"/>
          <w:sz w:val="24"/>
          <w:szCs w:val="24"/>
        </w:rPr>
        <w:t>92</w:t>
      </w:r>
      <w:r>
        <w:rPr>
          <w:rStyle w:val="stext1"/>
          <w:rFonts w:ascii="sөũ" w:hAnsi="sөũ"/>
          <w:color w:val="000000"/>
          <w:sz w:val="24"/>
          <w:szCs w:val="24"/>
        </w:rPr>
        <w:t>年度第</w:t>
      </w:r>
      <w:r>
        <w:rPr>
          <w:rStyle w:val="stext1"/>
          <w:rFonts w:ascii="sөũ" w:hAnsi="sөũ"/>
          <w:color w:val="000000"/>
          <w:sz w:val="24"/>
          <w:szCs w:val="24"/>
        </w:rPr>
        <w:t>11</w:t>
      </w:r>
      <w:r>
        <w:rPr>
          <w:rStyle w:val="stext1"/>
          <w:rFonts w:ascii="sөũ" w:hAnsi="sөũ"/>
          <w:color w:val="000000"/>
          <w:sz w:val="24"/>
          <w:szCs w:val="24"/>
        </w:rPr>
        <w:t>序列職務人員陞職資積計分清冊中，按積分高低順序或資格條件造列名冊，由首長依規定就前</w:t>
      </w:r>
      <w:r>
        <w:rPr>
          <w:rStyle w:val="stext1"/>
          <w:rFonts w:ascii="sөũ" w:hAnsi="sөũ"/>
          <w:color w:val="000000"/>
          <w:sz w:val="24"/>
          <w:szCs w:val="24"/>
        </w:rPr>
        <w:t>3</w:t>
      </w:r>
      <w:r>
        <w:rPr>
          <w:rStyle w:val="stext1"/>
          <w:rFonts w:ascii="sөũ" w:hAnsi="sөũ"/>
          <w:color w:val="000000"/>
          <w:sz w:val="24"/>
          <w:szCs w:val="24"/>
        </w:rPr>
        <w:t>名中圈定偵查員李威賢陞補之。茲以</w:t>
      </w:r>
      <w:r>
        <w:rPr>
          <w:rStyle w:val="stext1"/>
          <w:rFonts w:ascii="sөũ" w:hAnsi="sөũ"/>
          <w:b/>
          <w:color w:val="000000"/>
          <w:sz w:val="24"/>
          <w:szCs w:val="24"/>
          <w:u w:val="single"/>
        </w:rPr>
        <w:t>復審人業於</w:t>
      </w:r>
      <w:smartTag w:uri="urn:schemas-microsoft-com:office:smarttags" w:element="chsdate">
        <w:smartTagPr>
          <w:attr w:name="Year" w:val="1993"/>
          <w:attr w:name="Month" w:val="10"/>
          <w:attr w:name="Day" w:val="21"/>
          <w:attr w:name="IsLunarDate" w:val="False"/>
          <w:attr w:name="IsROCDate" w:val="False"/>
        </w:smartTagPr>
        <w:r>
          <w:rPr>
            <w:rStyle w:val="stext1"/>
            <w:rFonts w:ascii="sөũ" w:hAnsi="sөũ"/>
            <w:b/>
            <w:color w:val="000000"/>
            <w:sz w:val="24"/>
            <w:szCs w:val="24"/>
            <w:u w:val="single"/>
          </w:rPr>
          <w:t>93</w:t>
        </w:r>
        <w:r>
          <w:rPr>
            <w:rStyle w:val="stext1"/>
            <w:rFonts w:ascii="sөũ" w:hAnsi="sөũ"/>
            <w:b/>
            <w:color w:val="000000"/>
            <w:sz w:val="24"/>
            <w:szCs w:val="24"/>
            <w:u w:val="single"/>
          </w:rPr>
          <w:t>年</w:t>
        </w:r>
        <w:r>
          <w:rPr>
            <w:rStyle w:val="stext1"/>
            <w:rFonts w:ascii="sөũ" w:hAnsi="sөũ"/>
            <w:b/>
            <w:color w:val="000000"/>
            <w:sz w:val="24"/>
            <w:szCs w:val="24"/>
            <w:u w:val="single"/>
          </w:rPr>
          <w:t>10</w:t>
        </w:r>
        <w:r>
          <w:rPr>
            <w:rStyle w:val="stext1"/>
            <w:rFonts w:ascii="sөũ" w:hAnsi="sөũ"/>
            <w:b/>
            <w:color w:val="000000"/>
            <w:sz w:val="24"/>
            <w:szCs w:val="24"/>
            <w:u w:val="single"/>
          </w:rPr>
          <w:t>月</w:t>
        </w:r>
        <w:r>
          <w:rPr>
            <w:rStyle w:val="stext1"/>
            <w:rFonts w:ascii="sөũ" w:hAnsi="sөũ"/>
            <w:b/>
            <w:color w:val="000000"/>
            <w:sz w:val="24"/>
            <w:szCs w:val="24"/>
            <w:u w:val="single"/>
          </w:rPr>
          <w:t>21</w:t>
        </w:r>
        <w:r>
          <w:rPr>
            <w:rStyle w:val="stext1"/>
            <w:rFonts w:ascii="sөũ" w:hAnsi="sөũ"/>
            <w:b/>
            <w:color w:val="000000"/>
            <w:sz w:val="24"/>
            <w:szCs w:val="24"/>
            <w:u w:val="single"/>
          </w:rPr>
          <w:t>日</w:t>
        </w:r>
      </w:smartTag>
      <w:r>
        <w:rPr>
          <w:rStyle w:val="stext1"/>
          <w:rFonts w:ascii="sөũ" w:hAnsi="sөũ"/>
          <w:b/>
          <w:color w:val="000000"/>
          <w:sz w:val="24"/>
          <w:szCs w:val="24"/>
          <w:u w:val="single"/>
        </w:rPr>
        <w:t>調任南縣警局刑警隊，則復審人所執請求陞任南市警局刑警隊小隊長之標的，業因復審人調任其他警察機關，已非南市警局所屬人員，而該小隊長職缺，應由本機關人員陞遷，無法由他機關人員遞補，復審人自無陞任南市警局刑警隊小隊長之可能，揆諸前揭說明，其所提復審，顯已無實益，核屬欠缺權利保護之要件，爰應予駁回</w:t>
      </w:r>
      <w:r>
        <w:rPr>
          <w:rStyle w:val="stext1"/>
          <w:rFonts w:ascii="sөũ" w:hAnsi="sөũ"/>
          <w:color w:val="000000"/>
          <w:sz w:val="24"/>
          <w:szCs w:val="24"/>
        </w:rPr>
        <w:t>。</w:t>
      </w:r>
      <w:r>
        <w:rPr>
          <w:rStyle w:val="stext1"/>
          <w:rFonts w:ascii="sөũ" w:hAnsi="sөũ" w:hint="eastAsia"/>
          <w:color w:val="000000"/>
          <w:sz w:val="24"/>
          <w:szCs w:val="24"/>
        </w:rPr>
        <w:t>」</w:t>
      </w:r>
    </w:p>
    <w:p w:rsidR="007D6688" w:rsidRDefault="007D6688">
      <w:pPr>
        <w:pStyle w:val="22"/>
        <w:spacing w:line="480" w:lineRule="auto"/>
        <w:rPr>
          <w:rStyle w:val="stext1"/>
          <w:rFonts w:ascii="sөũ" w:hAnsi="sөũ" w:hint="eastAsia"/>
          <w:color w:val="000000"/>
          <w:sz w:val="24"/>
          <w:szCs w:val="24"/>
        </w:rPr>
      </w:pPr>
      <w:r>
        <w:rPr>
          <w:rStyle w:val="stext1"/>
          <w:rFonts w:ascii="sөũ" w:hAnsi="sөũ" w:hint="eastAsia"/>
          <w:color w:val="000000"/>
          <w:sz w:val="24"/>
          <w:szCs w:val="24"/>
        </w:rPr>
        <w:t>又如</w:t>
      </w:r>
      <w:r>
        <w:rPr>
          <w:rStyle w:val="af3"/>
          <w:b/>
          <w:u w:val="single"/>
        </w:rPr>
        <w:t>保訓會</w:t>
      </w:r>
      <w:r>
        <w:rPr>
          <w:rStyle w:val="af3"/>
          <w:rFonts w:hint="eastAsia"/>
          <w:b/>
          <w:u w:val="single"/>
        </w:rPr>
        <w:t>（94）</w:t>
      </w:r>
      <w:r>
        <w:rPr>
          <w:rStyle w:val="af3"/>
          <w:b/>
          <w:u w:val="single"/>
        </w:rPr>
        <w:t>公</w:t>
      </w:r>
      <w:r>
        <w:rPr>
          <w:rStyle w:val="af3"/>
          <w:rFonts w:hint="eastAsia"/>
          <w:b/>
          <w:u w:val="single"/>
        </w:rPr>
        <w:t>申</w:t>
      </w:r>
      <w:r>
        <w:rPr>
          <w:rStyle w:val="af3"/>
          <w:b/>
          <w:u w:val="single"/>
        </w:rPr>
        <w:t>決字第0</w:t>
      </w:r>
      <w:r>
        <w:rPr>
          <w:rStyle w:val="af3"/>
          <w:rFonts w:hint="eastAsia"/>
          <w:b/>
          <w:u w:val="single"/>
        </w:rPr>
        <w:t>026號決定（以下簡稱「</w:t>
      </w:r>
      <w:r>
        <w:rPr>
          <w:rFonts w:hint="eastAsia"/>
          <w:b/>
          <w:u w:val="single"/>
        </w:rPr>
        <w:t>林群彬</w:t>
      </w:r>
      <w:r>
        <w:rPr>
          <w:rStyle w:val="af3"/>
          <w:rFonts w:hint="eastAsia"/>
          <w:b/>
          <w:u w:val="single"/>
        </w:rPr>
        <w:t>案」）</w:t>
      </w:r>
      <w:r>
        <w:rPr>
          <w:rStyle w:val="af3"/>
          <w:rFonts w:hint="eastAsia"/>
        </w:rPr>
        <w:t>謂：「</w:t>
      </w:r>
      <w:r>
        <w:rPr>
          <w:rStyle w:val="stext1"/>
          <w:rFonts w:ascii="sөũ" w:hAnsi="sөũ"/>
          <w:color w:val="000000"/>
          <w:sz w:val="24"/>
          <w:szCs w:val="24"/>
        </w:rPr>
        <w:t>公務人員不服服務機關之管理措施，於提起申訴、再申訴時，如已無實益，即屬</w:t>
      </w:r>
      <w:r>
        <w:rPr>
          <w:rStyle w:val="stext1"/>
          <w:rFonts w:ascii="sөũ" w:hAnsi="sөũ"/>
          <w:sz w:val="24"/>
          <w:szCs w:val="24"/>
        </w:rPr>
        <w:t>欠缺權利保護之必要，</w:t>
      </w:r>
      <w:r>
        <w:rPr>
          <w:rStyle w:val="stext1"/>
          <w:rFonts w:ascii="sөũ" w:hAnsi="sөũ"/>
          <w:color w:val="000000"/>
          <w:sz w:val="24"/>
          <w:szCs w:val="24"/>
        </w:rPr>
        <w:t>應予駁回。承前述，法務部依上開訓練計畫於</w:t>
      </w:r>
      <w:smartTag w:uri="urn:schemas-microsoft-com:office:smarttags" w:element="chsdate">
        <w:smartTagPr>
          <w:attr w:name="Year" w:val="1993"/>
          <w:attr w:name="Month" w:val="10"/>
          <w:attr w:name="Day" w:val="4"/>
          <w:attr w:name="IsLunarDate" w:val="False"/>
          <w:attr w:name="IsROCDate" w:val="False"/>
        </w:smartTagPr>
        <w:r>
          <w:rPr>
            <w:rStyle w:val="stext1"/>
            <w:rFonts w:ascii="sөũ" w:hAnsi="sөũ"/>
            <w:color w:val="000000"/>
            <w:sz w:val="24"/>
            <w:szCs w:val="24"/>
          </w:rPr>
          <w:t>93</w:t>
        </w:r>
        <w:r>
          <w:rPr>
            <w:rStyle w:val="stext1"/>
            <w:rFonts w:ascii="sөũ" w:hAnsi="sөũ"/>
            <w:color w:val="000000"/>
            <w:sz w:val="24"/>
            <w:szCs w:val="24"/>
          </w:rPr>
          <w:t>年</w:t>
        </w:r>
        <w:r>
          <w:rPr>
            <w:rStyle w:val="stext1"/>
            <w:rFonts w:ascii="sөũ" w:hAnsi="sөũ"/>
            <w:color w:val="000000"/>
            <w:sz w:val="24"/>
            <w:szCs w:val="24"/>
          </w:rPr>
          <w:t>10</w:t>
        </w:r>
        <w:r>
          <w:rPr>
            <w:rStyle w:val="stext1"/>
            <w:rFonts w:ascii="sөũ" w:hAnsi="sөũ"/>
            <w:color w:val="000000"/>
            <w:sz w:val="24"/>
            <w:szCs w:val="24"/>
          </w:rPr>
          <w:t>月</w:t>
        </w:r>
        <w:r>
          <w:rPr>
            <w:rStyle w:val="stext1"/>
            <w:rFonts w:ascii="sөũ" w:hAnsi="sөũ"/>
            <w:color w:val="000000"/>
            <w:sz w:val="24"/>
            <w:szCs w:val="24"/>
          </w:rPr>
          <w:t>4</w:t>
        </w:r>
        <w:r>
          <w:rPr>
            <w:rStyle w:val="stext1"/>
            <w:rFonts w:ascii="sөũ" w:hAnsi="sөũ"/>
            <w:color w:val="000000"/>
            <w:sz w:val="24"/>
            <w:szCs w:val="24"/>
          </w:rPr>
          <w:t>日</w:t>
        </w:r>
      </w:smartTag>
      <w:r>
        <w:rPr>
          <w:rStyle w:val="stext1"/>
          <w:rFonts w:ascii="sөũ" w:hAnsi="sөũ"/>
          <w:color w:val="000000"/>
          <w:sz w:val="24"/>
          <w:szCs w:val="24"/>
        </w:rPr>
        <w:t>至同年</w:t>
      </w:r>
      <w:smartTag w:uri="urn:schemas-microsoft-com:office:smarttags" w:element="chsdate">
        <w:smartTagPr>
          <w:attr w:name="Year" w:val="2005"/>
          <w:attr w:name="Month" w:val="12"/>
          <w:attr w:name="Day" w:val="3"/>
          <w:attr w:name="IsLunarDate" w:val="False"/>
          <w:attr w:name="IsROCDate" w:val="False"/>
        </w:smartTagPr>
        <w:r>
          <w:rPr>
            <w:rStyle w:val="stext1"/>
            <w:rFonts w:ascii="sөũ" w:hAnsi="sөũ"/>
            <w:color w:val="000000"/>
            <w:sz w:val="24"/>
            <w:szCs w:val="24"/>
          </w:rPr>
          <w:t>12</w:t>
        </w:r>
        <w:r>
          <w:rPr>
            <w:rStyle w:val="stext1"/>
            <w:rFonts w:ascii="sөũ" w:hAnsi="sөũ"/>
            <w:color w:val="000000"/>
            <w:sz w:val="24"/>
            <w:szCs w:val="24"/>
          </w:rPr>
          <w:t>月</w:t>
        </w:r>
        <w:r>
          <w:rPr>
            <w:rStyle w:val="stext1"/>
            <w:rFonts w:ascii="sөũ" w:hAnsi="sөũ"/>
            <w:color w:val="000000"/>
            <w:sz w:val="24"/>
            <w:szCs w:val="24"/>
          </w:rPr>
          <w:t>3</w:t>
        </w:r>
        <w:r>
          <w:rPr>
            <w:rStyle w:val="stext1"/>
            <w:rFonts w:ascii="sөũ" w:hAnsi="sөũ"/>
            <w:color w:val="000000"/>
            <w:sz w:val="24"/>
            <w:szCs w:val="24"/>
          </w:rPr>
          <w:t>日</w:t>
        </w:r>
      </w:smartTag>
      <w:r>
        <w:rPr>
          <w:rStyle w:val="stext1"/>
          <w:rFonts w:ascii="sөũ" w:hAnsi="sөũ"/>
          <w:color w:val="000000"/>
          <w:sz w:val="24"/>
          <w:szCs w:val="24"/>
        </w:rPr>
        <w:t>開辦科（課、組）員儲訓班第五期訓練，嗣該訓練計畫並經法務部函令自</w:t>
      </w:r>
      <w:smartTag w:uri="urn:schemas-microsoft-com:office:smarttags" w:element="chsdate">
        <w:smartTagPr>
          <w:attr w:name="Year" w:val="1993"/>
          <w:attr w:name="Month" w:val="12"/>
          <w:attr w:name="Day" w:val="6"/>
          <w:attr w:name="IsLunarDate" w:val="False"/>
          <w:attr w:name="IsROCDate" w:val="False"/>
        </w:smartTagPr>
        <w:r>
          <w:rPr>
            <w:rStyle w:val="stext1"/>
            <w:rFonts w:ascii="sөũ" w:hAnsi="sөũ"/>
            <w:color w:val="000000"/>
            <w:sz w:val="24"/>
            <w:szCs w:val="24"/>
          </w:rPr>
          <w:t>93</w:t>
        </w:r>
        <w:r>
          <w:rPr>
            <w:rStyle w:val="stext1"/>
            <w:rFonts w:ascii="sөũ" w:hAnsi="sөũ"/>
            <w:color w:val="000000"/>
            <w:sz w:val="24"/>
            <w:szCs w:val="24"/>
          </w:rPr>
          <w:t>年</w:t>
        </w:r>
        <w:r>
          <w:rPr>
            <w:rStyle w:val="stext1"/>
            <w:rFonts w:ascii="sөũ" w:hAnsi="sөũ"/>
            <w:color w:val="000000"/>
            <w:sz w:val="24"/>
            <w:szCs w:val="24"/>
          </w:rPr>
          <w:t>12</w:t>
        </w:r>
        <w:r>
          <w:rPr>
            <w:rStyle w:val="stext1"/>
            <w:rFonts w:ascii="sөũ" w:hAnsi="sөũ"/>
            <w:color w:val="000000"/>
            <w:sz w:val="24"/>
            <w:szCs w:val="24"/>
          </w:rPr>
          <w:t>月</w:t>
        </w:r>
        <w:r>
          <w:rPr>
            <w:rStyle w:val="stext1"/>
            <w:rFonts w:ascii="sөũ" w:hAnsi="sөũ"/>
            <w:color w:val="000000"/>
            <w:sz w:val="24"/>
            <w:szCs w:val="24"/>
          </w:rPr>
          <w:t>6</w:t>
        </w:r>
        <w:r>
          <w:rPr>
            <w:rStyle w:val="stext1"/>
            <w:rFonts w:ascii="sөũ" w:hAnsi="sөũ"/>
            <w:color w:val="000000"/>
            <w:sz w:val="24"/>
            <w:szCs w:val="24"/>
          </w:rPr>
          <w:t>日</w:t>
        </w:r>
      </w:smartTag>
      <w:r>
        <w:rPr>
          <w:rStyle w:val="stext1"/>
          <w:rFonts w:ascii="sөũ" w:hAnsi="sөũ"/>
          <w:color w:val="000000"/>
          <w:sz w:val="24"/>
          <w:szCs w:val="24"/>
        </w:rPr>
        <w:t>停止適用，此有法務部</w:t>
      </w:r>
      <w:smartTag w:uri="urn:schemas-microsoft-com:office:smarttags" w:element="chsdate">
        <w:smartTagPr>
          <w:attr w:name="Year" w:val="1993"/>
          <w:attr w:name="Month" w:val="12"/>
          <w:attr w:name="Day" w:val="6"/>
          <w:attr w:name="IsLunarDate" w:val="False"/>
          <w:attr w:name="IsROCDate" w:val="False"/>
        </w:smartTagPr>
        <w:r>
          <w:rPr>
            <w:rStyle w:val="stext1"/>
            <w:rFonts w:ascii="sөũ" w:hAnsi="sөũ"/>
            <w:color w:val="000000"/>
            <w:sz w:val="24"/>
            <w:szCs w:val="24"/>
          </w:rPr>
          <w:t>93</w:t>
        </w:r>
        <w:r>
          <w:rPr>
            <w:rStyle w:val="stext1"/>
            <w:rFonts w:ascii="sөũ" w:hAnsi="sөũ"/>
            <w:color w:val="000000"/>
            <w:sz w:val="24"/>
            <w:szCs w:val="24"/>
          </w:rPr>
          <w:t>年</w:t>
        </w:r>
        <w:r>
          <w:rPr>
            <w:rStyle w:val="stext1"/>
            <w:rFonts w:ascii="sөũ" w:hAnsi="sөũ"/>
            <w:color w:val="000000"/>
            <w:sz w:val="24"/>
            <w:szCs w:val="24"/>
          </w:rPr>
          <w:t>12</w:t>
        </w:r>
        <w:r>
          <w:rPr>
            <w:rStyle w:val="stext1"/>
            <w:rFonts w:ascii="sөũ" w:hAnsi="sөũ"/>
            <w:color w:val="000000"/>
            <w:sz w:val="24"/>
            <w:szCs w:val="24"/>
          </w:rPr>
          <w:t>月</w:t>
        </w:r>
        <w:r>
          <w:rPr>
            <w:rStyle w:val="stext1"/>
            <w:rFonts w:ascii="sөũ" w:hAnsi="sөũ"/>
            <w:color w:val="000000"/>
            <w:sz w:val="24"/>
            <w:szCs w:val="24"/>
          </w:rPr>
          <w:t>6</w:t>
        </w:r>
        <w:r>
          <w:rPr>
            <w:rStyle w:val="stext1"/>
            <w:rFonts w:ascii="sөũ" w:hAnsi="sөũ"/>
            <w:color w:val="000000"/>
            <w:sz w:val="24"/>
            <w:szCs w:val="24"/>
          </w:rPr>
          <w:t>日</w:t>
        </w:r>
      </w:smartTag>
      <w:r>
        <w:rPr>
          <w:rStyle w:val="stext1"/>
          <w:rFonts w:ascii="sөũ" w:hAnsi="sөũ"/>
          <w:color w:val="000000"/>
          <w:sz w:val="24"/>
          <w:szCs w:val="24"/>
        </w:rPr>
        <w:t>法人字第</w:t>
      </w:r>
      <w:r>
        <w:rPr>
          <w:rStyle w:val="stext1"/>
          <w:rFonts w:ascii="sөũ" w:hAnsi="sөũ"/>
          <w:color w:val="000000"/>
          <w:sz w:val="24"/>
          <w:szCs w:val="24"/>
        </w:rPr>
        <w:t>0931303587</w:t>
      </w:r>
      <w:r>
        <w:rPr>
          <w:rStyle w:val="stext1"/>
          <w:rFonts w:ascii="sөũ" w:hAnsi="sөũ"/>
          <w:color w:val="000000"/>
          <w:sz w:val="24"/>
          <w:szCs w:val="24"/>
        </w:rPr>
        <w:t>號函影本附卷可稽。準此，本件再申訴人林群彬等</w:t>
      </w:r>
      <w:r>
        <w:rPr>
          <w:rStyle w:val="stext1"/>
          <w:rFonts w:ascii="sөũ" w:hAnsi="sөũ"/>
          <w:color w:val="000000"/>
          <w:sz w:val="24"/>
          <w:szCs w:val="24"/>
        </w:rPr>
        <w:t>7</w:t>
      </w:r>
      <w:r>
        <w:rPr>
          <w:rStyle w:val="stext1"/>
          <w:rFonts w:ascii="sөũ" w:hAnsi="sөũ"/>
          <w:color w:val="000000"/>
          <w:sz w:val="24"/>
          <w:szCs w:val="24"/>
        </w:rPr>
        <w:t>人固有意願參與科（課、組）員儲訓班第五期訓練，並經由臺南監獄報送法務部遴選參加甄試，主張矯正機關儲訓計畫優先受訓之規定違背法令云云，</w:t>
      </w:r>
      <w:r>
        <w:rPr>
          <w:rStyle w:val="stext1"/>
          <w:rFonts w:ascii="sөũ" w:hAnsi="sөũ"/>
          <w:b/>
          <w:sz w:val="24"/>
          <w:szCs w:val="24"/>
          <w:u w:val="single"/>
        </w:rPr>
        <w:t>惟系爭科（課、組）員儲訓班第五期訓練業於</w:t>
      </w:r>
      <w:smartTag w:uri="urn:schemas-microsoft-com:office:smarttags" w:element="chsdate">
        <w:smartTagPr>
          <w:attr w:name="Year" w:val="1993"/>
          <w:attr w:name="Month" w:val="12"/>
          <w:attr w:name="Day" w:val="3"/>
          <w:attr w:name="IsLunarDate" w:val="False"/>
          <w:attr w:name="IsROCDate" w:val="False"/>
        </w:smartTagPr>
        <w:r>
          <w:rPr>
            <w:rStyle w:val="stext1"/>
            <w:rFonts w:ascii="sөũ" w:hAnsi="sөũ"/>
            <w:b/>
            <w:sz w:val="24"/>
            <w:szCs w:val="24"/>
            <w:u w:val="single"/>
          </w:rPr>
          <w:t>93</w:t>
        </w:r>
        <w:r>
          <w:rPr>
            <w:rStyle w:val="stext1"/>
            <w:rFonts w:ascii="sөũ" w:hAnsi="sөũ"/>
            <w:b/>
            <w:sz w:val="24"/>
            <w:szCs w:val="24"/>
            <w:u w:val="single"/>
          </w:rPr>
          <w:t>年</w:t>
        </w:r>
        <w:r>
          <w:rPr>
            <w:rStyle w:val="stext1"/>
            <w:rFonts w:ascii="sөũ" w:hAnsi="sөũ"/>
            <w:b/>
            <w:sz w:val="24"/>
            <w:szCs w:val="24"/>
            <w:u w:val="single"/>
          </w:rPr>
          <w:t>12</w:t>
        </w:r>
        <w:r>
          <w:rPr>
            <w:rStyle w:val="stext1"/>
            <w:rFonts w:ascii="sөũ" w:hAnsi="sөũ"/>
            <w:b/>
            <w:sz w:val="24"/>
            <w:szCs w:val="24"/>
            <w:u w:val="single"/>
          </w:rPr>
          <w:t>月</w:t>
        </w:r>
        <w:r>
          <w:rPr>
            <w:rStyle w:val="stext1"/>
            <w:rFonts w:ascii="sөũ" w:hAnsi="sөũ"/>
            <w:b/>
            <w:sz w:val="24"/>
            <w:szCs w:val="24"/>
            <w:u w:val="single"/>
          </w:rPr>
          <w:t>3</w:t>
        </w:r>
        <w:r>
          <w:rPr>
            <w:rStyle w:val="stext1"/>
            <w:rFonts w:ascii="sөũ" w:hAnsi="sөũ"/>
            <w:b/>
            <w:sz w:val="24"/>
            <w:szCs w:val="24"/>
            <w:u w:val="single"/>
          </w:rPr>
          <w:t>日</w:t>
        </w:r>
      </w:smartTag>
      <w:r>
        <w:rPr>
          <w:rStyle w:val="stext1"/>
          <w:rFonts w:ascii="sөũ" w:hAnsi="sөũ"/>
          <w:b/>
          <w:sz w:val="24"/>
          <w:szCs w:val="24"/>
          <w:u w:val="single"/>
        </w:rPr>
        <w:t>辦理完竣，且系爭矯正機關儲訓計畫自</w:t>
      </w:r>
      <w:smartTag w:uri="urn:schemas-microsoft-com:office:smarttags" w:element="chsdate">
        <w:smartTagPr>
          <w:attr w:name="Year" w:val="1993"/>
          <w:attr w:name="Month" w:val="12"/>
          <w:attr w:name="Day" w:val="6"/>
          <w:attr w:name="IsLunarDate" w:val="False"/>
          <w:attr w:name="IsROCDate" w:val="False"/>
        </w:smartTagPr>
        <w:r>
          <w:rPr>
            <w:rStyle w:val="stext1"/>
            <w:rFonts w:ascii="sөũ" w:hAnsi="sөũ"/>
            <w:b/>
            <w:sz w:val="24"/>
            <w:szCs w:val="24"/>
            <w:u w:val="single"/>
          </w:rPr>
          <w:t>93</w:t>
        </w:r>
        <w:r>
          <w:rPr>
            <w:rStyle w:val="stext1"/>
            <w:rFonts w:ascii="sөũ" w:hAnsi="sөũ"/>
            <w:b/>
            <w:sz w:val="24"/>
            <w:szCs w:val="24"/>
            <w:u w:val="single"/>
          </w:rPr>
          <w:t>年</w:t>
        </w:r>
        <w:r>
          <w:rPr>
            <w:rStyle w:val="stext1"/>
            <w:rFonts w:ascii="sөũ" w:hAnsi="sөũ"/>
            <w:b/>
            <w:sz w:val="24"/>
            <w:szCs w:val="24"/>
            <w:u w:val="single"/>
          </w:rPr>
          <w:t>12</w:t>
        </w:r>
        <w:r>
          <w:rPr>
            <w:rStyle w:val="stext1"/>
            <w:rFonts w:ascii="sөũ" w:hAnsi="sөũ"/>
            <w:b/>
            <w:sz w:val="24"/>
            <w:szCs w:val="24"/>
            <w:u w:val="single"/>
          </w:rPr>
          <w:t>月</w:t>
        </w:r>
        <w:r>
          <w:rPr>
            <w:rStyle w:val="stext1"/>
            <w:rFonts w:ascii="sөũ" w:hAnsi="sөũ"/>
            <w:b/>
            <w:sz w:val="24"/>
            <w:szCs w:val="24"/>
            <w:u w:val="single"/>
          </w:rPr>
          <w:t>6</w:t>
        </w:r>
        <w:r>
          <w:rPr>
            <w:rStyle w:val="stext1"/>
            <w:rFonts w:ascii="sөũ" w:hAnsi="sөũ"/>
            <w:b/>
            <w:sz w:val="24"/>
            <w:szCs w:val="24"/>
            <w:u w:val="single"/>
          </w:rPr>
          <w:t>日</w:t>
        </w:r>
      </w:smartTag>
      <w:r>
        <w:rPr>
          <w:rStyle w:val="stext1"/>
          <w:rFonts w:ascii="sөũ" w:hAnsi="sөũ"/>
          <w:b/>
          <w:sz w:val="24"/>
          <w:szCs w:val="24"/>
          <w:u w:val="single"/>
        </w:rPr>
        <w:t>起停止適用，</w:t>
      </w:r>
      <w:r>
        <w:rPr>
          <w:rStyle w:val="stext1"/>
          <w:rFonts w:ascii="sөũ" w:hAnsi="sөũ"/>
          <w:sz w:val="24"/>
          <w:szCs w:val="24"/>
        </w:rPr>
        <w:t>復依法務部答復稱，將改採陞任後實施專業訓練之制度，揆諸首揭說明，</w:t>
      </w:r>
      <w:r>
        <w:rPr>
          <w:rStyle w:val="stext1"/>
          <w:rFonts w:ascii="sөũ" w:hAnsi="sөũ"/>
          <w:b/>
          <w:sz w:val="24"/>
          <w:szCs w:val="24"/>
          <w:u w:val="single"/>
        </w:rPr>
        <w:t>渠等所提起之再申訴顯已無實益，自屬欠缺權利保護之必要，爰應予以駁回</w:t>
      </w:r>
      <w:r>
        <w:rPr>
          <w:rStyle w:val="stext1"/>
          <w:rFonts w:ascii="sөũ" w:hAnsi="sөũ"/>
          <w:color w:val="000000"/>
          <w:sz w:val="24"/>
          <w:szCs w:val="24"/>
        </w:rPr>
        <w:t>。</w:t>
      </w:r>
      <w:r>
        <w:rPr>
          <w:rStyle w:val="stext1"/>
          <w:rFonts w:ascii="sөũ" w:hAnsi="sөũ" w:hint="eastAsia"/>
          <w:color w:val="000000"/>
          <w:sz w:val="24"/>
          <w:szCs w:val="24"/>
        </w:rPr>
        <w:t>」</w:t>
      </w:r>
    </w:p>
    <w:p w:rsidR="007D6688" w:rsidRDefault="007D6688">
      <w:pPr>
        <w:pStyle w:val="4"/>
        <w:spacing w:line="480" w:lineRule="auto"/>
        <w:rPr>
          <w:rFonts w:hint="eastAsia"/>
        </w:rPr>
      </w:pPr>
      <w:bookmarkStart w:id="73" w:name="_Toc121199214"/>
      <w:bookmarkStart w:id="74" w:name="_Toc121212686"/>
      <w:bookmarkStart w:id="75" w:name="_Toc121212949"/>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.7.</w:t>
      </w:r>
      <w:r>
        <w:rPr>
          <w:rFonts w:hint="eastAsia"/>
        </w:rPr>
        <w:t>對於他人獲得陞遷不服</w:t>
      </w:r>
      <w:bookmarkEnd w:id="73"/>
      <w:bookmarkEnd w:id="74"/>
      <w:bookmarkEnd w:id="75"/>
    </w:p>
    <w:p w:rsidR="007D6688" w:rsidRDefault="007D6688">
      <w:pPr>
        <w:pStyle w:val="22"/>
        <w:spacing w:line="480" w:lineRule="auto"/>
        <w:rPr>
          <w:rStyle w:val="stext1"/>
          <w:rFonts w:ascii="sөũ" w:hAnsi="sөũ" w:hint="eastAsia"/>
          <w:color w:val="000000"/>
        </w:rPr>
      </w:pPr>
      <w:r>
        <w:rPr>
          <w:rStyle w:val="af3"/>
          <w:rFonts w:hint="eastAsia"/>
        </w:rPr>
        <w:t>公務人員之陞遷救濟中，有時也會有單獨對於他人之陞任不服之案件發生。保訓會的見解似認為，此類案件因非屬涉及自己權益事項，提起救濟時往往不具請求救濟的權能（訴訟權能），而非適格之主體。例如</w:t>
      </w:r>
      <w:r>
        <w:rPr>
          <w:rStyle w:val="af3"/>
          <w:b/>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90</w:t>
      </w:r>
      <w:r>
        <w:rPr>
          <w:rStyle w:val="stext1"/>
          <w:rFonts w:ascii="sөũ" w:hAnsi="sөũ" w:hint="eastAsia"/>
          <w:b/>
          <w:color w:val="000000"/>
          <w:sz w:val="24"/>
          <w:szCs w:val="24"/>
          <w:u w:val="single"/>
        </w:rPr>
        <w:t>）</w:t>
      </w:r>
      <w:r>
        <w:rPr>
          <w:rStyle w:val="stext1"/>
          <w:rFonts w:ascii="sөũ" w:hAnsi="sөũ"/>
          <w:b/>
          <w:color w:val="000000"/>
          <w:sz w:val="24"/>
          <w:szCs w:val="24"/>
          <w:u w:val="single"/>
        </w:rPr>
        <w:t>公申決字第</w:t>
      </w:r>
      <w:r>
        <w:rPr>
          <w:rStyle w:val="stext1"/>
          <w:rFonts w:ascii="sөũ" w:hAnsi="sөũ"/>
          <w:b/>
          <w:color w:val="000000"/>
          <w:sz w:val="24"/>
          <w:szCs w:val="24"/>
          <w:u w:val="single"/>
        </w:rPr>
        <w:t>0169</w:t>
      </w:r>
      <w:r>
        <w:rPr>
          <w:rStyle w:val="stext1"/>
          <w:rFonts w:ascii="sөũ" w:hAnsi="sөũ"/>
          <w:b/>
          <w:color w:val="000000"/>
          <w:sz w:val="24"/>
          <w:szCs w:val="24"/>
          <w:u w:val="single"/>
        </w:rPr>
        <w:t>號</w:t>
      </w:r>
      <w:r>
        <w:rPr>
          <w:rStyle w:val="af3"/>
          <w:rFonts w:hint="eastAsia"/>
          <w:b/>
          <w:u w:val="single"/>
        </w:rPr>
        <w:t>決定（以下簡稱「</w:t>
      </w:r>
      <w:r>
        <w:rPr>
          <w:rStyle w:val="stext"/>
          <w:rFonts w:hint="eastAsia"/>
          <w:b/>
          <w:u w:val="single"/>
        </w:rPr>
        <w:t>葉玉琴</w:t>
      </w:r>
      <w:r>
        <w:rPr>
          <w:rStyle w:val="af3"/>
          <w:rFonts w:hint="eastAsia"/>
          <w:b/>
          <w:u w:val="single"/>
        </w:rPr>
        <w:t>案」）</w:t>
      </w:r>
      <w:r>
        <w:rPr>
          <w:rStyle w:val="af3"/>
          <w:rFonts w:hint="eastAsia"/>
        </w:rPr>
        <w:t>謂：「</w:t>
      </w:r>
      <w:r>
        <w:rPr>
          <w:rStyle w:val="stext1"/>
          <w:rFonts w:ascii="sөũ" w:hAnsi="sөũ"/>
          <w:color w:val="000000"/>
          <w:sz w:val="24"/>
          <w:szCs w:val="24"/>
        </w:rPr>
        <w:t>本案再申訴人等二人現職為國立臺北商業技術學院附設高級商業職業進修學校（以下簡稱附設高商）幹事，因八十九年八月十七日國立台北商業專科學校（按：為國立臺北商業技術學院前身，以下簡稱台北商專）人事室通知有數名組員出缺，擬辦理升遷，註明有意升遷者限期填繳表件，逾期視同無意升任。爰該校唐</w:t>
      </w:r>
      <w:r>
        <w:rPr>
          <w:rStyle w:val="stext1"/>
          <w:rFonts w:ascii="sөũ" w:hAnsi="sөũ"/>
          <w:color w:val="000000"/>
          <w:sz w:val="24"/>
          <w:szCs w:val="24"/>
        </w:rPr>
        <w:t>○○</w:t>
      </w:r>
      <w:r>
        <w:rPr>
          <w:rStyle w:val="stext1"/>
          <w:rFonts w:ascii="sөũ" w:hAnsi="sөũ"/>
          <w:color w:val="000000"/>
          <w:sz w:val="24"/>
          <w:szCs w:val="24"/>
        </w:rPr>
        <w:t>女士依該升遷通知填表並表示願意配合服務單位之調動。而再申訴人等受限該升遷通知第二點「本校暨附設高商進校人員交流升遷時，須經本校職缺所在單位主管及附設高商進校校務主任</w:t>
      </w:r>
      <w:r>
        <w:rPr>
          <w:rStyle w:val="stext1"/>
          <w:rFonts w:ascii="sөũ" w:hAnsi="sөũ"/>
          <w:sz w:val="24"/>
          <w:szCs w:val="24"/>
        </w:rPr>
        <w:t>同意</w:t>
      </w:r>
      <w:r>
        <w:rPr>
          <w:rStyle w:val="stext1"/>
          <w:rFonts w:ascii="sөũ" w:hAnsi="sөũ"/>
          <w:color w:val="000000"/>
          <w:sz w:val="24"/>
          <w:szCs w:val="24"/>
        </w:rPr>
        <w:t>，並隨所升遷職缺調派該單位服務，如無意交流升遷並調動服務單位者，請勿填繳」之規定，未填繳表件。同年</w:t>
      </w:r>
      <w:smartTag w:uri="urn:schemas-microsoft-com:office:smarttags" w:element="chsdate">
        <w:smartTagPr>
          <w:attr w:name="Year" w:val="2005"/>
          <w:attr w:name="Month" w:val="12"/>
          <w:attr w:name="Day" w:val="1"/>
          <w:attr w:name="IsLunarDate" w:val="False"/>
          <w:attr w:name="IsROCDate" w:val="False"/>
        </w:smartTagPr>
        <w:r>
          <w:rPr>
            <w:rStyle w:val="stext1"/>
            <w:rFonts w:ascii="sөũ" w:hAnsi="sөũ"/>
            <w:color w:val="000000"/>
            <w:sz w:val="24"/>
            <w:szCs w:val="24"/>
          </w:rPr>
          <w:t>十二月一日</w:t>
        </w:r>
      </w:smartTag>
      <w:r>
        <w:rPr>
          <w:rStyle w:val="stext1"/>
          <w:rFonts w:ascii="sөũ" w:hAnsi="sөũ"/>
          <w:color w:val="000000"/>
          <w:sz w:val="24"/>
          <w:szCs w:val="24"/>
        </w:rPr>
        <w:t>台北商專發布唐員調升組員，惟另予註記調派該校附設高商服務。再申訴人爰就上開陞遷事件向台北商專提出申訴，嗣不服該校之申訴函復，向本會提出再申訴。茲依卷附再申訴人等申訴書、再申訴書改善建議事項觀之，</w:t>
      </w:r>
      <w:r>
        <w:rPr>
          <w:rStyle w:val="stext1"/>
          <w:rFonts w:ascii="sөũ" w:hAnsi="sөũ"/>
          <w:b/>
          <w:color w:val="000000"/>
          <w:sz w:val="24"/>
          <w:szCs w:val="24"/>
          <w:u w:val="single"/>
        </w:rPr>
        <w:t>再申訴人等均係請求服務機關應依上開升遷通知第二點規定，即刻辦理唐員歸建</w:t>
      </w:r>
      <w:r>
        <w:rPr>
          <w:rStyle w:val="stext1"/>
          <w:rFonts w:ascii="sөũ" w:hAnsi="sөũ"/>
          <w:color w:val="000000"/>
          <w:sz w:val="24"/>
          <w:szCs w:val="24"/>
        </w:rPr>
        <w:t>（按：唐員業於</w:t>
      </w:r>
      <w:smartTag w:uri="urn:schemas-microsoft-com:office:smarttags" w:element="chsdate">
        <w:smartTagPr>
          <w:attr w:name="Year" w:val="1990"/>
          <w:attr w:name="Month" w:val="8"/>
          <w:attr w:name="Day" w:val="1"/>
          <w:attr w:name="IsLunarDate" w:val="False"/>
          <w:attr w:name="IsROCDate" w:val="False"/>
        </w:smartTagPr>
        <w:r>
          <w:rPr>
            <w:rStyle w:val="stext1"/>
            <w:rFonts w:ascii="sөũ" w:hAnsi="sөũ"/>
            <w:color w:val="000000"/>
            <w:sz w:val="24"/>
            <w:szCs w:val="24"/>
          </w:rPr>
          <w:t>九十年八月一日</w:t>
        </w:r>
      </w:smartTag>
      <w:r>
        <w:rPr>
          <w:rStyle w:val="stext1"/>
          <w:rFonts w:ascii="sөũ" w:hAnsi="sөũ"/>
          <w:color w:val="000000"/>
          <w:sz w:val="24"/>
          <w:szCs w:val="24"/>
        </w:rPr>
        <w:t>歸建該校總務處），</w:t>
      </w:r>
      <w:r>
        <w:rPr>
          <w:rStyle w:val="stext1"/>
          <w:rFonts w:ascii="sөũ" w:hAnsi="sөũ"/>
          <w:b/>
          <w:color w:val="000000"/>
          <w:sz w:val="24"/>
          <w:szCs w:val="24"/>
          <w:u w:val="single"/>
        </w:rPr>
        <w:t>惟查本案服務機關就唐員所為之派令，並非以再申訴人等為對象，且</w:t>
      </w:r>
      <w:r>
        <w:rPr>
          <w:rStyle w:val="stext1"/>
          <w:rFonts w:ascii="sөũ" w:hAnsi="sөũ" w:hint="eastAsia"/>
          <w:b/>
          <w:color w:val="000000"/>
          <w:sz w:val="24"/>
          <w:szCs w:val="24"/>
          <w:u w:val="single"/>
        </w:rPr>
        <w:t>『</w:t>
      </w:r>
      <w:r>
        <w:rPr>
          <w:rStyle w:val="stext1"/>
          <w:rFonts w:ascii="sөũ" w:hAnsi="sөũ"/>
          <w:b/>
          <w:color w:val="000000"/>
          <w:sz w:val="24"/>
          <w:szCs w:val="24"/>
          <w:u w:val="single"/>
        </w:rPr>
        <w:t>其處理結果與再申訴人等個人權益尚無直接關連</w:t>
      </w:r>
      <w:r>
        <w:rPr>
          <w:rStyle w:val="stext1"/>
          <w:rFonts w:ascii="sөũ" w:hAnsi="sөũ" w:hint="eastAsia"/>
          <w:b/>
          <w:color w:val="000000"/>
          <w:sz w:val="24"/>
          <w:szCs w:val="24"/>
          <w:u w:val="single"/>
        </w:rPr>
        <w:t>』</w:t>
      </w:r>
      <w:r>
        <w:rPr>
          <w:rStyle w:val="stext1"/>
          <w:rFonts w:ascii="sөũ" w:hAnsi="sөũ"/>
          <w:b/>
          <w:color w:val="000000"/>
          <w:sz w:val="24"/>
          <w:szCs w:val="24"/>
          <w:u w:val="single"/>
        </w:rPr>
        <w:t>；復未見該機關因該案而對再申訴人等予以具體管理措施</w:t>
      </w:r>
      <w:r>
        <w:rPr>
          <w:rStyle w:val="stext1"/>
          <w:rFonts w:ascii="sөũ" w:hAnsi="sөũ"/>
          <w:color w:val="000000"/>
          <w:sz w:val="24"/>
          <w:szCs w:val="24"/>
        </w:rPr>
        <w:t>。是以，再申訴人等逕依申訴、再申訴程序爭執，揆諸首揭說明，於法即有未合，本案爰應不予受理。</w:t>
      </w:r>
      <w:r>
        <w:rPr>
          <w:rStyle w:val="stext1"/>
          <w:rFonts w:ascii="sөũ" w:hAnsi="sөũ" w:hint="eastAsia"/>
          <w:color w:val="000000"/>
          <w:sz w:val="24"/>
          <w:szCs w:val="24"/>
        </w:rPr>
        <w:t>」若考量行政處分中有附第三人效力的成分，即使該行政處分對關係人權益無直接關連，但仍有權益間接影響的可能性，是否全然在救濟時當事人不適格，仍未可率而言之。</w:t>
      </w:r>
    </w:p>
    <w:p w:rsidR="007D6688" w:rsidRDefault="007D6688">
      <w:pPr>
        <w:pStyle w:val="22"/>
        <w:spacing w:line="480" w:lineRule="auto"/>
        <w:rPr>
          <w:rStyle w:val="stext"/>
          <w:rFonts w:hint="eastAsia"/>
        </w:rPr>
      </w:pPr>
      <w:r>
        <w:rPr>
          <w:rStyle w:val="stext1"/>
          <w:rFonts w:ascii="sөũ" w:hAnsi="sөũ" w:hint="eastAsia"/>
          <w:color w:val="000000"/>
          <w:sz w:val="24"/>
          <w:szCs w:val="24"/>
        </w:rPr>
        <w:t>又</w:t>
      </w:r>
      <w:r>
        <w:rPr>
          <w:rStyle w:val="af3"/>
          <w:b/>
          <w:u w:val="single"/>
        </w:rPr>
        <w:t>保訓會</w:t>
      </w:r>
      <w:r>
        <w:rPr>
          <w:rStyle w:val="stext"/>
          <w:rFonts w:hint="eastAsia"/>
          <w:b/>
          <w:u w:val="single"/>
        </w:rPr>
        <w:t>（</w:t>
      </w:r>
      <w:r>
        <w:rPr>
          <w:rStyle w:val="stext"/>
          <w:b/>
          <w:u w:val="single"/>
        </w:rPr>
        <w:t>94</w:t>
      </w:r>
      <w:r>
        <w:rPr>
          <w:rStyle w:val="stext"/>
          <w:rFonts w:hint="eastAsia"/>
          <w:b/>
          <w:u w:val="single"/>
        </w:rPr>
        <w:t>）</w:t>
      </w:r>
      <w:r>
        <w:rPr>
          <w:rStyle w:val="stext"/>
          <w:b/>
          <w:u w:val="single"/>
        </w:rPr>
        <w:t>公審決字第</w:t>
      </w:r>
      <w:r>
        <w:rPr>
          <w:rStyle w:val="stext"/>
          <w:b/>
          <w:u w:val="single"/>
        </w:rPr>
        <w:t>0053</w:t>
      </w:r>
      <w:r>
        <w:rPr>
          <w:rStyle w:val="stext"/>
          <w:b/>
          <w:u w:val="single"/>
        </w:rPr>
        <w:t>號</w:t>
      </w:r>
      <w:r>
        <w:rPr>
          <w:rStyle w:val="af3"/>
          <w:rFonts w:hint="eastAsia"/>
          <w:b/>
          <w:u w:val="single"/>
        </w:rPr>
        <w:t>決定（以下簡稱「</w:t>
      </w:r>
      <w:r>
        <w:rPr>
          <w:rStyle w:val="stext"/>
          <w:b/>
          <w:u w:val="single"/>
        </w:rPr>
        <w:t>黃椿雄</w:t>
      </w:r>
      <w:r>
        <w:rPr>
          <w:rStyle w:val="af3"/>
          <w:rFonts w:hint="eastAsia"/>
          <w:b/>
          <w:u w:val="single"/>
        </w:rPr>
        <w:t>案」）</w:t>
      </w:r>
      <w:r>
        <w:rPr>
          <w:rStyle w:val="af3"/>
          <w:rFonts w:hint="eastAsia"/>
        </w:rPr>
        <w:t>中，復審人主張「</w:t>
      </w:r>
      <w:r>
        <w:rPr>
          <w:rStyle w:val="stext"/>
        </w:rPr>
        <w:t>警政署修正警正專員（秘書）遴選規定，不但放寬遴選對象且增加優先考量條件，同時未對同仁公告，嚴重剝奪本署警務正陞職權益。本次修正警正專員（秘書）遴選規定，其中陞遷遴選對象突然增加現任第</w:t>
      </w:r>
      <w:r>
        <w:rPr>
          <w:rStyle w:val="stext"/>
        </w:rPr>
        <w:t>6</w:t>
      </w:r>
      <w:r>
        <w:rPr>
          <w:rStyle w:val="stext"/>
        </w:rPr>
        <w:t>序列主管職務</w:t>
      </w:r>
      <w:r>
        <w:rPr>
          <w:rStyle w:val="stext"/>
        </w:rPr>
        <w:t>1</w:t>
      </w:r>
      <w:r>
        <w:rPr>
          <w:rStyle w:val="stext"/>
        </w:rPr>
        <w:t>年以上且任同序列職務滿</w:t>
      </w:r>
      <w:r>
        <w:rPr>
          <w:rStyle w:val="stext"/>
        </w:rPr>
        <w:t>5</w:t>
      </w:r>
      <w:r>
        <w:rPr>
          <w:rStyle w:val="stext"/>
        </w:rPr>
        <w:t>年以上者，惟具碩士以上學歷者得優先考量；現任第</w:t>
      </w:r>
      <w:r>
        <w:rPr>
          <w:rStyle w:val="stext"/>
        </w:rPr>
        <w:t>6</w:t>
      </w:r>
      <w:r>
        <w:rPr>
          <w:rStyle w:val="stext"/>
        </w:rPr>
        <w:t>序列職務，且曾任縣市警察局分局長職務滿</w:t>
      </w:r>
      <w:r>
        <w:rPr>
          <w:rStyle w:val="stext"/>
        </w:rPr>
        <w:t>3</w:t>
      </w:r>
      <w:r>
        <w:rPr>
          <w:rStyle w:val="stext"/>
        </w:rPr>
        <w:t>年以上者</w:t>
      </w:r>
      <w:r>
        <w:rPr>
          <w:rStyle w:val="stext"/>
        </w:rPr>
        <w:t>2</w:t>
      </w:r>
      <w:r>
        <w:rPr>
          <w:rStyle w:val="stext"/>
        </w:rPr>
        <w:t>項。由於此遴選規定對本署警務正（第</w:t>
      </w:r>
      <w:r>
        <w:rPr>
          <w:rStyle w:val="stext"/>
        </w:rPr>
        <w:t>6</w:t>
      </w:r>
      <w:r>
        <w:rPr>
          <w:rStyle w:val="stext"/>
        </w:rPr>
        <w:t>序列）陞職權益影響甚大，卻未依法公告本署同仁，令本署眾多同仁感覺黑箱作業，違反陞遷法第</w:t>
      </w:r>
      <w:r>
        <w:rPr>
          <w:rStyle w:val="stext"/>
        </w:rPr>
        <w:t>2</w:t>
      </w:r>
      <w:r>
        <w:rPr>
          <w:rStyle w:val="stext"/>
        </w:rPr>
        <w:t>條所揭櫫之公開、公平、公正原則，更有量身訂製為特定人員大開後門之嫌。</w:t>
      </w:r>
      <w:r>
        <w:rPr>
          <w:rStyle w:val="stext"/>
          <w:b/>
          <w:u w:val="single"/>
        </w:rPr>
        <w:t>例如本次適用遴選規定外補陞職之刑事警察局呂組長，其在刑事警察局積分，尚無法陞任該局研究員（第</w:t>
      </w:r>
      <w:r>
        <w:rPr>
          <w:rStyle w:val="stext"/>
          <w:b/>
          <w:u w:val="single"/>
        </w:rPr>
        <w:t>5</w:t>
      </w:r>
      <w:r>
        <w:rPr>
          <w:rStyle w:val="stext"/>
          <w:b/>
          <w:u w:val="single"/>
        </w:rPr>
        <w:t>序列），但呂組長卻另闢蹊徑，長期借調於本署劉副署長辦公室，擔任機要工作，並以具有</w:t>
      </w:r>
      <w:r>
        <w:rPr>
          <w:rStyle w:val="stext"/>
          <w:rFonts w:hint="eastAsia"/>
          <w:b/>
          <w:u w:val="single"/>
        </w:rPr>
        <w:t>『</w:t>
      </w:r>
      <w:r>
        <w:rPr>
          <w:rStyle w:val="stext"/>
          <w:b/>
          <w:u w:val="single"/>
        </w:rPr>
        <w:t>碩士以上學歷者，得優先考量</w:t>
      </w:r>
      <w:r>
        <w:rPr>
          <w:rStyle w:val="stext"/>
          <w:rFonts w:hint="eastAsia"/>
          <w:b/>
          <w:u w:val="single"/>
        </w:rPr>
        <w:t>』</w:t>
      </w:r>
      <w:r>
        <w:rPr>
          <w:rStyle w:val="stext"/>
          <w:b/>
          <w:u w:val="single"/>
        </w:rPr>
        <w:t>條件，再簽由署長圈定陞任</w:t>
      </w:r>
      <w:r>
        <w:rPr>
          <w:rStyle w:val="stext"/>
        </w:rPr>
        <w:t>。同次會議中，另有科長陞任警監督察及專員陞任科長</w:t>
      </w:r>
      <w:r>
        <w:rPr>
          <w:rStyle w:val="stext"/>
        </w:rPr>
        <w:t>2</w:t>
      </w:r>
      <w:r>
        <w:rPr>
          <w:rStyle w:val="stext"/>
        </w:rPr>
        <w:t>案，其中專員陞任科長排名第</w:t>
      </w:r>
      <w:r>
        <w:rPr>
          <w:rStyle w:val="stext"/>
        </w:rPr>
        <w:t>1</w:t>
      </w:r>
      <w:r>
        <w:rPr>
          <w:rStyle w:val="stext"/>
        </w:rPr>
        <w:t>之本署程專員，因涉案法院審理中，仍同與第</w:t>
      </w:r>
      <w:r>
        <w:rPr>
          <w:rStyle w:val="stext"/>
        </w:rPr>
        <w:t>2</w:t>
      </w:r>
      <w:r>
        <w:rPr>
          <w:rStyle w:val="stext"/>
        </w:rPr>
        <w:t>、</w:t>
      </w:r>
      <w:r>
        <w:rPr>
          <w:rStyle w:val="stext"/>
        </w:rPr>
        <w:t>3</w:t>
      </w:r>
      <w:r>
        <w:rPr>
          <w:rStyle w:val="stext"/>
        </w:rPr>
        <w:t>名簽陳署長圈選。另一案則為署長辦公室陳科長，甫於本（</w:t>
      </w:r>
      <w:r>
        <w:rPr>
          <w:rStyle w:val="stext"/>
        </w:rPr>
        <w:t>93</w:t>
      </w:r>
      <w:r>
        <w:rPr>
          <w:rStyle w:val="stext"/>
        </w:rPr>
        <w:t>）年</w:t>
      </w:r>
      <w:r>
        <w:rPr>
          <w:rStyle w:val="stext"/>
        </w:rPr>
        <w:t>5</w:t>
      </w:r>
      <w:r>
        <w:rPr>
          <w:rStyle w:val="stext"/>
        </w:rPr>
        <w:t>月底</w:t>
      </w:r>
      <w:r>
        <w:rPr>
          <w:rStyle w:val="stext"/>
        </w:rPr>
        <w:t>6</w:t>
      </w:r>
      <w:r>
        <w:rPr>
          <w:rStyle w:val="stext"/>
        </w:rPr>
        <w:t>月初始調入本署服務，不符未滿</w:t>
      </w:r>
      <w:r>
        <w:rPr>
          <w:rStyle w:val="stext"/>
        </w:rPr>
        <w:t>1</w:t>
      </w:r>
      <w:r>
        <w:rPr>
          <w:rStyle w:val="stext"/>
        </w:rPr>
        <w:t>年不能列冊陞職之不成文慣例，但人事室仍將渠列冊為科長陞任警監督察第</w:t>
      </w:r>
      <w:r>
        <w:rPr>
          <w:rStyle w:val="stext"/>
        </w:rPr>
        <w:t>1</w:t>
      </w:r>
      <w:r>
        <w:rPr>
          <w:rStyle w:val="stext"/>
        </w:rPr>
        <w:t>名，人事甄審委員會亦決議通過，渠等最後雖未陞任，惟警政署之標準如何能杜悠悠之口？</w:t>
      </w:r>
      <w:r>
        <w:rPr>
          <w:rStyle w:val="stext"/>
          <w:rFonts w:hint="eastAsia"/>
        </w:rPr>
        <w:t>」保訓會則以「</w:t>
      </w:r>
      <w:r>
        <w:rPr>
          <w:rStyle w:val="stext"/>
          <w:b/>
          <w:u w:val="single"/>
        </w:rPr>
        <w:t>所指警政署於辦理科長陞任警監督察及專員陞任科長</w:t>
      </w:r>
      <w:r>
        <w:rPr>
          <w:rStyle w:val="stext"/>
          <w:b/>
          <w:u w:val="single"/>
        </w:rPr>
        <w:t>2</w:t>
      </w:r>
      <w:r>
        <w:rPr>
          <w:rStyle w:val="stext"/>
          <w:b/>
          <w:u w:val="single"/>
        </w:rPr>
        <w:t>案，將具不得列入陞任要件之人員列入，有所違失云云，茲上開警監督察及科長陞任案尚與本件系爭專員（秘書）陞任案無涉</w:t>
      </w:r>
      <w:r>
        <w:rPr>
          <w:rStyle w:val="stext"/>
          <w:rFonts w:hint="eastAsia"/>
          <w:b/>
          <w:u w:val="single"/>
        </w:rPr>
        <w:t>」</w:t>
      </w:r>
      <w:r>
        <w:rPr>
          <w:rStyle w:val="stext"/>
          <w:rFonts w:hint="eastAsia"/>
        </w:rPr>
        <w:t>為由，駁回復審人之請求。保訓會雖未提出更具體的理由，諒係以原告不適格（即並無自己公法上之權利受侵害）而駁回之。</w:t>
      </w:r>
    </w:p>
    <w:p w:rsidR="007D6688" w:rsidRDefault="007D6688">
      <w:pPr>
        <w:pStyle w:val="4"/>
        <w:spacing w:line="480" w:lineRule="auto"/>
        <w:rPr>
          <w:rFonts w:hint="eastAsia"/>
        </w:rPr>
      </w:pPr>
      <w:bookmarkStart w:id="76" w:name="_Toc121199215"/>
      <w:bookmarkStart w:id="77" w:name="_Toc121212687"/>
      <w:bookmarkStart w:id="78" w:name="_Toc121212950"/>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.8.</w:t>
      </w:r>
      <w:r>
        <w:rPr>
          <w:rFonts w:hint="eastAsia"/>
        </w:rPr>
        <w:t>競爭關係下的陞遷救濟</w:t>
      </w:r>
      <w:bookmarkEnd w:id="76"/>
      <w:bookmarkEnd w:id="77"/>
      <w:bookmarkEnd w:id="78"/>
    </w:p>
    <w:p w:rsidR="007D6688" w:rsidRDefault="007D6688">
      <w:pPr>
        <w:pStyle w:val="22"/>
        <w:spacing w:line="480" w:lineRule="auto"/>
        <w:rPr>
          <w:rStyle w:val="text"/>
          <w:rFonts w:hint="eastAsia"/>
        </w:rPr>
      </w:pPr>
      <w:r>
        <w:rPr>
          <w:rStyle w:val="af3"/>
          <w:rFonts w:hint="eastAsia"/>
        </w:rPr>
        <w:t>公務人員之陞遷往往是一個存在多數競爭者的爭議案件。對於自己未獲得陞遷之決定不服，請求救濟時，往往會牽涉到其他已經任命第三人之權益。倘當事人之救濟有理由，但第三人之任命亦已確定，基於職務安定的要求，保訓會採納了一般訴願與行政訴訟實務上不常採用的</w:t>
      </w:r>
      <w:r>
        <w:rPr>
          <w:rStyle w:val="af3"/>
          <w:rFonts w:hint="eastAsia"/>
          <w:b/>
          <w:u w:val="single"/>
        </w:rPr>
        <w:t>情況決定（判決）方式</w:t>
      </w:r>
      <w:r>
        <w:rPr>
          <w:rStyle w:val="af3"/>
          <w:rFonts w:hint="eastAsia"/>
        </w:rPr>
        <w:t>。將雖有理由之</w:t>
      </w:r>
      <w:r>
        <w:rPr>
          <w:rStyle w:val="text"/>
        </w:rPr>
        <w:t>再復審</w:t>
      </w:r>
      <w:r>
        <w:rPr>
          <w:rStyle w:val="text"/>
          <w:rFonts w:hint="eastAsia"/>
        </w:rPr>
        <w:t>予以</w:t>
      </w:r>
      <w:r>
        <w:rPr>
          <w:rStyle w:val="text"/>
        </w:rPr>
        <w:t>駁回</w:t>
      </w:r>
      <w:r>
        <w:rPr>
          <w:rStyle w:val="text"/>
          <w:rFonts w:hint="eastAsia"/>
        </w:rPr>
        <w:t>，而於決定主文中諭知</w:t>
      </w:r>
      <w:r>
        <w:rPr>
          <w:rStyle w:val="text"/>
        </w:rPr>
        <w:t>原處分違法。</w:t>
      </w:r>
    </w:p>
    <w:p w:rsidR="007D6688" w:rsidRDefault="007D6688">
      <w:pPr>
        <w:pStyle w:val="22"/>
        <w:spacing w:line="480" w:lineRule="auto"/>
        <w:rPr>
          <w:rStyle w:val="af3"/>
          <w:rFonts w:hint="eastAsia"/>
        </w:rPr>
      </w:pPr>
      <w:r>
        <w:rPr>
          <w:rStyle w:val="af3"/>
          <w:rFonts w:hint="eastAsia"/>
        </w:rPr>
        <w:t>例如</w:t>
      </w:r>
      <w:r>
        <w:rPr>
          <w:rStyle w:val="af3"/>
          <w:b/>
          <w:u w:val="single"/>
        </w:rPr>
        <w:t>保訓會</w:t>
      </w:r>
      <w:r>
        <w:rPr>
          <w:rStyle w:val="af3"/>
          <w:rFonts w:hint="eastAsia"/>
          <w:b/>
          <w:u w:val="single"/>
        </w:rPr>
        <w:t>（91）</w:t>
      </w:r>
      <w:r>
        <w:rPr>
          <w:rStyle w:val="af3"/>
          <w:b/>
          <w:u w:val="single"/>
        </w:rPr>
        <w:t>公</w:t>
      </w:r>
      <w:r>
        <w:rPr>
          <w:rStyle w:val="af3"/>
          <w:rFonts w:hint="eastAsia"/>
          <w:b/>
          <w:u w:val="single"/>
        </w:rPr>
        <w:t>審</w:t>
      </w:r>
      <w:r>
        <w:rPr>
          <w:rStyle w:val="af3"/>
          <w:b/>
          <w:u w:val="single"/>
        </w:rPr>
        <w:t>決字第0</w:t>
      </w:r>
      <w:r>
        <w:rPr>
          <w:rStyle w:val="af3"/>
          <w:rFonts w:hint="eastAsia"/>
          <w:b/>
          <w:u w:val="single"/>
        </w:rPr>
        <w:t>128號決定（以下簡稱「</w:t>
      </w:r>
      <w:r>
        <w:rPr>
          <w:b/>
          <w:u w:val="single"/>
        </w:rPr>
        <w:t>劉慶蜀</w:t>
      </w:r>
      <w:r>
        <w:rPr>
          <w:rStyle w:val="af3"/>
          <w:rFonts w:hint="eastAsia"/>
          <w:b/>
          <w:u w:val="single"/>
        </w:rPr>
        <w:t>案」）</w:t>
      </w:r>
      <w:r>
        <w:rPr>
          <w:rStyle w:val="af3"/>
          <w:rFonts w:hint="eastAsia"/>
        </w:rPr>
        <w:t>謂：「</w:t>
      </w:r>
      <w:r>
        <w:rPr>
          <w:rStyle w:val="stext"/>
        </w:rPr>
        <w:t>北市社會局於八十五年間以推展社政業務急迫需要為由，將再復審人由薦任第八職等至第九職等視察調任為薦任第六職等至第七職等科員，並自同年</w:t>
      </w:r>
      <w:smartTag w:uri="urn:schemas-microsoft-com:office:smarttags" w:element="chsdate">
        <w:smartTagPr>
          <w:attr w:name="Year" w:val="2005"/>
          <w:attr w:name="Month" w:val="9"/>
          <w:attr w:name="Day" w:val="1"/>
          <w:attr w:name="IsLunarDate" w:val="False"/>
          <w:attr w:name="IsROCDate" w:val="False"/>
        </w:smartTagPr>
        <w:r>
          <w:rPr>
            <w:rStyle w:val="stext"/>
          </w:rPr>
          <w:t>九月一日</w:t>
        </w:r>
      </w:smartTag>
      <w:r>
        <w:rPr>
          <w:rStyle w:val="stext"/>
        </w:rPr>
        <w:t>生效。再復審人不服，提起行政救濟，經改制前行政法院八十六年度判字第二八七七號判決：「再訴願決定、訴願決定及原處分均撤銷。」該局爰另重行發布再復審人調任為薦任第六職等至第七職等科員，並溯自八十五年九月一日生效。再復審人仍不服，復提起行政救濟，案經臺北市政府</w:t>
      </w:r>
      <w:smartTag w:uri="urn:schemas-microsoft-com:office:smarttags" w:element="chsdate">
        <w:smartTagPr>
          <w:attr w:name="Year" w:val="1990"/>
          <w:attr w:name="Month" w:val="5"/>
          <w:attr w:name="Day" w:val="9"/>
          <w:attr w:name="IsLunarDate" w:val="False"/>
          <w:attr w:name="IsROCDate" w:val="False"/>
        </w:smartTagPr>
        <w:r>
          <w:rPr>
            <w:rStyle w:val="stext"/>
          </w:rPr>
          <w:t>九十年五月九日</w:t>
        </w:r>
      </w:smartTag>
      <w:r>
        <w:rPr>
          <w:rStyle w:val="stext"/>
        </w:rPr>
        <w:t>府復字第九００四八四五四００號復審決定：「原處分撤銷，由原處分機關於收受決定書之次日起三十日內另為處分。」嗣該府依北市社會局派免建議函，以</w:t>
      </w:r>
      <w:smartTag w:uri="urn:schemas-microsoft-com:office:smarttags" w:element="chsdate">
        <w:smartTagPr>
          <w:attr w:name="Year" w:val="1990"/>
          <w:attr w:name="Month" w:val="7"/>
          <w:attr w:name="Day" w:val="6"/>
          <w:attr w:name="IsLunarDate" w:val="False"/>
          <w:attr w:name="IsROCDate" w:val="False"/>
        </w:smartTagPr>
        <w:r>
          <w:rPr>
            <w:rStyle w:val="stext"/>
          </w:rPr>
          <w:t>九十年七月六日</w:t>
        </w:r>
      </w:smartTag>
      <w:r>
        <w:rPr>
          <w:rStyle w:val="stext"/>
        </w:rPr>
        <w:t>府人二字第九００八０五六五００號令，將再復審人由薦任第六職等至第七職等科員調任現職，另衡酌再復審人調職後，原職缺已由第三人遞補，並依人事法規銓敘審定，屬合法派任，倘調任處分溯及既往失其效力，將滋生同一職務有二人任用與銓敘等與公務人員任用法規不符之情事，且再復審人實際上亦未從事視察工作，恢復追溯生效日期與事實不符，爰將再復審人調任現職生效日期定為</w:t>
      </w:r>
      <w:smartTag w:uri="urn:schemas-microsoft-com:office:smarttags" w:element="chsdate">
        <w:smartTagPr>
          <w:attr w:name="Year" w:val="1990"/>
          <w:attr w:name="Month" w:val="7"/>
          <w:attr w:name="Day" w:val="5"/>
          <w:attr w:name="IsLunarDate" w:val="False"/>
          <w:attr w:name="IsROCDate" w:val="False"/>
        </w:smartTagPr>
        <w:r>
          <w:rPr>
            <w:rStyle w:val="stext"/>
          </w:rPr>
          <w:t>九十年七月五日</w:t>
        </w:r>
      </w:smartTag>
      <w:r>
        <w:rPr>
          <w:rStyle w:val="stext"/>
        </w:rPr>
        <w:t>。茲臺北市政府既以北市社會局八十七年三月十日調任處分與公務人員保障法之立法意旨未盡相符而予以撤銷，然撤銷時並未另定失效日期，依行政程序法第一百十八條之規定，該經撤銷之調任處分自應溯及既往失其效力，是以，臺北市政府</w:t>
      </w:r>
      <w:smartTag w:uri="urn:schemas-microsoft-com:office:smarttags" w:element="chsdate">
        <w:smartTagPr>
          <w:attr w:name="Year" w:val="1990"/>
          <w:attr w:name="Month" w:val="7"/>
          <w:attr w:name="Day" w:val="6"/>
          <w:attr w:name="IsLunarDate" w:val="False"/>
          <w:attr w:name="IsROCDate" w:val="False"/>
        </w:smartTagPr>
        <w:r>
          <w:rPr>
            <w:rStyle w:val="stext"/>
          </w:rPr>
          <w:t>九十年七月六日</w:t>
        </w:r>
      </w:smartTag>
      <w:r>
        <w:rPr>
          <w:rStyle w:val="stext"/>
        </w:rPr>
        <w:t>府人二字第九００八０五六五００號令，將再復審人調任現職生效日期定為</w:t>
      </w:r>
      <w:smartTag w:uri="urn:schemas-microsoft-com:office:smarttags" w:element="chsdate">
        <w:smartTagPr>
          <w:attr w:name="Year" w:val="1990"/>
          <w:attr w:name="Month" w:val="7"/>
          <w:attr w:name="Day" w:val="5"/>
          <w:attr w:name="IsLunarDate" w:val="False"/>
          <w:attr w:name="IsROCDate" w:val="False"/>
        </w:smartTagPr>
        <w:r>
          <w:rPr>
            <w:rStyle w:val="stext"/>
          </w:rPr>
          <w:t>九十年七月五日</w:t>
        </w:r>
      </w:smartTag>
      <w:r>
        <w:rPr>
          <w:rStyle w:val="stext"/>
        </w:rPr>
        <w:t>，於法即有未合。惟查</w:t>
      </w:r>
      <w:r>
        <w:rPr>
          <w:rStyle w:val="stext"/>
          <w:b/>
          <w:u w:val="single"/>
        </w:rPr>
        <w:t>再復審人八十五年調任科員後，所遺視察職缺業已由第三人遞補，並已依人事法規銓敘審定，該第三人既屬合法派任，其身分關係自應予以保障，北市社會局原調任處分雖經撤銷，因另涉原職缺已由第三人遞補所生相關權益，如遽予回復原狀所生影響並非僅及於再復審人權益，尚滋生同一職務同時有二人任用與銓敘等情事，而與公務人員任用法規不符。審酌上開等情，臺北市政府</w:t>
      </w:r>
      <w:smartTag w:uri="urn:schemas-microsoft-com:office:smarttags" w:element="chsdate">
        <w:smartTagPr>
          <w:attr w:name="Year" w:val="1990"/>
          <w:attr w:name="Month" w:val="7"/>
          <w:attr w:name="Day" w:val="6"/>
          <w:attr w:name="IsLunarDate" w:val="False"/>
          <w:attr w:name="IsROCDate" w:val="False"/>
        </w:smartTagPr>
        <w:r>
          <w:rPr>
            <w:rStyle w:val="stext"/>
            <w:b/>
            <w:u w:val="single"/>
          </w:rPr>
          <w:t>九十年七月六日</w:t>
        </w:r>
      </w:smartTag>
      <w:r>
        <w:rPr>
          <w:rStyle w:val="stext"/>
          <w:b/>
          <w:u w:val="single"/>
        </w:rPr>
        <w:t>府人二字第九００八０五六五００號令與法固有未合，惟如將其撤銷顯與公益相違背，應仍予以維持。</w:t>
      </w:r>
      <w:r>
        <w:rPr>
          <w:rStyle w:val="stext"/>
        </w:rPr>
        <w:t>復審機關認原處分有關再復審人調任視察部分不當，固有未洽，然其駁回復審請求之結果尚無二致，</w:t>
      </w:r>
      <w:r>
        <w:rPr>
          <w:rStyle w:val="stext"/>
          <w:b/>
          <w:u w:val="single"/>
        </w:rPr>
        <w:t>再復審人遞向本會提起再復審，仍應予以駁回。惟考量再復審人因上開調任處分所受損害不應全由渠承擔，宜由原行政處分機關就該部分與再復審人進行協議。</w:t>
      </w:r>
      <w:r>
        <w:rPr>
          <w:rStyle w:val="stext"/>
          <w:rFonts w:hint="eastAsia"/>
        </w:rPr>
        <w:t>」至於</w:t>
      </w:r>
      <w:r>
        <w:rPr>
          <w:rStyle w:val="stext"/>
        </w:rPr>
        <w:t>原行政處分機關就該部分</w:t>
      </w:r>
      <w:r>
        <w:rPr>
          <w:rStyle w:val="stext"/>
          <w:rFonts w:hint="eastAsia"/>
        </w:rPr>
        <w:t>如何</w:t>
      </w:r>
      <w:r>
        <w:rPr>
          <w:rStyle w:val="stext"/>
        </w:rPr>
        <w:t>與再復審人進行協議</w:t>
      </w:r>
      <w:r>
        <w:rPr>
          <w:rStyle w:val="stext"/>
          <w:rFonts w:hint="eastAsia"/>
        </w:rPr>
        <w:t>，則有待進一步探查。</w:t>
      </w:r>
    </w:p>
    <w:p w:rsidR="007D6688" w:rsidRDefault="007D6688">
      <w:pPr>
        <w:pStyle w:val="3"/>
        <w:spacing w:before="180" w:after="180" w:line="480" w:lineRule="auto"/>
        <w:rPr>
          <w:rFonts w:hint="eastAsia"/>
        </w:rPr>
      </w:pPr>
      <w:bookmarkStart w:id="79" w:name="_Toc121199216"/>
      <w:bookmarkStart w:id="80" w:name="_Toc121212688"/>
      <w:bookmarkStart w:id="81" w:name="_Toc121212951"/>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w:t>
      </w:r>
      <w:r>
        <w:rPr>
          <w:rFonts w:hint="eastAsia"/>
        </w:rPr>
        <w:t>參加他機關陞遷案件</w:t>
      </w:r>
      <w:bookmarkEnd w:id="79"/>
      <w:bookmarkEnd w:id="80"/>
      <w:bookmarkEnd w:id="81"/>
    </w:p>
    <w:p w:rsidR="007D6688" w:rsidRDefault="007D6688">
      <w:pPr>
        <w:pStyle w:val="4"/>
        <w:spacing w:line="480" w:lineRule="auto"/>
        <w:rPr>
          <w:rFonts w:hint="eastAsia"/>
        </w:rPr>
      </w:pPr>
      <w:bookmarkStart w:id="82" w:name="_Toc121199217"/>
      <w:bookmarkStart w:id="83" w:name="_Toc121212689"/>
      <w:bookmarkStart w:id="84" w:name="_Toc121212952"/>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.1.</w:t>
      </w:r>
      <w:r>
        <w:rPr>
          <w:rFonts w:hint="eastAsia"/>
        </w:rPr>
        <w:t>他機關未通知甄審</w:t>
      </w:r>
      <w:bookmarkEnd w:id="82"/>
      <w:bookmarkEnd w:id="83"/>
      <w:bookmarkEnd w:id="84"/>
    </w:p>
    <w:p w:rsidR="007D6688" w:rsidRDefault="007D6688">
      <w:pPr>
        <w:pStyle w:val="22"/>
        <w:spacing w:line="480" w:lineRule="auto"/>
        <w:rPr>
          <w:rStyle w:val="af3"/>
          <w:rFonts w:hint="eastAsia"/>
        </w:rPr>
      </w:pPr>
      <w:r>
        <w:rPr>
          <w:rStyle w:val="af3"/>
          <w:rFonts w:hint="eastAsia"/>
        </w:rPr>
        <w:t>公務人員於參與他機關之陞遷甄選，對於他機關之積極或消極決定，若認為有侵害其權益時，亦有可能尋求保訓會之救濟。倘他機關決定不予率取，如同本機關未予陞遷決定般，原則上應視決定機關之裁量或判斷是否違法而定，否則原則上也應尊重機關之決定。相反地，他機關辦理陞遷時，若未被納入甄審名冊或者未被通知參與甄審，</w:t>
      </w:r>
      <w:r>
        <w:rPr>
          <w:rStyle w:val="af3"/>
          <w:b/>
          <w:u w:val="single"/>
        </w:rPr>
        <w:t>保訓會</w:t>
      </w:r>
      <w:r>
        <w:rPr>
          <w:rStyle w:val="stext1"/>
          <w:rFonts w:ascii="sөũ" w:hAnsi="sөũ" w:hint="eastAsia"/>
          <w:b/>
          <w:color w:val="000000"/>
          <w:sz w:val="24"/>
          <w:szCs w:val="24"/>
          <w:u w:val="single"/>
        </w:rPr>
        <w:t>（</w:t>
      </w:r>
      <w:r>
        <w:rPr>
          <w:rStyle w:val="stext1"/>
          <w:rFonts w:ascii="sөũ" w:hAnsi="sөũ"/>
          <w:b/>
          <w:color w:val="000000"/>
          <w:sz w:val="24"/>
          <w:szCs w:val="24"/>
          <w:u w:val="single"/>
        </w:rPr>
        <w:t>93</w:t>
      </w:r>
      <w:r>
        <w:rPr>
          <w:rStyle w:val="stext1"/>
          <w:rFonts w:ascii="sөũ" w:hAnsi="sөũ" w:hint="eastAsia"/>
          <w:b/>
          <w:color w:val="000000"/>
          <w:sz w:val="24"/>
          <w:szCs w:val="24"/>
          <w:u w:val="single"/>
        </w:rPr>
        <w:t>）</w:t>
      </w:r>
      <w:r>
        <w:rPr>
          <w:rStyle w:val="stext1"/>
          <w:rFonts w:ascii="sөũ" w:hAnsi="sөũ"/>
          <w:b/>
          <w:color w:val="000000"/>
          <w:sz w:val="24"/>
          <w:szCs w:val="24"/>
          <w:u w:val="single"/>
        </w:rPr>
        <w:t>公審決字第</w:t>
      </w:r>
      <w:r>
        <w:rPr>
          <w:rStyle w:val="stext1"/>
          <w:rFonts w:ascii="sөũ" w:hAnsi="sөũ"/>
          <w:b/>
          <w:color w:val="000000"/>
          <w:sz w:val="24"/>
          <w:szCs w:val="24"/>
          <w:u w:val="single"/>
        </w:rPr>
        <w:t xml:space="preserve">0138 </w:t>
      </w:r>
      <w:r>
        <w:rPr>
          <w:rStyle w:val="stext1"/>
          <w:rFonts w:ascii="sөũ" w:hAnsi="sөũ"/>
          <w:b/>
          <w:color w:val="000000"/>
          <w:sz w:val="24"/>
          <w:szCs w:val="24"/>
          <w:u w:val="single"/>
        </w:rPr>
        <w:t>號</w:t>
      </w:r>
      <w:r>
        <w:rPr>
          <w:rFonts w:ascii="新細明體" w:hAnsi="新細明體" w:cs="新細明體" w:hint="eastAsia"/>
          <w:b/>
          <w:color w:val="000000"/>
          <w:kern w:val="0"/>
          <w:u w:val="single"/>
        </w:rPr>
        <w:t>決定</w:t>
      </w:r>
      <w:r>
        <w:rPr>
          <w:rStyle w:val="af3"/>
          <w:rFonts w:hint="eastAsia"/>
          <w:b/>
          <w:u w:val="single"/>
        </w:rPr>
        <w:t>（以下簡稱「</w:t>
      </w:r>
      <w:r>
        <w:rPr>
          <w:rFonts w:hint="eastAsia"/>
          <w:b/>
          <w:u w:val="single"/>
        </w:rPr>
        <w:t>林華彥</w:t>
      </w:r>
      <w:r>
        <w:rPr>
          <w:rStyle w:val="af3"/>
          <w:rFonts w:hint="eastAsia"/>
          <w:b/>
          <w:u w:val="single"/>
        </w:rPr>
        <w:t>案」）</w:t>
      </w:r>
      <w:r>
        <w:rPr>
          <w:rStyle w:val="af3"/>
          <w:rFonts w:hint="eastAsia"/>
        </w:rPr>
        <w:t>指出：「</w:t>
      </w:r>
      <w:r>
        <w:rPr>
          <w:rStyle w:val="stext1"/>
          <w:rFonts w:ascii="sөũ" w:hAnsi="sөũ"/>
          <w:color w:val="000000"/>
          <w:sz w:val="24"/>
          <w:szCs w:val="24"/>
        </w:rPr>
        <w:t>復審人前應國立東華大學（以下簡稱東華大學）於行政院人事行政局全球資訊網</w:t>
      </w:r>
      <w:r>
        <w:rPr>
          <w:rStyle w:val="stext1"/>
          <w:rFonts w:ascii="新細明體" w:hAnsi="新細明體" w:cs="新細明體" w:hint="eastAsia"/>
          <w:color w:val="000000"/>
          <w:sz w:val="24"/>
          <w:szCs w:val="24"/>
        </w:rPr>
        <w:t>/</w:t>
      </w:r>
      <w:r>
        <w:rPr>
          <w:rStyle w:val="stext1"/>
          <w:rFonts w:ascii="sөũ" w:hAnsi="sөũ"/>
          <w:color w:val="000000"/>
          <w:sz w:val="24"/>
          <w:szCs w:val="24"/>
        </w:rPr>
        <w:t>事求人</w:t>
      </w:r>
      <w:r>
        <w:rPr>
          <w:rStyle w:val="stext1"/>
          <w:rFonts w:ascii="sөũ" w:hAnsi="sөũ" w:hint="eastAsia"/>
          <w:color w:val="000000"/>
          <w:sz w:val="24"/>
          <w:szCs w:val="24"/>
        </w:rPr>
        <w:t>/</w:t>
      </w:r>
      <w:r>
        <w:rPr>
          <w:rStyle w:val="stext1"/>
          <w:rFonts w:ascii="sөũ" w:hAnsi="sөũ"/>
          <w:color w:val="000000"/>
          <w:sz w:val="24"/>
          <w:szCs w:val="24"/>
        </w:rPr>
        <w:t>機關徵才項目之公告：公開甄選一般行政職系薦任第八職等至第九職等組長職缺一名，於</w:t>
      </w:r>
      <w:smartTag w:uri="urn:schemas-microsoft-com:office:smarttags" w:element="chsdate">
        <w:smartTagPr>
          <w:attr w:name="Year" w:val="2004"/>
          <w:attr w:name="Month" w:val="1"/>
          <w:attr w:name="Day" w:val="8"/>
          <w:attr w:name="IsLunarDate" w:val="False"/>
          <w:attr w:name="IsROCDate" w:val="True"/>
        </w:smartTagPr>
        <w:r>
          <w:rPr>
            <w:rStyle w:val="stext1"/>
            <w:rFonts w:ascii="sөũ" w:hAnsi="sөũ"/>
            <w:color w:val="000000"/>
            <w:sz w:val="24"/>
            <w:szCs w:val="24"/>
          </w:rPr>
          <w:t>民國九十三年一月八日</w:t>
        </w:r>
      </w:smartTag>
      <w:r>
        <w:rPr>
          <w:rStyle w:val="stext1"/>
          <w:rFonts w:ascii="sөũ" w:hAnsi="sөũ"/>
          <w:color w:val="000000"/>
          <w:sz w:val="24"/>
          <w:szCs w:val="24"/>
        </w:rPr>
        <w:t>以限時掛號郵寄相關證件資料參加該校之公開甄選，經該校於次日收文，因該校逾二個月未通知其參加甄試，乃於九十三年二月二十六日向本會提起復審，並於同年</w:t>
      </w:r>
      <w:smartTag w:uri="urn:schemas-microsoft-com:office:smarttags" w:element="chsdate">
        <w:smartTagPr>
          <w:attr w:name="Year" w:val="2005"/>
          <w:attr w:name="Month" w:val="3"/>
          <w:attr w:name="Day" w:val="5"/>
          <w:attr w:name="IsLunarDate" w:val="False"/>
          <w:attr w:name="IsROCDate" w:val="False"/>
        </w:smartTagPr>
        <w:r>
          <w:rPr>
            <w:rStyle w:val="stext1"/>
            <w:rFonts w:ascii="sөũ" w:hAnsi="sөũ"/>
            <w:color w:val="000000"/>
            <w:sz w:val="24"/>
            <w:szCs w:val="24"/>
          </w:rPr>
          <w:t>三月五日</w:t>
        </w:r>
      </w:smartTag>
      <w:r>
        <w:rPr>
          <w:rStyle w:val="stext1"/>
          <w:rFonts w:ascii="sөũ" w:hAnsi="sөũ"/>
          <w:color w:val="000000"/>
          <w:sz w:val="24"/>
          <w:szCs w:val="24"/>
        </w:rPr>
        <w:t>補充說明到會。經查復審人於該復審補充說明主張其於九十三年一月八日依法申請參加甄選，其既無不符甄選資格情形，東華大學應於初審後通知甄試，惟該校並未於相當期間內為相關之作為，致其無法參加甄試而損害其權利或利益，請求撤銷原甄選結果，重行依法辦理公開甄選程序云云，按</w:t>
      </w:r>
      <w:r>
        <w:rPr>
          <w:rStyle w:val="stext1"/>
          <w:rFonts w:ascii="sөũ" w:hAnsi="sөũ"/>
          <w:b/>
          <w:color w:val="000000"/>
          <w:sz w:val="24"/>
          <w:szCs w:val="24"/>
          <w:u w:val="single"/>
        </w:rPr>
        <w:t>各機關依公務人員陞遷法</w:t>
      </w:r>
      <w:r>
        <w:rPr>
          <w:rStyle w:val="stext1"/>
          <w:rFonts w:ascii="sөũ" w:hAnsi="sөũ"/>
          <w:color w:val="000000"/>
          <w:sz w:val="24"/>
          <w:szCs w:val="24"/>
        </w:rPr>
        <w:t>第五條第二項：</w:t>
      </w:r>
      <w:r>
        <w:rPr>
          <w:rStyle w:val="stext1"/>
          <w:rFonts w:ascii="sөũ" w:hAnsi="sөũ" w:hint="eastAsia"/>
          <w:color w:val="000000"/>
          <w:sz w:val="24"/>
          <w:szCs w:val="24"/>
        </w:rPr>
        <w:t>『</w:t>
      </w:r>
      <w:r>
        <w:rPr>
          <w:rStyle w:val="stext1"/>
          <w:rFonts w:ascii="sөũ" w:hAnsi="sөũ"/>
          <w:color w:val="000000"/>
          <w:sz w:val="24"/>
          <w:szCs w:val="24"/>
        </w:rPr>
        <w:t>各機關職缺</w:t>
      </w:r>
      <w:r>
        <w:rPr>
          <w:rStyle w:val="stext1"/>
          <w:rFonts w:ascii="sөũ" w:hAnsi="sөũ"/>
          <w:color w:val="000000"/>
          <w:sz w:val="24"/>
          <w:szCs w:val="24"/>
        </w:rPr>
        <w:t>……</w:t>
      </w:r>
      <w:r>
        <w:rPr>
          <w:rStyle w:val="stext1"/>
          <w:rFonts w:ascii="sөũ" w:hAnsi="sөũ"/>
          <w:color w:val="000000"/>
          <w:sz w:val="24"/>
          <w:szCs w:val="24"/>
        </w:rPr>
        <w:t>如由他機關人員陞遷時，應公開甄選。</w:t>
      </w:r>
      <w:r>
        <w:rPr>
          <w:rStyle w:val="stext1"/>
          <w:rFonts w:ascii="sөũ" w:hAnsi="sөũ" w:hint="eastAsia"/>
          <w:color w:val="000000"/>
          <w:sz w:val="24"/>
          <w:szCs w:val="24"/>
        </w:rPr>
        <w:t>』</w:t>
      </w:r>
      <w:r>
        <w:rPr>
          <w:rStyle w:val="stext1"/>
          <w:rFonts w:ascii="sөũ" w:hAnsi="sөũ"/>
          <w:color w:val="000000"/>
          <w:sz w:val="24"/>
          <w:szCs w:val="24"/>
        </w:rPr>
        <w:t>規</w:t>
      </w:r>
      <w:r>
        <w:rPr>
          <w:rStyle w:val="stext1"/>
          <w:rFonts w:ascii="sөũ" w:hAnsi="sөũ"/>
          <w:b/>
          <w:color w:val="000000"/>
          <w:sz w:val="24"/>
          <w:szCs w:val="24"/>
          <w:u w:val="single"/>
        </w:rPr>
        <w:t>定所舉辦之公開甄選，雖符合資格人員均得參加，惟非謂參加人員即具有請求舉辦機關通知甄試並為一定行政處分之權利</w:t>
      </w:r>
      <w:r>
        <w:rPr>
          <w:rStyle w:val="stext1"/>
          <w:rFonts w:ascii="sөũ" w:hAnsi="sөũ"/>
          <w:color w:val="000000"/>
          <w:sz w:val="24"/>
          <w:szCs w:val="24"/>
        </w:rPr>
        <w:t>。而本件復審人亦無提出其他請求東華大學應通知其參加甄試之法據，是本件非屬依法申請之案件至明。則復審人以其應東華大學公開甄選即屬依法申請，並以該校未通知其參加甄試，認該校於法定期間內應作為而不作為而提起復審，核與首揭規定未合，應不予受理。</w:t>
      </w:r>
      <w:r>
        <w:rPr>
          <w:rStyle w:val="stext1"/>
          <w:rFonts w:ascii="sөũ" w:hAnsi="sөũ" w:hint="eastAsia"/>
          <w:color w:val="000000"/>
          <w:sz w:val="24"/>
          <w:szCs w:val="24"/>
        </w:rPr>
        <w:t>」保訓會受理復審之請求，其立場並認為復審人此時並無要求舉辦甄審機關為行政處分之（主觀）公法上權利，似乎將甄審機關所為參與甄審之通知視為一行政處分。與前述「</w:t>
      </w:r>
      <w:r>
        <w:rPr>
          <w:rStyle w:val="stext1"/>
          <w:rFonts w:ascii="sөũ" w:hAnsi="sөũ" w:hint="eastAsia"/>
          <w:b/>
          <w:color w:val="000000"/>
          <w:sz w:val="24"/>
          <w:szCs w:val="24"/>
        </w:rPr>
        <w:t>謝隆寶</w:t>
      </w:r>
      <w:r>
        <w:rPr>
          <w:rStyle w:val="stext1"/>
          <w:rFonts w:ascii="sөũ" w:hAnsi="sөũ" w:hint="eastAsia"/>
          <w:b/>
          <w:color w:val="000000"/>
          <w:sz w:val="24"/>
          <w:szCs w:val="24"/>
        </w:rPr>
        <w:t>I</w:t>
      </w:r>
      <w:r>
        <w:rPr>
          <w:rStyle w:val="stext1"/>
          <w:rFonts w:ascii="sөũ" w:hAnsi="sөũ" w:hint="eastAsia"/>
          <w:b/>
          <w:color w:val="000000"/>
          <w:sz w:val="24"/>
          <w:szCs w:val="24"/>
        </w:rPr>
        <w:t>案</w:t>
      </w:r>
      <w:r>
        <w:rPr>
          <w:rStyle w:val="stext1"/>
          <w:rFonts w:ascii="sөũ" w:hAnsi="sөũ" w:hint="eastAsia"/>
          <w:color w:val="000000"/>
          <w:sz w:val="24"/>
          <w:szCs w:val="24"/>
        </w:rPr>
        <w:t>」比較，兩案雖有參與本機關（謝隆寶</w:t>
      </w:r>
      <w:r>
        <w:rPr>
          <w:rStyle w:val="stext1"/>
          <w:rFonts w:ascii="sөũ" w:hAnsi="sөũ" w:hint="eastAsia"/>
          <w:color w:val="000000"/>
          <w:sz w:val="24"/>
          <w:szCs w:val="24"/>
        </w:rPr>
        <w:t>I</w:t>
      </w:r>
      <w:r>
        <w:rPr>
          <w:rStyle w:val="stext1"/>
          <w:rFonts w:ascii="sөũ" w:hAnsi="sөũ" w:hint="eastAsia"/>
          <w:color w:val="000000"/>
          <w:sz w:val="24"/>
          <w:szCs w:val="24"/>
        </w:rPr>
        <w:t>案）與他機關（</w:t>
      </w:r>
      <w:r>
        <w:rPr>
          <w:rFonts w:hint="eastAsia"/>
        </w:rPr>
        <w:t>林華彥</w:t>
      </w:r>
      <w:r>
        <w:rPr>
          <w:rStyle w:val="af3"/>
          <w:rFonts w:hint="eastAsia"/>
        </w:rPr>
        <w:t>案</w:t>
      </w:r>
      <w:r>
        <w:rPr>
          <w:rStyle w:val="stext1"/>
          <w:rFonts w:ascii="sөũ" w:hAnsi="sөũ" w:hint="eastAsia"/>
          <w:color w:val="000000"/>
          <w:sz w:val="24"/>
          <w:szCs w:val="24"/>
        </w:rPr>
        <w:t>）陞遷之別，惟前者肯定當事人至少具有形式上主觀公權利的立場，與後者持否定見解之差異因素何在，似乎仍難僅以陞遷程序的形式差異而令人接受。</w:t>
      </w:r>
    </w:p>
    <w:p w:rsidR="007D6688" w:rsidRDefault="007D6688">
      <w:pPr>
        <w:pStyle w:val="4"/>
        <w:spacing w:line="480" w:lineRule="auto"/>
        <w:rPr>
          <w:rFonts w:hint="eastAsia"/>
        </w:rPr>
      </w:pPr>
      <w:bookmarkStart w:id="85" w:name="_Toc121199218"/>
      <w:bookmarkStart w:id="86" w:name="_Toc121212690"/>
      <w:bookmarkStart w:id="87" w:name="_Toc121212953"/>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.2.</w:t>
      </w:r>
      <w:r>
        <w:rPr>
          <w:rFonts w:hint="eastAsia"/>
        </w:rPr>
        <w:t>商調時原服務機關不同意</w:t>
      </w:r>
      <w:bookmarkEnd w:id="85"/>
      <w:bookmarkEnd w:id="86"/>
      <w:bookmarkEnd w:id="87"/>
    </w:p>
    <w:p w:rsidR="007D6688" w:rsidRDefault="007D6688">
      <w:pPr>
        <w:pStyle w:val="22"/>
        <w:spacing w:line="480" w:lineRule="auto"/>
        <w:rPr>
          <w:rStyle w:val="stext1"/>
          <w:color w:val="000000"/>
          <w:sz w:val="24"/>
          <w:szCs w:val="24"/>
        </w:rPr>
      </w:pPr>
      <w:r>
        <w:rPr>
          <w:rStyle w:val="stext1"/>
          <w:rFonts w:hAnsi="新細明體"/>
          <w:color w:val="000000"/>
          <w:sz w:val="24"/>
          <w:szCs w:val="24"/>
        </w:rPr>
        <w:t>公務人員任用法第</w:t>
      </w:r>
      <w:r>
        <w:rPr>
          <w:rStyle w:val="stext1"/>
          <w:color w:val="000000"/>
          <w:sz w:val="24"/>
          <w:szCs w:val="24"/>
        </w:rPr>
        <w:t>22</w:t>
      </w:r>
      <w:r>
        <w:rPr>
          <w:rStyle w:val="stext1"/>
          <w:rFonts w:hAnsi="新細明體"/>
          <w:color w:val="000000"/>
          <w:sz w:val="24"/>
          <w:szCs w:val="24"/>
        </w:rPr>
        <w:t>條規定：「各機關不得任用其他機關現職人員。如有特殊需要時，得指名商調之。</w:t>
      </w:r>
      <w:r>
        <w:rPr>
          <w:rStyle w:val="stext1"/>
          <w:color w:val="000000"/>
          <w:sz w:val="24"/>
          <w:szCs w:val="24"/>
        </w:rPr>
        <w:t>……</w:t>
      </w:r>
      <w:r>
        <w:rPr>
          <w:rStyle w:val="stext1"/>
          <w:rFonts w:hAnsi="新細明體"/>
          <w:color w:val="000000"/>
          <w:sz w:val="24"/>
          <w:szCs w:val="24"/>
        </w:rPr>
        <w:t>」同法施行細則第</w:t>
      </w:r>
      <w:r>
        <w:rPr>
          <w:rStyle w:val="stext1"/>
          <w:color w:val="000000"/>
          <w:sz w:val="24"/>
          <w:szCs w:val="24"/>
        </w:rPr>
        <w:t>21</w:t>
      </w:r>
      <w:r>
        <w:rPr>
          <w:rStyle w:val="stext1"/>
          <w:rFonts w:hAnsi="新細明體"/>
          <w:color w:val="000000"/>
          <w:sz w:val="24"/>
          <w:szCs w:val="24"/>
        </w:rPr>
        <w:t>條規定：「本法第二十二條所稱『如有特殊需要時，得指名商調之』，指各機關職務出缺，如因業務需要，需任用其他機關人員時，應經該機關辦理甄審後，詳細敘明擬調人員之職稱、姓名及擬任之職務，函商原服務機關同意，始得調用而言。」</w:t>
      </w:r>
    </w:p>
    <w:p w:rsidR="007D6688" w:rsidRDefault="007D6688">
      <w:pPr>
        <w:pStyle w:val="22"/>
        <w:spacing w:line="480" w:lineRule="auto"/>
        <w:rPr>
          <w:rStyle w:val="stext1"/>
          <w:rFonts w:ascii="新細明體" w:hAnsi="新細明體" w:hint="eastAsia"/>
          <w:color w:val="000000"/>
          <w:sz w:val="24"/>
          <w:szCs w:val="24"/>
        </w:rPr>
      </w:pPr>
      <w:r>
        <w:rPr>
          <w:rStyle w:val="stext1"/>
          <w:rFonts w:ascii="新細明體" w:hAnsi="新細明體" w:hint="eastAsia"/>
          <w:color w:val="000000"/>
          <w:sz w:val="24"/>
          <w:szCs w:val="24"/>
        </w:rPr>
        <w:t>倘他機關函請原服務機關同意商調時，原服務機關不予同意，</w:t>
      </w:r>
      <w:r>
        <w:rPr>
          <w:rStyle w:val="af3"/>
          <w:b/>
          <w:u w:val="single"/>
        </w:rPr>
        <w:t>保訓會</w:t>
      </w:r>
      <w:r>
        <w:rPr>
          <w:rFonts w:ascii="新細明體" w:hAnsi="新細明體" w:cs="新細明體" w:hint="eastAsia"/>
          <w:b/>
          <w:color w:val="000000"/>
          <w:kern w:val="0"/>
          <w:u w:val="single"/>
        </w:rPr>
        <w:t>（</w:t>
      </w:r>
      <w:r>
        <w:rPr>
          <w:rFonts w:ascii="新細明體" w:hAnsi="新細明體" w:cs="新細明體"/>
          <w:b/>
          <w:color w:val="000000"/>
          <w:kern w:val="0"/>
          <w:u w:val="single"/>
        </w:rPr>
        <w:t>90</w:t>
      </w:r>
      <w:r>
        <w:rPr>
          <w:rFonts w:ascii="新細明體" w:hAnsi="新細明體" w:cs="新細明體" w:hint="eastAsia"/>
          <w:b/>
          <w:color w:val="000000"/>
          <w:kern w:val="0"/>
          <w:u w:val="single"/>
        </w:rPr>
        <w:t>）</w:t>
      </w:r>
      <w:r>
        <w:rPr>
          <w:rFonts w:ascii="新細明體" w:hAnsi="新細明體" w:cs="新細明體"/>
          <w:b/>
          <w:color w:val="000000"/>
          <w:kern w:val="0"/>
          <w:u w:val="single"/>
        </w:rPr>
        <w:t>公申決字第0035號</w:t>
      </w:r>
      <w:r>
        <w:rPr>
          <w:rFonts w:ascii="新細明體" w:hAnsi="新細明體" w:cs="新細明體" w:hint="eastAsia"/>
          <w:b/>
          <w:color w:val="000000"/>
          <w:kern w:val="0"/>
          <w:u w:val="single"/>
        </w:rPr>
        <w:t>決定</w:t>
      </w:r>
      <w:r>
        <w:rPr>
          <w:rStyle w:val="af3"/>
          <w:rFonts w:hint="eastAsia"/>
          <w:b/>
          <w:u w:val="single"/>
        </w:rPr>
        <w:t>（以下簡稱「</w:t>
      </w:r>
      <w:r>
        <w:rPr>
          <w:rFonts w:ascii="新細明體" w:hAnsi="新細明體" w:hint="eastAsia"/>
          <w:b/>
          <w:u w:val="single"/>
        </w:rPr>
        <w:t>王少雲</w:t>
      </w:r>
      <w:r>
        <w:rPr>
          <w:rStyle w:val="af3"/>
          <w:rFonts w:hint="eastAsia"/>
          <w:b/>
          <w:u w:val="single"/>
        </w:rPr>
        <w:t>案」）</w:t>
      </w:r>
      <w:r>
        <w:rPr>
          <w:rStyle w:val="af3"/>
          <w:rFonts w:hint="eastAsia"/>
        </w:rPr>
        <w:t>指出「</w:t>
      </w:r>
      <w:r>
        <w:rPr>
          <w:rStyle w:val="stext1"/>
          <w:rFonts w:ascii="新細明體" w:hAnsi="新細明體"/>
          <w:color w:val="000000"/>
          <w:sz w:val="24"/>
          <w:szCs w:val="24"/>
        </w:rPr>
        <w:t>機關首長考量其屬官之工作情形及機關業務之需要等理由，於合理性及必要性範圍內，對上開同意權之行使係屬其人事固有權限，如未違反相關人事法令，應予尊重。</w:t>
      </w:r>
      <w:r>
        <w:rPr>
          <w:rStyle w:val="stext1"/>
          <w:rFonts w:ascii="新細明體" w:hAnsi="新細明體" w:hint="eastAsia"/>
          <w:color w:val="000000"/>
          <w:sz w:val="24"/>
          <w:szCs w:val="24"/>
        </w:rPr>
        <w:t>」</w:t>
      </w:r>
    </w:p>
    <w:p w:rsidR="007D6688" w:rsidRDefault="007D6688">
      <w:pPr>
        <w:pStyle w:val="4"/>
        <w:spacing w:line="480" w:lineRule="auto"/>
        <w:rPr>
          <w:rFonts w:hint="eastAsia"/>
        </w:rPr>
      </w:pPr>
      <w:bookmarkStart w:id="88" w:name="_Toc121199219"/>
      <w:bookmarkStart w:id="89" w:name="_Toc121212691"/>
      <w:bookmarkStart w:id="90" w:name="_Toc121212954"/>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.3.</w:t>
      </w:r>
      <w:r>
        <w:rPr>
          <w:rFonts w:hint="eastAsia"/>
        </w:rPr>
        <w:t>商調時他機關嗣後中止商調程序</w:t>
      </w:r>
      <w:bookmarkEnd w:id="88"/>
      <w:bookmarkEnd w:id="89"/>
      <w:bookmarkEnd w:id="90"/>
    </w:p>
    <w:p w:rsidR="007D6688" w:rsidRDefault="007D6688">
      <w:pPr>
        <w:pStyle w:val="22"/>
        <w:spacing w:line="480" w:lineRule="auto"/>
        <w:rPr>
          <w:rStyle w:val="af3"/>
          <w:rFonts w:hint="eastAsia"/>
        </w:rPr>
      </w:pPr>
      <w:r>
        <w:rPr>
          <w:rStyle w:val="af3"/>
          <w:rFonts w:hint="eastAsia"/>
        </w:rPr>
        <w:t>實務上另有因他機關於辦理指明商調時，嗣後發現商調人員任用資格不符，因此中止商調程序，當事人隨後請求核發派令遭拒絕而生之爭議。</w:t>
      </w:r>
      <w:r>
        <w:rPr>
          <w:rStyle w:val="af3"/>
          <w:b/>
          <w:u w:val="single"/>
        </w:rPr>
        <w:t>保訓會</w:t>
      </w:r>
      <w:r>
        <w:rPr>
          <w:rStyle w:val="stext"/>
          <w:rFonts w:hint="eastAsia"/>
          <w:b/>
          <w:u w:val="single"/>
        </w:rPr>
        <w:t>（</w:t>
      </w:r>
      <w:r>
        <w:rPr>
          <w:rStyle w:val="stext"/>
          <w:b/>
          <w:u w:val="single"/>
        </w:rPr>
        <w:t>94</w:t>
      </w:r>
      <w:r>
        <w:rPr>
          <w:rStyle w:val="stext"/>
          <w:rFonts w:hint="eastAsia"/>
          <w:b/>
          <w:u w:val="single"/>
        </w:rPr>
        <w:t>）</w:t>
      </w:r>
      <w:r>
        <w:rPr>
          <w:rStyle w:val="stext"/>
          <w:b/>
          <w:u w:val="single"/>
        </w:rPr>
        <w:t>公審決字第</w:t>
      </w:r>
      <w:r>
        <w:rPr>
          <w:rStyle w:val="stext"/>
          <w:b/>
          <w:u w:val="single"/>
        </w:rPr>
        <w:t xml:space="preserve">0077 </w:t>
      </w:r>
      <w:r>
        <w:rPr>
          <w:rStyle w:val="stext"/>
          <w:b/>
          <w:u w:val="single"/>
        </w:rPr>
        <w:t>號</w:t>
      </w:r>
      <w:r>
        <w:rPr>
          <w:rFonts w:ascii="新細明體" w:hAnsi="新細明體" w:cs="新細明體" w:hint="eastAsia"/>
          <w:b/>
          <w:color w:val="000000"/>
          <w:kern w:val="0"/>
          <w:u w:val="single"/>
        </w:rPr>
        <w:t>決定</w:t>
      </w:r>
      <w:r>
        <w:rPr>
          <w:rStyle w:val="af3"/>
          <w:rFonts w:hint="eastAsia"/>
          <w:b/>
          <w:u w:val="single"/>
        </w:rPr>
        <w:t>（以下簡稱「</w:t>
      </w:r>
      <w:r>
        <w:rPr>
          <w:rFonts w:ascii="新細明體" w:hAnsi="新細明體" w:hint="eastAsia"/>
          <w:b/>
          <w:u w:val="single"/>
        </w:rPr>
        <w:t>張志賓</w:t>
      </w:r>
      <w:r>
        <w:rPr>
          <w:rStyle w:val="af3"/>
          <w:rFonts w:hint="eastAsia"/>
          <w:b/>
          <w:u w:val="single"/>
        </w:rPr>
        <w:t>案」）</w:t>
      </w:r>
      <w:r>
        <w:rPr>
          <w:rStyle w:val="af3"/>
          <w:rFonts w:hint="eastAsia"/>
        </w:rPr>
        <w:t>中，保訓會認為此類拒絕函件具有行政處分性質，而受理復審救濟程序。但因</w:t>
      </w:r>
      <w:r>
        <w:rPr>
          <w:rStyle w:val="stext"/>
        </w:rPr>
        <w:t>復審人所不服之未為調任，業因已另行辦理甄選並遴調他人調任該職，而無回復調任前狀態之可能，其所提復審，顯已無實益，自屬欠缺權利保護之要件</w:t>
      </w:r>
      <w:r>
        <w:rPr>
          <w:rStyle w:val="stext"/>
          <w:rFonts w:hint="eastAsia"/>
        </w:rPr>
        <w:t>而遭駁回</w:t>
      </w:r>
      <w:r>
        <w:rPr>
          <w:rStyle w:val="stext"/>
        </w:rPr>
        <w:t>。</w:t>
      </w:r>
    </w:p>
    <w:p w:rsidR="007D6688" w:rsidRDefault="007D6688">
      <w:pPr>
        <w:pStyle w:val="3"/>
        <w:spacing w:before="180" w:after="180" w:line="480" w:lineRule="auto"/>
        <w:rPr>
          <w:rFonts w:hint="eastAsia"/>
        </w:rPr>
      </w:pPr>
      <w:bookmarkStart w:id="91" w:name="_Toc121199220"/>
      <w:bookmarkStart w:id="92" w:name="_Toc121212692"/>
      <w:bookmarkStart w:id="93" w:name="_Toc121212955"/>
      <w:smartTag w:uri="urn:schemas-microsoft-com:office:smarttags" w:element="chsdate">
        <w:smartTagPr>
          <w:attr w:name="Year" w:val="1899"/>
          <w:attr w:name="Month" w:val="12"/>
          <w:attr w:name="Day" w:val="30"/>
          <w:attr w:name="IsLunarDate" w:val="False"/>
          <w:attr w:name="IsROCDate" w:val="False"/>
        </w:smartTagPr>
        <w:r>
          <w:rPr>
            <w:rFonts w:hint="eastAsia"/>
          </w:rPr>
          <w:t>3.2.3</w:t>
        </w:r>
      </w:smartTag>
      <w:r>
        <w:rPr>
          <w:rFonts w:hint="eastAsia"/>
        </w:rPr>
        <w:t>.</w:t>
      </w:r>
      <w:r>
        <w:rPr>
          <w:rFonts w:hint="eastAsia"/>
        </w:rPr>
        <w:t>再申訴與復審程序之選擇</w:t>
      </w:r>
      <w:bookmarkEnd w:id="91"/>
      <w:bookmarkEnd w:id="92"/>
      <w:bookmarkEnd w:id="93"/>
    </w:p>
    <w:p w:rsidR="007D6688" w:rsidRDefault="007D6688">
      <w:pPr>
        <w:pStyle w:val="22"/>
        <w:spacing w:line="480" w:lineRule="auto"/>
        <w:rPr>
          <w:rFonts w:ascii="標楷體" w:hint="eastAsia"/>
        </w:rPr>
      </w:pPr>
      <w:r>
        <w:rPr>
          <w:rStyle w:val="af3"/>
          <w:rFonts w:hint="eastAsia"/>
        </w:rPr>
        <w:t>對於公務人員陞遷保障救濟的程序，往往會在（再）申訴與復審程序之間產生抉擇困難。若針對前揭保訓會決定加以分析，並循整個陞遷程序觀察，略可將實務之見解整理如下。其中對於陞遷決定之救濟程序決定，往往取決於個案判斷當事人是否重大權利影響（見附圖二）。這種認知結果，可以從</w:t>
      </w:r>
      <w:r>
        <w:rPr>
          <w:rFonts w:ascii="標楷體" w:hint="eastAsia"/>
          <w:color w:val="000000"/>
        </w:rPr>
        <w:t>公務人員保障暨培訓委員會於</w:t>
      </w:r>
      <w:smartTag w:uri="urn:schemas-microsoft-com:office:smarttags" w:element="chsdate">
        <w:smartTagPr>
          <w:attr w:name="Year" w:val="1992"/>
          <w:attr w:name="Month" w:val="10"/>
          <w:attr w:name="Day" w:val="17"/>
          <w:attr w:name="IsLunarDate" w:val="False"/>
          <w:attr w:name="IsROCDate" w:val="False"/>
        </w:smartTagPr>
        <w:r>
          <w:rPr>
            <w:color w:val="000000"/>
          </w:rPr>
          <w:t>92</w:t>
        </w:r>
        <w:r>
          <w:rPr>
            <w:color w:val="000000"/>
          </w:rPr>
          <w:t>年</w:t>
        </w:r>
        <w:r>
          <w:rPr>
            <w:color w:val="000000"/>
          </w:rPr>
          <w:t>10</w:t>
        </w:r>
        <w:r>
          <w:rPr>
            <w:color w:val="000000"/>
          </w:rPr>
          <w:t>月</w:t>
        </w:r>
        <w:r>
          <w:rPr>
            <w:color w:val="000000"/>
          </w:rPr>
          <w:t>17</w:t>
        </w:r>
        <w:r>
          <w:rPr>
            <w:rFonts w:ascii="標楷體" w:hint="eastAsia"/>
            <w:color w:val="000000"/>
          </w:rPr>
          <w:t>日</w:t>
        </w:r>
      </w:smartTag>
      <w:r>
        <w:rPr>
          <w:rFonts w:ascii="標楷體" w:hint="eastAsia"/>
          <w:color w:val="000000"/>
        </w:rPr>
        <w:t>曾針對</w:t>
      </w:r>
      <w:r>
        <w:rPr>
          <w:rFonts w:ascii="標楷體" w:hint="eastAsia"/>
        </w:rPr>
        <w:t>「調任、請求派任、工作指派等事件究應適用復審或申訴程序疑義」問題，類型化討論後所獲致的結論加以理解</w:t>
      </w:r>
      <w:r>
        <w:rPr>
          <w:rStyle w:val="ae"/>
          <w:rFonts w:ascii="標楷體"/>
        </w:rPr>
        <w:footnoteReference w:id="11"/>
      </w:r>
      <w:r>
        <w:rPr>
          <w:rFonts w:ascii="標楷體" w:hint="eastAsia"/>
        </w:rPr>
        <w:t>。</w:t>
      </w:r>
    </w:p>
    <w:p w:rsidR="007D6688" w:rsidRDefault="007D6688">
      <w:pPr>
        <w:pStyle w:val="22"/>
        <w:spacing w:line="480" w:lineRule="auto"/>
        <w:rPr>
          <w:rFonts w:hint="eastAsia"/>
        </w:rPr>
      </w:pPr>
      <w:r>
        <w:rPr>
          <w:rFonts w:hint="eastAsia"/>
        </w:rPr>
        <w:t>（一）</w:t>
      </w:r>
      <w:r>
        <w:rPr>
          <w:rFonts w:hAnsi="標楷體" w:cs="Arial" w:hint="eastAsia"/>
        </w:rPr>
        <w:t>主管調任非主管職務：除經陞任甄審者外，</w:t>
      </w:r>
      <w:r>
        <w:rPr>
          <w:rFonts w:hint="eastAsia"/>
        </w:rPr>
        <w:t>此類調任已影響公務人員之地位、尊榮，及其後之陞遷</w:t>
      </w:r>
      <w:r>
        <w:rPr>
          <w:rStyle w:val="ae"/>
        </w:rPr>
        <w:footnoteReference w:id="12"/>
      </w:r>
      <w:r>
        <w:rPr>
          <w:rFonts w:hint="eastAsia"/>
        </w:rPr>
        <w:t>與俸給，參照司法院釋字第</w:t>
      </w:r>
      <w:r>
        <w:rPr>
          <w:rFonts w:hint="eastAsia"/>
        </w:rPr>
        <w:t>539</w:t>
      </w:r>
      <w:r>
        <w:rPr>
          <w:rFonts w:hint="eastAsia"/>
        </w:rPr>
        <w:t>號解釋理由書意旨，應認對公務員權利有重大影響，適用復審程序。</w:t>
      </w:r>
    </w:p>
    <w:p w:rsidR="007D6688" w:rsidRDefault="007D6688">
      <w:pPr>
        <w:pStyle w:val="22"/>
        <w:spacing w:line="480" w:lineRule="auto"/>
        <w:rPr>
          <w:rFonts w:hint="eastAsia"/>
        </w:rPr>
      </w:pPr>
      <w:r>
        <w:rPr>
          <w:rFonts w:hint="eastAsia"/>
        </w:rPr>
        <w:t>（二）調任較低官等職務：此類調任已影響公務人員之地位、尊榮，及其官職等、俸給，應認對公務員權利有重大影響，適用復審程序。</w:t>
      </w:r>
    </w:p>
    <w:p w:rsidR="007D6688" w:rsidRDefault="007D6688">
      <w:pPr>
        <w:pStyle w:val="22"/>
        <w:spacing w:line="480" w:lineRule="auto"/>
        <w:rPr>
          <w:rFonts w:hint="eastAsia"/>
        </w:rPr>
      </w:pPr>
      <w:r>
        <w:rPr>
          <w:rFonts w:hint="eastAsia"/>
        </w:rPr>
        <w:t>（三）</w:t>
      </w:r>
      <w:r>
        <w:rPr>
          <w:rFonts w:hAnsi="標楷體" w:cs="Arial" w:hint="eastAsia"/>
        </w:rPr>
        <w:t>調任同官等不同陞遷序列職務：</w:t>
      </w:r>
      <w:r>
        <w:rPr>
          <w:rFonts w:hint="eastAsia"/>
        </w:rPr>
        <w:t>此類調任於本機關已涉及降低原陞遷序列者，已影響公務人員之地位、尊榮，及陞遷與級俸之晉敘，應認對公務員權利有重大影響，適用復審程序。</w:t>
      </w:r>
    </w:p>
    <w:p w:rsidR="007D6688" w:rsidRDefault="007D6688">
      <w:pPr>
        <w:pStyle w:val="22"/>
        <w:spacing w:line="480" w:lineRule="auto"/>
        <w:rPr>
          <w:rFonts w:hint="eastAsia"/>
        </w:rPr>
      </w:pPr>
      <w:r>
        <w:rPr>
          <w:rFonts w:hint="eastAsia"/>
        </w:rPr>
        <w:t>（四）改變任用制度之調任：此類調任已影響公務人員之身分及地位，應認對公務員權利有重大影響，適用復審程序。</w:t>
      </w:r>
    </w:p>
    <w:p w:rsidR="007D6688" w:rsidRDefault="007D6688">
      <w:pPr>
        <w:pStyle w:val="22"/>
        <w:spacing w:line="480" w:lineRule="auto"/>
        <w:rPr>
          <w:rFonts w:hint="eastAsia"/>
        </w:rPr>
      </w:pPr>
      <w:r>
        <w:rPr>
          <w:rFonts w:hint="eastAsia"/>
        </w:rPr>
        <w:t>（五）同一任免權責機關所為不同機關或不同區域職務之調任：因係屬同一權責機關長官所發之職務命令，均為其機關內部之管理措施，應依申訴程序處理。</w:t>
      </w:r>
    </w:p>
    <w:p w:rsidR="007D6688" w:rsidRDefault="007D6688">
      <w:pPr>
        <w:pStyle w:val="22"/>
        <w:spacing w:line="480" w:lineRule="auto"/>
        <w:rPr>
          <w:rFonts w:hint="eastAsia"/>
        </w:rPr>
      </w:pPr>
      <w:r>
        <w:rPr>
          <w:rFonts w:hint="eastAsia"/>
        </w:rPr>
        <w:t>（六）</w:t>
      </w:r>
      <w:r>
        <w:rPr>
          <w:rFonts w:hAnsi="標楷體" w:cs="Arial" w:hint="eastAsia"/>
        </w:rPr>
        <w:t>工作指派：此類型應再</w:t>
      </w:r>
      <w:r>
        <w:rPr>
          <w:rFonts w:hint="eastAsia"/>
        </w:rPr>
        <w:t>區分為職務調整及</w:t>
      </w:r>
      <w:r>
        <w:rPr>
          <w:rFonts w:hAnsi="標楷體" w:cs="Arial" w:hint="eastAsia"/>
        </w:rPr>
        <w:t>工作指派</w:t>
      </w:r>
      <w:r>
        <w:rPr>
          <w:rFonts w:hint="eastAsia"/>
        </w:rPr>
        <w:t>。其中職務調整為同職稱、不同職務內容之分配；而</w:t>
      </w:r>
      <w:r>
        <w:rPr>
          <w:rFonts w:hAnsi="標楷體" w:cs="Arial" w:hint="eastAsia"/>
        </w:rPr>
        <w:t>工作指派</w:t>
      </w:r>
      <w:r>
        <w:rPr>
          <w:rFonts w:hint="eastAsia"/>
        </w:rPr>
        <w:t>則係指對於同一職務工作內容及範圍，所為之具體指派，二者均應依申訴程序處理。</w:t>
      </w:r>
    </w:p>
    <w:p w:rsidR="007D6688" w:rsidRDefault="007D6688">
      <w:pPr>
        <w:pStyle w:val="22"/>
        <w:spacing w:line="480" w:lineRule="auto"/>
        <w:rPr>
          <w:rFonts w:hint="eastAsia"/>
        </w:rPr>
      </w:pPr>
      <w:r>
        <w:rPr>
          <w:rFonts w:hint="eastAsia"/>
        </w:rPr>
        <w:t>（七）請求派任主管或較高官等、職等職務：分別依當事人主張，比照上開主管調任非主管職務、調任較低官等職務及調任同官等不同陞遷序列職務處理方式辦理。</w:t>
      </w:r>
    </w:p>
    <w:p w:rsidR="007D6688" w:rsidRDefault="007D6688">
      <w:pPr>
        <w:pStyle w:val="22"/>
        <w:spacing w:line="480" w:lineRule="auto"/>
        <w:rPr>
          <w:rFonts w:hint="eastAsia"/>
        </w:rPr>
      </w:pPr>
      <w:r>
        <w:rPr>
          <w:rFonts w:hint="eastAsia"/>
        </w:rPr>
        <w:t>實務上的這種認定標準，在現行法的限制下，由權利保障的需求性與正當性而言，洵屬用心良苦。在法制未調整前，不失為可行的類型化操作。惟若顧慮法體系的統一與救濟體系的完整性，在立法政策上，容有發展的空間（見下文）。</w:t>
      </w:r>
    </w:p>
    <w:p w:rsidR="007D6688" w:rsidRDefault="007D6688">
      <w:pPr>
        <w:pStyle w:val="22"/>
        <w:ind w:firstLineChars="0" w:firstLine="0"/>
        <w:rPr>
          <w:rStyle w:val="af3"/>
          <w:rFonts w:ascii="標楷體" w:eastAsia="標楷體" w:hAnsi="標楷體" w:hint="eastAsia"/>
        </w:rPr>
      </w:pPr>
      <w:r>
        <w:rPr>
          <w:rStyle w:val="af3"/>
        </w:rPr>
        <w:br w:type="page"/>
      </w:r>
      <w:r>
        <w:rPr>
          <w:rStyle w:val="af3"/>
          <w:rFonts w:ascii="標楷體" w:eastAsia="標楷體" w:hAnsi="標楷體" w:hint="eastAsia"/>
        </w:rPr>
        <w:t>附圖二：公務人員陞遷流程與申訴、復審程序之決定</w:t>
      </w:r>
    </w:p>
    <w:tbl>
      <w:tblPr>
        <w:tblW w:w="9648"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900"/>
        <w:gridCol w:w="900"/>
        <w:gridCol w:w="900"/>
        <w:gridCol w:w="900"/>
        <w:gridCol w:w="900"/>
        <w:gridCol w:w="900"/>
        <w:gridCol w:w="900"/>
        <w:gridCol w:w="900"/>
        <w:gridCol w:w="900"/>
      </w:tblGrid>
      <w:tr w:rsidR="007D6688">
        <w:trPr>
          <w:cantSplit/>
          <w:trHeight w:val="264"/>
        </w:trPr>
        <w:tc>
          <w:tcPr>
            <w:tcW w:w="648" w:type="dxa"/>
            <w:vMerge w:val="restart"/>
            <w:tcBorders>
              <w:right w:val="thickThinSmallGap" w:sz="24" w:space="0" w:color="auto"/>
            </w:tcBorders>
            <w:vAlign w:val="center"/>
          </w:tcPr>
          <w:p w:rsidR="007D6688" w:rsidRDefault="00003D2B">
            <w:pPr>
              <w:snapToGrid w:val="0"/>
              <w:jc w:val="center"/>
              <w:rPr>
                <w:sz w:val="20"/>
                <w:szCs w:val="20"/>
              </w:rPr>
            </w:pPr>
            <w:r>
              <w:rPr>
                <w:noProof/>
                <w:sz w:val="20"/>
                <w:szCs w:val="20"/>
              </w:rPr>
              <mc:AlternateContent>
                <mc:Choice Requires="wps">
                  <w:drawing>
                    <wp:anchor distT="0" distB="0" distL="114300" distR="114300" simplePos="0" relativeHeight="251677184" behindDoc="0" locked="0" layoutInCell="1" allowOverlap="1">
                      <wp:simplePos x="0" y="0"/>
                      <wp:positionH relativeFrom="column">
                        <wp:posOffset>342900</wp:posOffset>
                      </wp:positionH>
                      <wp:positionV relativeFrom="paragraph">
                        <wp:posOffset>-189230</wp:posOffset>
                      </wp:positionV>
                      <wp:extent cx="4686300" cy="114300"/>
                      <wp:effectExtent l="9525" t="20320" r="9525" b="2730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4300"/>
                              </a:xfrm>
                              <a:prstGeom prst="notchedRightArrow">
                                <a:avLst>
                                  <a:gd name="adj1" fmla="val 50000"/>
                                  <a:gd name="adj2" fmla="val 1025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B034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9" o:spid="_x0000_s1026" type="#_x0000_t94" style="position:absolute;margin-left:27pt;margin-top:-14.9pt;width:36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" fillcolor="black" strokeweight="1.5pt"/>
                  </w:pict>
                </mc:Fallback>
              </mc:AlternateContent>
            </w:r>
          </w:p>
        </w:tc>
        <w:tc>
          <w:tcPr>
            <w:tcW w:w="9000" w:type="dxa"/>
            <w:gridSpan w:val="10"/>
            <w:tcBorders>
              <w:left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公</w:t>
            </w:r>
            <w:r>
              <w:rPr>
                <w:rFonts w:hint="eastAsia"/>
                <w:sz w:val="20"/>
                <w:szCs w:val="20"/>
              </w:rPr>
              <w:t xml:space="preserve">  </w:t>
            </w:r>
            <w:r>
              <w:rPr>
                <w:rFonts w:hint="eastAsia"/>
                <w:sz w:val="20"/>
                <w:szCs w:val="20"/>
              </w:rPr>
              <w:t>務</w:t>
            </w:r>
            <w:r>
              <w:rPr>
                <w:rFonts w:hint="eastAsia"/>
                <w:sz w:val="20"/>
                <w:szCs w:val="20"/>
              </w:rPr>
              <w:t xml:space="preserve">  </w:t>
            </w:r>
            <w:r>
              <w:rPr>
                <w:rFonts w:hint="eastAsia"/>
                <w:sz w:val="20"/>
                <w:szCs w:val="20"/>
              </w:rPr>
              <w:t>人</w:t>
            </w:r>
            <w:r>
              <w:rPr>
                <w:rFonts w:hint="eastAsia"/>
                <w:sz w:val="20"/>
                <w:szCs w:val="20"/>
              </w:rPr>
              <w:t xml:space="preserve">  </w:t>
            </w:r>
            <w:r>
              <w:rPr>
                <w:rFonts w:hint="eastAsia"/>
                <w:sz w:val="20"/>
                <w:szCs w:val="20"/>
              </w:rPr>
              <w:t>員</w:t>
            </w:r>
            <w:r>
              <w:rPr>
                <w:rFonts w:hint="eastAsia"/>
                <w:sz w:val="20"/>
                <w:szCs w:val="20"/>
              </w:rPr>
              <w:t xml:space="preserve">  </w:t>
            </w:r>
            <w:r>
              <w:rPr>
                <w:rFonts w:hint="eastAsia"/>
                <w:sz w:val="20"/>
                <w:szCs w:val="20"/>
              </w:rPr>
              <w:t>陞</w:t>
            </w:r>
            <w:r>
              <w:rPr>
                <w:rFonts w:hint="eastAsia"/>
                <w:sz w:val="20"/>
                <w:szCs w:val="20"/>
              </w:rPr>
              <w:t xml:space="preserve">  </w:t>
            </w:r>
            <w:r>
              <w:rPr>
                <w:rFonts w:hint="eastAsia"/>
                <w:sz w:val="20"/>
                <w:szCs w:val="20"/>
              </w:rPr>
              <w:t>遷</w:t>
            </w:r>
            <w:r>
              <w:rPr>
                <w:rFonts w:hint="eastAsia"/>
                <w:sz w:val="20"/>
                <w:szCs w:val="20"/>
              </w:rPr>
              <w:t xml:space="preserve">  </w:t>
            </w:r>
            <w:r>
              <w:rPr>
                <w:rFonts w:hint="eastAsia"/>
                <w:sz w:val="20"/>
                <w:szCs w:val="20"/>
              </w:rPr>
              <w:t>流</w:t>
            </w:r>
            <w:r>
              <w:rPr>
                <w:rFonts w:hint="eastAsia"/>
                <w:sz w:val="20"/>
                <w:szCs w:val="20"/>
              </w:rPr>
              <w:t xml:space="preserve">  </w:t>
            </w:r>
            <w:r>
              <w:rPr>
                <w:rFonts w:hint="eastAsia"/>
                <w:sz w:val="20"/>
                <w:szCs w:val="20"/>
              </w:rPr>
              <w:t>程</w:t>
            </w:r>
          </w:p>
        </w:tc>
      </w:tr>
      <w:tr w:rsidR="007D6688">
        <w:trPr>
          <w:cantSplit/>
          <w:trHeight w:val="477"/>
        </w:trPr>
        <w:tc>
          <w:tcPr>
            <w:tcW w:w="648" w:type="dxa"/>
            <w:vMerge/>
            <w:tcBorders>
              <w:right w:val="thickThinSmallGap" w:sz="24" w:space="0" w:color="auto"/>
            </w:tcBorders>
          </w:tcPr>
          <w:p w:rsidR="007D6688" w:rsidRDefault="007D6688">
            <w:pPr>
              <w:snapToGrid w:val="0"/>
              <w:jc w:val="center"/>
              <w:rPr>
                <w:sz w:val="20"/>
                <w:szCs w:val="20"/>
              </w:rPr>
            </w:pPr>
          </w:p>
        </w:tc>
        <w:tc>
          <w:tcPr>
            <w:tcW w:w="900" w:type="dxa"/>
            <w:vMerge w:val="restart"/>
            <w:tcBorders>
              <w:left w:val="thickThinSmallGap" w:sz="24" w:space="0" w:color="auto"/>
            </w:tcBorders>
          </w:tcPr>
          <w:p w:rsidR="007D6688" w:rsidRDefault="007D6688">
            <w:pPr>
              <w:snapToGrid w:val="0"/>
              <w:jc w:val="center"/>
              <w:rPr>
                <w:rFonts w:hint="eastAsia"/>
                <w:sz w:val="20"/>
                <w:szCs w:val="20"/>
              </w:rPr>
            </w:pPr>
            <w:r>
              <w:rPr>
                <w:rFonts w:hint="eastAsia"/>
                <w:sz w:val="20"/>
                <w:szCs w:val="20"/>
              </w:rPr>
              <w:t>陞遷序列表不合理</w:t>
            </w:r>
          </w:p>
        </w:tc>
        <w:tc>
          <w:tcPr>
            <w:tcW w:w="900" w:type="dxa"/>
            <w:vMerge w:val="restart"/>
          </w:tcPr>
          <w:p w:rsidR="007D6688" w:rsidRDefault="007D6688">
            <w:pPr>
              <w:snapToGrid w:val="0"/>
              <w:jc w:val="center"/>
              <w:rPr>
                <w:sz w:val="20"/>
                <w:szCs w:val="20"/>
              </w:rPr>
            </w:pPr>
            <w:r>
              <w:rPr>
                <w:rFonts w:hint="eastAsia"/>
                <w:sz w:val="20"/>
                <w:szCs w:val="20"/>
              </w:rPr>
              <w:t>內陞或外補之決定</w:t>
            </w:r>
          </w:p>
          <w:p w:rsidR="007D6688" w:rsidRDefault="007D6688">
            <w:pPr>
              <w:snapToGrid w:val="0"/>
              <w:jc w:val="center"/>
              <w:rPr>
                <w:b/>
                <w:sz w:val="16"/>
                <w:szCs w:val="16"/>
              </w:rPr>
            </w:pPr>
          </w:p>
        </w:tc>
        <w:tc>
          <w:tcPr>
            <w:tcW w:w="900" w:type="dxa"/>
            <w:vMerge w:val="restart"/>
          </w:tcPr>
          <w:p w:rsidR="007D6688" w:rsidRDefault="007D6688">
            <w:pPr>
              <w:snapToGrid w:val="0"/>
              <w:jc w:val="center"/>
              <w:rPr>
                <w:rFonts w:hint="eastAsia"/>
                <w:sz w:val="20"/>
                <w:szCs w:val="20"/>
              </w:rPr>
            </w:pPr>
            <w:r>
              <w:rPr>
                <w:rFonts w:hint="eastAsia"/>
                <w:sz w:val="20"/>
                <w:szCs w:val="20"/>
              </w:rPr>
              <w:t>內陞或外補之作業標準不一（或變動）</w:t>
            </w:r>
          </w:p>
        </w:tc>
        <w:tc>
          <w:tcPr>
            <w:tcW w:w="900" w:type="dxa"/>
            <w:vMerge w:val="restart"/>
          </w:tcPr>
          <w:p w:rsidR="007D6688" w:rsidRDefault="007D6688">
            <w:pPr>
              <w:snapToGrid w:val="0"/>
              <w:jc w:val="center"/>
              <w:rPr>
                <w:sz w:val="20"/>
                <w:szCs w:val="20"/>
              </w:rPr>
            </w:pPr>
            <w:r>
              <w:rPr>
                <w:rFonts w:hint="eastAsia"/>
                <w:sz w:val="20"/>
                <w:szCs w:val="20"/>
              </w:rPr>
              <w:t>未列入甄審名冊</w:t>
            </w:r>
          </w:p>
          <w:p w:rsidR="007D6688" w:rsidRDefault="007D6688">
            <w:pPr>
              <w:snapToGrid w:val="0"/>
              <w:jc w:val="center"/>
              <w:rPr>
                <w:b/>
                <w:sz w:val="16"/>
                <w:szCs w:val="16"/>
              </w:rPr>
            </w:pPr>
          </w:p>
        </w:tc>
        <w:tc>
          <w:tcPr>
            <w:tcW w:w="900" w:type="dxa"/>
            <w:vMerge w:val="restart"/>
            <w:shd w:val="clear" w:color="auto" w:fill="E0E0E0"/>
          </w:tcPr>
          <w:p w:rsidR="007D6688" w:rsidRDefault="007D6688">
            <w:pPr>
              <w:snapToGrid w:val="0"/>
              <w:jc w:val="center"/>
              <w:rPr>
                <w:rFonts w:hint="eastAsia"/>
                <w:sz w:val="20"/>
                <w:szCs w:val="20"/>
              </w:rPr>
            </w:pPr>
            <w:r>
              <w:rPr>
                <w:rFonts w:hint="eastAsia"/>
                <w:sz w:val="20"/>
                <w:szCs w:val="20"/>
              </w:rPr>
              <w:t>甄審會評分</w:t>
            </w:r>
          </w:p>
        </w:tc>
        <w:tc>
          <w:tcPr>
            <w:tcW w:w="900" w:type="dxa"/>
            <w:vMerge w:val="restart"/>
          </w:tcPr>
          <w:p w:rsidR="007D6688" w:rsidRDefault="007D6688">
            <w:pPr>
              <w:snapToGrid w:val="0"/>
              <w:jc w:val="center"/>
              <w:rPr>
                <w:rFonts w:hint="eastAsia"/>
                <w:sz w:val="20"/>
                <w:szCs w:val="20"/>
              </w:rPr>
            </w:pPr>
            <w:r>
              <w:rPr>
                <w:rFonts w:hint="eastAsia"/>
                <w:sz w:val="20"/>
                <w:szCs w:val="20"/>
              </w:rPr>
              <w:t>未通知參加他機關甄審</w:t>
            </w:r>
          </w:p>
        </w:tc>
        <w:tc>
          <w:tcPr>
            <w:tcW w:w="900" w:type="dxa"/>
            <w:vMerge w:val="restart"/>
          </w:tcPr>
          <w:p w:rsidR="007D6688" w:rsidRDefault="007D6688">
            <w:pPr>
              <w:snapToGrid w:val="0"/>
              <w:jc w:val="center"/>
              <w:rPr>
                <w:rFonts w:hint="eastAsia"/>
                <w:sz w:val="20"/>
                <w:szCs w:val="20"/>
              </w:rPr>
            </w:pPr>
            <w:r>
              <w:rPr>
                <w:rFonts w:hint="eastAsia"/>
                <w:sz w:val="20"/>
                <w:szCs w:val="20"/>
              </w:rPr>
              <w:t>商調時原服務機關不同意</w:t>
            </w:r>
          </w:p>
        </w:tc>
        <w:tc>
          <w:tcPr>
            <w:tcW w:w="1800" w:type="dxa"/>
            <w:gridSpan w:val="2"/>
            <w:shd w:val="clear" w:color="auto" w:fill="CCCCCC"/>
            <w:vAlign w:val="center"/>
          </w:tcPr>
          <w:p w:rsidR="007D6688" w:rsidRDefault="007D6688">
            <w:pPr>
              <w:snapToGrid w:val="0"/>
              <w:jc w:val="center"/>
              <w:rPr>
                <w:sz w:val="20"/>
                <w:szCs w:val="20"/>
              </w:rPr>
            </w:pPr>
            <w:r>
              <w:rPr>
                <w:rFonts w:hint="eastAsia"/>
                <w:sz w:val="20"/>
                <w:szCs w:val="20"/>
              </w:rPr>
              <w:t>陞遷決定</w:t>
            </w:r>
          </w:p>
        </w:tc>
        <w:tc>
          <w:tcPr>
            <w:tcW w:w="900" w:type="dxa"/>
            <w:vMerge w:val="restart"/>
          </w:tcPr>
          <w:p w:rsidR="007D6688" w:rsidRDefault="007D6688">
            <w:pPr>
              <w:snapToGrid w:val="0"/>
              <w:jc w:val="center"/>
              <w:rPr>
                <w:rFonts w:hint="eastAsia"/>
                <w:sz w:val="20"/>
                <w:szCs w:val="20"/>
              </w:rPr>
            </w:pPr>
            <w:r>
              <w:rPr>
                <w:rFonts w:hint="eastAsia"/>
                <w:sz w:val="20"/>
                <w:szCs w:val="20"/>
              </w:rPr>
              <w:t>不發派令</w:t>
            </w:r>
          </w:p>
        </w:tc>
      </w:tr>
      <w:tr w:rsidR="007D6688">
        <w:trPr>
          <w:cantSplit/>
          <w:trHeight w:val="542"/>
        </w:trPr>
        <w:tc>
          <w:tcPr>
            <w:tcW w:w="648" w:type="dxa"/>
            <w:vMerge/>
            <w:tcBorders>
              <w:bottom w:val="single" w:sz="4" w:space="0" w:color="auto"/>
              <w:right w:val="thickThinSmallGap" w:sz="24" w:space="0" w:color="auto"/>
            </w:tcBorders>
            <w:vAlign w:val="center"/>
          </w:tcPr>
          <w:p w:rsidR="007D6688" w:rsidRDefault="007D6688">
            <w:pPr>
              <w:jc w:val="center"/>
              <w:rPr>
                <w:sz w:val="20"/>
                <w:szCs w:val="20"/>
              </w:rPr>
            </w:pPr>
          </w:p>
        </w:tc>
        <w:tc>
          <w:tcPr>
            <w:tcW w:w="900" w:type="dxa"/>
            <w:vMerge/>
            <w:tcBorders>
              <w:left w:val="thickThinSmallGap" w:sz="24" w:space="0" w:color="auto"/>
              <w:bottom w:val="single" w:sz="4" w:space="0" w:color="auto"/>
            </w:tcBorders>
            <w:vAlign w:val="center"/>
          </w:tcPr>
          <w:p w:rsidR="007D6688" w:rsidRDefault="007D6688">
            <w:pPr>
              <w:jc w:val="center"/>
              <w:rPr>
                <w:rFonts w:hint="eastAsia"/>
                <w:sz w:val="20"/>
                <w:szCs w:val="20"/>
              </w:rPr>
            </w:pPr>
          </w:p>
        </w:tc>
        <w:tc>
          <w:tcPr>
            <w:tcW w:w="900" w:type="dxa"/>
            <w:vMerge/>
            <w:tcBorders>
              <w:bottom w:val="single" w:sz="4" w:space="0" w:color="auto"/>
            </w:tcBorders>
            <w:vAlign w:val="center"/>
          </w:tcPr>
          <w:p w:rsidR="007D6688" w:rsidRDefault="007D6688">
            <w:pPr>
              <w:snapToGrid w:val="0"/>
              <w:jc w:val="center"/>
              <w:rPr>
                <w:rFonts w:hint="eastAsia"/>
                <w:sz w:val="20"/>
                <w:szCs w:val="20"/>
              </w:rPr>
            </w:pPr>
          </w:p>
        </w:tc>
        <w:tc>
          <w:tcPr>
            <w:tcW w:w="900" w:type="dxa"/>
            <w:vMerge/>
            <w:tcBorders>
              <w:bottom w:val="single" w:sz="4" w:space="0" w:color="auto"/>
            </w:tcBorders>
            <w:vAlign w:val="center"/>
          </w:tcPr>
          <w:p w:rsidR="007D6688" w:rsidRDefault="007D6688">
            <w:pPr>
              <w:snapToGrid w:val="0"/>
              <w:jc w:val="center"/>
              <w:rPr>
                <w:rFonts w:hint="eastAsia"/>
                <w:sz w:val="20"/>
                <w:szCs w:val="20"/>
              </w:rPr>
            </w:pPr>
          </w:p>
        </w:tc>
        <w:tc>
          <w:tcPr>
            <w:tcW w:w="900" w:type="dxa"/>
            <w:vMerge/>
            <w:tcBorders>
              <w:bottom w:val="single" w:sz="4" w:space="0" w:color="auto"/>
            </w:tcBorders>
            <w:vAlign w:val="center"/>
          </w:tcPr>
          <w:p w:rsidR="007D6688" w:rsidRDefault="007D6688">
            <w:pPr>
              <w:snapToGrid w:val="0"/>
              <w:jc w:val="center"/>
              <w:rPr>
                <w:rFonts w:hint="eastAsia"/>
                <w:sz w:val="20"/>
                <w:szCs w:val="20"/>
              </w:rPr>
            </w:pPr>
          </w:p>
        </w:tc>
        <w:tc>
          <w:tcPr>
            <w:tcW w:w="900" w:type="dxa"/>
            <w:vMerge/>
            <w:tcBorders>
              <w:bottom w:val="single" w:sz="4" w:space="0" w:color="auto"/>
            </w:tcBorders>
            <w:vAlign w:val="center"/>
          </w:tcPr>
          <w:p w:rsidR="007D6688" w:rsidRDefault="007D6688">
            <w:pPr>
              <w:snapToGrid w:val="0"/>
              <w:jc w:val="center"/>
              <w:rPr>
                <w:rFonts w:hint="eastAsia"/>
                <w:sz w:val="20"/>
                <w:szCs w:val="20"/>
              </w:rPr>
            </w:pPr>
          </w:p>
        </w:tc>
        <w:tc>
          <w:tcPr>
            <w:tcW w:w="900" w:type="dxa"/>
            <w:vMerge/>
            <w:tcBorders>
              <w:bottom w:val="single" w:sz="4" w:space="0" w:color="auto"/>
            </w:tcBorders>
            <w:vAlign w:val="center"/>
          </w:tcPr>
          <w:p w:rsidR="007D6688" w:rsidRDefault="007D6688">
            <w:pPr>
              <w:jc w:val="center"/>
              <w:rPr>
                <w:rFonts w:hint="eastAsia"/>
                <w:sz w:val="20"/>
                <w:szCs w:val="20"/>
              </w:rPr>
            </w:pPr>
          </w:p>
        </w:tc>
        <w:tc>
          <w:tcPr>
            <w:tcW w:w="900" w:type="dxa"/>
            <w:vMerge/>
            <w:tcBorders>
              <w:bottom w:val="single" w:sz="4" w:space="0" w:color="auto"/>
            </w:tcBorders>
            <w:vAlign w:val="center"/>
          </w:tcPr>
          <w:p w:rsidR="007D6688" w:rsidRDefault="007D6688">
            <w:pPr>
              <w:jc w:val="center"/>
              <w:rPr>
                <w:rFonts w:hint="eastAsia"/>
                <w:sz w:val="20"/>
                <w:szCs w:val="20"/>
              </w:rPr>
            </w:pPr>
          </w:p>
        </w:tc>
        <w:tc>
          <w:tcPr>
            <w:tcW w:w="900" w:type="dxa"/>
            <w:tcBorders>
              <w:bottom w:val="single" w:sz="4" w:space="0" w:color="auto"/>
            </w:tcBorders>
            <w:shd w:val="clear" w:color="auto" w:fill="CCCCCC"/>
            <w:vAlign w:val="center"/>
          </w:tcPr>
          <w:p w:rsidR="007D6688" w:rsidRDefault="007D6688">
            <w:pPr>
              <w:snapToGrid w:val="0"/>
              <w:jc w:val="center"/>
              <w:rPr>
                <w:rFonts w:hint="eastAsia"/>
                <w:sz w:val="20"/>
                <w:szCs w:val="20"/>
              </w:rPr>
            </w:pPr>
            <w:r>
              <w:rPr>
                <w:rFonts w:hint="eastAsia"/>
                <w:sz w:val="20"/>
                <w:szCs w:val="20"/>
              </w:rPr>
              <w:t>對自己陞遷結果不服</w:t>
            </w:r>
          </w:p>
        </w:tc>
        <w:tc>
          <w:tcPr>
            <w:tcW w:w="900" w:type="dxa"/>
            <w:tcBorders>
              <w:bottom w:val="single" w:sz="4" w:space="0" w:color="auto"/>
            </w:tcBorders>
            <w:shd w:val="clear" w:color="auto" w:fill="CCCCCC"/>
            <w:vAlign w:val="center"/>
          </w:tcPr>
          <w:p w:rsidR="007D6688" w:rsidRDefault="007D6688">
            <w:pPr>
              <w:snapToGrid w:val="0"/>
              <w:jc w:val="center"/>
              <w:rPr>
                <w:rFonts w:hint="eastAsia"/>
                <w:sz w:val="20"/>
                <w:szCs w:val="20"/>
              </w:rPr>
            </w:pPr>
            <w:r>
              <w:rPr>
                <w:rFonts w:hint="eastAsia"/>
                <w:sz w:val="20"/>
                <w:szCs w:val="20"/>
              </w:rPr>
              <w:t>對他人陞遷結果不服</w:t>
            </w:r>
          </w:p>
        </w:tc>
        <w:tc>
          <w:tcPr>
            <w:tcW w:w="900" w:type="dxa"/>
            <w:vMerge/>
            <w:tcBorders>
              <w:bottom w:val="single" w:sz="4" w:space="0" w:color="auto"/>
            </w:tcBorders>
            <w:vAlign w:val="center"/>
          </w:tcPr>
          <w:p w:rsidR="007D6688" w:rsidRDefault="007D6688">
            <w:pPr>
              <w:jc w:val="center"/>
              <w:rPr>
                <w:rFonts w:hint="eastAsia"/>
                <w:sz w:val="20"/>
                <w:szCs w:val="20"/>
              </w:rPr>
            </w:pPr>
          </w:p>
        </w:tc>
      </w:tr>
      <w:tr w:rsidR="007D6688">
        <w:trPr>
          <w:trHeight w:val="1696"/>
        </w:trPr>
        <w:tc>
          <w:tcPr>
            <w:tcW w:w="648" w:type="dxa"/>
            <w:tcBorders>
              <w:bottom w:val="thickThinSmallGap" w:sz="24" w:space="0" w:color="auto"/>
              <w:right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法律行為性質</w:t>
            </w:r>
          </w:p>
        </w:tc>
        <w:tc>
          <w:tcPr>
            <w:tcW w:w="900" w:type="dxa"/>
            <w:tcBorders>
              <w:left w:val="thickThinSmallGap" w:sz="24" w:space="0" w:color="auto"/>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非具體管理措施</w:t>
            </w:r>
          </w:p>
          <w:p w:rsidR="007D6688" w:rsidRDefault="007D6688">
            <w:pPr>
              <w:snapToGrid w:val="0"/>
              <w:jc w:val="center"/>
              <w:rPr>
                <w:rFonts w:hint="eastAsia"/>
                <w:b/>
                <w:sz w:val="16"/>
                <w:szCs w:val="16"/>
              </w:rPr>
            </w:pPr>
            <w:r>
              <w:rPr>
                <w:rFonts w:hint="eastAsia"/>
                <w:b/>
                <w:sz w:val="16"/>
                <w:szCs w:val="16"/>
              </w:rPr>
              <w:t>（一般抽象規範）</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w:t>
            </w:r>
          </w:p>
        </w:tc>
        <w:tc>
          <w:tcPr>
            <w:tcW w:w="900" w:type="dxa"/>
            <w:tcBorders>
              <w:bottom w:val="thickThinSmallGap" w:sz="24" w:space="0" w:color="auto"/>
            </w:tcBorders>
            <w:shd w:val="clear" w:color="auto" w:fill="E0E0E0"/>
            <w:vAlign w:val="center"/>
          </w:tcPr>
          <w:p w:rsidR="007D6688" w:rsidRDefault="007D6688">
            <w:pPr>
              <w:snapToGrid w:val="0"/>
              <w:jc w:val="center"/>
              <w:rPr>
                <w:rFonts w:hint="eastAsia"/>
                <w:b/>
                <w:sz w:val="16"/>
                <w:szCs w:val="16"/>
              </w:rPr>
            </w:pPr>
            <w:r>
              <w:rPr>
                <w:rFonts w:hint="eastAsia"/>
                <w:b/>
                <w:sz w:val="16"/>
                <w:szCs w:val="16"/>
              </w:rPr>
              <w:t>尚非</w:t>
            </w:r>
          </w:p>
          <w:p w:rsidR="007D6688" w:rsidRDefault="007D6688">
            <w:pPr>
              <w:snapToGrid w:val="0"/>
              <w:jc w:val="center"/>
              <w:rPr>
                <w:rFonts w:hint="eastAsia"/>
                <w:b/>
                <w:sz w:val="16"/>
                <w:szCs w:val="16"/>
              </w:rPr>
            </w:pPr>
            <w:r>
              <w:rPr>
                <w:rFonts w:hint="eastAsia"/>
                <w:b/>
                <w:sz w:val="16"/>
                <w:szCs w:val="16"/>
              </w:rPr>
              <w:t>管理措施</w:t>
            </w:r>
          </w:p>
        </w:tc>
        <w:tc>
          <w:tcPr>
            <w:tcW w:w="900" w:type="dxa"/>
            <w:tcBorders>
              <w:bottom w:val="thickThinSmallGap" w:sz="24" w:space="0" w:color="auto"/>
            </w:tcBorders>
            <w:vAlign w:val="center"/>
          </w:tcPr>
          <w:p w:rsidR="007D6688" w:rsidRDefault="007D6688">
            <w:pPr>
              <w:snapToGrid w:val="0"/>
              <w:jc w:val="center"/>
              <w:rPr>
                <w:rFonts w:ascii="Arial" w:hAnsi="Arial" w:cs="Arial" w:hint="eastAsia"/>
                <w:b/>
                <w:sz w:val="16"/>
                <w:szCs w:val="16"/>
                <w:lang w:val="de-DE"/>
              </w:rPr>
            </w:pPr>
            <w:r>
              <w:rPr>
                <w:rFonts w:hint="eastAsia"/>
                <w:b/>
                <w:sz w:val="16"/>
                <w:szCs w:val="16"/>
              </w:rPr>
              <w:t>管理措施</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管理措施行政處分</w:t>
            </w:r>
          </w:p>
          <w:p w:rsidR="007D6688" w:rsidRDefault="007D6688">
            <w:pPr>
              <w:snapToGrid w:val="0"/>
              <w:jc w:val="center"/>
              <w:rPr>
                <w:rFonts w:hint="eastAsia"/>
                <w:b/>
                <w:sz w:val="16"/>
                <w:szCs w:val="16"/>
              </w:rPr>
            </w:pPr>
            <w:r>
              <w:rPr>
                <w:rFonts w:hint="eastAsia"/>
                <w:b/>
                <w:sz w:val="20"/>
                <w:szCs w:val="20"/>
              </w:rPr>
              <w:t>？</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管理措施行政處分</w:t>
            </w:r>
          </w:p>
          <w:p w:rsidR="007D6688" w:rsidRDefault="007D6688">
            <w:pPr>
              <w:snapToGrid w:val="0"/>
              <w:jc w:val="center"/>
              <w:rPr>
                <w:rFonts w:hint="eastAsia"/>
                <w:b/>
                <w:sz w:val="16"/>
                <w:szCs w:val="16"/>
              </w:rPr>
            </w:pPr>
            <w:r>
              <w:rPr>
                <w:rFonts w:hint="eastAsia"/>
                <w:b/>
                <w:sz w:val="20"/>
                <w:szCs w:val="20"/>
              </w:rPr>
              <w:t>？</w:t>
            </w:r>
          </w:p>
        </w:tc>
        <w:tc>
          <w:tcPr>
            <w:tcW w:w="900" w:type="dxa"/>
            <w:tcBorders>
              <w:bottom w:val="thickThinSmallGap" w:sz="24" w:space="0" w:color="auto"/>
            </w:tcBorders>
            <w:vAlign w:val="center"/>
          </w:tcPr>
          <w:p w:rsidR="007D6688" w:rsidRDefault="007D6688">
            <w:pPr>
              <w:snapToGrid w:val="0"/>
              <w:jc w:val="center"/>
              <w:rPr>
                <w:rFonts w:hint="eastAsia"/>
                <w:b/>
                <w:sz w:val="16"/>
                <w:szCs w:val="16"/>
              </w:rPr>
            </w:pPr>
            <w:r>
              <w:rPr>
                <w:rFonts w:hint="eastAsia"/>
                <w:b/>
                <w:sz w:val="16"/>
                <w:szCs w:val="16"/>
              </w:rPr>
              <w:t>行政處分</w:t>
            </w:r>
          </w:p>
        </w:tc>
      </w:tr>
      <w:tr w:rsidR="007D6688">
        <w:trPr>
          <w:cantSplit/>
          <w:trHeight w:val="762"/>
        </w:trPr>
        <w:tc>
          <w:tcPr>
            <w:tcW w:w="648" w:type="dxa"/>
            <w:vMerge w:val="restart"/>
            <w:tcBorders>
              <w:top w:val="thickThinSmallGap" w:sz="24" w:space="0" w:color="auto"/>
              <w:right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再</w:t>
            </w:r>
          </w:p>
          <w:p w:rsidR="007D6688" w:rsidRDefault="007D6688">
            <w:pPr>
              <w:snapToGrid w:val="0"/>
              <w:jc w:val="center"/>
              <w:rPr>
                <w:rFonts w:hint="eastAsia"/>
                <w:sz w:val="20"/>
                <w:szCs w:val="20"/>
              </w:rPr>
            </w:pPr>
            <w:r>
              <w:rPr>
                <w:rFonts w:hint="eastAsia"/>
                <w:sz w:val="20"/>
                <w:szCs w:val="20"/>
              </w:rPr>
              <w:t>申</w:t>
            </w:r>
          </w:p>
          <w:p w:rsidR="007D6688" w:rsidRDefault="007D6688">
            <w:pPr>
              <w:snapToGrid w:val="0"/>
              <w:jc w:val="center"/>
              <w:rPr>
                <w:sz w:val="20"/>
                <w:szCs w:val="20"/>
              </w:rPr>
            </w:pPr>
            <w:r>
              <w:rPr>
                <w:rFonts w:hint="eastAsia"/>
                <w:sz w:val="20"/>
                <w:szCs w:val="20"/>
              </w:rPr>
              <w:t>訴</w:t>
            </w:r>
          </w:p>
        </w:tc>
        <w:tc>
          <w:tcPr>
            <w:tcW w:w="900" w:type="dxa"/>
            <w:vMerge w:val="restart"/>
            <w:tcBorders>
              <w:top w:val="thickThinSmallGap" w:sz="24" w:space="0" w:color="auto"/>
              <w:left w:val="thickThinSmallGap" w:sz="24" w:space="0" w:color="auto"/>
            </w:tcBorders>
            <w:vAlign w:val="center"/>
          </w:tcPr>
          <w:p w:rsidR="007D6688" w:rsidRDefault="007D6688">
            <w:pPr>
              <w:snapToGrid w:val="0"/>
              <w:jc w:val="center"/>
              <w:rPr>
                <w:rFonts w:hint="eastAsia"/>
                <w:sz w:val="20"/>
                <w:szCs w:val="20"/>
              </w:rPr>
            </w:pPr>
            <w:r>
              <w:rPr>
                <w:rFonts w:ascii="sөũ" w:hAnsi="sөũ" w:cs="新細明體" w:hint="eastAsia"/>
                <w:color w:val="000000"/>
                <w:kern w:val="0"/>
                <w:sz w:val="20"/>
                <w:szCs w:val="20"/>
              </w:rPr>
              <w:t>吳台生案</w:t>
            </w: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w:t>
            </w: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p>
        </w:tc>
        <w:tc>
          <w:tcPr>
            <w:tcW w:w="900" w:type="dxa"/>
            <w:tcBorders>
              <w:top w:val="thickThinSmallGap" w:sz="24" w:space="0" w:color="auto"/>
              <w:bottom w:val="single" w:sz="4" w:space="0" w:color="auto"/>
            </w:tcBorders>
            <w:vAlign w:val="center"/>
          </w:tcPr>
          <w:p w:rsidR="007D6688" w:rsidRDefault="007D6688">
            <w:pPr>
              <w:snapToGrid w:val="0"/>
              <w:jc w:val="center"/>
              <w:rPr>
                <w:sz w:val="20"/>
                <w:szCs w:val="20"/>
              </w:rPr>
            </w:pPr>
            <w:r>
              <w:rPr>
                <w:rStyle w:val="stext1"/>
                <w:rFonts w:ascii="sөũ" w:hAnsi="sөũ"/>
                <w:color w:val="000000"/>
                <w:sz w:val="20"/>
                <w:szCs w:val="20"/>
              </w:rPr>
              <w:t>吳俊模</w:t>
            </w:r>
            <w:r>
              <w:rPr>
                <w:rFonts w:hint="eastAsia"/>
                <w:sz w:val="20"/>
                <w:szCs w:val="20"/>
              </w:rPr>
              <w:t>案</w:t>
            </w:r>
          </w:p>
          <w:p w:rsidR="007D6688" w:rsidRDefault="007D6688">
            <w:pPr>
              <w:snapToGrid w:val="0"/>
              <w:jc w:val="center"/>
              <w:rPr>
                <w:rFonts w:hint="eastAsia"/>
                <w:sz w:val="20"/>
                <w:szCs w:val="20"/>
              </w:rPr>
            </w:pPr>
          </w:p>
        </w:tc>
        <w:tc>
          <w:tcPr>
            <w:tcW w:w="900" w:type="dxa"/>
            <w:vMerge w:val="restart"/>
            <w:tcBorders>
              <w:top w:val="thickThinSmallGap" w:sz="24" w:space="0" w:color="auto"/>
            </w:tcBorders>
            <w:shd w:val="clear" w:color="auto" w:fill="E0E0E0"/>
            <w:vAlign w:val="center"/>
          </w:tcPr>
          <w:p w:rsidR="007D6688" w:rsidRDefault="007D6688">
            <w:pPr>
              <w:snapToGrid w:val="0"/>
              <w:jc w:val="center"/>
              <w:rPr>
                <w:rFonts w:hint="eastAsia"/>
                <w:sz w:val="20"/>
                <w:szCs w:val="20"/>
              </w:rPr>
            </w:pPr>
          </w:p>
        </w:tc>
        <w:tc>
          <w:tcPr>
            <w:tcW w:w="900" w:type="dxa"/>
            <w:vMerge w:val="restart"/>
            <w:tcBorders>
              <w:top w:val="thickThinSmallGap" w:sz="24" w:space="0" w:color="auto"/>
            </w:tcBorders>
            <w:vAlign w:val="center"/>
          </w:tcPr>
          <w:p w:rsidR="007D6688" w:rsidRDefault="007D6688">
            <w:pPr>
              <w:snapToGrid w:val="0"/>
              <w:jc w:val="center"/>
              <w:rPr>
                <w:sz w:val="20"/>
                <w:szCs w:val="20"/>
                <w:lang w:val="de-DE"/>
              </w:rPr>
            </w:pP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r>
              <w:rPr>
                <w:rFonts w:ascii="新細明體" w:hAnsi="新細明體" w:hint="eastAsia"/>
                <w:sz w:val="20"/>
                <w:szCs w:val="20"/>
              </w:rPr>
              <w:t>王少雲</w:t>
            </w:r>
            <w:r>
              <w:rPr>
                <w:rStyle w:val="af3"/>
                <w:rFonts w:hint="eastAsia"/>
                <w:sz w:val="20"/>
                <w:szCs w:val="20"/>
              </w:rPr>
              <w:t>案</w:t>
            </w:r>
          </w:p>
        </w:tc>
        <w:tc>
          <w:tcPr>
            <w:tcW w:w="900" w:type="dxa"/>
            <w:vMerge w:val="restart"/>
            <w:tcBorders>
              <w:top w:val="thickThinSmallGap" w:sz="24" w:space="0" w:color="auto"/>
            </w:tcBorders>
            <w:shd w:val="clear" w:color="auto" w:fill="E0E0E0"/>
            <w:vAlign w:val="center"/>
          </w:tcPr>
          <w:p w:rsidR="007D6688" w:rsidRDefault="007D6688">
            <w:pPr>
              <w:snapToGrid w:val="0"/>
              <w:jc w:val="center"/>
              <w:rPr>
                <w:rFonts w:eastAsia="MS Mincho"/>
                <w:sz w:val="20"/>
                <w:szCs w:val="20"/>
                <w:lang w:eastAsia="ja-JP"/>
              </w:rPr>
            </w:pPr>
            <w:r>
              <w:rPr>
                <w:color w:val="000000"/>
                <w:sz w:val="20"/>
                <w:szCs w:val="20"/>
              </w:rPr>
              <w:t>稅代州</w:t>
            </w:r>
            <w:r>
              <w:rPr>
                <w:rStyle w:val="af3"/>
                <w:rFonts w:hint="eastAsia"/>
                <w:sz w:val="20"/>
                <w:szCs w:val="20"/>
              </w:rPr>
              <w:t>案</w:t>
            </w:r>
            <w:r>
              <w:rPr>
                <w:rStyle w:val="af3"/>
                <w:sz w:val="20"/>
                <w:szCs w:val="20"/>
              </w:rPr>
              <w:t xml:space="preserve"> </w:t>
            </w:r>
            <w:r>
              <w:rPr>
                <w:rStyle w:val="af3"/>
                <w:rFonts w:ascii="Times New Roman" w:hAnsi="Times New Roman"/>
                <w:sz w:val="20"/>
                <w:szCs w:val="20"/>
              </w:rPr>
              <w:t>***</w:t>
            </w:r>
          </w:p>
        </w:tc>
        <w:tc>
          <w:tcPr>
            <w:tcW w:w="900" w:type="dxa"/>
            <w:vMerge w:val="restart"/>
            <w:tcBorders>
              <w:top w:val="thickThinSmallGap" w:sz="24" w:space="0" w:color="auto"/>
            </w:tcBorders>
            <w:shd w:val="clear" w:color="auto" w:fill="E0E0E0"/>
            <w:vAlign w:val="center"/>
          </w:tcPr>
          <w:p w:rsidR="007D6688" w:rsidRDefault="007D6688">
            <w:pPr>
              <w:snapToGrid w:val="0"/>
              <w:jc w:val="center"/>
              <w:rPr>
                <w:rFonts w:hint="eastAsia"/>
                <w:sz w:val="20"/>
                <w:szCs w:val="20"/>
              </w:rPr>
            </w:pPr>
            <w:r>
              <w:rPr>
                <w:rStyle w:val="stext"/>
                <w:rFonts w:hint="eastAsia"/>
                <w:sz w:val="20"/>
                <w:szCs w:val="20"/>
              </w:rPr>
              <w:t>葉玉琴</w:t>
            </w:r>
            <w:r>
              <w:rPr>
                <w:rStyle w:val="af3"/>
                <w:rFonts w:hint="eastAsia"/>
                <w:sz w:val="20"/>
                <w:szCs w:val="20"/>
              </w:rPr>
              <w:t>案</w:t>
            </w:r>
            <w:r>
              <w:rPr>
                <w:rStyle w:val="af3"/>
                <w:sz w:val="20"/>
                <w:szCs w:val="20"/>
              </w:rPr>
              <w:t xml:space="preserve"> </w:t>
            </w:r>
            <w:r>
              <w:rPr>
                <w:rStyle w:val="af3"/>
                <w:rFonts w:ascii="Times New Roman" w:hAnsi="Times New Roman"/>
                <w:sz w:val="20"/>
                <w:szCs w:val="20"/>
              </w:rPr>
              <w:t>***</w:t>
            </w: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p>
        </w:tc>
      </w:tr>
      <w:tr w:rsidR="007D6688">
        <w:trPr>
          <w:cantSplit/>
          <w:trHeight w:val="528"/>
        </w:trPr>
        <w:tc>
          <w:tcPr>
            <w:tcW w:w="648" w:type="dxa"/>
            <w:vMerge/>
            <w:tcBorders>
              <w:bottom w:val="thickThinSmallGap" w:sz="24" w:space="0" w:color="auto"/>
              <w:right w:val="thickThinSmallGap" w:sz="24" w:space="0" w:color="auto"/>
            </w:tcBorders>
            <w:vAlign w:val="center"/>
          </w:tcPr>
          <w:p w:rsidR="007D6688" w:rsidRDefault="007D6688">
            <w:pPr>
              <w:snapToGrid w:val="0"/>
              <w:jc w:val="center"/>
              <w:rPr>
                <w:sz w:val="20"/>
                <w:szCs w:val="20"/>
              </w:rPr>
            </w:pPr>
          </w:p>
        </w:tc>
        <w:tc>
          <w:tcPr>
            <w:tcW w:w="900" w:type="dxa"/>
            <w:vMerge/>
            <w:tcBorders>
              <w:left w:val="thickThinSmallGap" w:sz="24" w:space="0" w:color="auto"/>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tcBorders>
              <w:bottom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張夢麟案</w:t>
            </w:r>
          </w:p>
        </w:tc>
        <w:tc>
          <w:tcPr>
            <w:tcW w:w="900" w:type="dxa"/>
            <w:vMerge/>
            <w:tcBorders>
              <w:bottom w:val="thickThinSmallGap" w:sz="24" w:space="0" w:color="auto"/>
            </w:tcBorders>
            <w:shd w:val="clear" w:color="auto" w:fill="E0E0E0"/>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c>
          <w:tcPr>
            <w:tcW w:w="900" w:type="dxa"/>
            <w:vMerge/>
            <w:tcBorders>
              <w:bottom w:val="thickThinSmallGap" w:sz="24" w:space="0" w:color="auto"/>
            </w:tcBorders>
            <w:vAlign w:val="center"/>
          </w:tcPr>
          <w:p w:rsidR="007D6688" w:rsidRDefault="007D6688">
            <w:pPr>
              <w:snapToGrid w:val="0"/>
              <w:jc w:val="center"/>
              <w:rPr>
                <w:rFonts w:hint="eastAsia"/>
                <w:sz w:val="20"/>
                <w:szCs w:val="20"/>
              </w:rPr>
            </w:pPr>
          </w:p>
        </w:tc>
      </w:tr>
      <w:tr w:rsidR="007D6688">
        <w:trPr>
          <w:cantSplit/>
          <w:trHeight w:val="528"/>
        </w:trPr>
        <w:tc>
          <w:tcPr>
            <w:tcW w:w="648" w:type="dxa"/>
            <w:vMerge w:val="restart"/>
            <w:tcBorders>
              <w:top w:val="thickThinSmallGap" w:sz="24" w:space="0" w:color="auto"/>
              <w:right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復</w:t>
            </w:r>
          </w:p>
          <w:p w:rsidR="007D6688" w:rsidRDefault="007D6688">
            <w:pPr>
              <w:snapToGrid w:val="0"/>
              <w:jc w:val="center"/>
              <w:rPr>
                <w:sz w:val="20"/>
                <w:szCs w:val="20"/>
              </w:rPr>
            </w:pPr>
            <w:r>
              <w:rPr>
                <w:rFonts w:hint="eastAsia"/>
                <w:sz w:val="20"/>
                <w:szCs w:val="20"/>
              </w:rPr>
              <w:t>審</w:t>
            </w:r>
          </w:p>
        </w:tc>
        <w:tc>
          <w:tcPr>
            <w:tcW w:w="900" w:type="dxa"/>
            <w:vMerge w:val="restart"/>
            <w:tcBorders>
              <w:top w:val="thickThinSmallGap" w:sz="24" w:space="0" w:color="auto"/>
              <w:left w:val="thickThinSmallGap" w:sz="24" w:space="0" w:color="auto"/>
            </w:tcBorders>
          </w:tcPr>
          <w:p w:rsidR="007D6688" w:rsidRDefault="007D6688">
            <w:pPr>
              <w:snapToGrid w:val="0"/>
              <w:jc w:val="center"/>
              <w:rPr>
                <w:rFonts w:hint="eastAsia"/>
                <w:sz w:val="20"/>
                <w:szCs w:val="20"/>
              </w:rPr>
            </w:pPr>
          </w:p>
        </w:tc>
        <w:tc>
          <w:tcPr>
            <w:tcW w:w="900" w:type="dxa"/>
            <w:vMerge w:val="restart"/>
            <w:tcBorders>
              <w:top w:val="thickThinSmallGap" w:sz="24" w:space="0" w:color="auto"/>
            </w:tcBorders>
          </w:tcPr>
          <w:p w:rsidR="007D6688" w:rsidRDefault="007D6688">
            <w:pPr>
              <w:snapToGrid w:val="0"/>
              <w:jc w:val="center"/>
              <w:rPr>
                <w:rFonts w:hint="eastAsia"/>
                <w:sz w:val="20"/>
                <w:szCs w:val="20"/>
              </w:rPr>
            </w:pPr>
          </w:p>
        </w:tc>
        <w:tc>
          <w:tcPr>
            <w:tcW w:w="900" w:type="dxa"/>
            <w:vMerge w:val="restart"/>
            <w:tcBorders>
              <w:top w:val="thickThinSmallGap" w:sz="24" w:space="0" w:color="auto"/>
            </w:tcBorders>
          </w:tcPr>
          <w:p w:rsidR="007D6688" w:rsidRDefault="007D6688">
            <w:pPr>
              <w:snapToGrid w:val="0"/>
              <w:jc w:val="center"/>
              <w:rPr>
                <w:rFonts w:hint="eastAsia"/>
                <w:sz w:val="20"/>
                <w:szCs w:val="20"/>
              </w:rPr>
            </w:pPr>
          </w:p>
        </w:tc>
        <w:tc>
          <w:tcPr>
            <w:tcW w:w="900" w:type="dxa"/>
            <w:vMerge w:val="restart"/>
            <w:tcBorders>
              <w:top w:val="thickThinSmallGap" w:sz="24" w:space="0" w:color="auto"/>
            </w:tcBorders>
          </w:tcPr>
          <w:p w:rsidR="007D6688" w:rsidRDefault="007D6688">
            <w:pPr>
              <w:snapToGrid w:val="0"/>
              <w:jc w:val="center"/>
              <w:rPr>
                <w:rFonts w:hint="eastAsia"/>
                <w:sz w:val="20"/>
                <w:szCs w:val="20"/>
              </w:rPr>
            </w:pPr>
          </w:p>
        </w:tc>
        <w:tc>
          <w:tcPr>
            <w:tcW w:w="900" w:type="dxa"/>
            <w:vMerge w:val="restart"/>
            <w:tcBorders>
              <w:top w:val="thickThinSmallGap" w:sz="24" w:space="0" w:color="auto"/>
            </w:tcBorders>
            <w:shd w:val="clear" w:color="auto" w:fill="E0E0E0"/>
          </w:tcPr>
          <w:p w:rsidR="007D6688" w:rsidRDefault="007D6688">
            <w:pPr>
              <w:snapToGrid w:val="0"/>
              <w:jc w:val="center"/>
              <w:rPr>
                <w:rFonts w:hint="eastAsia"/>
                <w:sz w:val="20"/>
                <w:szCs w:val="20"/>
              </w:rPr>
            </w:pP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r>
              <w:rPr>
                <w:rFonts w:hint="eastAsia"/>
                <w:sz w:val="20"/>
                <w:szCs w:val="20"/>
              </w:rPr>
              <w:t>林華彥</w:t>
            </w:r>
            <w:r>
              <w:rPr>
                <w:rStyle w:val="af3"/>
                <w:rFonts w:hint="eastAsia"/>
                <w:sz w:val="20"/>
                <w:szCs w:val="20"/>
              </w:rPr>
              <w:t xml:space="preserve">案 </w:t>
            </w:r>
            <w:r>
              <w:rPr>
                <w:rStyle w:val="af3"/>
                <w:rFonts w:ascii="Times New Roman" w:hAnsi="Times New Roman"/>
                <w:sz w:val="20"/>
                <w:szCs w:val="20"/>
              </w:rPr>
              <w:t>*</w:t>
            </w:r>
          </w:p>
        </w:tc>
        <w:tc>
          <w:tcPr>
            <w:tcW w:w="900" w:type="dxa"/>
            <w:vMerge w:val="restart"/>
            <w:tcBorders>
              <w:top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tcPr>
          <w:p w:rsidR="007D6688" w:rsidRDefault="007D6688">
            <w:pPr>
              <w:snapToGrid w:val="0"/>
              <w:jc w:val="center"/>
              <w:rPr>
                <w:rFonts w:hint="eastAsia"/>
                <w:sz w:val="20"/>
                <w:szCs w:val="20"/>
              </w:rPr>
            </w:pPr>
            <w:r>
              <w:rPr>
                <w:sz w:val="20"/>
                <w:szCs w:val="20"/>
              </w:rPr>
              <w:t>劉慶蜀</w:t>
            </w:r>
            <w:r>
              <w:rPr>
                <w:rStyle w:val="af3"/>
                <w:rFonts w:hint="eastAsia"/>
                <w:sz w:val="20"/>
                <w:szCs w:val="20"/>
              </w:rPr>
              <w:t xml:space="preserve">案 </w:t>
            </w:r>
            <w:r>
              <w:rPr>
                <w:rStyle w:val="af3"/>
                <w:rFonts w:ascii="Times New Roman" w:hAnsi="Times New Roman"/>
                <w:sz w:val="20"/>
                <w:szCs w:val="20"/>
              </w:rPr>
              <w:t>**</w:t>
            </w: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r>
              <w:rPr>
                <w:rStyle w:val="stext"/>
                <w:sz w:val="20"/>
                <w:szCs w:val="20"/>
              </w:rPr>
              <w:t>黃椿雄</w:t>
            </w:r>
            <w:r>
              <w:rPr>
                <w:rStyle w:val="af3"/>
                <w:rFonts w:hint="eastAsia"/>
                <w:sz w:val="20"/>
                <w:szCs w:val="20"/>
              </w:rPr>
              <w:t>案</w:t>
            </w:r>
          </w:p>
        </w:tc>
        <w:tc>
          <w:tcPr>
            <w:tcW w:w="900" w:type="dxa"/>
            <w:vMerge w:val="restart"/>
            <w:tcBorders>
              <w:top w:val="thickThinSmallGap" w:sz="24" w:space="0" w:color="auto"/>
            </w:tcBorders>
            <w:vAlign w:val="center"/>
          </w:tcPr>
          <w:p w:rsidR="007D6688" w:rsidRDefault="007D6688">
            <w:pPr>
              <w:snapToGrid w:val="0"/>
              <w:jc w:val="center"/>
              <w:rPr>
                <w:rFonts w:hint="eastAsia"/>
                <w:sz w:val="20"/>
                <w:szCs w:val="20"/>
              </w:rPr>
            </w:pPr>
            <w:r>
              <w:rPr>
                <w:rFonts w:ascii="新細明體" w:hAnsi="新細明體" w:hint="eastAsia"/>
                <w:sz w:val="20"/>
                <w:szCs w:val="20"/>
              </w:rPr>
              <w:t>張志賓</w:t>
            </w:r>
            <w:r>
              <w:rPr>
                <w:rStyle w:val="af3"/>
                <w:rFonts w:hint="eastAsia"/>
                <w:sz w:val="20"/>
                <w:szCs w:val="20"/>
              </w:rPr>
              <w:t>案</w:t>
            </w:r>
          </w:p>
        </w:tc>
      </w:tr>
      <w:tr w:rsidR="007D6688">
        <w:trPr>
          <w:cantSplit/>
          <w:trHeight w:val="528"/>
        </w:trPr>
        <w:tc>
          <w:tcPr>
            <w:tcW w:w="648" w:type="dxa"/>
            <w:vMerge/>
            <w:tcBorders>
              <w:right w:val="thickThinSmallGap" w:sz="24" w:space="0" w:color="auto"/>
            </w:tcBorders>
          </w:tcPr>
          <w:p w:rsidR="007D6688" w:rsidRDefault="007D6688">
            <w:pPr>
              <w:snapToGrid w:val="0"/>
              <w:jc w:val="center"/>
              <w:rPr>
                <w:sz w:val="20"/>
                <w:szCs w:val="20"/>
              </w:rPr>
            </w:pPr>
          </w:p>
        </w:tc>
        <w:tc>
          <w:tcPr>
            <w:tcW w:w="900" w:type="dxa"/>
            <w:vMerge/>
            <w:tcBorders>
              <w:left w:val="thickThinSmallGap" w:sz="24" w:space="0" w:color="auto"/>
            </w:tcBorders>
          </w:tcPr>
          <w:p w:rsidR="007D6688" w:rsidRDefault="007D6688">
            <w:pPr>
              <w:snapToGrid w:val="0"/>
              <w:jc w:val="center"/>
              <w:rPr>
                <w:rFonts w:hint="eastAsia"/>
                <w:sz w:val="20"/>
                <w:szCs w:val="20"/>
              </w:rPr>
            </w:pPr>
          </w:p>
        </w:tc>
        <w:tc>
          <w:tcPr>
            <w:tcW w:w="900" w:type="dxa"/>
            <w:vMerge/>
          </w:tcPr>
          <w:p w:rsidR="007D6688" w:rsidRDefault="007D6688">
            <w:pPr>
              <w:snapToGrid w:val="0"/>
              <w:jc w:val="center"/>
              <w:rPr>
                <w:rFonts w:hint="eastAsia"/>
                <w:sz w:val="20"/>
                <w:szCs w:val="20"/>
              </w:rPr>
            </w:pPr>
          </w:p>
        </w:tc>
        <w:tc>
          <w:tcPr>
            <w:tcW w:w="900" w:type="dxa"/>
            <w:vMerge/>
          </w:tcPr>
          <w:p w:rsidR="007D6688" w:rsidRDefault="007D6688">
            <w:pPr>
              <w:snapToGrid w:val="0"/>
              <w:jc w:val="center"/>
              <w:rPr>
                <w:rFonts w:hint="eastAsia"/>
                <w:sz w:val="20"/>
                <w:szCs w:val="20"/>
              </w:rPr>
            </w:pPr>
          </w:p>
        </w:tc>
        <w:tc>
          <w:tcPr>
            <w:tcW w:w="900" w:type="dxa"/>
            <w:vMerge/>
          </w:tcPr>
          <w:p w:rsidR="007D6688" w:rsidRDefault="007D6688">
            <w:pPr>
              <w:snapToGrid w:val="0"/>
              <w:jc w:val="center"/>
              <w:rPr>
                <w:rFonts w:hint="eastAsia"/>
                <w:sz w:val="20"/>
                <w:szCs w:val="20"/>
              </w:rPr>
            </w:pPr>
          </w:p>
        </w:tc>
        <w:tc>
          <w:tcPr>
            <w:tcW w:w="900" w:type="dxa"/>
            <w:vMerge/>
            <w:shd w:val="clear" w:color="auto" w:fill="E0E0E0"/>
          </w:tcPr>
          <w:p w:rsidR="007D6688" w:rsidRDefault="007D6688">
            <w:pPr>
              <w:snapToGrid w:val="0"/>
              <w:jc w:val="center"/>
              <w:rPr>
                <w:rFonts w:hint="eastAsia"/>
                <w:sz w:val="20"/>
                <w:szCs w:val="20"/>
              </w:rPr>
            </w:pPr>
          </w:p>
        </w:tc>
        <w:tc>
          <w:tcPr>
            <w:tcW w:w="900" w:type="dxa"/>
            <w:vMerge/>
          </w:tcPr>
          <w:p w:rsidR="007D6688" w:rsidRDefault="007D6688">
            <w:pPr>
              <w:snapToGrid w:val="0"/>
              <w:jc w:val="center"/>
              <w:rPr>
                <w:rFonts w:hint="eastAsia"/>
                <w:sz w:val="20"/>
                <w:szCs w:val="20"/>
              </w:rPr>
            </w:pPr>
          </w:p>
        </w:tc>
        <w:tc>
          <w:tcPr>
            <w:tcW w:w="900" w:type="dxa"/>
            <w:vMerge/>
          </w:tcPr>
          <w:p w:rsidR="007D6688" w:rsidRDefault="007D6688">
            <w:pPr>
              <w:snapToGrid w:val="0"/>
              <w:jc w:val="center"/>
              <w:rPr>
                <w:rFonts w:hint="eastAsia"/>
                <w:sz w:val="20"/>
                <w:szCs w:val="20"/>
              </w:rPr>
            </w:pPr>
          </w:p>
        </w:tc>
        <w:tc>
          <w:tcPr>
            <w:tcW w:w="900" w:type="dxa"/>
            <w:tcBorders>
              <w:bottom w:val="single" w:sz="4" w:space="0" w:color="auto"/>
            </w:tcBorders>
          </w:tcPr>
          <w:p w:rsidR="007D6688" w:rsidRDefault="007D6688">
            <w:pPr>
              <w:snapToGrid w:val="0"/>
              <w:jc w:val="center"/>
              <w:rPr>
                <w:rFonts w:hint="eastAsia"/>
                <w:sz w:val="20"/>
                <w:szCs w:val="20"/>
              </w:rPr>
            </w:pPr>
            <w:r>
              <w:rPr>
                <w:sz w:val="20"/>
                <w:szCs w:val="20"/>
              </w:rPr>
              <w:t>謝隆寶</w:t>
            </w:r>
            <w:r>
              <w:rPr>
                <w:rFonts w:hint="eastAsia"/>
                <w:sz w:val="20"/>
                <w:szCs w:val="20"/>
              </w:rPr>
              <w:t>I</w:t>
            </w:r>
            <w:r>
              <w:rPr>
                <w:rStyle w:val="af3"/>
                <w:rFonts w:hint="eastAsia"/>
                <w:sz w:val="20"/>
                <w:szCs w:val="20"/>
              </w:rPr>
              <w:t>案</w:t>
            </w:r>
          </w:p>
        </w:tc>
        <w:tc>
          <w:tcPr>
            <w:tcW w:w="900" w:type="dxa"/>
            <w:vMerge/>
          </w:tcPr>
          <w:p w:rsidR="007D6688" w:rsidRDefault="007D6688">
            <w:pPr>
              <w:snapToGrid w:val="0"/>
              <w:jc w:val="center"/>
              <w:rPr>
                <w:rFonts w:hint="eastAsia"/>
                <w:b/>
                <w:sz w:val="20"/>
                <w:szCs w:val="20"/>
              </w:rPr>
            </w:pPr>
          </w:p>
        </w:tc>
        <w:tc>
          <w:tcPr>
            <w:tcW w:w="900" w:type="dxa"/>
            <w:vMerge/>
          </w:tcPr>
          <w:p w:rsidR="007D6688" w:rsidRDefault="007D6688">
            <w:pPr>
              <w:snapToGrid w:val="0"/>
              <w:jc w:val="center"/>
              <w:rPr>
                <w:rFonts w:hint="eastAsia"/>
                <w:sz w:val="20"/>
                <w:szCs w:val="20"/>
              </w:rPr>
            </w:pPr>
          </w:p>
        </w:tc>
      </w:tr>
      <w:tr w:rsidR="007D6688">
        <w:trPr>
          <w:cantSplit/>
          <w:trHeight w:val="528"/>
        </w:trPr>
        <w:tc>
          <w:tcPr>
            <w:tcW w:w="648" w:type="dxa"/>
            <w:vMerge/>
            <w:tcBorders>
              <w:bottom w:val="thickThinSmallGap" w:sz="24" w:space="0" w:color="auto"/>
              <w:right w:val="thickThinSmallGap" w:sz="24" w:space="0" w:color="auto"/>
            </w:tcBorders>
          </w:tcPr>
          <w:p w:rsidR="007D6688" w:rsidRDefault="007D6688">
            <w:pPr>
              <w:snapToGrid w:val="0"/>
              <w:jc w:val="center"/>
              <w:rPr>
                <w:sz w:val="20"/>
                <w:szCs w:val="20"/>
              </w:rPr>
            </w:pPr>
          </w:p>
        </w:tc>
        <w:tc>
          <w:tcPr>
            <w:tcW w:w="900" w:type="dxa"/>
            <w:vMerge/>
            <w:tcBorders>
              <w:left w:val="thickThinSmallGap" w:sz="24" w:space="0" w:color="auto"/>
              <w:bottom w:val="thickThinSmallGap" w:sz="24" w:space="0" w:color="auto"/>
            </w:tcBorders>
          </w:tcPr>
          <w:p w:rsidR="007D6688" w:rsidRDefault="007D6688">
            <w:pPr>
              <w:snapToGrid w:val="0"/>
              <w:jc w:val="center"/>
              <w:rPr>
                <w:rFonts w:hint="eastAsia"/>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c>
          <w:tcPr>
            <w:tcW w:w="900" w:type="dxa"/>
            <w:vMerge/>
            <w:tcBorders>
              <w:bottom w:val="thickThinSmallGap" w:sz="24" w:space="0" w:color="auto"/>
            </w:tcBorders>
            <w:shd w:val="clear" w:color="auto" w:fill="E0E0E0"/>
          </w:tcPr>
          <w:p w:rsidR="007D6688" w:rsidRDefault="007D6688">
            <w:pPr>
              <w:snapToGrid w:val="0"/>
              <w:jc w:val="center"/>
              <w:rPr>
                <w:rFonts w:hint="eastAsia"/>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c>
          <w:tcPr>
            <w:tcW w:w="900" w:type="dxa"/>
            <w:tcBorders>
              <w:bottom w:val="thickThinSmallGap" w:sz="24" w:space="0" w:color="auto"/>
            </w:tcBorders>
          </w:tcPr>
          <w:p w:rsidR="007D6688" w:rsidRDefault="007D6688">
            <w:pPr>
              <w:snapToGrid w:val="0"/>
              <w:jc w:val="center"/>
              <w:rPr>
                <w:rFonts w:hint="eastAsia"/>
                <w:sz w:val="20"/>
                <w:szCs w:val="20"/>
              </w:rPr>
            </w:pPr>
            <w:r>
              <w:rPr>
                <w:rStyle w:val="stext1"/>
                <w:rFonts w:ascii="sөũ" w:hAnsi="sөũ"/>
                <w:color w:val="000000"/>
                <w:sz w:val="20"/>
                <w:szCs w:val="20"/>
              </w:rPr>
              <w:t>張福恒</w:t>
            </w:r>
            <w:r>
              <w:rPr>
                <w:rStyle w:val="af3"/>
                <w:rFonts w:hint="eastAsia"/>
                <w:sz w:val="20"/>
                <w:szCs w:val="20"/>
              </w:rPr>
              <w:t>案</w:t>
            </w:r>
            <w:r>
              <w:rPr>
                <w:rStyle w:val="ae"/>
                <w:rFonts w:ascii="新細明體" w:hAnsi="新細明體"/>
                <w:sz w:val="20"/>
                <w:szCs w:val="20"/>
                <w:lang w:val="de-DE"/>
              </w:rPr>
              <w:footnoteReference w:id="13"/>
            </w:r>
          </w:p>
        </w:tc>
        <w:tc>
          <w:tcPr>
            <w:tcW w:w="900" w:type="dxa"/>
            <w:vMerge/>
            <w:tcBorders>
              <w:bottom w:val="thickThinSmallGap" w:sz="24" w:space="0" w:color="auto"/>
            </w:tcBorders>
          </w:tcPr>
          <w:p w:rsidR="007D6688" w:rsidRDefault="007D6688">
            <w:pPr>
              <w:snapToGrid w:val="0"/>
              <w:jc w:val="center"/>
              <w:rPr>
                <w:rFonts w:hint="eastAsia"/>
                <w:b/>
                <w:sz w:val="20"/>
                <w:szCs w:val="20"/>
              </w:rPr>
            </w:pPr>
          </w:p>
        </w:tc>
        <w:tc>
          <w:tcPr>
            <w:tcW w:w="900" w:type="dxa"/>
            <w:vMerge/>
            <w:tcBorders>
              <w:bottom w:val="thickThinSmallGap" w:sz="24" w:space="0" w:color="auto"/>
            </w:tcBorders>
          </w:tcPr>
          <w:p w:rsidR="007D6688" w:rsidRDefault="007D6688">
            <w:pPr>
              <w:snapToGrid w:val="0"/>
              <w:jc w:val="center"/>
              <w:rPr>
                <w:rFonts w:hint="eastAsia"/>
                <w:sz w:val="20"/>
                <w:szCs w:val="20"/>
              </w:rPr>
            </w:pPr>
          </w:p>
        </w:tc>
      </w:tr>
      <w:tr w:rsidR="007D6688">
        <w:trPr>
          <w:trHeight w:val="1056"/>
        </w:trPr>
        <w:tc>
          <w:tcPr>
            <w:tcW w:w="648" w:type="dxa"/>
            <w:tcBorders>
              <w:top w:val="thickThinSmallGap" w:sz="24" w:space="0" w:color="auto"/>
              <w:right w:val="thickThinSmallGap" w:sz="24" w:space="0" w:color="auto"/>
            </w:tcBorders>
          </w:tcPr>
          <w:p w:rsidR="007D6688" w:rsidRDefault="007D6688">
            <w:pPr>
              <w:snapToGrid w:val="0"/>
              <w:jc w:val="center"/>
              <w:rPr>
                <w:rFonts w:hint="eastAsia"/>
                <w:sz w:val="20"/>
                <w:szCs w:val="20"/>
              </w:rPr>
            </w:pPr>
            <w:r>
              <w:rPr>
                <w:rFonts w:hint="eastAsia"/>
                <w:sz w:val="20"/>
                <w:szCs w:val="20"/>
              </w:rPr>
              <w:t>其</w:t>
            </w:r>
          </w:p>
          <w:p w:rsidR="007D6688" w:rsidRDefault="007D6688">
            <w:pPr>
              <w:snapToGrid w:val="0"/>
              <w:jc w:val="center"/>
              <w:rPr>
                <w:rFonts w:hint="eastAsia"/>
                <w:sz w:val="20"/>
                <w:szCs w:val="20"/>
              </w:rPr>
            </w:pPr>
            <w:r>
              <w:rPr>
                <w:rFonts w:hint="eastAsia"/>
                <w:sz w:val="20"/>
                <w:szCs w:val="20"/>
              </w:rPr>
              <w:t>他</w:t>
            </w:r>
          </w:p>
        </w:tc>
        <w:tc>
          <w:tcPr>
            <w:tcW w:w="900" w:type="dxa"/>
            <w:tcBorders>
              <w:top w:val="thickThinSmallGap" w:sz="24" w:space="0" w:color="auto"/>
              <w:left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tcPr>
          <w:p w:rsidR="007D6688" w:rsidRDefault="007D6688">
            <w:pPr>
              <w:snapToGrid w:val="0"/>
              <w:jc w:val="center"/>
              <w:rPr>
                <w:rFonts w:eastAsia="MS Mincho"/>
                <w:sz w:val="20"/>
                <w:szCs w:val="20"/>
                <w:lang w:val="de-DE" w:eastAsia="ja-JP"/>
              </w:rPr>
            </w:pPr>
            <w:r>
              <w:rPr>
                <w:rFonts w:hint="eastAsia"/>
                <w:sz w:val="20"/>
                <w:szCs w:val="20"/>
              </w:rPr>
              <w:t>蔡逸媚案</w:t>
            </w:r>
            <w:r>
              <w:rPr>
                <w:rFonts w:eastAsia="MS Mincho"/>
                <w:sz w:val="20"/>
                <w:szCs w:val="20"/>
                <w:lang w:val="de-DE" w:eastAsia="ja-JP"/>
              </w:rPr>
              <w:t>****</w:t>
            </w:r>
          </w:p>
        </w:tc>
        <w:tc>
          <w:tcPr>
            <w:tcW w:w="900" w:type="dxa"/>
            <w:tcBorders>
              <w:top w:val="thickThinSmallGap" w:sz="24" w:space="0" w:color="auto"/>
            </w:tcBorders>
          </w:tcPr>
          <w:p w:rsidR="007D6688" w:rsidRDefault="007D6688">
            <w:pPr>
              <w:snapToGrid w:val="0"/>
              <w:jc w:val="center"/>
              <w:rPr>
                <w:rFonts w:hint="eastAsia"/>
                <w:sz w:val="20"/>
                <w:szCs w:val="20"/>
              </w:rPr>
            </w:pPr>
            <w:r>
              <w:rPr>
                <w:rFonts w:hint="eastAsia"/>
                <w:sz w:val="20"/>
                <w:szCs w:val="20"/>
              </w:rPr>
              <w:t>林睿駿案</w:t>
            </w:r>
          </w:p>
        </w:tc>
        <w:tc>
          <w:tcPr>
            <w:tcW w:w="900" w:type="dxa"/>
            <w:tcBorders>
              <w:top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shd w:val="clear" w:color="auto" w:fill="E0E0E0"/>
          </w:tcPr>
          <w:p w:rsidR="007D6688" w:rsidRDefault="007D6688">
            <w:pPr>
              <w:snapToGrid w:val="0"/>
              <w:jc w:val="center"/>
              <w:rPr>
                <w:rFonts w:eastAsia="MS Mincho" w:hint="eastAsia"/>
                <w:sz w:val="20"/>
                <w:szCs w:val="20"/>
                <w:lang w:eastAsia="ja-JP"/>
              </w:rPr>
            </w:pPr>
            <w:r>
              <w:rPr>
                <w:rStyle w:val="stext1"/>
                <w:rFonts w:ascii="sөũ" w:hAnsi="sөũ"/>
                <w:color w:val="000000"/>
                <w:sz w:val="20"/>
                <w:szCs w:val="20"/>
              </w:rPr>
              <w:t>張</w:t>
            </w:r>
            <w:r>
              <w:rPr>
                <w:rStyle w:val="stext1"/>
                <w:rFonts w:ascii="sөũ" w:hAnsi="sөũ" w:hint="eastAsia"/>
                <w:color w:val="000000"/>
                <w:sz w:val="20"/>
                <w:szCs w:val="20"/>
              </w:rPr>
              <w:t>克難</w:t>
            </w:r>
            <w:r>
              <w:rPr>
                <w:rStyle w:val="af3"/>
                <w:rFonts w:hint="eastAsia"/>
                <w:sz w:val="20"/>
                <w:szCs w:val="20"/>
              </w:rPr>
              <w:t>案</w:t>
            </w:r>
          </w:p>
        </w:tc>
        <w:tc>
          <w:tcPr>
            <w:tcW w:w="900" w:type="dxa"/>
            <w:tcBorders>
              <w:top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tcPr>
          <w:p w:rsidR="007D6688" w:rsidRDefault="007D6688">
            <w:pPr>
              <w:snapToGrid w:val="0"/>
              <w:jc w:val="center"/>
              <w:rPr>
                <w:rFonts w:hint="eastAsia"/>
                <w:sz w:val="20"/>
                <w:szCs w:val="20"/>
              </w:rPr>
            </w:pPr>
          </w:p>
        </w:tc>
        <w:tc>
          <w:tcPr>
            <w:tcW w:w="900" w:type="dxa"/>
            <w:tcBorders>
              <w:top w:val="thickThinSmallGap" w:sz="24" w:space="0" w:color="auto"/>
            </w:tcBorders>
          </w:tcPr>
          <w:p w:rsidR="007D6688" w:rsidRDefault="007D6688">
            <w:pPr>
              <w:snapToGrid w:val="0"/>
              <w:jc w:val="center"/>
              <w:rPr>
                <w:rFonts w:hint="eastAsia"/>
                <w:b/>
                <w:sz w:val="20"/>
                <w:szCs w:val="20"/>
              </w:rPr>
            </w:pPr>
          </w:p>
        </w:tc>
        <w:tc>
          <w:tcPr>
            <w:tcW w:w="900" w:type="dxa"/>
            <w:tcBorders>
              <w:top w:val="thickThinSmallGap" w:sz="24" w:space="0" w:color="auto"/>
            </w:tcBorders>
          </w:tcPr>
          <w:p w:rsidR="007D6688" w:rsidRDefault="007D6688">
            <w:pPr>
              <w:snapToGrid w:val="0"/>
              <w:jc w:val="center"/>
              <w:rPr>
                <w:rFonts w:hint="eastAsia"/>
                <w:sz w:val="20"/>
                <w:szCs w:val="20"/>
              </w:rPr>
            </w:pPr>
          </w:p>
        </w:tc>
      </w:tr>
    </w:tbl>
    <w:p w:rsidR="007D6688" w:rsidRDefault="007D6688">
      <w:pPr>
        <w:pStyle w:val="22"/>
        <w:spacing w:beforeLines="0" w:before="0" w:after="0" w:line="240" w:lineRule="auto"/>
        <w:ind w:firstLine="400"/>
        <w:rPr>
          <w:rStyle w:val="af3"/>
          <w:sz w:val="20"/>
          <w:szCs w:val="20"/>
        </w:rPr>
      </w:pPr>
      <w:r>
        <w:rPr>
          <w:rStyle w:val="af3"/>
          <w:rFonts w:ascii="Times New Roman" w:hAnsi="Times New Roman"/>
          <w:sz w:val="20"/>
          <w:szCs w:val="20"/>
        </w:rPr>
        <w:t>*</w:t>
      </w:r>
      <w:r>
        <w:rPr>
          <w:rStyle w:val="af3"/>
          <w:rFonts w:ascii="Times New Roman" w:hAnsi="Times New Roman" w:hint="eastAsia"/>
          <w:sz w:val="20"/>
          <w:szCs w:val="20"/>
        </w:rPr>
        <w:t xml:space="preserve"> </w:t>
      </w:r>
      <w:r>
        <w:rPr>
          <w:rStyle w:val="af3"/>
          <w:rFonts w:hint="eastAsia"/>
          <w:sz w:val="20"/>
          <w:szCs w:val="20"/>
        </w:rPr>
        <w:t>以未獲通知作為復審之理由，而非認定通知行為係行政處分。</w:t>
      </w:r>
    </w:p>
    <w:p w:rsidR="007D6688" w:rsidRDefault="007D6688">
      <w:pPr>
        <w:pStyle w:val="22"/>
        <w:spacing w:beforeLines="0" w:before="0" w:after="0" w:line="240" w:lineRule="auto"/>
        <w:ind w:firstLine="400"/>
        <w:rPr>
          <w:rStyle w:val="af3"/>
          <w:rFonts w:ascii="Times New Roman" w:hAnsi="Times New Roman"/>
          <w:sz w:val="20"/>
          <w:szCs w:val="20"/>
        </w:rPr>
      </w:pPr>
      <w:r>
        <w:rPr>
          <w:rStyle w:val="af3"/>
          <w:rFonts w:ascii="Times New Roman" w:hAnsi="Times New Roman"/>
          <w:sz w:val="20"/>
          <w:szCs w:val="20"/>
        </w:rPr>
        <w:t>**</w:t>
      </w:r>
      <w:r>
        <w:rPr>
          <w:rStyle w:val="af3"/>
          <w:rFonts w:ascii="Times New Roman" w:hAnsi="Times New Roman" w:hint="eastAsia"/>
          <w:sz w:val="20"/>
          <w:szCs w:val="20"/>
        </w:rPr>
        <w:t xml:space="preserve"> </w:t>
      </w:r>
      <w:r>
        <w:rPr>
          <w:rStyle w:val="af3"/>
          <w:rFonts w:ascii="Times New Roman" w:hAnsi="Times New Roman" w:hint="eastAsia"/>
          <w:sz w:val="20"/>
          <w:szCs w:val="20"/>
        </w:rPr>
        <w:t>復審決定遭台北高等行政法院撤銷。</w:t>
      </w:r>
    </w:p>
    <w:p w:rsidR="007D6688" w:rsidRDefault="007D6688">
      <w:pPr>
        <w:pStyle w:val="22"/>
        <w:spacing w:beforeLines="0" w:before="0" w:after="0" w:line="240" w:lineRule="auto"/>
        <w:ind w:firstLine="400"/>
        <w:rPr>
          <w:rStyle w:val="af3"/>
          <w:rFonts w:ascii="Times New Roman" w:hAnsi="Times New Roman"/>
          <w:sz w:val="20"/>
          <w:szCs w:val="20"/>
        </w:rPr>
      </w:pPr>
      <w:r>
        <w:rPr>
          <w:rStyle w:val="af3"/>
          <w:rFonts w:ascii="Times New Roman" w:hAnsi="Times New Roman"/>
          <w:sz w:val="20"/>
          <w:szCs w:val="20"/>
        </w:rPr>
        <w:t xml:space="preserve">*** </w:t>
      </w:r>
      <w:r>
        <w:rPr>
          <w:rStyle w:val="af3"/>
          <w:rFonts w:ascii="Times New Roman" w:hAnsi="Times New Roman" w:hint="eastAsia"/>
          <w:sz w:val="20"/>
          <w:szCs w:val="20"/>
        </w:rPr>
        <w:t>根據保訓會於</w:t>
      </w:r>
      <w:smartTag w:uri="urn:schemas-microsoft-com:office:smarttags" w:element="chsdate">
        <w:smartTagPr>
          <w:attr w:name="Year" w:val="1992"/>
          <w:attr w:name="Month" w:val="10"/>
          <w:attr w:name="Day" w:val="17"/>
          <w:attr w:name="IsLunarDate" w:val="False"/>
          <w:attr w:name="IsROCDate" w:val="False"/>
        </w:smartTagPr>
        <w:r>
          <w:rPr>
            <w:rStyle w:val="af3"/>
            <w:rFonts w:ascii="Times New Roman" w:hAnsi="Times New Roman" w:hint="eastAsia"/>
            <w:sz w:val="20"/>
            <w:szCs w:val="20"/>
          </w:rPr>
          <w:t>92</w:t>
        </w:r>
        <w:r>
          <w:rPr>
            <w:rStyle w:val="af3"/>
            <w:rFonts w:ascii="Times New Roman" w:hAnsi="Times New Roman" w:hint="eastAsia"/>
            <w:sz w:val="20"/>
            <w:szCs w:val="20"/>
          </w:rPr>
          <w:t>年</w:t>
        </w:r>
        <w:r>
          <w:rPr>
            <w:rStyle w:val="af3"/>
            <w:rFonts w:ascii="Times New Roman" w:hAnsi="Times New Roman" w:hint="eastAsia"/>
            <w:sz w:val="20"/>
            <w:szCs w:val="20"/>
          </w:rPr>
          <w:t>10</w:t>
        </w:r>
        <w:r>
          <w:rPr>
            <w:rStyle w:val="af3"/>
            <w:rFonts w:ascii="Times New Roman" w:hAnsi="Times New Roman" w:hint="eastAsia"/>
            <w:sz w:val="20"/>
            <w:szCs w:val="20"/>
          </w:rPr>
          <w:t>月</w:t>
        </w:r>
        <w:r>
          <w:rPr>
            <w:rStyle w:val="af3"/>
            <w:rFonts w:ascii="Times New Roman" w:hAnsi="Times New Roman" w:hint="eastAsia"/>
            <w:sz w:val="20"/>
            <w:szCs w:val="20"/>
          </w:rPr>
          <w:t>17</w:t>
        </w:r>
        <w:r>
          <w:rPr>
            <w:rStyle w:val="af3"/>
            <w:rFonts w:ascii="Times New Roman" w:hAnsi="Times New Roman" w:hint="eastAsia"/>
            <w:sz w:val="20"/>
            <w:szCs w:val="20"/>
          </w:rPr>
          <w:t>日</w:t>
        </w:r>
      </w:smartTag>
      <w:r>
        <w:rPr>
          <w:rStyle w:val="af3"/>
          <w:rFonts w:ascii="Times New Roman" w:hAnsi="Times New Roman" w:hint="eastAsia"/>
          <w:sz w:val="20"/>
          <w:szCs w:val="20"/>
        </w:rPr>
        <w:t>會議決議所採標準，日後似已統一循復審程序救濟。</w:t>
      </w:r>
    </w:p>
    <w:p w:rsidR="007D6688" w:rsidRDefault="007D6688">
      <w:pPr>
        <w:pStyle w:val="22"/>
        <w:spacing w:beforeLines="0" w:before="0" w:after="0" w:line="240" w:lineRule="auto"/>
        <w:ind w:firstLine="400"/>
        <w:rPr>
          <w:rStyle w:val="af3"/>
          <w:rFonts w:hint="eastAsia"/>
        </w:rPr>
      </w:pPr>
      <w:r>
        <w:rPr>
          <w:rStyle w:val="af3"/>
          <w:rFonts w:ascii="Times New Roman" w:hAnsi="Times New Roman"/>
          <w:sz w:val="20"/>
          <w:szCs w:val="20"/>
        </w:rPr>
        <w:t>****</w:t>
      </w:r>
      <w:r>
        <w:rPr>
          <w:rStyle w:val="af3"/>
          <w:rFonts w:ascii="Times New Roman" w:hAnsi="Times New Roman" w:hint="eastAsia"/>
          <w:sz w:val="20"/>
          <w:szCs w:val="20"/>
        </w:rPr>
        <w:t xml:space="preserve"> </w:t>
      </w:r>
      <w:r>
        <w:rPr>
          <w:rStyle w:val="af3"/>
          <w:rFonts w:ascii="Times New Roman" w:hAnsi="Times New Roman"/>
          <w:sz w:val="20"/>
          <w:szCs w:val="20"/>
        </w:rPr>
        <w:t xml:space="preserve"> </w:t>
      </w:r>
      <w:r>
        <w:rPr>
          <w:rStyle w:val="af3"/>
          <w:rFonts w:ascii="Times New Roman" w:hAnsi="Times New Roman" w:hint="eastAsia"/>
          <w:sz w:val="20"/>
          <w:szCs w:val="20"/>
        </w:rPr>
        <w:t>本案係復審案，但並非直接針對內陞外補決定之救濟。</w:t>
      </w:r>
    </w:p>
    <w:p w:rsidR="007D6688" w:rsidRDefault="007D6688">
      <w:pPr>
        <w:pStyle w:val="2"/>
        <w:spacing w:line="480" w:lineRule="auto"/>
        <w:rPr>
          <w:rFonts w:hint="eastAsia"/>
          <w:lang w:val="de-DE"/>
        </w:rPr>
      </w:pPr>
      <w:bookmarkStart w:id="94" w:name="_Toc121199221"/>
      <w:bookmarkStart w:id="95" w:name="_Toc121212693"/>
      <w:bookmarkStart w:id="96" w:name="_Toc121212956"/>
      <w:r>
        <w:rPr>
          <w:lang w:val="de-DE"/>
        </w:rPr>
        <w:t>3.3.</w:t>
      </w:r>
      <w:r>
        <w:rPr>
          <w:lang w:val="de-DE"/>
        </w:rPr>
        <w:t>行政法院之裁判</w:t>
      </w:r>
      <w:bookmarkEnd w:id="94"/>
      <w:bookmarkEnd w:id="95"/>
      <w:bookmarkEnd w:id="96"/>
    </w:p>
    <w:p w:rsidR="007D6688" w:rsidRDefault="007D6688">
      <w:pPr>
        <w:pStyle w:val="22"/>
        <w:spacing w:line="480" w:lineRule="auto"/>
        <w:rPr>
          <w:rStyle w:val="af3"/>
          <w:rFonts w:hint="eastAsia"/>
        </w:rPr>
      </w:pPr>
      <w:r>
        <w:rPr>
          <w:rStyle w:val="af3"/>
          <w:rFonts w:hint="eastAsia"/>
        </w:rPr>
        <w:t>行政法院對於陞遷程序中衍生之救濟爭議，其所持法律見解亦可約略整理如下：</w:t>
      </w:r>
    </w:p>
    <w:p w:rsidR="007D6688" w:rsidRDefault="007D6688">
      <w:pPr>
        <w:pStyle w:val="22"/>
        <w:spacing w:line="480" w:lineRule="auto"/>
        <w:rPr>
          <w:rStyle w:val="af3"/>
          <w:rFonts w:hint="eastAsia"/>
          <w:b/>
        </w:rPr>
      </w:pPr>
      <w:r>
        <w:rPr>
          <w:rStyle w:val="af3"/>
          <w:rFonts w:hint="eastAsia"/>
          <w:b/>
        </w:rPr>
        <w:t>（一）</w:t>
      </w:r>
      <w:r>
        <w:rPr>
          <w:b/>
        </w:rPr>
        <w:t>未獲列入陞任或遷調名冊</w:t>
      </w:r>
    </w:p>
    <w:p w:rsidR="007D6688" w:rsidRDefault="007D6688">
      <w:pPr>
        <w:pStyle w:val="22"/>
        <w:spacing w:line="480" w:lineRule="auto"/>
        <w:rPr>
          <w:rFonts w:hint="eastAsia"/>
        </w:rPr>
      </w:pPr>
      <w:r>
        <w:rPr>
          <w:rFonts w:hint="eastAsia"/>
        </w:rPr>
        <w:t>保訓會對於欲陞遷之公務人員未獲列入</w:t>
      </w:r>
      <w:r>
        <w:t>陞任或遷調名冊</w:t>
      </w:r>
      <w:r>
        <w:rPr>
          <w:rFonts w:hint="eastAsia"/>
        </w:rPr>
        <w:t>，認屬機關內部之管理措施。行政法院應該也支持是項見解。例如</w:t>
      </w:r>
      <w:r>
        <w:rPr>
          <w:rFonts w:hint="eastAsia"/>
          <w:b/>
          <w:u w:val="single"/>
        </w:rPr>
        <w:t>最高行政法院</w:t>
      </w:r>
      <w:r>
        <w:rPr>
          <w:rFonts w:hint="eastAsia"/>
          <w:b/>
          <w:u w:val="single"/>
        </w:rPr>
        <w:t>93</w:t>
      </w:r>
      <w:r>
        <w:rPr>
          <w:rFonts w:hint="eastAsia"/>
          <w:b/>
          <w:u w:val="single"/>
        </w:rPr>
        <w:t>年裁字第</w:t>
      </w:r>
      <w:r>
        <w:rPr>
          <w:rFonts w:hint="eastAsia"/>
          <w:b/>
          <w:u w:val="single"/>
        </w:rPr>
        <w:t>548</w:t>
      </w:r>
      <w:r>
        <w:rPr>
          <w:rFonts w:hint="eastAsia"/>
          <w:b/>
          <w:u w:val="single"/>
        </w:rPr>
        <w:t>號裁定（即「</w:t>
      </w:r>
      <w:r>
        <w:rPr>
          <w:b/>
          <w:u w:val="single"/>
        </w:rPr>
        <w:t>張夢麟</w:t>
      </w:r>
      <w:r>
        <w:rPr>
          <w:rFonts w:hint="eastAsia"/>
          <w:b/>
          <w:u w:val="single"/>
        </w:rPr>
        <w:t>案」）</w:t>
      </w:r>
      <w:r>
        <w:rPr>
          <w:rFonts w:hint="eastAsia"/>
        </w:rPr>
        <w:t>亦謂：「</w:t>
      </w:r>
      <w:r>
        <w:t>查抗告人未獲列入陞任或遷調名冊，核屬機關內部所為之管理措施，對抗告人之權利尚無重大影響，且未改變其公務人員之身分關係，亦非基於公務人員身分所產生公法上財產請求權遭受侵害，</w:t>
      </w:r>
      <w:r>
        <w:t>…</w:t>
      </w:r>
      <w:r>
        <w:t>，抗告人如認有何不妥，僅得提出申訴、再申訴尋求救濟</w:t>
      </w:r>
      <w:r>
        <w:rPr>
          <w:rFonts w:hint="eastAsia"/>
        </w:rPr>
        <w:t>。」</w:t>
      </w:r>
    </w:p>
    <w:p w:rsidR="007D6688" w:rsidRDefault="007D6688">
      <w:pPr>
        <w:pStyle w:val="22"/>
        <w:spacing w:line="480" w:lineRule="auto"/>
        <w:rPr>
          <w:rFonts w:hint="eastAsia"/>
        </w:rPr>
      </w:pPr>
      <w:r>
        <w:rPr>
          <w:rFonts w:hint="eastAsia"/>
          <w:b/>
        </w:rPr>
        <w:t>（二）</w:t>
      </w:r>
      <w:r>
        <w:rPr>
          <w:rStyle w:val="af3"/>
          <w:rFonts w:hint="eastAsia"/>
          <w:b/>
        </w:rPr>
        <w:t>分數之評定</w:t>
      </w:r>
    </w:p>
    <w:p w:rsidR="007D6688" w:rsidRDefault="007D6688">
      <w:pPr>
        <w:pStyle w:val="22"/>
        <w:spacing w:line="480" w:lineRule="auto"/>
        <w:rPr>
          <w:rFonts w:hint="eastAsia"/>
        </w:rPr>
      </w:pPr>
      <w:r>
        <w:rPr>
          <w:rFonts w:hint="eastAsia"/>
        </w:rPr>
        <w:t>對於陞遷案件中，甄審委員會所為之評審決定，保訓會在「</w:t>
      </w:r>
      <w:r>
        <w:rPr>
          <w:rFonts w:hint="eastAsia"/>
          <w:b/>
          <w:u w:val="single"/>
        </w:rPr>
        <w:t>張克難案</w:t>
      </w:r>
      <w:r>
        <w:rPr>
          <w:rFonts w:hint="eastAsia"/>
        </w:rPr>
        <w:t>」中，並不認為是對於當事人所為之具體管理措施，而僅屬派令核發之前置程序行為。至於資績計分部分，保訓會在「</w:t>
      </w:r>
      <w:r>
        <w:rPr>
          <w:rFonts w:hint="eastAsia"/>
          <w:b/>
          <w:u w:val="single"/>
        </w:rPr>
        <w:t>莊靜宜案</w:t>
      </w:r>
      <w:r>
        <w:rPr>
          <w:rFonts w:hint="eastAsia"/>
        </w:rPr>
        <w:t>」中，認係機關具體管理措施，而最高行政法院似乎亦有相同的認知。例如在</w:t>
      </w:r>
      <w:r>
        <w:rPr>
          <w:rFonts w:hint="eastAsia"/>
          <w:b/>
          <w:u w:val="single"/>
        </w:rPr>
        <w:t>最高行政法院</w:t>
      </w:r>
      <w:r>
        <w:rPr>
          <w:rFonts w:hint="eastAsia"/>
          <w:b/>
          <w:u w:val="single"/>
        </w:rPr>
        <w:t>93</w:t>
      </w:r>
      <w:r>
        <w:rPr>
          <w:rFonts w:hint="eastAsia"/>
          <w:b/>
          <w:u w:val="single"/>
        </w:rPr>
        <w:t>年裁字第</w:t>
      </w:r>
      <w:r>
        <w:rPr>
          <w:rFonts w:hint="eastAsia"/>
          <w:b/>
          <w:u w:val="single"/>
        </w:rPr>
        <w:t>415</w:t>
      </w:r>
      <w:r>
        <w:rPr>
          <w:rFonts w:hint="eastAsia"/>
          <w:b/>
          <w:u w:val="single"/>
        </w:rPr>
        <w:t>號裁定（「</w:t>
      </w:r>
      <w:r>
        <w:rPr>
          <w:b/>
          <w:u w:val="single"/>
        </w:rPr>
        <w:t>林秀國</w:t>
      </w:r>
      <w:r>
        <w:rPr>
          <w:rFonts w:hint="eastAsia"/>
          <w:b/>
          <w:u w:val="single"/>
        </w:rPr>
        <w:t>案」）</w:t>
      </w:r>
      <w:r>
        <w:rPr>
          <w:rFonts w:hint="eastAsia"/>
        </w:rPr>
        <w:t>中，最高行政法院即明確指出：</w:t>
      </w:r>
      <w:r>
        <w:t>「</w:t>
      </w:r>
      <w:r>
        <w:rPr>
          <w:rFonts w:hint="eastAsia"/>
        </w:rPr>
        <w:t>『</w:t>
      </w:r>
      <w:r>
        <w:t>各機關辦理本機關人員之陞任，應注意其品德及對國家之忠誠，並依擬陞任職務所需知能，就考試、學歷、職務歷練、訓練、進修、年資、考績（成）、獎懲及發展潛能等項目，訂定標準，評定分數，</w:t>
      </w:r>
      <w:r>
        <w:rPr>
          <w:rFonts w:hint="eastAsia"/>
        </w:rPr>
        <w:t>...</w:t>
      </w:r>
      <w:r>
        <w:rPr>
          <w:rFonts w:hint="eastAsia"/>
        </w:rPr>
        <w:t>』</w:t>
      </w:r>
      <w:r>
        <w:t>為公務人員陞遷法第七條所明定。</w:t>
      </w:r>
      <w:r>
        <w:rPr>
          <w:b/>
          <w:u w:val="single"/>
        </w:rPr>
        <w:t>此種分數之評定，無非對於公務人員平時任職知能之考核，並不影響其任職之地位，無限制或剝奪其服公職之基本權利之法律上效果，性質上屬服務機關之管理措施</w:t>
      </w:r>
      <w:r>
        <w:t>。</w:t>
      </w:r>
      <w:r>
        <w:rPr>
          <w:rFonts w:hint="eastAsia"/>
        </w:rPr>
        <w:t>」</w:t>
      </w:r>
    </w:p>
    <w:p w:rsidR="007D6688" w:rsidRDefault="007D6688">
      <w:pPr>
        <w:pStyle w:val="22"/>
        <w:spacing w:line="480" w:lineRule="auto"/>
        <w:rPr>
          <w:rStyle w:val="af3"/>
          <w:rFonts w:hint="eastAsia"/>
          <w:b/>
        </w:rPr>
      </w:pPr>
      <w:r>
        <w:rPr>
          <w:rStyle w:val="af3"/>
          <w:rFonts w:hint="eastAsia"/>
          <w:b/>
        </w:rPr>
        <w:t>（三）請求陞任主管職務等未獲陞遷案件</w:t>
      </w:r>
    </w:p>
    <w:p w:rsidR="007D6688" w:rsidRDefault="007D6688">
      <w:pPr>
        <w:pStyle w:val="22"/>
        <w:spacing w:line="480" w:lineRule="auto"/>
        <w:rPr>
          <w:rStyle w:val="af3"/>
          <w:rFonts w:hint="eastAsia"/>
        </w:rPr>
      </w:pPr>
      <w:r>
        <w:rPr>
          <w:rStyle w:val="af3"/>
          <w:rFonts w:hint="eastAsia"/>
        </w:rPr>
        <w:t>最高行政法院認為公務人員請調組長職務被拒絕，並不影響現行職務與公務員身分，應屬內部管理措施，屬於再申訴事件（</w:t>
      </w:r>
      <w:r>
        <w:rPr>
          <w:rStyle w:val="af3"/>
          <w:rFonts w:ascii="Times New Roman" w:hAnsi="Times New Roman"/>
          <w:b/>
          <w:u w:val="single"/>
        </w:rPr>
        <w:t>最高行政法院</w:t>
      </w:r>
      <w:r>
        <w:rPr>
          <w:rStyle w:val="af3"/>
          <w:rFonts w:ascii="Times New Roman" w:hAnsi="Times New Roman"/>
          <w:b/>
          <w:u w:val="single"/>
        </w:rPr>
        <w:t>89</w:t>
      </w:r>
      <w:r>
        <w:rPr>
          <w:rStyle w:val="af3"/>
          <w:rFonts w:ascii="Times New Roman" w:hAnsi="Times New Roman"/>
          <w:b/>
          <w:u w:val="single"/>
        </w:rPr>
        <w:t>年度裁字第</w:t>
      </w:r>
      <w:r>
        <w:rPr>
          <w:rStyle w:val="af3"/>
          <w:rFonts w:ascii="Times New Roman" w:hAnsi="Times New Roman"/>
          <w:b/>
          <w:u w:val="single"/>
        </w:rPr>
        <w:t>1546</w:t>
      </w:r>
      <w:r>
        <w:rPr>
          <w:rStyle w:val="af3"/>
          <w:rFonts w:ascii="Times New Roman" w:hAnsi="Times New Roman"/>
          <w:b/>
          <w:u w:val="single"/>
        </w:rPr>
        <w:t>號裁定</w:t>
      </w:r>
      <w:r>
        <w:rPr>
          <w:rStyle w:val="af3"/>
          <w:rFonts w:ascii="Times New Roman" w:hAnsi="Times New Roman"/>
        </w:rPr>
        <w:t>）。</w:t>
      </w:r>
      <w:r>
        <w:rPr>
          <w:rStyle w:val="af3"/>
          <w:rFonts w:ascii="Times New Roman" w:hAnsi="Times New Roman" w:hint="eastAsia"/>
        </w:rPr>
        <w:t>類似見解，</w:t>
      </w:r>
      <w:r>
        <w:rPr>
          <w:rStyle w:val="af3"/>
          <w:rFonts w:ascii="Times New Roman" w:hAnsi="Times New Roman"/>
          <w:b/>
          <w:u w:val="single"/>
        </w:rPr>
        <w:t>最高行政法院</w:t>
      </w:r>
      <w:r>
        <w:rPr>
          <w:rStyle w:val="af3"/>
          <w:rFonts w:ascii="Times New Roman" w:hAnsi="Times New Roman"/>
          <w:b/>
          <w:u w:val="single"/>
        </w:rPr>
        <w:t>92</w:t>
      </w:r>
      <w:r>
        <w:rPr>
          <w:rStyle w:val="af3"/>
          <w:rFonts w:ascii="Times New Roman" w:hAnsi="Times New Roman"/>
          <w:b/>
          <w:u w:val="single"/>
        </w:rPr>
        <w:t>年度裁字第</w:t>
      </w:r>
      <w:r>
        <w:rPr>
          <w:rStyle w:val="af3"/>
          <w:rFonts w:ascii="Times New Roman" w:hAnsi="Times New Roman"/>
          <w:b/>
          <w:u w:val="single"/>
        </w:rPr>
        <w:t>341</w:t>
      </w:r>
      <w:r>
        <w:rPr>
          <w:rStyle w:val="af3"/>
          <w:rFonts w:ascii="Times New Roman" w:hAnsi="Times New Roman"/>
          <w:b/>
          <w:u w:val="single"/>
        </w:rPr>
        <w:t>號裁定</w:t>
      </w:r>
      <w:r>
        <w:rPr>
          <w:rStyle w:val="af3"/>
          <w:rFonts w:ascii="Times New Roman" w:hAnsi="Times New Roman" w:hint="eastAsia"/>
        </w:rPr>
        <w:t>更進一步指出，「</w:t>
      </w:r>
      <w:r>
        <w:t>相對人未調升抗告人擔任船舶交通管制中心航訊課課長乙職及八十八年年終非主管職務升遷未將之升任技正職務等項，</w:t>
      </w:r>
      <w:r>
        <w:rPr>
          <w:b/>
          <w:u w:val="single"/>
        </w:rPr>
        <w:t>係屬機關內部所為之管理措施事項，並未改變抗告人擔任公務員之身分關係，對其公務員之權利亦無重大影響，並非行政處分</w:t>
      </w:r>
      <w:r>
        <w:t>，自不得為撤銷訴訟之客體。</w:t>
      </w:r>
      <w:r>
        <w:rPr>
          <w:rFonts w:hint="eastAsia"/>
        </w:rPr>
        <w:t>」</w:t>
      </w:r>
    </w:p>
    <w:p w:rsidR="007D6688" w:rsidRDefault="007D6688">
      <w:pPr>
        <w:pStyle w:val="22"/>
        <w:spacing w:line="480" w:lineRule="auto"/>
        <w:rPr>
          <w:rFonts w:ascii="新細明體" w:hAnsi="新細明體" w:hint="eastAsia"/>
          <w:b/>
        </w:rPr>
      </w:pPr>
      <w:r>
        <w:rPr>
          <w:rStyle w:val="af3"/>
          <w:rFonts w:hint="eastAsia"/>
          <w:b/>
        </w:rPr>
        <w:t>（四）請求陞遷之請求權</w:t>
      </w:r>
    </w:p>
    <w:p w:rsidR="007D6688" w:rsidRDefault="007D6688">
      <w:pPr>
        <w:pStyle w:val="22"/>
        <w:spacing w:line="480" w:lineRule="auto"/>
        <w:rPr>
          <w:rFonts w:ascii="細明體" w:eastAsia="細明體" w:hAnsi="細明體" w:cs="細明體" w:hint="eastAsia"/>
          <w:kern w:val="0"/>
        </w:rPr>
      </w:pPr>
      <w:r>
        <w:rPr>
          <w:rFonts w:hint="eastAsia"/>
          <w:kern w:val="0"/>
        </w:rPr>
        <w:t>最高行政法院一貫地立場均認為公務人員經考試取得服公職之權利，並非指公務人員可以隨心所欲請求所欲任公職，特別是當其請求陞遷之職務若受有相關法律限制，而公務人員</w:t>
      </w:r>
      <w:r>
        <w:rPr>
          <w:kern w:val="0"/>
        </w:rPr>
        <w:t>所擬任之職務因與法律規定不合，主管機關未</w:t>
      </w:r>
      <w:r>
        <w:rPr>
          <w:rFonts w:hint="eastAsia"/>
          <w:kern w:val="0"/>
        </w:rPr>
        <w:t>與核</w:t>
      </w:r>
      <w:r>
        <w:rPr>
          <w:kern w:val="0"/>
        </w:rPr>
        <w:t>准，其工作權並非即受有不當之</w:t>
      </w:r>
      <w:r>
        <w:rPr>
          <w:rFonts w:ascii="細明體" w:eastAsia="細明體" w:hAnsi="細明體" w:cs="細明體"/>
          <w:kern w:val="0"/>
        </w:rPr>
        <w:t>限制</w:t>
      </w:r>
      <w:r>
        <w:rPr>
          <w:rFonts w:ascii="細明體" w:eastAsia="細明體" w:hAnsi="細明體" w:cs="細明體" w:hint="eastAsia"/>
          <w:kern w:val="0"/>
        </w:rPr>
        <w:t>（</w:t>
      </w:r>
      <w:r>
        <w:rPr>
          <w:rFonts w:ascii="細明體" w:eastAsia="細明體" w:hAnsi="細明體" w:cs="新細明體"/>
          <w:b/>
          <w:kern w:val="0"/>
          <w:u w:val="single"/>
        </w:rPr>
        <w:t>最高行政法院90年</w:t>
      </w:r>
      <w:r>
        <w:rPr>
          <w:rFonts w:ascii="細明體" w:eastAsia="細明體" w:hAnsi="細明體" w:cs="新細明體" w:hint="eastAsia"/>
          <w:b/>
          <w:kern w:val="0"/>
          <w:u w:val="single"/>
        </w:rPr>
        <w:t>度</w:t>
      </w:r>
      <w:r>
        <w:rPr>
          <w:rFonts w:ascii="細明體" w:eastAsia="細明體" w:hAnsi="細明體" w:cs="新細明體"/>
          <w:b/>
          <w:kern w:val="0"/>
          <w:u w:val="single"/>
        </w:rPr>
        <w:t>判字第441號</w:t>
      </w:r>
      <w:r>
        <w:rPr>
          <w:rFonts w:ascii="細明體" w:eastAsia="細明體" w:hAnsi="細明體" w:cs="新細明體" w:hint="eastAsia"/>
          <w:b/>
          <w:kern w:val="0"/>
          <w:u w:val="single"/>
        </w:rPr>
        <w:t>判決</w:t>
      </w:r>
      <w:r>
        <w:rPr>
          <w:rFonts w:ascii="細明體" w:eastAsia="細明體" w:hAnsi="細明體" w:cs="細明體" w:hint="eastAsia"/>
          <w:kern w:val="0"/>
        </w:rPr>
        <w:t>）。</w:t>
      </w:r>
      <w:r>
        <w:rPr>
          <w:rFonts w:ascii="細明體" w:eastAsia="細明體" w:hAnsi="細明體" w:cs="新細明體"/>
          <w:b/>
          <w:kern w:val="0"/>
          <w:u w:val="single"/>
        </w:rPr>
        <w:t>最高行政法院93年</w:t>
      </w:r>
      <w:r>
        <w:rPr>
          <w:rFonts w:ascii="細明體" w:eastAsia="細明體" w:hAnsi="細明體" w:cs="新細明體" w:hint="eastAsia"/>
          <w:b/>
          <w:kern w:val="0"/>
          <w:u w:val="single"/>
        </w:rPr>
        <w:t>度</w:t>
      </w:r>
      <w:r>
        <w:rPr>
          <w:rFonts w:ascii="細明體" w:eastAsia="細明體" w:hAnsi="細明體" w:cs="新細明體"/>
          <w:b/>
          <w:kern w:val="0"/>
          <w:u w:val="single"/>
        </w:rPr>
        <w:t>判字第903號</w:t>
      </w:r>
      <w:r>
        <w:rPr>
          <w:rFonts w:ascii="細明體" w:eastAsia="細明體" w:hAnsi="細明體" w:cs="新細明體" w:hint="eastAsia"/>
          <w:b/>
          <w:kern w:val="0"/>
          <w:u w:val="single"/>
        </w:rPr>
        <w:t>判決</w:t>
      </w:r>
      <w:r>
        <w:rPr>
          <w:rFonts w:ascii="細明體" w:eastAsia="細明體" w:hAnsi="細明體" w:cs="新細明體" w:hint="eastAsia"/>
          <w:kern w:val="0"/>
        </w:rPr>
        <w:t>則更具體指出：「</w:t>
      </w:r>
      <w:r>
        <w:rPr>
          <w:rFonts w:ascii="細明體" w:eastAsia="細明體" w:hAnsi="細明體" w:cs="細明體"/>
          <w:kern w:val="0"/>
        </w:rPr>
        <w:t>上訴人經國家考試及格，縱然具備法定之任用資格而得以擔任公務人員，然此不過為任公職之條件之一，</w:t>
      </w:r>
      <w:r>
        <w:rPr>
          <w:rFonts w:ascii="細明體" w:eastAsia="細明體" w:hAnsi="細明體" w:cs="細明體"/>
          <w:b/>
          <w:kern w:val="0"/>
        </w:rPr>
        <w:t>並非當然具備請求國家任用其為公務人員之公法上請求權</w:t>
      </w:r>
      <w:r>
        <w:rPr>
          <w:rFonts w:ascii="細明體" w:eastAsia="細明體" w:hAnsi="細明體" w:cs="細明體"/>
          <w:kern w:val="0"/>
        </w:rPr>
        <w:t>，從而被上訴人</w:t>
      </w:r>
      <w:r>
        <w:rPr>
          <w:rFonts w:ascii="細明體" w:eastAsia="細明體" w:hAnsi="細明體" w:cs="細明體"/>
          <w:b/>
          <w:kern w:val="0"/>
        </w:rPr>
        <w:t>及各機關首長自無因欠缺裁量權以致必須同意上訴人等予以任用之義務或情事存在</w:t>
      </w:r>
      <w:r>
        <w:rPr>
          <w:rFonts w:ascii="細明體" w:eastAsia="細明體" w:hAnsi="細明體" w:cs="細明體"/>
          <w:kern w:val="0"/>
        </w:rPr>
        <w:t>，原審因而認定上訴人等非公務人員，不得請求轉任或派職乙節，並無理由不備或矛盾之情事。</w:t>
      </w:r>
      <w:r>
        <w:rPr>
          <w:rFonts w:ascii="細明體" w:eastAsia="細明體" w:hAnsi="細明體" w:cs="細明體" w:hint="eastAsia"/>
          <w:kern w:val="0"/>
        </w:rPr>
        <w:t>」</w:t>
      </w:r>
    </w:p>
    <w:p w:rsidR="007D6688" w:rsidRDefault="007D6688">
      <w:pPr>
        <w:pStyle w:val="22"/>
        <w:spacing w:line="480" w:lineRule="auto"/>
        <w:rPr>
          <w:rFonts w:ascii="新細明體" w:hAnsi="新細明體" w:hint="eastAsia"/>
          <w:b/>
        </w:rPr>
      </w:pPr>
      <w:r>
        <w:rPr>
          <w:rStyle w:val="af3"/>
          <w:rFonts w:hint="eastAsia"/>
          <w:b/>
        </w:rPr>
        <w:t>（五）情況判決</w:t>
      </w:r>
    </w:p>
    <w:p w:rsidR="007D6688" w:rsidRDefault="007D6688">
      <w:pPr>
        <w:pStyle w:val="22"/>
        <w:spacing w:line="480" w:lineRule="auto"/>
        <w:rPr>
          <w:rStyle w:val="af3"/>
          <w:rFonts w:hint="eastAsia"/>
          <w:lang w:val="en-US"/>
        </w:rPr>
      </w:pPr>
      <w:r>
        <w:rPr>
          <w:rFonts w:hint="eastAsia"/>
          <w:kern w:val="0"/>
        </w:rPr>
        <w:t>對於保訓會在若干案件中，對於陞遷程序完成，第三人已獲陞遷任命，因未獲陞遷而請求救濟之公務人員，在事實上回復陞遷任命有困難時不得已所採用的情況決定，相較而言，行政法院的態度似乎比較保守。例如台北高等行政法院在「</w:t>
      </w:r>
      <w:r>
        <w:rPr>
          <w:rFonts w:hint="eastAsia"/>
          <w:b/>
          <w:kern w:val="0"/>
          <w:u w:val="single"/>
        </w:rPr>
        <w:t>劉慶蜀案</w:t>
      </w:r>
      <w:r>
        <w:rPr>
          <w:rFonts w:hint="eastAsia"/>
          <w:kern w:val="0"/>
        </w:rPr>
        <w:t>」中，即認定「</w:t>
      </w:r>
      <w:r>
        <w:rPr>
          <w:kern w:val="0"/>
        </w:rPr>
        <w:t>公務人員之身分應予保障，非依法律不得剝奪，基於身分之請求，其保障亦同，行為時公務人員保障法第七條第二項定有明文，且公務人員對於服務機關或人事主管機關所為足以改變公務人員身分關，或於公務人員權利有重大影響之行政處分，或基於公務人員身分所產生之公法上財產上請求權，係依公務人員保障法所定復審、再復審之程序（公務人員保障法於九十二年五月二十八日修正公布後，已無再復審程序），保障其權益，因此，</w:t>
      </w:r>
      <w:r>
        <w:rPr>
          <w:b/>
          <w:kern w:val="0"/>
          <w:u w:val="single"/>
        </w:rPr>
        <w:t>原告所受調任處分經撤銷結果所滋生第三人任用與銓敘之問題，乃行政救濟必然之結果，否則，有關公務人員人事保障案件，尤其直接或間接牽涉第三人權益之人事保障案件，縱經行政救濟結果亦無任何實益，當非公務人員保障法之立法旨趣所在。從而，系爭處分經撤銷之結果，第三人應僅生其受調任處分之信賴保護而毋須撤銷或廢止該第三人之調任處分及其銓敘審定之問題而已，一再復審決定倒果為因，徒以系爭處分之撤銷將與公益相違背為由而作成情況決定，於法尤難謂合</w:t>
      </w:r>
      <w:r>
        <w:rPr>
          <w:kern w:val="0"/>
        </w:rPr>
        <w:t>，應由本院將之一併撤銷</w:t>
      </w:r>
      <w:r>
        <w:rPr>
          <w:rFonts w:hint="eastAsia"/>
          <w:kern w:val="0"/>
        </w:rPr>
        <w:t>（</w:t>
      </w:r>
      <w:r>
        <w:rPr>
          <w:b/>
          <w:kern w:val="0"/>
          <w:u w:val="single"/>
        </w:rPr>
        <w:t>臺北高等行政法院</w:t>
      </w:r>
      <w:r>
        <w:rPr>
          <w:rFonts w:hint="eastAsia"/>
          <w:b/>
          <w:kern w:val="0"/>
          <w:u w:val="single"/>
        </w:rPr>
        <w:t>91</w:t>
      </w:r>
      <w:r>
        <w:rPr>
          <w:b/>
          <w:kern w:val="0"/>
          <w:u w:val="single"/>
        </w:rPr>
        <w:t>年訴字第</w:t>
      </w:r>
      <w:r>
        <w:rPr>
          <w:rFonts w:hint="eastAsia"/>
          <w:b/>
          <w:kern w:val="0"/>
          <w:u w:val="single"/>
        </w:rPr>
        <w:t>5284</w:t>
      </w:r>
      <w:r>
        <w:rPr>
          <w:b/>
          <w:kern w:val="0"/>
          <w:u w:val="single"/>
        </w:rPr>
        <w:t>號判決</w:t>
      </w:r>
      <w:r>
        <w:rPr>
          <w:rFonts w:hint="eastAsia"/>
          <w:kern w:val="0"/>
        </w:rPr>
        <w:t>）。」</w:t>
      </w:r>
    </w:p>
    <w:p w:rsidR="007D6688" w:rsidRDefault="007D6688">
      <w:pPr>
        <w:pStyle w:val="1"/>
        <w:spacing w:before="180" w:after="180" w:line="480" w:lineRule="auto"/>
        <w:rPr>
          <w:lang w:val="de-DE"/>
        </w:rPr>
      </w:pPr>
      <w:bookmarkStart w:id="97" w:name="_Toc121199222"/>
      <w:bookmarkStart w:id="98" w:name="_Toc121212694"/>
      <w:bookmarkStart w:id="99" w:name="_Toc121212957"/>
      <w:r>
        <w:rPr>
          <w:rFonts w:hint="eastAsia"/>
          <w:lang w:val="de-DE"/>
        </w:rPr>
        <w:t>4.</w:t>
      </w:r>
      <w:r>
        <w:rPr>
          <w:lang w:val="de-DE"/>
        </w:rPr>
        <w:t>陞遷決定之法律性質</w:t>
      </w:r>
      <w:bookmarkEnd w:id="97"/>
      <w:bookmarkEnd w:id="98"/>
      <w:bookmarkEnd w:id="99"/>
    </w:p>
    <w:p w:rsidR="007D6688" w:rsidRDefault="007D6688">
      <w:pPr>
        <w:pStyle w:val="2"/>
        <w:spacing w:line="480" w:lineRule="auto"/>
        <w:rPr>
          <w:rFonts w:hint="eastAsia"/>
          <w:lang w:val="de-DE"/>
        </w:rPr>
      </w:pPr>
      <w:bookmarkStart w:id="100" w:name="_Toc121199223"/>
      <w:bookmarkStart w:id="101" w:name="_Toc121212695"/>
      <w:bookmarkStart w:id="102" w:name="_Toc121212958"/>
      <w:r>
        <w:rPr>
          <w:rFonts w:hint="eastAsia"/>
          <w:lang w:val="de-DE"/>
        </w:rPr>
        <w:t>4.1.</w:t>
      </w:r>
      <w:r>
        <w:rPr>
          <w:lang w:val="de-DE"/>
        </w:rPr>
        <w:t>管理措施</w:t>
      </w:r>
      <w:r>
        <w:rPr>
          <w:lang w:val="de-DE"/>
        </w:rPr>
        <w:t>v.s.</w:t>
      </w:r>
      <w:r>
        <w:rPr>
          <w:lang w:val="de-DE"/>
        </w:rPr>
        <w:t>不利處分</w:t>
      </w:r>
      <w:bookmarkEnd w:id="100"/>
      <w:bookmarkEnd w:id="101"/>
      <w:bookmarkEnd w:id="102"/>
    </w:p>
    <w:p w:rsidR="007D6688" w:rsidRDefault="007D6688">
      <w:pPr>
        <w:pStyle w:val="22"/>
        <w:spacing w:line="480" w:lineRule="auto"/>
        <w:rPr>
          <w:rStyle w:val="af3"/>
          <w:rFonts w:ascii="Times New Roman" w:hAnsi="Times New Roman" w:hint="eastAsia"/>
          <w:lang w:val="en-US"/>
        </w:rPr>
      </w:pPr>
      <w:r>
        <w:rPr>
          <w:rStyle w:val="stext1"/>
          <w:rFonts w:ascii="sөũ" w:hAnsi="sөũ" w:hint="eastAsia"/>
          <w:sz w:val="24"/>
          <w:szCs w:val="24"/>
        </w:rPr>
        <w:t>根據保障法第</w:t>
      </w:r>
      <w:r>
        <w:rPr>
          <w:rStyle w:val="stext1"/>
          <w:rFonts w:ascii="sөũ" w:hAnsi="sөũ" w:hint="eastAsia"/>
          <w:sz w:val="24"/>
          <w:szCs w:val="24"/>
        </w:rPr>
        <w:t>77</w:t>
      </w:r>
      <w:r>
        <w:rPr>
          <w:rStyle w:val="stext1"/>
          <w:rFonts w:ascii="sөũ" w:hAnsi="sөũ" w:hint="eastAsia"/>
          <w:sz w:val="24"/>
          <w:szCs w:val="24"/>
        </w:rPr>
        <w:t>條之規定，</w:t>
      </w:r>
      <w:r>
        <w:rPr>
          <w:rFonts w:ascii="sөũ" w:hAnsi="sөũ"/>
        </w:rPr>
        <w:t>公務人員對於服務機關所為之管理措施或有關工作條件之處置認為不當，致影響其權益者，得依本法提起申訴、再申訴。</w:t>
      </w:r>
      <w:r>
        <w:rPr>
          <w:rFonts w:ascii="sөũ" w:hAnsi="sөũ" w:hint="eastAsia"/>
        </w:rPr>
        <w:t>歷來保訓會的見解認為，</w:t>
      </w:r>
      <w:r>
        <w:rPr>
          <w:rStyle w:val="stext1"/>
          <w:rFonts w:ascii="sөũ" w:hAnsi="sөũ"/>
          <w:sz w:val="24"/>
          <w:szCs w:val="24"/>
        </w:rPr>
        <w:t>除屬復審範圍之事項外，機關為達行政目的所為之作為或不作為，其有具體事實存在者，均屬管理措施之範疇，如機關長官或主管所為不同區域職務之調任、工作指派、不改變公務人員身分關係之記過、申誡懲處、考績評定或機關長官所發之職務命令均屬之</w:t>
      </w:r>
      <w:r>
        <w:rPr>
          <w:rStyle w:val="ae"/>
          <w:rFonts w:ascii="sөũ" w:hAnsi="sөũ" w:hint="eastAsia"/>
        </w:rPr>
        <w:footnoteReference w:id="14"/>
      </w:r>
      <w:r>
        <w:rPr>
          <w:rStyle w:val="stext1"/>
          <w:rFonts w:ascii="sөũ" w:hAnsi="sөũ"/>
          <w:sz w:val="24"/>
          <w:szCs w:val="24"/>
        </w:rPr>
        <w:t>。</w:t>
      </w:r>
      <w:r>
        <w:rPr>
          <w:rStyle w:val="stext1"/>
          <w:rFonts w:ascii="sөũ" w:hAnsi="sөũ" w:hint="eastAsia"/>
          <w:sz w:val="24"/>
          <w:szCs w:val="24"/>
        </w:rPr>
        <w:t>由此立場可知，保障法上作為申訴程序標的之管理措施，保訓會是將之限縮在「</w:t>
      </w:r>
      <w:r>
        <w:rPr>
          <w:rStyle w:val="stext1"/>
          <w:rFonts w:ascii="sөũ" w:hAnsi="sөũ"/>
          <w:sz w:val="24"/>
          <w:szCs w:val="24"/>
        </w:rPr>
        <w:t>有</w:t>
      </w:r>
      <w:r>
        <w:rPr>
          <w:rStyle w:val="stext1"/>
          <w:rFonts w:ascii="sөũ" w:hAnsi="sөũ" w:hint="eastAsia"/>
          <w:sz w:val="24"/>
          <w:szCs w:val="24"/>
        </w:rPr>
        <w:t>『</w:t>
      </w:r>
      <w:r>
        <w:rPr>
          <w:rStyle w:val="stext1"/>
          <w:rFonts w:ascii="sөũ" w:hAnsi="sөũ"/>
          <w:sz w:val="24"/>
          <w:szCs w:val="24"/>
        </w:rPr>
        <w:t>具體</w:t>
      </w:r>
      <w:r>
        <w:rPr>
          <w:rStyle w:val="stext1"/>
          <w:rFonts w:ascii="sөũ" w:hAnsi="sөũ" w:hint="eastAsia"/>
          <w:sz w:val="24"/>
          <w:szCs w:val="24"/>
        </w:rPr>
        <w:t>』</w:t>
      </w:r>
      <w:r>
        <w:rPr>
          <w:rStyle w:val="stext1"/>
          <w:rFonts w:ascii="sөũ" w:hAnsi="sөũ"/>
          <w:sz w:val="24"/>
          <w:szCs w:val="24"/>
        </w:rPr>
        <w:t>事實存在</w:t>
      </w:r>
      <w:r>
        <w:rPr>
          <w:rStyle w:val="stext1"/>
          <w:rFonts w:ascii="sөũ" w:hAnsi="sөũ" w:hint="eastAsia"/>
          <w:sz w:val="24"/>
          <w:szCs w:val="24"/>
        </w:rPr>
        <w:t>之管理措施」，一般抽象之管理行為並不屬之</w:t>
      </w:r>
      <w:r>
        <w:rPr>
          <w:rStyle w:val="ae"/>
          <w:rFonts w:ascii="sөũ" w:hAnsi="sөũ" w:hint="eastAsia"/>
        </w:rPr>
        <w:footnoteReference w:id="15"/>
      </w:r>
      <w:r>
        <w:rPr>
          <w:rStyle w:val="stext1"/>
          <w:rFonts w:ascii="sөũ" w:hAnsi="sөũ" w:hint="eastAsia"/>
          <w:sz w:val="24"/>
          <w:szCs w:val="24"/>
        </w:rPr>
        <w:t>；同時也將公務員懲處甚至有可能可以將懲戒</w:t>
      </w:r>
      <w:r>
        <w:rPr>
          <w:rStyle w:val="ae"/>
          <w:rFonts w:ascii="sөũ" w:hAnsi="sөũ" w:hint="eastAsia"/>
        </w:rPr>
        <w:footnoteReference w:id="16"/>
      </w:r>
      <w:r>
        <w:rPr>
          <w:rStyle w:val="stext1"/>
          <w:rFonts w:ascii="sөũ" w:hAnsi="sөũ" w:hint="eastAsia"/>
          <w:sz w:val="24"/>
          <w:szCs w:val="24"/>
        </w:rPr>
        <w:t>之不利處分包含在內。例如</w:t>
      </w:r>
      <w:r>
        <w:rPr>
          <w:rFonts w:hint="eastAsia"/>
        </w:rPr>
        <w:t>因公務員違反公務員服務法或各機關單位所定之特別規則，依「公務員考績法」規定，予以記大過、記過、申誡等處分均屬之。</w:t>
      </w:r>
    </w:p>
    <w:p w:rsidR="007D6688" w:rsidRDefault="007D6688">
      <w:pPr>
        <w:pStyle w:val="2"/>
        <w:spacing w:line="480" w:lineRule="auto"/>
        <w:rPr>
          <w:rFonts w:hint="eastAsia"/>
          <w:lang w:val="de-DE"/>
        </w:rPr>
      </w:pPr>
      <w:bookmarkStart w:id="103" w:name="_Toc121199224"/>
      <w:bookmarkStart w:id="104" w:name="_Toc121212696"/>
      <w:bookmarkStart w:id="105" w:name="_Toc121212959"/>
      <w:r>
        <w:rPr>
          <w:rFonts w:hint="eastAsia"/>
          <w:lang w:val="de-DE"/>
        </w:rPr>
        <w:t>4.2.</w:t>
      </w:r>
      <w:r>
        <w:rPr>
          <w:lang w:val="de-DE"/>
        </w:rPr>
        <w:t>不利處分</w:t>
      </w:r>
      <w:r>
        <w:rPr>
          <w:lang w:val="de-DE"/>
        </w:rPr>
        <w:t>v.s.</w:t>
      </w:r>
      <w:r>
        <w:rPr>
          <w:lang w:val="de-DE"/>
        </w:rPr>
        <w:t>行政處分</w:t>
      </w:r>
      <w:bookmarkEnd w:id="103"/>
      <w:bookmarkEnd w:id="104"/>
      <w:bookmarkEnd w:id="105"/>
    </w:p>
    <w:p w:rsidR="007D6688" w:rsidRDefault="007D6688">
      <w:pPr>
        <w:pStyle w:val="22"/>
        <w:spacing w:line="480" w:lineRule="auto"/>
        <w:rPr>
          <w:rStyle w:val="stext1"/>
          <w:rFonts w:ascii="sөũ" w:hAnsi="sөũ" w:hint="eastAsia"/>
          <w:color w:val="000000"/>
          <w:sz w:val="24"/>
          <w:szCs w:val="24"/>
        </w:rPr>
      </w:pPr>
      <w:r>
        <w:rPr>
          <w:rStyle w:val="stext1"/>
          <w:rFonts w:ascii="sөũ" w:hAnsi="sөũ" w:hint="eastAsia"/>
          <w:sz w:val="24"/>
          <w:szCs w:val="24"/>
        </w:rPr>
        <w:t>根據保障法</w:t>
      </w:r>
      <w:r>
        <w:rPr>
          <w:rFonts w:ascii="sөũ" w:hAnsi="sөũ"/>
          <w:color w:val="000000"/>
        </w:rPr>
        <w:t>第</w:t>
      </w:r>
      <w:r>
        <w:rPr>
          <w:rFonts w:ascii="sөũ" w:hAnsi="sөũ" w:hint="eastAsia"/>
          <w:color w:val="000000"/>
        </w:rPr>
        <w:t>25</w:t>
      </w:r>
      <w:r>
        <w:rPr>
          <w:rFonts w:ascii="sөũ" w:hAnsi="sөũ"/>
          <w:color w:val="000000"/>
        </w:rPr>
        <w:t>條</w:t>
      </w:r>
      <w:r>
        <w:rPr>
          <w:rFonts w:ascii="sөũ" w:hAnsi="sөũ" w:hint="eastAsia"/>
          <w:color w:val="000000"/>
        </w:rPr>
        <w:t>規定，</w:t>
      </w:r>
      <w:r>
        <w:rPr>
          <w:rFonts w:ascii="sөũ" w:hAnsi="sөũ"/>
          <w:color w:val="000000"/>
        </w:rPr>
        <w:t>公務人員對於服務機關或人事主管機關所為之行政處分，認為違法或顯然不當，致損害其權利或利益者，得依本法提起復審。</w:t>
      </w:r>
      <w:r>
        <w:rPr>
          <w:rFonts w:ascii="sөũ" w:hAnsi="sөũ" w:hint="eastAsia"/>
          <w:color w:val="000000"/>
        </w:rPr>
        <w:t>這種撤銷類型的復審程序標的，依保訓會歷來的解釋，</w:t>
      </w:r>
      <w:r>
        <w:rPr>
          <w:rStyle w:val="stext1"/>
          <w:rFonts w:ascii="sөũ" w:hAnsi="sөũ" w:hint="eastAsia"/>
          <w:color w:val="000000"/>
          <w:sz w:val="24"/>
          <w:szCs w:val="24"/>
        </w:rPr>
        <w:t>此</w:t>
      </w:r>
      <w:r>
        <w:rPr>
          <w:rStyle w:val="stext1"/>
          <w:rFonts w:ascii="sөũ" w:hAnsi="sөũ"/>
          <w:color w:val="000000"/>
          <w:sz w:val="24"/>
          <w:szCs w:val="24"/>
        </w:rPr>
        <w:t>所稱行政處分，除參照行政程序法第</w:t>
      </w:r>
      <w:r>
        <w:rPr>
          <w:rStyle w:val="stext1"/>
          <w:rFonts w:ascii="sөũ" w:hAnsi="sөũ"/>
          <w:color w:val="000000"/>
          <w:sz w:val="24"/>
          <w:szCs w:val="24"/>
        </w:rPr>
        <w:t>92</w:t>
      </w:r>
      <w:r>
        <w:rPr>
          <w:rStyle w:val="stext1"/>
          <w:rFonts w:ascii="sөũ" w:hAnsi="sөũ"/>
          <w:color w:val="000000"/>
          <w:sz w:val="24"/>
          <w:szCs w:val="24"/>
        </w:rPr>
        <w:t>條第</w:t>
      </w:r>
      <w:r>
        <w:rPr>
          <w:rStyle w:val="stext1"/>
          <w:rFonts w:ascii="sөũ" w:hAnsi="sөũ"/>
          <w:color w:val="000000"/>
          <w:sz w:val="24"/>
          <w:szCs w:val="24"/>
        </w:rPr>
        <w:t>1</w:t>
      </w:r>
      <w:r>
        <w:rPr>
          <w:rStyle w:val="stext1"/>
          <w:rFonts w:ascii="sөũ" w:hAnsi="sөũ"/>
          <w:color w:val="000000"/>
          <w:sz w:val="24"/>
          <w:szCs w:val="24"/>
        </w:rPr>
        <w:t>項規定，係指行政機關就公法上具體事件所為之決定或其他公權力措施而對外直接發生法律效果之單方行政行為外，依司法院歷次相關解釋意旨，</w:t>
      </w:r>
      <w:r>
        <w:rPr>
          <w:rStyle w:val="stext1"/>
          <w:rFonts w:ascii="sөũ" w:hAnsi="sөũ"/>
          <w:b/>
          <w:color w:val="000000"/>
          <w:sz w:val="24"/>
          <w:szCs w:val="24"/>
          <w:u w:val="single"/>
        </w:rPr>
        <w:t>尚以足以改變公務人員身分關係，或於公務人員權利有重大影響，或基於公務人員身分所產生之公法上財產請求權遭受侵害等事項，為得提起復審之範圍</w:t>
      </w:r>
      <w:r>
        <w:rPr>
          <w:rStyle w:val="ae"/>
          <w:rFonts w:ascii="sөũ" w:hAnsi="sөũ" w:hint="eastAsia"/>
          <w:color w:val="000000"/>
        </w:rPr>
        <w:footnoteReference w:id="17"/>
      </w:r>
      <w:r>
        <w:rPr>
          <w:rStyle w:val="stext1"/>
          <w:rFonts w:ascii="sөũ" w:hAnsi="sөũ"/>
          <w:color w:val="000000"/>
          <w:sz w:val="24"/>
          <w:szCs w:val="24"/>
        </w:rPr>
        <w:t>。</w:t>
      </w:r>
      <w:r>
        <w:rPr>
          <w:rStyle w:val="stext1"/>
          <w:rFonts w:ascii="sөũ" w:hAnsi="sөũ" w:hint="eastAsia"/>
          <w:color w:val="000000"/>
          <w:sz w:val="24"/>
          <w:szCs w:val="24"/>
        </w:rPr>
        <w:t>因此對於公務人員所為之不利處分，倘若對</w:t>
      </w:r>
      <w:r>
        <w:rPr>
          <w:rStyle w:val="stext1"/>
          <w:rFonts w:ascii="sөũ" w:hAnsi="sөũ"/>
          <w:color w:val="000000"/>
          <w:sz w:val="24"/>
          <w:szCs w:val="24"/>
        </w:rPr>
        <w:t>於公務人員權利</w:t>
      </w:r>
      <w:r>
        <w:rPr>
          <w:rStyle w:val="stext1"/>
          <w:rFonts w:ascii="sөũ" w:hAnsi="sөũ" w:hint="eastAsia"/>
          <w:color w:val="000000"/>
          <w:sz w:val="24"/>
          <w:szCs w:val="24"/>
        </w:rPr>
        <w:t>產生</w:t>
      </w:r>
      <w:r>
        <w:rPr>
          <w:rStyle w:val="stext1"/>
          <w:rFonts w:ascii="sөũ" w:hAnsi="sөũ"/>
          <w:color w:val="000000"/>
          <w:sz w:val="24"/>
          <w:szCs w:val="24"/>
        </w:rPr>
        <w:t>重大影響</w:t>
      </w:r>
      <w:r>
        <w:rPr>
          <w:rStyle w:val="stext1"/>
          <w:rFonts w:ascii="sөũ" w:hAnsi="sөũ" w:hint="eastAsia"/>
          <w:color w:val="000000"/>
          <w:sz w:val="24"/>
          <w:szCs w:val="24"/>
        </w:rPr>
        <w:t>時，亦得作為復審程序標的。</w:t>
      </w:r>
    </w:p>
    <w:p w:rsidR="007D6688" w:rsidRDefault="007D6688">
      <w:pPr>
        <w:pStyle w:val="22"/>
        <w:spacing w:line="480" w:lineRule="auto"/>
        <w:rPr>
          <w:rStyle w:val="af3"/>
        </w:rPr>
      </w:pPr>
      <w:r>
        <w:rPr>
          <w:rFonts w:ascii="sөũ" w:hAnsi="sөũ" w:hint="eastAsia"/>
          <w:color w:val="000000"/>
        </w:rPr>
        <w:t>另根據保障法第</w:t>
      </w:r>
      <w:r>
        <w:rPr>
          <w:rFonts w:ascii="sөũ" w:hAnsi="sөũ" w:hint="eastAsia"/>
          <w:color w:val="000000"/>
        </w:rPr>
        <w:t>26</w:t>
      </w:r>
      <w:r>
        <w:rPr>
          <w:rFonts w:ascii="sөũ" w:hAnsi="sөũ"/>
          <w:color w:val="000000"/>
        </w:rPr>
        <w:t>條</w:t>
      </w:r>
      <w:r>
        <w:rPr>
          <w:rFonts w:ascii="sөũ" w:hAnsi="sөũ" w:hint="eastAsia"/>
          <w:color w:val="000000"/>
        </w:rPr>
        <w:t>規定，</w:t>
      </w:r>
      <w:r>
        <w:rPr>
          <w:rFonts w:ascii="sөũ" w:hAnsi="sөũ"/>
          <w:color w:val="000000"/>
        </w:rPr>
        <w:t>公務人員因原處分機關對其依法申請之案件，於法定期間內</w:t>
      </w:r>
      <w:r>
        <w:rPr>
          <w:rFonts w:ascii="sөũ" w:hAnsi="sөũ"/>
          <w:b/>
          <w:color w:val="000000"/>
        </w:rPr>
        <w:t>應作為而不作為</w:t>
      </w:r>
      <w:r>
        <w:rPr>
          <w:rFonts w:ascii="sөũ" w:hAnsi="sөũ"/>
          <w:color w:val="000000"/>
        </w:rPr>
        <w:t>，認為損害其權利或利益者，亦得提起復審。</w:t>
      </w:r>
      <w:r>
        <w:rPr>
          <w:rFonts w:ascii="sөũ" w:hAnsi="sөũ" w:hint="eastAsia"/>
          <w:color w:val="000000"/>
        </w:rPr>
        <w:t>這是一種課予義務的復審類型。保訓會的立場似乎也將行政機關應作為的形式，限於作成行政處分。換言之，行政機關受理作成行政處分之申請後，</w:t>
      </w:r>
      <w:r>
        <w:rPr>
          <w:rFonts w:ascii="sөũ" w:hAnsi="sөũ"/>
          <w:color w:val="000000"/>
        </w:rPr>
        <w:t>於法定期間內應作為而不作為</w:t>
      </w:r>
      <w:r>
        <w:rPr>
          <w:rFonts w:ascii="sөũ" w:hAnsi="sөũ" w:hint="eastAsia"/>
          <w:color w:val="000000"/>
        </w:rPr>
        <w:t>，公務人員亦得提起復審救濟</w:t>
      </w:r>
      <w:r>
        <w:rPr>
          <w:rStyle w:val="ae"/>
          <w:rFonts w:ascii="sөũ" w:hAnsi="sөũ" w:hint="eastAsia"/>
          <w:color w:val="000000"/>
        </w:rPr>
        <w:footnoteReference w:id="18"/>
      </w:r>
      <w:r>
        <w:rPr>
          <w:rFonts w:ascii="sөũ" w:hAnsi="sөũ" w:hint="eastAsia"/>
          <w:color w:val="000000"/>
        </w:rPr>
        <w:t>。</w:t>
      </w:r>
    </w:p>
    <w:p w:rsidR="007D6688" w:rsidRDefault="007D6688">
      <w:pPr>
        <w:pStyle w:val="2"/>
        <w:spacing w:line="480" w:lineRule="auto"/>
        <w:rPr>
          <w:rFonts w:hint="eastAsia"/>
          <w:lang w:val="de-DE"/>
        </w:rPr>
      </w:pPr>
      <w:bookmarkStart w:id="106" w:name="_Toc121199225"/>
      <w:bookmarkStart w:id="107" w:name="_Toc121212697"/>
      <w:bookmarkStart w:id="108" w:name="_Toc121212960"/>
      <w:r>
        <w:rPr>
          <w:rFonts w:hint="eastAsia"/>
          <w:lang w:val="de-DE"/>
        </w:rPr>
        <w:t>4.3.</w:t>
      </w:r>
      <w:r>
        <w:rPr>
          <w:sz w:val="26"/>
          <w:lang w:val="de-DE"/>
        </w:rPr>
        <w:t>行政處分</w:t>
      </w:r>
      <w:r>
        <w:rPr>
          <w:sz w:val="26"/>
          <w:lang w:val="de-DE"/>
        </w:rPr>
        <w:t>v.s.</w:t>
      </w:r>
      <w:r>
        <w:rPr>
          <w:rFonts w:hint="eastAsia"/>
          <w:sz w:val="26"/>
          <w:lang w:val="de-DE"/>
        </w:rPr>
        <w:t>附第三人效力之行政</w:t>
      </w:r>
      <w:r>
        <w:rPr>
          <w:sz w:val="26"/>
          <w:lang w:val="de-DE"/>
        </w:rPr>
        <w:t>處分</w:t>
      </w:r>
      <w:bookmarkEnd w:id="106"/>
      <w:bookmarkEnd w:id="107"/>
      <w:bookmarkEnd w:id="108"/>
    </w:p>
    <w:p w:rsidR="007D6688" w:rsidRDefault="007D6688">
      <w:pPr>
        <w:pStyle w:val="22"/>
        <w:spacing w:line="480" w:lineRule="auto"/>
        <w:rPr>
          <w:rFonts w:hint="eastAsia"/>
          <w:kern w:val="0"/>
        </w:rPr>
      </w:pPr>
      <w:r>
        <w:rPr>
          <w:rFonts w:hint="eastAsia"/>
          <w:kern w:val="0"/>
        </w:rPr>
        <w:t>由於保障法救濟體系的二元區分，管理措施與行政處分的認定成了最重要的救濟先決條件。實務上一般將管理措施涵蓋對於公務人員所為之不利處分。同時又將行政處分的概念外延超過行政程序法第</w:t>
      </w:r>
      <w:r>
        <w:rPr>
          <w:kern w:val="0"/>
        </w:rPr>
        <w:t>92</w:t>
      </w:r>
      <w:r>
        <w:rPr>
          <w:kern w:val="0"/>
        </w:rPr>
        <w:t>條第</w:t>
      </w:r>
      <w:r>
        <w:rPr>
          <w:kern w:val="0"/>
        </w:rPr>
        <w:t>1</w:t>
      </w:r>
      <w:r>
        <w:rPr>
          <w:rFonts w:hint="eastAsia"/>
          <w:kern w:val="0"/>
        </w:rPr>
        <w:t>項定義之行政處分概念。如此兩邊夾擊的結果，使得原本不易界分的這兩個概念界線更加模糊。</w:t>
      </w:r>
    </w:p>
    <w:p w:rsidR="007D6688" w:rsidRDefault="007D6688">
      <w:pPr>
        <w:pStyle w:val="22"/>
        <w:spacing w:line="480" w:lineRule="auto"/>
        <w:rPr>
          <w:rFonts w:hint="eastAsia"/>
        </w:rPr>
      </w:pPr>
      <w:r>
        <w:rPr>
          <w:rFonts w:hint="eastAsia"/>
        </w:rPr>
        <w:t>過去囿於特別權力關係之理論，幾乎全盤否定行政機關內部管理措施會是發生「權利」作用的行為，更遑論將之理解為行政處分。但所幸實務上自大法官解釋釋字第</w:t>
      </w:r>
      <w:r>
        <w:rPr>
          <w:rFonts w:hint="eastAsia"/>
        </w:rPr>
        <w:t>187</w:t>
      </w:r>
      <w:r>
        <w:rPr>
          <w:rFonts w:hint="eastAsia"/>
        </w:rPr>
        <w:t>號解釋以降，逐步承認公務員的權利地位，突破特別權力關係理論後，更在釋字第</w:t>
      </w:r>
      <w:r>
        <w:rPr>
          <w:rFonts w:hint="eastAsia"/>
        </w:rPr>
        <w:t>243</w:t>
      </w:r>
      <w:r>
        <w:rPr>
          <w:rFonts w:hint="eastAsia"/>
        </w:rPr>
        <w:t>號解釋中，接受所謂經營關係與基礎關係的區分，認為行政機關對於公務員所為之不利處分應據此分別論斷其法律救濟之可能性。倘若直接影響其憲法所保障之服公職權利，已經造成公務員之基礎關係變動，受處分之公務員自得行使憲法第</w:t>
      </w:r>
      <w:r>
        <w:rPr>
          <w:rFonts w:hint="eastAsia"/>
        </w:rPr>
        <w:t>16</w:t>
      </w:r>
      <w:r>
        <w:rPr>
          <w:rFonts w:hint="eastAsia"/>
        </w:rPr>
        <w:t>條訴願及訴訟之權，方符有權利即有救濟之法理。但是若僅屬於經營關係下之管理措施，並未改變公務員之身分關係，不直接影響人民服公職之權利，仍不許其以訴訟請求救濟。其後，大法官更在釋字第</w:t>
      </w:r>
      <w:r>
        <w:rPr>
          <w:rFonts w:hint="eastAsia"/>
        </w:rPr>
        <w:t>298</w:t>
      </w:r>
      <w:r>
        <w:rPr>
          <w:rFonts w:hint="eastAsia"/>
        </w:rPr>
        <w:t>號解釋中，放棄基礎關係與經營關係之區分方式，主張關於足以改變公務員身分或對於公務員有重大影響之不利處分，受處分人均得向司法機關聲明不服，由該司法機關就原處分是否違法加以審查，以資救濟。由於彼時行政訴訟僅撤銷訴訟一類，其訴訟之程序標的有僅限於行政處分，故而會讓我們反推認定這些足以改變公務員身分或對於公務員有重大影響之不利處分即為行政處分。一時之間，對於公務員是否有重大影響的浮動游標，反成為決定行政處分的要素是否具備的最重要客觀基準。果如此，行政處分的判斷發生相對化的現象</w:t>
      </w:r>
      <w:r>
        <w:rPr>
          <w:rStyle w:val="ae"/>
        </w:rPr>
        <w:footnoteReference w:id="19"/>
      </w:r>
      <w:r>
        <w:rPr>
          <w:rFonts w:hint="eastAsia"/>
        </w:rPr>
        <w:t>，並不足為奇。</w:t>
      </w:r>
    </w:p>
    <w:p w:rsidR="007D6688" w:rsidRDefault="007D6688">
      <w:pPr>
        <w:pStyle w:val="22"/>
        <w:spacing w:line="480" w:lineRule="auto"/>
        <w:rPr>
          <w:rFonts w:hint="eastAsia"/>
        </w:rPr>
      </w:pPr>
      <w:r>
        <w:rPr>
          <w:rFonts w:hint="eastAsia"/>
        </w:rPr>
        <w:t>對於此一問題，</w:t>
      </w:r>
      <w:smartTag w:uri="urn:schemas-microsoft-com:office:smarttags" w:element="PersonName">
        <w:smartTagPr>
          <w:attr w:name="ProductID" w:val="李建良"/>
        </w:smartTagPr>
        <w:r>
          <w:rPr>
            <w:rFonts w:hint="eastAsia"/>
          </w:rPr>
          <w:t>李建良</w:t>
        </w:r>
      </w:smartTag>
      <w:r>
        <w:rPr>
          <w:rFonts w:hint="eastAsia"/>
        </w:rPr>
        <w:t>教授在檢討公務人員保障法復審標的範圍的大作</w:t>
      </w:r>
      <w:r>
        <w:rPr>
          <w:rStyle w:val="ae"/>
          <w:rFonts w:ascii="Arial" w:hAnsi="Arial" w:cs="Arial"/>
        </w:rPr>
        <w:footnoteReference w:id="20"/>
      </w:r>
      <w:r>
        <w:rPr>
          <w:rFonts w:hint="eastAsia"/>
        </w:rPr>
        <w:t>中，有令人深省的回應。</w:t>
      </w:r>
      <w:smartTag w:uri="urn:schemas-microsoft-com:office:smarttags" w:element="PersonName">
        <w:smartTagPr>
          <w:attr w:name="ProductID" w:val="李"/>
        </w:smartTagPr>
        <w:r>
          <w:rPr>
            <w:rFonts w:hint="eastAsia"/>
          </w:rPr>
          <w:t>李</w:t>
        </w:r>
      </w:smartTag>
      <w:r>
        <w:rPr>
          <w:rFonts w:hint="eastAsia"/>
        </w:rPr>
        <w:t>教授在本文中首先就公務人員保障法第</w:t>
      </w:r>
      <w:r>
        <w:rPr>
          <w:rFonts w:hint="eastAsia"/>
        </w:rPr>
        <w:t>25</w:t>
      </w:r>
      <w:r>
        <w:rPr>
          <w:rFonts w:hint="eastAsia"/>
        </w:rPr>
        <w:t>條（舊第</w:t>
      </w:r>
      <w:r>
        <w:rPr>
          <w:rFonts w:hint="eastAsia"/>
        </w:rPr>
        <w:t>18</w:t>
      </w:r>
      <w:r>
        <w:rPr>
          <w:rFonts w:hint="eastAsia"/>
        </w:rPr>
        <w:t>條）中「行政處分」規定之意涵加以詮釋。學說與實務上對於本法之規定是否與訴願法第</w:t>
      </w:r>
      <w:r>
        <w:rPr>
          <w:rFonts w:hint="eastAsia"/>
        </w:rPr>
        <w:t>3</w:t>
      </w:r>
      <w:r>
        <w:rPr>
          <w:rFonts w:hint="eastAsia"/>
        </w:rPr>
        <w:t>條第</w:t>
      </w:r>
      <w:r>
        <w:rPr>
          <w:rFonts w:hint="eastAsia"/>
        </w:rPr>
        <w:t>1</w:t>
      </w:r>
      <w:r>
        <w:rPr>
          <w:rFonts w:hint="eastAsia"/>
        </w:rPr>
        <w:t>項有關行政處分之定義內容相同，依</w:t>
      </w:r>
      <w:smartTag w:uri="urn:schemas-microsoft-com:office:smarttags" w:element="PersonName">
        <w:smartTagPr>
          <w:attr w:name="ProductID" w:val="李"/>
        </w:smartTagPr>
        <w:r>
          <w:rPr>
            <w:rFonts w:hint="eastAsia"/>
          </w:rPr>
          <w:t>李</w:t>
        </w:r>
      </w:smartTag>
      <w:r>
        <w:rPr>
          <w:rFonts w:hint="eastAsia"/>
        </w:rPr>
        <w:t>教授之見，略有認為本法既無規定，自應從訴願法規定者</w:t>
      </w:r>
      <w:r>
        <w:rPr>
          <w:rStyle w:val="ae"/>
          <w:rFonts w:ascii="Arial" w:hAnsi="Arial" w:cs="Arial"/>
        </w:rPr>
        <w:footnoteReference w:id="21"/>
      </w:r>
      <w:r>
        <w:rPr>
          <w:rFonts w:hint="eastAsia"/>
        </w:rPr>
        <w:t>；以及有認為兩法規定有別，其內涵應參酌歷來大法官解釋與行政法院裁判見解者</w:t>
      </w:r>
      <w:r>
        <w:rPr>
          <w:rStyle w:val="ae"/>
          <w:rFonts w:ascii="Arial" w:hAnsi="Arial" w:cs="Arial"/>
        </w:rPr>
        <w:footnoteReference w:id="22"/>
      </w:r>
      <w:r>
        <w:rPr>
          <w:rFonts w:hint="eastAsia"/>
        </w:rPr>
        <w:t>。但</w:t>
      </w:r>
      <w:smartTag w:uri="urn:schemas-microsoft-com:office:smarttags" w:element="PersonName">
        <w:smartTagPr>
          <w:attr w:name="ProductID" w:val="李"/>
        </w:smartTagPr>
        <w:r>
          <w:rPr>
            <w:rFonts w:hint="eastAsia"/>
          </w:rPr>
          <w:t>李</w:t>
        </w:r>
      </w:smartTag>
      <w:r>
        <w:rPr>
          <w:rFonts w:hint="eastAsia"/>
        </w:rPr>
        <w:t>教授認為，這兩種看法似異而實同。作為複審標的的「行政處分」必須符合（一）須為行政機關之行為、（二）須為行政機關之公法行為、（三）須為行政機關之單方行為、（四）須針對具體事件之行政行為、（五）須對外直接發生法律效果、（六）須為行政機關之決定或公權利措施等特徵方屬之。而在公務員勤務關係下，服務機關對於公務員之行為，尤以是否具備「須對外直接發生法律效果」之要素最難判斷。</w:t>
      </w:r>
      <w:smartTag w:uri="urn:schemas-microsoft-com:office:smarttags" w:element="PersonName">
        <w:smartTagPr>
          <w:attr w:name="ProductID" w:val="李"/>
        </w:smartTagPr>
        <w:r>
          <w:rPr>
            <w:rFonts w:hint="eastAsia"/>
          </w:rPr>
          <w:t>李</w:t>
        </w:r>
      </w:smartTag>
      <w:r>
        <w:rPr>
          <w:rFonts w:hint="eastAsia"/>
        </w:rPr>
        <w:t>教授在此讚許大法官解釋中，建構出以「對於公務員權益有重大影響」作為認定行政處分之基礎，突破特別權力關係不具「外部效力」之藩籬</w:t>
      </w:r>
      <w:r>
        <w:rPr>
          <w:rStyle w:val="ae"/>
          <w:rFonts w:ascii="Arial" w:hAnsi="Arial" w:cs="Arial"/>
        </w:rPr>
        <w:footnoteReference w:id="23"/>
      </w:r>
      <w:r>
        <w:rPr>
          <w:rFonts w:hint="eastAsia"/>
        </w:rPr>
        <w:t>。</w:t>
      </w:r>
      <w:smartTag w:uri="urn:schemas-microsoft-com:office:smarttags" w:element="PersonName">
        <w:smartTagPr>
          <w:attr w:name="ProductID" w:val="李"/>
        </w:smartTagPr>
        <w:r>
          <w:rPr>
            <w:rFonts w:hint="eastAsia"/>
          </w:rPr>
          <w:t>李</w:t>
        </w:r>
      </w:smartTag>
      <w:r>
        <w:rPr>
          <w:rFonts w:hint="eastAsia"/>
        </w:rPr>
        <w:t>教授在文後，並以法官免兼庭長職務的決定為例印證說明。在此</w:t>
      </w:r>
      <w:smartTag w:uri="urn:schemas-microsoft-com:office:smarttags" w:element="PersonName">
        <w:smartTagPr>
          <w:attr w:name="ProductID" w:val="李"/>
        </w:smartTagPr>
        <w:r>
          <w:rPr>
            <w:rFonts w:hint="eastAsia"/>
          </w:rPr>
          <w:t>李</w:t>
        </w:r>
      </w:smartTag>
      <w:r>
        <w:rPr>
          <w:rFonts w:hint="eastAsia"/>
        </w:rPr>
        <w:t>教授一方面接受如德國學界普遍的看法，認為行政處分特徵中有關是否「直接發生法律上對外效力」的判準，應從客觀規範內容的目標設定，而非取決於個該措施的事實上效應</w:t>
      </w:r>
      <w:r>
        <w:rPr>
          <w:rStyle w:val="ae"/>
          <w:rFonts w:ascii="Arial" w:hAnsi="Arial" w:cs="Arial"/>
        </w:rPr>
        <w:footnoteReference w:id="24"/>
      </w:r>
      <w:r>
        <w:rPr>
          <w:rFonts w:hint="eastAsia"/>
        </w:rPr>
        <w:t>。若公務員的職務調動，雖在同一機關之內，且未改變職等或職系，其若影響到公務員的權益者，為行政處分。而是否影響公務員的權益，則須從系爭決定的規範內容，並參酌相關規定及事實綜合判斷之。此時應依其客觀的內涵，審究其是否僅是機關內部的職務調整，抑或以形成改變公務員個人權利地位為目的，至於「事實上」的效應，非在考慮之列。而對於法官免兼庭長之決定，</w:t>
      </w:r>
      <w:smartTag w:uri="urn:schemas-microsoft-com:office:smarttags" w:element="PersonName">
        <w:smartTagPr>
          <w:attr w:name="ProductID" w:val="李"/>
        </w:smartTagPr>
        <w:r>
          <w:rPr>
            <w:rFonts w:hint="eastAsia"/>
          </w:rPr>
          <w:t>李</w:t>
        </w:r>
      </w:smartTag>
      <w:r>
        <w:rPr>
          <w:rFonts w:hint="eastAsia"/>
        </w:rPr>
        <w:t>教授進一步認為，「庭長」乃法院組織法及行政法院組織法所明定的職位（「法定職位」），而非司法行政機關本於其組織權限所設置。而在晉敘的起點上，庭長亦較一般法官為高。再者，庭長一職通常被視為一種榮譽職，庭長職位的免除，對當事人之外在觀瞻，難免影響。基於以上理由，應屬行政處分</w:t>
      </w:r>
      <w:r>
        <w:rPr>
          <w:rStyle w:val="ae"/>
          <w:rFonts w:ascii="Arial" w:hAnsi="Arial" w:cs="Arial"/>
        </w:rPr>
        <w:footnoteReference w:id="25"/>
      </w:r>
      <w:r>
        <w:rPr>
          <w:rFonts w:hint="eastAsia"/>
        </w:rPr>
        <w:t>。</w:t>
      </w:r>
    </w:p>
    <w:p w:rsidR="007D6688" w:rsidRDefault="007D6688">
      <w:pPr>
        <w:pStyle w:val="22"/>
        <w:spacing w:line="480" w:lineRule="auto"/>
        <w:rPr>
          <w:rFonts w:hint="eastAsia"/>
        </w:rPr>
      </w:pPr>
      <w:r>
        <w:rPr>
          <w:rFonts w:hint="eastAsia"/>
        </w:rPr>
        <w:t>對於</w:t>
      </w:r>
      <w:smartTag w:uri="urn:schemas-microsoft-com:office:smarttags" w:element="PersonName">
        <w:smartTagPr>
          <w:attr w:name="ProductID" w:val="李"/>
        </w:smartTagPr>
        <w:r>
          <w:rPr>
            <w:rFonts w:hint="eastAsia"/>
          </w:rPr>
          <w:t>李</w:t>
        </w:r>
      </w:smartTag>
      <w:r>
        <w:rPr>
          <w:rFonts w:hint="eastAsia"/>
        </w:rPr>
        <w:t>教授的主張，許宗力大法官則呼應指出，對於公務員權益的重大影響，在行政處分的判斷上，比起公務員身分是否因而改變的判準，具有較關鍵的地位。而所謂的「權益」重大影響，並不限於財產權的重大影響。以法官免兼庭長的決定而言，應該還包括憲法保障的名譽基本權。許大法官並引大法官釋字第</w:t>
      </w:r>
      <w:r>
        <w:rPr>
          <w:rFonts w:hint="eastAsia"/>
        </w:rPr>
        <w:t>187</w:t>
      </w:r>
      <w:r>
        <w:rPr>
          <w:rFonts w:hint="eastAsia"/>
        </w:rPr>
        <w:t>號解釋對照，在此號解釋中不論金額大小，只要涉及對於公務員的公法上財產權的決定均屬行政處分，否定涉及名譽權的免兼庭長決定為行政處分的看法，似乎並不公平。因此如果可以名譽權來作為判斷的話，對於過去同屬特別權利關係下之學生的「記過」處分，也應該認為是一個行政處分，至於對於學生之「警告、申誡」，則只是對於學生名譽權微不足道的輕微干預</w:t>
      </w:r>
      <w:r>
        <w:rPr>
          <w:rStyle w:val="ae"/>
          <w:rFonts w:ascii="Arial" w:hAnsi="Arial" w:cs="Arial"/>
        </w:rPr>
        <w:footnoteReference w:id="26"/>
      </w:r>
      <w:r>
        <w:rPr>
          <w:rFonts w:hint="eastAsia"/>
        </w:rPr>
        <w:t>。</w:t>
      </w:r>
    </w:p>
    <w:p w:rsidR="007D6688" w:rsidRDefault="007D6688">
      <w:pPr>
        <w:pStyle w:val="22"/>
        <w:spacing w:line="480" w:lineRule="auto"/>
        <w:rPr>
          <w:rFonts w:hint="eastAsia"/>
        </w:rPr>
      </w:pPr>
      <w:r>
        <w:rPr>
          <w:rFonts w:hint="eastAsia"/>
        </w:rPr>
        <w:t>對於學者們之見解，似乎有進一步說明之必要。首先應該肯定的是，複審標的之行政處分的判斷，應該與訴願法第</w:t>
      </w:r>
      <w:r>
        <w:rPr>
          <w:rFonts w:hint="eastAsia"/>
        </w:rPr>
        <w:t>3</w:t>
      </w:r>
      <w:r>
        <w:rPr>
          <w:rFonts w:hint="eastAsia"/>
        </w:rPr>
        <w:t>條第</w:t>
      </w:r>
      <w:r>
        <w:rPr>
          <w:rFonts w:hint="eastAsia"/>
        </w:rPr>
        <w:t>1</w:t>
      </w:r>
      <w:r>
        <w:rPr>
          <w:rFonts w:hint="eastAsia"/>
        </w:rPr>
        <w:t>項，甚至行政程序法第</w:t>
      </w:r>
      <w:r>
        <w:rPr>
          <w:rFonts w:hint="eastAsia"/>
        </w:rPr>
        <w:t>92</w:t>
      </w:r>
      <w:r>
        <w:rPr>
          <w:rFonts w:hint="eastAsia"/>
        </w:rPr>
        <w:t>條第</w:t>
      </w:r>
      <w:r>
        <w:rPr>
          <w:rFonts w:hint="eastAsia"/>
        </w:rPr>
        <w:t>1</w:t>
      </w:r>
      <w:r>
        <w:rPr>
          <w:rFonts w:hint="eastAsia"/>
        </w:rPr>
        <w:t>項的定義無異。不過是不是跟大法官解釋的認定絕對吻合，一如</w:t>
      </w:r>
      <w:smartTag w:uri="urn:schemas-microsoft-com:office:smarttags" w:element="PersonName">
        <w:smartTagPr>
          <w:attr w:name="ProductID" w:val="李"/>
        </w:smartTagPr>
        <w:r>
          <w:rPr>
            <w:rFonts w:hint="eastAsia"/>
          </w:rPr>
          <w:t>李</w:t>
        </w:r>
      </w:smartTag>
      <w:r>
        <w:rPr>
          <w:rFonts w:hint="eastAsia"/>
        </w:rPr>
        <w:t>教授前文所指，兩者間似異而實同，本文仍有質疑。因為根據訴願法第</w:t>
      </w:r>
      <w:r>
        <w:rPr>
          <w:rFonts w:hint="eastAsia"/>
        </w:rPr>
        <w:t>3</w:t>
      </w:r>
      <w:r>
        <w:rPr>
          <w:rFonts w:hint="eastAsia"/>
        </w:rPr>
        <w:t>條第</w:t>
      </w:r>
      <w:r>
        <w:rPr>
          <w:rFonts w:hint="eastAsia"/>
        </w:rPr>
        <w:t>1</w:t>
      </w:r>
      <w:r>
        <w:rPr>
          <w:rFonts w:hint="eastAsia"/>
        </w:rPr>
        <w:t>項或行政程序法第</w:t>
      </w:r>
      <w:r>
        <w:rPr>
          <w:rFonts w:hint="eastAsia"/>
        </w:rPr>
        <w:t>92</w:t>
      </w:r>
      <w:r>
        <w:rPr>
          <w:rFonts w:hint="eastAsia"/>
        </w:rPr>
        <w:t>條第</w:t>
      </w:r>
      <w:r>
        <w:rPr>
          <w:rFonts w:hint="eastAsia"/>
        </w:rPr>
        <w:t>1</w:t>
      </w:r>
      <w:r>
        <w:rPr>
          <w:rFonts w:hint="eastAsia"/>
        </w:rPr>
        <w:t>項的定義，在公務員法上，行政處分的判斷的確如</w:t>
      </w:r>
      <w:smartTag w:uri="urn:schemas-microsoft-com:office:smarttags" w:element="PersonName">
        <w:smartTagPr>
          <w:attr w:name="ProductID" w:val="李"/>
        </w:smartTagPr>
        <w:r>
          <w:rPr>
            <w:rFonts w:hint="eastAsia"/>
          </w:rPr>
          <w:t>李</w:t>
        </w:r>
      </w:smartTag>
      <w:r>
        <w:rPr>
          <w:rFonts w:hint="eastAsia"/>
        </w:rPr>
        <w:t>教授前文所稱，以是否發生「對外直接法律效果」的認定最具爭議。但是不論大法官的解釋或者如前揭學者之主張，似乎都傾向認同以「是否對於公務員權益重大影響」取代此一要素的判斷。所以在公務員法上，行政處分的定義，其實會被理解成「</w:t>
      </w:r>
      <w:r>
        <w:rPr>
          <w:rFonts w:hint="eastAsia"/>
          <w:b/>
          <w:bCs/>
        </w:rPr>
        <w:t>行政機關就公法上具體事件所為之決定或其他公權力之措施而『對公務員造成重大權益影響』之單方法律行為</w:t>
      </w:r>
      <w:r>
        <w:rPr>
          <w:rFonts w:hint="eastAsia"/>
        </w:rPr>
        <w:t>」。這一個意義上的轉折，使得原本行政處分定義中「外部性」與「直接法效性」的判斷一次被取代掉。但是我們如果仔細思考，是否對於公務員權益發生重大影響，也必須再區分三個層面判斷。第一，必須涉及公務員「權益」，第二是這個權益受到影響，第三這個影響必須「重大」。前者的思考與行政處分具備法效性的思考似乎類似，行政處分的法律效果，客觀上必須是對於公務員法律上的地位造成影響。這必須「從系爭決定的規範內容，並參酌相關規定及事實綜合判斷之」，以類似保護規範理論的理解方式加以判斷，當可接受。所以在法官免兼庭長的決定上，客觀上去解釋相關法規上對於「庭長」一職的規定具有賦予其特定法律上地位的操作方式，固可接受。但是即使如</w:t>
      </w:r>
      <w:smartTag w:uri="urn:schemas-microsoft-com:office:smarttags" w:element="PersonName">
        <w:smartTagPr>
          <w:attr w:name="ProductID" w:val="李"/>
        </w:smartTagPr>
        <w:r>
          <w:rPr>
            <w:rFonts w:hint="eastAsia"/>
          </w:rPr>
          <w:t>李</w:t>
        </w:r>
      </w:smartTag>
      <w:r>
        <w:rPr>
          <w:rFonts w:hint="eastAsia"/>
        </w:rPr>
        <w:t>教授所論，「庭長一職在整個法官公務生涯上，較之通常法官具有較高的職等</w:t>
      </w:r>
      <w:r>
        <w:rPr>
          <w:rStyle w:val="ae"/>
          <w:rFonts w:ascii="Arial" w:hAnsi="Arial" w:cs="Arial"/>
        </w:rPr>
        <w:footnoteReference w:id="27"/>
      </w:r>
      <w:r>
        <w:rPr>
          <w:rFonts w:hint="eastAsia"/>
        </w:rPr>
        <w:t>」，這是否即為法律上欲加以保護之地位，仍有疑問。同時免兼庭長的決定是否對於這個法律上的地位給予任何的形成或確認的影響，似乎並未發生。以此即推論該決定為行政處分，恐怕還是值得斟酌。就第二點而言，前述論者之處理方式並無法完全涵蓋行政處分作為一種具有規制效果的公法上意思表示，在主觀面上，應該強調的法效意思，或者行政機關或主管長官作成該處分之主觀目的性</w:t>
      </w:r>
      <w:r>
        <w:rPr>
          <w:rStyle w:val="ae"/>
          <w:rFonts w:ascii="Arial" w:hAnsi="Arial" w:cs="Arial"/>
        </w:rPr>
        <w:footnoteReference w:id="28"/>
      </w:r>
      <w:r>
        <w:rPr>
          <w:rFonts w:hint="eastAsia"/>
        </w:rPr>
        <w:t>。</w:t>
      </w:r>
    </w:p>
    <w:p w:rsidR="007D6688" w:rsidRDefault="007D6688">
      <w:pPr>
        <w:pStyle w:val="22"/>
        <w:spacing w:line="480" w:lineRule="auto"/>
        <w:rPr>
          <w:rFonts w:hint="eastAsia"/>
        </w:rPr>
      </w:pPr>
      <w:r>
        <w:rPr>
          <w:rFonts w:hint="eastAsia"/>
        </w:rPr>
        <w:t>至於許宗力大法官的立場，則是直接以基本權理論的論述（</w:t>
      </w:r>
      <w:smartTag w:uri="urn:schemas-microsoft-com:office:smarttags" w:element="PersonName">
        <w:smartTagPr>
          <w:attr w:name="ProductID" w:val="李"/>
        </w:smartTagPr>
        <w:r>
          <w:rPr>
            <w:rFonts w:hint="eastAsia"/>
          </w:rPr>
          <w:t>李</w:t>
        </w:r>
      </w:smartTag>
      <w:r>
        <w:rPr>
          <w:rFonts w:hint="eastAsia"/>
        </w:rPr>
        <w:t>教授亦兼採之），主張對於法官免兼庭長的決定直接影響到法官的隱私權，因此即認定該決定為行政處分。許大法官的說法其實也只是回答了此時該決定對於法官是否有「權益」影響，其進一步直接援引基本權作為請求權，承認所謂「基本權在規範外的效力（</w:t>
      </w:r>
      <w:r>
        <w:rPr>
          <w:rFonts w:hint="eastAsia"/>
        </w:rPr>
        <w:t>normexterne Wirkung</w:t>
      </w:r>
      <w:r>
        <w:rPr>
          <w:rFonts w:hint="eastAsia"/>
        </w:rPr>
        <w:t>）」而已</w:t>
      </w:r>
      <w:r>
        <w:rPr>
          <w:rStyle w:val="ae"/>
          <w:rFonts w:ascii="Arial" w:hAnsi="Arial" w:cs="Arial"/>
        </w:rPr>
        <w:footnoteReference w:id="29"/>
      </w:r>
      <w:r>
        <w:rPr>
          <w:rFonts w:hint="eastAsia"/>
        </w:rPr>
        <w:t>。姑且不論方法論的問題，我們也承認所謂的權益重大影響，並不限於財產權的重大影響，而應該還包括憲法保障的名譽基本權。只是權益受侵害與否跟造成權益侵害的公權力行為是否為行政處分並非同一問題。</w:t>
      </w:r>
    </w:p>
    <w:p w:rsidR="007D6688" w:rsidRDefault="007D6688">
      <w:pPr>
        <w:pStyle w:val="22"/>
        <w:spacing w:line="480" w:lineRule="auto"/>
        <w:rPr>
          <w:rFonts w:hint="eastAsia"/>
        </w:rPr>
      </w:pPr>
      <w:r>
        <w:rPr>
          <w:rFonts w:hint="eastAsia"/>
        </w:rPr>
        <w:t>本文在此否定涉及名譽權的免兼庭長決定為行政處分。其之所以不被認定為行政處分的原因應該是因為「外部性」與「直接法效性」的要素不具備使然。若以論者與實務的解釋，行政處分的判斷必須取決於公權力措施是否對於公務員權益發生重大影響，於此必須再判斷是否涉及公務員「權益」、是否權益受到影響，以及這個影響是否「重大」。正因為這種奇特的判準，才會有對於公務員或學生的「記過」處分，被認定為是一個行政處分，至於「警告、申誡」行為，則只是對於公務員或學生名譽權微不足道的輕微干預的說法（論者似乎在此規避是否為行政處分的回答）。如果對於公務員或學生為記過處分是一個重大影響名譽權的措施，何以對於公務員或學生的警告或申誡就僅是微不足道的干預。對於一個過犯無數的學生而言，再記上一個大過的處分或許對他毫無感覺，但是對於一個從無過犯的品行優良學生來說，一個申誡處分恐怕即會令之痛不欲生。如何輕言這是一種微不足道的干預？行政處分定義的判斷其實並無意識到權益影響的重大與否，因此，以高度不確定的「重大影響」與否判斷是否為行政處分，並進一步論斷是否給予權利救濟的作法，其實仍有疑問</w:t>
      </w:r>
      <w:r>
        <w:rPr>
          <w:rStyle w:val="ae"/>
          <w:rFonts w:ascii="Arial" w:hAnsi="Arial" w:cs="Arial"/>
        </w:rPr>
        <w:footnoteReference w:id="30"/>
      </w:r>
      <w:r>
        <w:rPr>
          <w:rFonts w:hint="eastAsia"/>
        </w:rPr>
        <w:t>（參附圖三）。</w:t>
      </w:r>
    </w:p>
    <w:p w:rsidR="007D6688" w:rsidRDefault="007D6688">
      <w:pPr>
        <w:pStyle w:val="22"/>
        <w:spacing w:line="480" w:lineRule="auto"/>
        <w:ind w:firstLineChars="0" w:firstLine="0"/>
        <w:rPr>
          <w:rFonts w:ascii="標楷體" w:eastAsia="標楷體" w:hAnsi="標楷體" w:hint="eastAsia"/>
        </w:rPr>
      </w:pPr>
      <w:r>
        <w:rPr>
          <w:rFonts w:ascii="標楷體" w:eastAsia="標楷體" w:hAnsi="標楷體" w:hint="eastAsia"/>
        </w:rPr>
        <w:t>附圖三：權利重大影響與行政處分屬性的演繹</w:t>
      </w:r>
    </w:p>
    <w:tbl>
      <w:tblPr>
        <w:tblW w:w="0" w:type="auto"/>
        <w:tblCellMar>
          <w:left w:w="28" w:type="dxa"/>
          <w:right w:w="28" w:type="dxa"/>
        </w:tblCellMar>
        <w:tblLook w:val="0000" w:firstRow="0" w:lastRow="0" w:firstColumn="0" w:lastColumn="0" w:noHBand="0" w:noVBand="0"/>
      </w:tblPr>
      <w:tblGrid>
        <w:gridCol w:w="1672"/>
        <w:gridCol w:w="1416"/>
        <w:gridCol w:w="1620"/>
        <w:gridCol w:w="1981"/>
        <w:gridCol w:w="1673"/>
      </w:tblGrid>
      <w:tr w:rsidR="007D6688">
        <w:tblPrEx>
          <w:tblCellMar>
            <w:top w:w="0" w:type="dxa"/>
            <w:bottom w:w="0" w:type="dxa"/>
          </w:tblCellMar>
        </w:tblPrEx>
        <w:tc>
          <w:tcPr>
            <w:tcW w:w="1672" w:type="dxa"/>
            <w:tcBorders>
              <w:top w:val="single" w:sz="12" w:space="0" w:color="auto"/>
              <w:left w:val="single" w:sz="12" w:space="0" w:color="auto"/>
              <w:bottom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eastAsia="標楷體" w:hint="eastAsia"/>
              </w:rPr>
              <w:t>足以改變公務員身分或對於公務員有重大影響之處分</w:t>
            </w:r>
          </w:p>
        </w:tc>
        <w:tc>
          <w:tcPr>
            <w:tcW w:w="1416" w:type="dxa"/>
            <w:tcBorders>
              <w:left w:val="single" w:sz="12" w:space="0" w:color="auto"/>
              <w:right w:val="single" w:sz="12" w:space="0" w:color="auto"/>
            </w:tcBorders>
          </w:tcPr>
          <w:p w:rsidR="007D6688" w:rsidRDefault="00003D2B">
            <w:pPr>
              <w:jc w:val="cente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79232" behindDoc="0" locked="0" layoutInCell="1" allowOverlap="1">
                      <wp:simplePos x="0" y="0"/>
                      <wp:positionH relativeFrom="column">
                        <wp:posOffset>81280</wp:posOffset>
                      </wp:positionH>
                      <wp:positionV relativeFrom="paragraph">
                        <wp:posOffset>243840</wp:posOffset>
                      </wp:positionV>
                      <wp:extent cx="685800" cy="342900"/>
                      <wp:effectExtent l="5080" t="24765" r="13970" b="13335"/>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FEA9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4" o:spid="_x0000_s1026" type="#_x0000_t93" style="position:absolute;margin-left:6.4pt;margin-top:19.2pt;width:54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"/>
                  </w:pict>
                </mc:Fallback>
              </mc:AlternateContent>
            </w:r>
          </w:p>
        </w:tc>
        <w:tc>
          <w:tcPr>
            <w:tcW w:w="1620" w:type="dxa"/>
            <w:tcBorders>
              <w:top w:val="single" w:sz="12" w:space="0" w:color="auto"/>
              <w:left w:val="single" w:sz="12" w:space="0" w:color="auto"/>
              <w:bottom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ascii="Arial" w:eastAsia="標楷體" w:hAnsi="Arial" w:cs="Arial" w:hint="eastAsia"/>
              </w:rPr>
              <w:t>有救濟必要</w:t>
            </w:r>
          </w:p>
          <w:p w:rsidR="007D6688" w:rsidRDefault="007D6688">
            <w:pPr>
              <w:jc w:val="center"/>
              <w:rPr>
                <w:rFonts w:ascii="Arial" w:eastAsia="標楷體" w:hAnsi="Arial" w:cs="Arial" w:hint="eastAsia"/>
              </w:rPr>
            </w:pPr>
          </w:p>
        </w:tc>
        <w:tc>
          <w:tcPr>
            <w:tcW w:w="1981" w:type="dxa"/>
            <w:tcBorders>
              <w:left w:val="single" w:sz="12" w:space="0" w:color="auto"/>
              <w:right w:val="single" w:sz="12" w:space="0" w:color="auto"/>
            </w:tcBorders>
            <w:vAlign w:val="center"/>
          </w:tcPr>
          <w:p w:rsidR="007D6688" w:rsidRDefault="007D6688">
            <w:pPr>
              <w:jc w:val="center"/>
              <w:rPr>
                <w:rFonts w:ascii="Arial" w:eastAsia="標楷體" w:hAnsi="Arial" w:cs="Arial" w:hint="eastAsia"/>
                <w:sz w:val="104"/>
              </w:rPr>
            </w:pPr>
            <w:r>
              <w:rPr>
                <w:rFonts w:ascii="Arial" w:hAnsi="Arial" w:cs="Arial"/>
                <w:sz w:val="104"/>
              </w:rPr>
              <w:t>?</w:t>
            </w:r>
            <w:r w:rsidR="00003D2B">
              <w:rPr>
                <w:rFonts w:ascii="Arial" w:eastAsia="標楷體" w:hAnsi="Arial" w:cs="Arial"/>
                <w:noProof/>
                <w:sz w:val="104"/>
              </w:rPr>
              <mc:AlternateContent>
                <mc:Choice Requires="wps">
                  <w:drawing>
                    <wp:anchor distT="0" distB="0" distL="114300" distR="114300" simplePos="0" relativeHeight="251678208" behindDoc="1" locked="0" layoutInCell="1" allowOverlap="1">
                      <wp:simplePos x="0" y="0"/>
                      <wp:positionH relativeFrom="column">
                        <wp:posOffset>210820</wp:posOffset>
                      </wp:positionH>
                      <wp:positionV relativeFrom="paragraph">
                        <wp:posOffset>267970</wp:posOffset>
                      </wp:positionV>
                      <wp:extent cx="914400" cy="342900"/>
                      <wp:effectExtent l="10795" t="20320" r="17780" b="825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stripedRightArrow">
                                <a:avLst>
                                  <a:gd name="adj1" fmla="val 50000"/>
                                  <a:gd name="adj2"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4D39" id="AutoShape 63" o:spid="_x0000_s1026" type="#_x0000_t93" style="position:absolute;margin-left:16.6pt;margin-top:21.1pt;width:1in;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"/>
                  </w:pict>
                </mc:Fallback>
              </mc:AlternateContent>
            </w:r>
          </w:p>
        </w:tc>
        <w:tc>
          <w:tcPr>
            <w:tcW w:w="1673" w:type="dxa"/>
            <w:tcBorders>
              <w:top w:val="single" w:sz="12" w:space="0" w:color="auto"/>
              <w:left w:val="single" w:sz="12" w:space="0" w:color="auto"/>
              <w:bottom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ascii="Arial" w:eastAsia="標楷體" w:hAnsi="Arial" w:cs="Arial" w:hint="eastAsia"/>
              </w:rPr>
              <w:t>對於公務員權益之重大影響行為＝行政處分</w:t>
            </w:r>
          </w:p>
        </w:tc>
      </w:tr>
      <w:tr w:rsidR="007D6688">
        <w:tblPrEx>
          <w:tblCellMar>
            <w:top w:w="0" w:type="dxa"/>
            <w:bottom w:w="0" w:type="dxa"/>
          </w:tblCellMar>
        </w:tblPrEx>
        <w:tc>
          <w:tcPr>
            <w:tcW w:w="1672" w:type="dxa"/>
            <w:tcBorders>
              <w:top w:val="single" w:sz="12" w:space="0" w:color="auto"/>
            </w:tcBorders>
          </w:tcPr>
          <w:p w:rsidR="007D6688" w:rsidRDefault="007D6688">
            <w:pPr>
              <w:jc w:val="center"/>
              <w:rPr>
                <w:rFonts w:ascii="Arial" w:eastAsia="標楷體" w:hAnsi="Arial" w:cs="Arial" w:hint="eastAsia"/>
              </w:rPr>
            </w:pPr>
          </w:p>
        </w:tc>
        <w:tc>
          <w:tcPr>
            <w:tcW w:w="1416" w:type="dxa"/>
          </w:tcPr>
          <w:p w:rsidR="007D6688" w:rsidRDefault="007D6688">
            <w:pPr>
              <w:jc w:val="center"/>
              <w:rPr>
                <w:rFonts w:ascii="Arial" w:eastAsia="標楷體" w:hAnsi="Arial" w:cs="Arial" w:hint="eastAsia"/>
              </w:rPr>
            </w:pPr>
            <w:r>
              <w:rPr>
                <w:rFonts w:ascii="Arial" w:eastAsia="標楷體" w:hAnsi="Arial" w:cs="Arial" w:hint="eastAsia"/>
              </w:rPr>
              <w:t>正確的突破</w:t>
            </w:r>
          </w:p>
        </w:tc>
        <w:tc>
          <w:tcPr>
            <w:tcW w:w="1620" w:type="dxa"/>
            <w:tcBorders>
              <w:top w:val="single" w:sz="12" w:space="0" w:color="auto"/>
            </w:tcBorders>
          </w:tcPr>
          <w:p w:rsidR="007D6688" w:rsidRDefault="007D6688">
            <w:pPr>
              <w:jc w:val="center"/>
              <w:rPr>
                <w:rFonts w:ascii="Arial" w:eastAsia="標楷體" w:hAnsi="Arial" w:cs="Arial" w:hint="eastAsia"/>
              </w:rPr>
            </w:pPr>
          </w:p>
        </w:tc>
        <w:tc>
          <w:tcPr>
            <w:tcW w:w="1981" w:type="dxa"/>
          </w:tcPr>
          <w:p w:rsidR="007D6688" w:rsidRDefault="007D6688">
            <w:pPr>
              <w:jc w:val="center"/>
              <w:rPr>
                <w:rFonts w:ascii="Arial" w:eastAsia="標楷體" w:hAnsi="Arial" w:cs="Arial" w:hint="eastAsia"/>
              </w:rPr>
            </w:pPr>
            <w:r>
              <w:rPr>
                <w:rFonts w:ascii="Arial" w:eastAsia="標楷體" w:hAnsi="Arial" w:cs="Arial" w:hint="eastAsia"/>
              </w:rPr>
              <w:t>未必正確的演繹</w:t>
            </w:r>
          </w:p>
        </w:tc>
        <w:tc>
          <w:tcPr>
            <w:tcW w:w="1673" w:type="dxa"/>
            <w:tcBorders>
              <w:top w:val="single" w:sz="12" w:space="0" w:color="auto"/>
            </w:tcBorders>
          </w:tcPr>
          <w:p w:rsidR="007D6688" w:rsidRDefault="007D6688">
            <w:pPr>
              <w:jc w:val="center"/>
              <w:rPr>
                <w:rFonts w:ascii="Arial" w:eastAsia="標楷體" w:hAnsi="Arial" w:cs="Arial" w:hint="eastAsia"/>
              </w:rPr>
            </w:pPr>
          </w:p>
        </w:tc>
      </w:tr>
    </w:tbl>
    <w:p w:rsidR="007D6688" w:rsidRDefault="007D6688">
      <w:pPr>
        <w:pStyle w:val="22"/>
        <w:spacing w:line="480" w:lineRule="auto"/>
        <w:rPr>
          <w:rFonts w:hint="eastAsia"/>
        </w:rPr>
      </w:pPr>
      <w:r>
        <w:rPr>
          <w:rFonts w:hint="eastAsia"/>
        </w:rPr>
        <w:t>本文認為，即令對於公務員權益（財產權或名譽權均無等差）造成影響，而有給予權利救濟之必要，亦不必然回答了對於權益造成影響的行政行為必須為行政處分</w:t>
      </w:r>
      <w:r>
        <w:rPr>
          <w:rStyle w:val="ae"/>
          <w:rFonts w:ascii="Arial" w:hAnsi="Arial" w:cs="Arial"/>
        </w:rPr>
        <w:footnoteReference w:id="31"/>
      </w:r>
      <w:r>
        <w:rPr>
          <w:rFonts w:hint="eastAsia"/>
        </w:rPr>
        <w:t>。以「重大影響」的判斷其實頂多只能回答有無給予權利保護之必要（</w:t>
      </w:r>
      <w:r>
        <w:t>Rechtsschutzbedürfnis</w:t>
      </w:r>
      <w:r>
        <w:rPr>
          <w:rFonts w:hint="eastAsia"/>
        </w:rPr>
        <w:t>）。至於行政處分這個即使被認為技術層次的要件判斷，應該還是回到實體法（訴願法或行政程序法的實體定義）上操作。否則不具規制內容（</w:t>
      </w:r>
      <w:r>
        <w:t>Regelung</w:t>
      </w:r>
      <w:r>
        <w:rPr>
          <w:rFonts w:hint="eastAsia"/>
        </w:rPr>
        <w:t>）的事實行為也可能會造成權利重大影響，難不成也要將之認定為行政處分。將行政訴訟上的其他實體判決要件納入行政處分的概念判斷中，不但無必要，同時也會造成行政處分的過度負擔</w:t>
      </w:r>
      <w:r>
        <w:rPr>
          <w:rStyle w:val="ae"/>
          <w:rFonts w:ascii="Arial" w:eastAsia="標楷體" w:hAnsi="Arial"/>
        </w:rPr>
        <w:footnoteReference w:id="32"/>
      </w:r>
      <w:r>
        <w:rPr>
          <w:rFonts w:eastAsia="標楷體" w:hint="eastAsia"/>
        </w:rPr>
        <w:t>。</w:t>
      </w:r>
      <w:r>
        <w:rPr>
          <w:rFonts w:hint="eastAsia"/>
        </w:rPr>
        <w:t>行政措施是否為行政處分的判斷，應該嚴格地依照行政程序法第</w:t>
      </w:r>
      <w:r>
        <w:rPr>
          <w:rFonts w:hint="eastAsia"/>
        </w:rPr>
        <w:t>92</w:t>
      </w:r>
      <w:r>
        <w:rPr>
          <w:rFonts w:hint="eastAsia"/>
        </w:rPr>
        <w:t>條第</w:t>
      </w:r>
      <w:r>
        <w:rPr>
          <w:rFonts w:hint="eastAsia"/>
        </w:rPr>
        <w:t>1</w:t>
      </w:r>
      <w:r>
        <w:rPr>
          <w:rFonts w:hint="eastAsia"/>
        </w:rPr>
        <w:t>項或訴願法有關行政處分的定義規定加以認定，而非先考慮到這個措施所造成的結果是否應該給予救濟的問題</w:t>
      </w:r>
      <w:r>
        <w:rPr>
          <w:rStyle w:val="ae"/>
          <w:rFonts w:ascii="Arial" w:hAnsi="Arial"/>
        </w:rPr>
        <w:footnoteReference w:id="33"/>
      </w:r>
      <w:r>
        <w:rPr>
          <w:rFonts w:hint="eastAsia"/>
        </w:rPr>
        <w:t>。</w:t>
      </w:r>
    </w:p>
    <w:p w:rsidR="007D6688" w:rsidRDefault="007D6688">
      <w:pPr>
        <w:pStyle w:val="22"/>
        <w:spacing w:line="480" w:lineRule="auto"/>
      </w:pPr>
      <w:r>
        <w:rPr>
          <w:rFonts w:hint="eastAsia"/>
        </w:rPr>
        <w:t>至於保訓會在</w:t>
      </w:r>
      <w:r>
        <w:rPr>
          <w:rFonts w:hint="eastAsia"/>
        </w:rPr>
        <w:t>92</w:t>
      </w:r>
      <w:r>
        <w:rPr>
          <w:rFonts w:hint="eastAsia"/>
        </w:rPr>
        <w:t>年</w:t>
      </w:r>
      <w:r>
        <w:rPr>
          <w:rFonts w:hint="eastAsia"/>
        </w:rPr>
        <w:t>10</w:t>
      </w:r>
      <w:r>
        <w:rPr>
          <w:rFonts w:hint="eastAsia"/>
        </w:rPr>
        <w:t>月</w:t>
      </w:r>
      <w:r>
        <w:rPr>
          <w:rFonts w:hint="eastAsia"/>
        </w:rPr>
        <w:t>17</w:t>
      </w:r>
      <w:r>
        <w:rPr>
          <w:rFonts w:hint="eastAsia"/>
        </w:rPr>
        <w:t>日後，對於復審標的不利益處分的認定，更明確地並非僅以行政程序法第</w:t>
      </w:r>
      <w:r>
        <w:rPr>
          <w:rFonts w:hint="eastAsia"/>
        </w:rPr>
        <w:t>92</w:t>
      </w:r>
      <w:r>
        <w:rPr>
          <w:rFonts w:hint="eastAsia"/>
        </w:rPr>
        <w:t>條第</w:t>
      </w:r>
      <w:r>
        <w:rPr>
          <w:rFonts w:hint="eastAsia"/>
        </w:rPr>
        <w:t>1</w:t>
      </w:r>
      <w:r>
        <w:rPr>
          <w:rFonts w:hint="eastAsia"/>
        </w:rPr>
        <w:t>項行政處分為限，而擴大至所有對於公務人員權利會產生重大影響的不利益決定上，在現有復審類型的有限情形下，為使公務人員權利救濟更符合全面完善的要求，其正當性當應予以肯任。惟若從制度的設計層面而言，目前法制對照行政訴訟法之規定，應該有速謀調整的必要</w:t>
      </w:r>
      <w:r>
        <w:rPr>
          <w:rStyle w:val="ae"/>
        </w:rPr>
        <w:footnoteReference w:id="34"/>
      </w:r>
      <w:r>
        <w:rPr>
          <w:rFonts w:hint="eastAsia"/>
        </w:rPr>
        <w:t>。（參附圖四）</w:t>
      </w:r>
    </w:p>
    <w:p w:rsidR="007D6688" w:rsidRDefault="007D6688">
      <w:pPr>
        <w:pStyle w:val="22"/>
        <w:ind w:firstLineChars="0" w:firstLine="0"/>
        <w:rPr>
          <w:rFonts w:ascii="標楷體" w:eastAsia="標楷體" w:hAnsi="標楷體" w:hint="eastAsia"/>
        </w:rPr>
      </w:pPr>
      <w:r>
        <w:br w:type="page"/>
      </w:r>
      <w:r>
        <w:rPr>
          <w:rFonts w:ascii="標楷體" w:eastAsia="標楷體" w:hAnsi="標楷體" w:hint="eastAsia"/>
        </w:rPr>
        <w:t>附圖四：保障法救濟類型的不足</w:t>
      </w:r>
    </w:p>
    <w:tbl>
      <w:tblPr>
        <w:tblW w:w="0" w:type="auto"/>
        <w:tblCellMar>
          <w:left w:w="28" w:type="dxa"/>
          <w:right w:w="28" w:type="dxa"/>
        </w:tblCellMar>
        <w:tblLook w:val="0000" w:firstRow="0" w:lastRow="0" w:firstColumn="0" w:lastColumn="0" w:noHBand="0" w:noVBand="0"/>
      </w:tblPr>
      <w:tblGrid>
        <w:gridCol w:w="1746"/>
        <w:gridCol w:w="1676"/>
        <w:gridCol w:w="1674"/>
        <w:gridCol w:w="996"/>
        <w:gridCol w:w="2354"/>
      </w:tblGrid>
      <w:tr w:rsidR="007D6688">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tcPr>
          <w:p w:rsidR="007D6688" w:rsidRDefault="007D6688">
            <w:pPr>
              <w:jc w:val="center"/>
              <w:rPr>
                <w:rFonts w:ascii="Arial" w:eastAsia="標楷體" w:hAnsi="Arial" w:cs="Arial" w:hint="eastAsia"/>
              </w:rPr>
            </w:pPr>
            <w:r>
              <w:rPr>
                <w:rFonts w:eastAsia="標楷體" w:hint="eastAsia"/>
              </w:rPr>
              <w:t>足以改變公務員身分或對於公務員有重大影響之決定</w:t>
            </w:r>
            <w:r>
              <w:rPr>
                <w:rFonts w:ascii="Arial" w:eastAsia="標楷體" w:hAnsi="Arial" w:cs="Arial" w:hint="eastAsia"/>
              </w:rPr>
              <w:t>（</w:t>
            </w:r>
            <w:r>
              <w:rPr>
                <w:rFonts w:ascii="Arial" w:eastAsia="標楷體" w:hAnsi="Arial" w:cs="Arial" w:hint="eastAsia"/>
              </w:rPr>
              <w:t>VA</w:t>
            </w:r>
            <w:r>
              <w:rPr>
                <w:rFonts w:ascii="Arial" w:eastAsia="標楷體" w:hAnsi="Arial" w:cs="Arial" w:hint="eastAsia"/>
              </w:rPr>
              <w:t>）</w:t>
            </w:r>
          </w:p>
        </w:tc>
        <w:tc>
          <w:tcPr>
            <w:tcW w:w="1800" w:type="dxa"/>
            <w:vMerge w:val="restart"/>
            <w:tcBorders>
              <w:left w:val="single" w:sz="12" w:space="0" w:color="auto"/>
              <w:right w:val="single" w:sz="12" w:space="0" w:color="auto"/>
            </w:tcBorders>
            <w:vAlign w:val="center"/>
          </w:tcPr>
          <w:p w:rsidR="007D6688" w:rsidRDefault="007D6688">
            <w:pPr>
              <w:jc w:val="center"/>
              <w:rPr>
                <w:rFonts w:ascii="Arial" w:eastAsia="標楷體" w:hAnsi="Arial" w:cs="Arial"/>
              </w:rPr>
            </w:pPr>
          </w:p>
          <w:p w:rsidR="007D6688" w:rsidRDefault="00003D2B">
            <w:pP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81280" behindDoc="0" locked="0" layoutInCell="1" allowOverlap="1">
                      <wp:simplePos x="0" y="0"/>
                      <wp:positionH relativeFrom="column">
                        <wp:posOffset>81280</wp:posOffset>
                      </wp:positionH>
                      <wp:positionV relativeFrom="paragraph">
                        <wp:posOffset>64770</wp:posOffset>
                      </wp:positionV>
                      <wp:extent cx="909955" cy="228600"/>
                      <wp:effectExtent l="5080" t="17145" r="18415" b="1143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228600"/>
                              </a:xfrm>
                              <a:prstGeom prst="rightArrow">
                                <a:avLst>
                                  <a:gd name="adj1" fmla="val 50000"/>
                                  <a:gd name="adj2" fmla="val 99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4C3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8" o:spid="_x0000_s1026" type="#_x0000_t13" style="position:absolute;margin-left:6.4pt;margin-top:5.1pt;width:71.6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"/>
                  </w:pict>
                </mc:Fallback>
              </mc:AlternateContent>
            </w:r>
          </w:p>
          <w:p w:rsidR="007D6688" w:rsidRDefault="007D6688">
            <w:pPr>
              <w:rPr>
                <w:rFonts w:ascii="Arial" w:eastAsia="標楷體" w:hAnsi="Arial" w:cs="Arial" w:hint="eastAsia"/>
              </w:rPr>
            </w:pPr>
          </w:p>
          <w:p w:rsidR="007D6688" w:rsidRDefault="00003D2B">
            <w:pPr>
              <w:jc w:val="center"/>
              <w:rPr>
                <w:rFonts w:ascii="Arial" w:eastAsia="標楷體" w:hAnsi="Arial" w:cs="Arial" w:hint="eastAsia"/>
              </w:rPr>
            </w:pPr>
            <w:r>
              <w:rPr>
                <w:rFonts w:ascii="Arial" w:eastAsia="標楷體" w:hAnsi="Arial" w:cs="Arial"/>
                <w:noProof/>
              </w:rPr>
              <mc:AlternateContent>
                <mc:Choice Requires="wps">
                  <w:drawing>
                    <wp:anchor distT="0" distB="0" distL="114300" distR="114300" simplePos="0" relativeHeight="251683328" behindDoc="0" locked="0" layoutInCell="1" allowOverlap="1">
                      <wp:simplePos x="0" y="0"/>
                      <wp:positionH relativeFrom="column">
                        <wp:posOffset>99695</wp:posOffset>
                      </wp:positionH>
                      <wp:positionV relativeFrom="paragraph">
                        <wp:posOffset>899160</wp:posOffset>
                      </wp:positionV>
                      <wp:extent cx="914400" cy="228600"/>
                      <wp:effectExtent l="13970" t="13335" r="24130" b="1524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FADF" id="AutoShape 80" o:spid="_x0000_s1026" type="#_x0000_t13" style="position:absolute;margin-left:7.85pt;margin-top:70.8pt;width:1in;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"/>
                  </w:pict>
                </mc:Fallback>
              </mc:AlternateContent>
            </w:r>
            <w:r>
              <w:rPr>
                <w:rFonts w:ascii="Arial" w:eastAsia="標楷體" w:hAnsi="Arial" w:cs="Arial"/>
                <w:noProof/>
                <w:sz w:val="20"/>
              </w:rPr>
              <mc:AlternateContent>
                <mc:Choice Requires="wps">
                  <w:drawing>
                    <wp:anchor distT="0" distB="0" distL="114300" distR="114300" simplePos="0" relativeHeight="251682304" behindDoc="0" locked="0" layoutInCell="1" allowOverlap="1">
                      <wp:simplePos x="0" y="0"/>
                      <wp:positionH relativeFrom="column">
                        <wp:posOffset>99695</wp:posOffset>
                      </wp:positionH>
                      <wp:positionV relativeFrom="paragraph">
                        <wp:posOffset>441960</wp:posOffset>
                      </wp:positionV>
                      <wp:extent cx="914400" cy="228600"/>
                      <wp:effectExtent l="13970" t="13335" r="24130" b="571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81E9" id="AutoShape 79" o:spid="_x0000_s1026" type="#_x0000_t13" style="position:absolute;margin-left:7.85pt;margin-top:34.8pt;width:1in;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"/>
                  </w:pict>
                </mc:Fallback>
              </mc:AlternateContent>
            </w:r>
            <w:r w:rsidR="007D6688">
              <w:rPr>
                <w:rFonts w:ascii="Arial" w:eastAsia="標楷體" w:hAnsi="Arial" w:cs="Arial" w:hint="eastAsia"/>
              </w:rPr>
              <w:t xml:space="preserve"> </w:t>
            </w:r>
            <w:r w:rsidR="007D6688">
              <w:rPr>
                <w:rFonts w:ascii="Arial" w:eastAsia="標楷體" w:hAnsi="Arial" w:cs="Arial"/>
              </w:rPr>
              <w:t xml:space="preserve">§ 92 I </w:t>
            </w:r>
            <w:r w:rsidR="007D6688">
              <w:rPr>
                <w:rFonts w:ascii="Arial" w:eastAsia="標楷體" w:hAnsi="Arial" w:cs="Arial" w:hint="eastAsia"/>
              </w:rPr>
              <w:t>行政程序法</w:t>
            </w:r>
          </w:p>
        </w:tc>
        <w:tc>
          <w:tcPr>
            <w:tcW w:w="1800" w:type="dxa"/>
            <w:vMerge w:val="restart"/>
            <w:tcBorders>
              <w:top w:val="single" w:sz="12" w:space="0" w:color="auto"/>
              <w:left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ascii="Arial" w:eastAsia="標楷體" w:hAnsi="Arial" w:cs="Arial" w:hint="eastAsia"/>
              </w:rPr>
              <w:t>有救濟必要</w:t>
            </w:r>
          </w:p>
        </w:tc>
        <w:tc>
          <w:tcPr>
            <w:tcW w:w="1080" w:type="dxa"/>
            <w:vMerge w:val="restart"/>
            <w:tcBorders>
              <w:left w:val="single" w:sz="12" w:space="0" w:color="auto"/>
              <w:right w:val="single" w:sz="12" w:space="0" w:color="auto"/>
            </w:tcBorders>
          </w:tcPr>
          <w:p w:rsidR="007D6688" w:rsidRDefault="00003D2B">
            <w:pPr>
              <w:jc w:val="cente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80256" behindDoc="0" locked="0" layoutInCell="1" allowOverlap="1">
                      <wp:simplePos x="0" y="0"/>
                      <wp:positionH relativeFrom="column">
                        <wp:posOffset>96520</wp:posOffset>
                      </wp:positionH>
                      <wp:positionV relativeFrom="paragraph">
                        <wp:posOffset>438150</wp:posOffset>
                      </wp:positionV>
                      <wp:extent cx="803910" cy="795020"/>
                      <wp:effectExtent l="29845" t="85725" r="0" b="9080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8335">
                                <a:off x="0" y="0"/>
                                <a:ext cx="803910" cy="795020"/>
                              </a:xfrm>
                              <a:custGeom>
                                <a:avLst/>
                                <a:gdLst>
                                  <a:gd name="G0" fmla="+- 14288 0 0"/>
                                  <a:gd name="G1" fmla="+- 18666 0 0"/>
                                  <a:gd name="G2" fmla="+- 4152 0 0"/>
                                  <a:gd name="G3" fmla="*/ 14288 1 2"/>
                                  <a:gd name="G4" fmla="+- G3 10800 0"/>
                                  <a:gd name="G5" fmla="+- 21600 14288 18666"/>
                                  <a:gd name="G6" fmla="+- 18666 4152 0"/>
                                  <a:gd name="G7" fmla="*/ G6 1 2"/>
                                  <a:gd name="G8" fmla="*/ 18666 2 1"/>
                                  <a:gd name="G9" fmla="+- G8 0 21600"/>
                                  <a:gd name="G10" fmla="+- G5 0 G4"/>
                                  <a:gd name="G11" fmla="+- 14288 0 G4"/>
                                  <a:gd name="G12" fmla="*/ G2 G10 G11"/>
                                  <a:gd name="T0" fmla="*/ 17944 w 21600"/>
                                  <a:gd name="T1" fmla="*/ 0 h 21600"/>
                                  <a:gd name="T2" fmla="*/ 14288 w 21600"/>
                                  <a:gd name="T3" fmla="*/ 4152 h 21600"/>
                                  <a:gd name="T4" fmla="*/ 4152 w 21600"/>
                                  <a:gd name="T5" fmla="*/ 14288 h 21600"/>
                                  <a:gd name="T6" fmla="*/ 0 w 21600"/>
                                  <a:gd name="T7" fmla="*/ 17944 h 21600"/>
                                  <a:gd name="T8" fmla="*/ 4152 w 21600"/>
                                  <a:gd name="T9" fmla="*/ 21600 h 21600"/>
                                  <a:gd name="T10" fmla="*/ 11409 w 21600"/>
                                  <a:gd name="T11" fmla="*/ 18666 h 21600"/>
                                  <a:gd name="T12" fmla="*/ 18666 w 21600"/>
                                  <a:gd name="T13" fmla="*/ 11409 h 21600"/>
                                  <a:gd name="T14" fmla="*/ 21600 w 21600"/>
                                  <a:gd name="T15" fmla="*/ 4152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7944" y="0"/>
                                    </a:moveTo>
                                    <a:lnTo>
                                      <a:pt x="14288" y="4152"/>
                                    </a:lnTo>
                                    <a:lnTo>
                                      <a:pt x="17222" y="4152"/>
                                    </a:lnTo>
                                    <a:lnTo>
                                      <a:pt x="17222" y="17222"/>
                                    </a:lnTo>
                                    <a:lnTo>
                                      <a:pt x="4152" y="17222"/>
                                    </a:lnTo>
                                    <a:lnTo>
                                      <a:pt x="4152" y="14288"/>
                                    </a:lnTo>
                                    <a:lnTo>
                                      <a:pt x="0" y="17944"/>
                                    </a:lnTo>
                                    <a:lnTo>
                                      <a:pt x="4152" y="21600"/>
                                    </a:lnTo>
                                    <a:lnTo>
                                      <a:pt x="4152" y="18666"/>
                                    </a:lnTo>
                                    <a:lnTo>
                                      <a:pt x="18666" y="18666"/>
                                    </a:lnTo>
                                    <a:lnTo>
                                      <a:pt x="18666" y="4152"/>
                                    </a:lnTo>
                                    <a:lnTo>
                                      <a:pt x="21600" y="4152"/>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9BED" id="AutoShape 77" o:spid="_x0000_s1026" style="position:absolute;margin-left:7.6pt;margin-top:34.5pt;width:63.3pt;height:62.6pt;rotation:8856464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" path="m17944,l14288,4152r2934,l17222,17222r-13070,l4152,14288,,17944r4152,3656l4152,18666r14514,l18666,4152r2934,l17944,xe">
                      <v:stroke joinstyle="miter"/>
                      <v:path o:connecttype="custom" o:connectlocs="667841,0;531772,152821;154529,525891;0,660456;154529,795020;424621,687030;694712,419925;803910,152821" o:connectangles="270,180,270,180,90,90,0,0" textboxrect="820,17222,18666,18666"/>
                    </v:shape>
                  </w:pict>
                </mc:Fallback>
              </mc:AlternateContent>
            </w:r>
          </w:p>
        </w:tc>
        <w:tc>
          <w:tcPr>
            <w:tcW w:w="2520" w:type="dxa"/>
            <w:tcBorders>
              <w:top w:val="single" w:sz="12" w:space="0" w:color="auto"/>
              <w:left w:val="single" w:sz="12" w:space="0" w:color="auto"/>
              <w:bottom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ascii="Arial" w:eastAsia="標楷體" w:hAnsi="Arial" w:cs="Arial" w:hint="eastAsia"/>
              </w:rPr>
              <w:t>復審、撤銷訴訟或課予義務訴訟</w:t>
            </w:r>
          </w:p>
        </w:tc>
      </w:tr>
      <w:tr w:rsidR="007D6688">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shd w:val="clear" w:color="auto" w:fill="E6E6E6"/>
          </w:tcPr>
          <w:p w:rsidR="007D6688" w:rsidRDefault="007D6688">
            <w:pPr>
              <w:jc w:val="center"/>
              <w:rPr>
                <w:rFonts w:eastAsia="標楷體" w:hint="eastAsia"/>
              </w:rPr>
            </w:pPr>
            <w:r>
              <w:rPr>
                <w:rFonts w:eastAsia="標楷體" w:hint="eastAsia"/>
              </w:rPr>
              <w:t>對於公務員有重大影響之決定</w:t>
            </w:r>
          </w:p>
          <w:p w:rsidR="007D6688" w:rsidRDefault="007D6688">
            <w:pPr>
              <w:jc w:val="center"/>
              <w:rPr>
                <w:rFonts w:ascii="Arial" w:eastAsia="標楷體" w:hAnsi="Arial" w:cs="Arial" w:hint="eastAsia"/>
              </w:rPr>
            </w:pPr>
            <w:r>
              <w:rPr>
                <w:rFonts w:ascii="Arial" w:eastAsia="標楷體" w:hAnsi="Arial" w:cs="Arial" w:hint="eastAsia"/>
              </w:rPr>
              <w:t>（但非</w:t>
            </w:r>
            <w:r>
              <w:rPr>
                <w:rFonts w:ascii="Arial" w:eastAsia="標楷體" w:hAnsi="Arial" w:cs="Arial" w:hint="eastAsia"/>
              </w:rPr>
              <w:t>VA</w:t>
            </w:r>
            <w:r>
              <w:rPr>
                <w:rFonts w:ascii="Arial" w:eastAsia="標楷體" w:hAnsi="Arial" w:cs="Arial" w:hint="eastAsia"/>
              </w:rPr>
              <w:t>者）</w:t>
            </w:r>
          </w:p>
        </w:tc>
        <w:tc>
          <w:tcPr>
            <w:tcW w:w="1800" w:type="dxa"/>
            <w:vMerge/>
            <w:tcBorders>
              <w:left w:val="single" w:sz="12" w:space="0" w:color="auto"/>
              <w:right w:val="single" w:sz="12" w:space="0" w:color="auto"/>
            </w:tcBorders>
          </w:tcPr>
          <w:p w:rsidR="007D6688" w:rsidRDefault="007D6688">
            <w:pPr>
              <w:jc w:val="center"/>
              <w:rPr>
                <w:rFonts w:ascii="Arial" w:eastAsia="標楷體" w:hAnsi="Arial" w:cs="Arial"/>
              </w:rPr>
            </w:pPr>
          </w:p>
        </w:tc>
        <w:tc>
          <w:tcPr>
            <w:tcW w:w="1800" w:type="dxa"/>
            <w:vMerge/>
            <w:tcBorders>
              <w:left w:val="single" w:sz="12" w:space="0" w:color="auto"/>
              <w:right w:val="single" w:sz="12" w:space="0" w:color="auto"/>
            </w:tcBorders>
          </w:tcPr>
          <w:p w:rsidR="007D6688" w:rsidRDefault="007D6688">
            <w:pPr>
              <w:jc w:val="center"/>
              <w:rPr>
                <w:rFonts w:ascii="Arial" w:eastAsia="標楷體" w:hAnsi="Arial" w:cs="Arial" w:hint="eastAsia"/>
              </w:rPr>
            </w:pPr>
          </w:p>
        </w:tc>
        <w:tc>
          <w:tcPr>
            <w:tcW w:w="1080" w:type="dxa"/>
            <w:vMerge/>
            <w:tcBorders>
              <w:left w:val="single" w:sz="12" w:space="0" w:color="auto"/>
              <w:right w:val="single" w:sz="12" w:space="0" w:color="auto"/>
            </w:tcBorders>
            <w:shd w:val="clear" w:color="auto" w:fill="E6E6E6"/>
          </w:tcPr>
          <w:p w:rsidR="007D6688" w:rsidRDefault="007D6688">
            <w:pPr>
              <w:jc w:val="center"/>
              <w:rPr>
                <w:rFonts w:ascii="Arial" w:eastAsia="標楷體" w:hAnsi="Arial" w:cs="Arial" w:hint="eastAsia"/>
              </w:rPr>
            </w:pPr>
          </w:p>
        </w:tc>
        <w:tc>
          <w:tcPr>
            <w:tcW w:w="2520" w:type="dxa"/>
            <w:tcBorders>
              <w:top w:val="single" w:sz="12" w:space="0" w:color="auto"/>
              <w:left w:val="single" w:sz="12" w:space="0" w:color="auto"/>
              <w:bottom w:val="single" w:sz="12" w:space="0" w:color="auto"/>
              <w:right w:val="single" w:sz="12" w:space="0" w:color="auto"/>
            </w:tcBorders>
            <w:shd w:val="clear" w:color="auto" w:fill="E6E6E6"/>
            <w:vAlign w:val="center"/>
          </w:tcPr>
          <w:p w:rsidR="007D6688" w:rsidRDefault="007D6688">
            <w:pPr>
              <w:jc w:val="center"/>
              <w:rPr>
                <w:rFonts w:ascii="Arial" w:eastAsia="標楷體" w:hAnsi="Arial" w:cs="Arial" w:hint="eastAsia"/>
              </w:rPr>
            </w:pPr>
            <w:r>
              <w:rPr>
                <w:rFonts w:ascii="Arial" w:eastAsia="標楷體" w:hAnsi="Arial" w:cs="Arial" w:hint="eastAsia"/>
              </w:rPr>
              <w:t>？</w:t>
            </w:r>
          </w:p>
          <w:p w:rsidR="007D6688" w:rsidRDefault="007D6688">
            <w:pPr>
              <w:jc w:val="center"/>
              <w:rPr>
                <w:rFonts w:ascii="Arial" w:eastAsia="標楷體" w:hAnsi="Arial" w:cs="Arial" w:hint="eastAsia"/>
              </w:rPr>
            </w:pPr>
            <w:r>
              <w:rPr>
                <w:rFonts w:ascii="Arial" w:eastAsia="標楷體" w:hAnsi="Arial" w:cs="Arial" w:hint="eastAsia"/>
              </w:rPr>
              <w:t>（保障法救濟類型可能不足）</w:t>
            </w:r>
          </w:p>
        </w:tc>
      </w:tr>
      <w:tr w:rsidR="007D6688">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tcPr>
          <w:p w:rsidR="007D6688" w:rsidRDefault="007D6688">
            <w:pPr>
              <w:jc w:val="center"/>
              <w:rPr>
                <w:rFonts w:eastAsia="標楷體" w:hint="eastAsia"/>
              </w:rPr>
            </w:pPr>
            <w:r>
              <w:rPr>
                <w:rFonts w:eastAsia="標楷體" w:hint="eastAsia"/>
              </w:rPr>
              <w:t>內部管理措施</w:t>
            </w:r>
          </w:p>
        </w:tc>
        <w:tc>
          <w:tcPr>
            <w:tcW w:w="1800" w:type="dxa"/>
            <w:tcBorders>
              <w:left w:val="single" w:sz="12" w:space="0" w:color="auto"/>
              <w:right w:val="single" w:sz="12" w:space="0" w:color="auto"/>
            </w:tcBorders>
          </w:tcPr>
          <w:p w:rsidR="007D6688" w:rsidRDefault="007D6688">
            <w:pPr>
              <w:jc w:val="center"/>
              <w:rPr>
                <w:rFonts w:ascii="Arial" w:eastAsia="標楷體" w:hAnsi="Arial" w:cs="Arial"/>
              </w:rPr>
            </w:pPr>
          </w:p>
        </w:tc>
        <w:tc>
          <w:tcPr>
            <w:tcW w:w="1800" w:type="dxa"/>
            <w:vMerge/>
            <w:tcBorders>
              <w:left w:val="single" w:sz="12" w:space="0" w:color="auto"/>
              <w:bottom w:val="single" w:sz="12" w:space="0" w:color="auto"/>
              <w:right w:val="single" w:sz="12" w:space="0" w:color="auto"/>
            </w:tcBorders>
          </w:tcPr>
          <w:p w:rsidR="007D6688" w:rsidRDefault="007D6688">
            <w:pPr>
              <w:jc w:val="center"/>
              <w:rPr>
                <w:rFonts w:ascii="Arial" w:eastAsia="標楷體" w:hAnsi="Arial" w:cs="Arial" w:hint="eastAsia"/>
              </w:rPr>
            </w:pPr>
          </w:p>
        </w:tc>
        <w:tc>
          <w:tcPr>
            <w:tcW w:w="1080" w:type="dxa"/>
            <w:tcBorders>
              <w:left w:val="single" w:sz="12" w:space="0" w:color="auto"/>
              <w:right w:val="single" w:sz="12" w:space="0" w:color="auto"/>
            </w:tcBorders>
          </w:tcPr>
          <w:p w:rsidR="007D6688" w:rsidRDefault="007D6688">
            <w:pPr>
              <w:jc w:val="center"/>
              <w:rPr>
                <w:rFonts w:ascii="Arial" w:eastAsia="標楷體" w:hAnsi="Arial" w:cs="Arial" w:hint="eastAsia"/>
              </w:rPr>
            </w:pPr>
          </w:p>
        </w:tc>
        <w:tc>
          <w:tcPr>
            <w:tcW w:w="2520" w:type="dxa"/>
            <w:tcBorders>
              <w:top w:val="single" w:sz="12" w:space="0" w:color="auto"/>
              <w:left w:val="single" w:sz="12" w:space="0" w:color="auto"/>
              <w:bottom w:val="single" w:sz="12" w:space="0" w:color="auto"/>
              <w:right w:val="single" w:sz="12" w:space="0" w:color="auto"/>
            </w:tcBorders>
            <w:vAlign w:val="center"/>
          </w:tcPr>
          <w:p w:rsidR="007D6688" w:rsidRDefault="007D6688">
            <w:pPr>
              <w:jc w:val="center"/>
              <w:rPr>
                <w:rFonts w:ascii="Arial" w:eastAsia="標楷體" w:hAnsi="Arial" w:cs="Arial" w:hint="eastAsia"/>
              </w:rPr>
            </w:pPr>
            <w:r>
              <w:rPr>
                <w:rFonts w:ascii="Arial" w:eastAsia="標楷體" w:hAnsi="Arial" w:cs="Arial" w:hint="eastAsia"/>
              </w:rPr>
              <w:t>申訴、再申訴</w:t>
            </w:r>
          </w:p>
        </w:tc>
      </w:tr>
    </w:tbl>
    <w:p w:rsidR="007D6688" w:rsidRDefault="007D6688">
      <w:pPr>
        <w:pStyle w:val="22"/>
        <w:spacing w:line="480" w:lineRule="auto"/>
        <w:rPr>
          <w:rFonts w:hint="eastAsia"/>
        </w:rPr>
      </w:pPr>
      <w:r>
        <w:rPr>
          <w:rFonts w:hint="eastAsia"/>
        </w:rPr>
        <w:t>目前實務的作法無非是一種「扣除法」。一方面擴大行政處分的認定到所有</w:t>
      </w:r>
      <w:r>
        <w:rPr>
          <w:rFonts w:hint="eastAsia"/>
          <w:bCs/>
        </w:rPr>
        <w:t>對公務員造成重大權益影響之單方法律行為</w:t>
      </w:r>
      <w:r>
        <w:rPr>
          <w:rFonts w:hint="eastAsia"/>
        </w:rPr>
        <w:t>，另一方面則將其他的「具體」措施則劃歸管理措施，排除於行政處分之外。雖有目前救濟務實需求的正當性，但畢竟與行政法學理仍有若干不符之處。同時將申訴標的的管理措施限於具體措施，而排除一般抽象的管理行為，如此也可能忽略像是行政規則其實是一種「直接發生對內法律效果」的一般抽象規範（行政程序法第</w:t>
      </w:r>
      <w:r>
        <w:rPr>
          <w:rFonts w:hint="eastAsia"/>
        </w:rPr>
        <w:t>159</w:t>
      </w:r>
      <w:r>
        <w:rPr>
          <w:rFonts w:hint="eastAsia"/>
        </w:rPr>
        <w:t>條第</w:t>
      </w:r>
      <w:r>
        <w:rPr>
          <w:rFonts w:hint="eastAsia"/>
        </w:rPr>
        <w:t>1</w:t>
      </w:r>
      <w:r>
        <w:rPr>
          <w:rFonts w:hint="eastAsia"/>
        </w:rPr>
        <w:t>項）。難謂其對公務人員無任何權益之影響，而否定其救濟之機會</w:t>
      </w:r>
      <w:r>
        <w:rPr>
          <w:rStyle w:val="ae"/>
        </w:rPr>
        <w:footnoteReference w:id="35"/>
      </w:r>
      <w:r>
        <w:rPr>
          <w:rFonts w:hint="eastAsia"/>
        </w:rPr>
        <w:t>。</w:t>
      </w:r>
    </w:p>
    <w:p w:rsidR="007D6688" w:rsidRDefault="007D6688">
      <w:pPr>
        <w:pStyle w:val="22"/>
        <w:spacing w:line="480" w:lineRule="auto"/>
        <w:rPr>
          <w:rFonts w:eastAsia="細明體" w:hAnsi="細明體"/>
        </w:rPr>
      </w:pPr>
      <w:r>
        <w:t>行政程序法第</w:t>
      </w:r>
      <w:r>
        <w:t>92</w:t>
      </w:r>
      <w:r>
        <w:t>條第</w:t>
      </w:r>
      <w:r>
        <w:t>1</w:t>
      </w:r>
      <w:r>
        <w:t>項規定：「本法所稱行政處分，係指行政機關就公法上具體事件所為之決定或其他公權力措施而</w:t>
      </w:r>
      <w:r>
        <w:rPr>
          <w:b/>
          <w:bCs/>
        </w:rPr>
        <w:t>對外直接發生法律效果</w:t>
      </w:r>
      <w:r>
        <w:t>之單方行政行為。」由反面解釋推知，行政處分一如法規範乃是一種直接作用在外部法領域（</w:t>
      </w:r>
      <w:r>
        <w:t>Wirkung nach draußen</w:t>
      </w:r>
      <w:r>
        <w:t>）的行政措施</w:t>
      </w:r>
      <w:r>
        <w:rPr>
          <w:vertAlign w:val="superscript"/>
        </w:rPr>
        <w:footnoteReference w:id="36"/>
      </w:r>
      <w:r>
        <w:t>。行政程序法有關行政處分的定義規定也等於宣告了，在行政領域中存在了「內部領域」與「外部領域（</w:t>
      </w:r>
      <w:r>
        <w:t>Außenbereich</w:t>
      </w:r>
      <w:r>
        <w:t>）」的區分。只有作用在後者中的行政措施才可能是行政處分，至於前者，僅具有行政內部法律效果的法律行為性質則鮮有人關注</w:t>
      </w:r>
      <w:r>
        <w:rPr>
          <w:vertAlign w:val="superscript"/>
        </w:rPr>
        <w:footnoteReference w:id="37"/>
      </w:r>
      <w:r>
        <w:t>。同時行政處分的法律效果必須是直接對外部領域發生，如果行政行為僅是「間接」發生外部效果，或者只是在行政外部領域發生事實上效果（</w:t>
      </w:r>
      <w:r>
        <w:t>tatsächliche Wirkung</w:t>
      </w:r>
      <w:r>
        <w:t>）時</w:t>
      </w:r>
      <w:r>
        <w:rPr>
          <w:vertAlign w:val="superscript"/>
        </w:rPr>
        <w:footnoteReference w:id="38"/>
      </w:r>
      <w:r>
        <w:t>，則仍非一行政處分。</w:t>
      </w:r>
      <w:r>
        <w:rPr>
          <w:rFonts w:eastAsia="細明體" w:hAnsi="細明體"/>
        </w:rPr>
        <w:t>但是對於行政處分的「外部性」要件判斷，一般學說見解仍然堅守內部法與外部法區分的前提，卻無法提出一個精確與「內部領域」區分的界限。行政措施在何種情況下，僅僅意欲停留於「內部領域」內作用？這種理念上擬制的內外界線實在難以劃定</w:t>
      </w:r>
      <w:r>
        <w:rPr>
          <w:rFonts w:eastAsia="細明體"/>
          <w:vertAlign w:val="superscript"/>
        </w:rPr>
        <w:footnoteReference w:id="39"/>
      </w:r>
      <w:r>
        <w:rPr>
          <w:rFonts w:eastAsia="細明體" w:hAnsi="細明體"/>
        </w:rPr>
        <w:t>。甚至我們可以說，如果根據上述學說見解，對於行政措施是否滿足行政處分要件之一之「對外性」的判斷，其實還是停留在另一個要件「直接法效性」的操作認定之上</w:t>
      </w:r>
      <w:r>
        <w:rPr>
          <w:rFonts w:eastAsia="細明體"/>
          <w:vertAlign w:val="superscript"/>
        </w:rPr>
        <w:footnoteReference w:id="40"/>
      </w:r>
      <w:r>
        <w:rPr>
          <w:rFonts w:eastAsia="細明體" w:hAnsi="細明體"/>
        </w:rPr>
        <w:t>。例如一個上級機關對於公務人員所意欲其直接發生法律效果的監督指令，其實就已經回答了「對外性」的問題</w:t>
      </w:r>
      <w:r>
        <w:rPr>
          <w:rStyle w:val="ae"/>
          <w:rFonts w:eastAsia="細明體" w:hAnsi="細明體"/>
        </w:rPr>
        <w:footnoteReference w:id="41"/>
      </w:r>
      <w:r>
        <w:rPr>
          <w:rFonts w:eastAsia="細明體" w:hAnsi="細明體"/>
        </w:rPr>
        <w:t>。換言之，行政程序法第</w:t>
      </w:r>
      <w:r>
        <w:rPr>
          <w:rFonts w:eastAsia="細明體"/>
        </w:rPr>
        <w:t>92</w:t>
      </w:r>
      <w:r>
        <w:rPr>
          <w:rFonts w:eastAsia="細明體" w:hAnsi="細明體"/>
        </w:rPr>
        <w:t>條中所要求的「對外法律效果」是處分涉及到其權利與義務之人的「權利相關性（</w:t>
      </w:r>
      <w:r>
        <w:rPr>
          <w:rFonts w:eastAsia="細明體"/>
        </w:rPr>
        <w:t>Rechtsbetroffenheit</w:t>
      </w:r>
      <w:r>
        <w:rPr>
          <w:rFonts w:eastAsia="細明體" w:hAnsi="細明體"/>
        </w:rPr>
        <w:t>）」所需要的「連結關係詞（</w:t>
      </w:r>
      <w:r>
        <w:rPr>
          <w:rFonts w:eastAsia="細明體"/>
        </w:rPr>
        <w:t>Korrelat</w:t>
      </w:r>
      <w:r>
        <w:rPr>
          <w:rFonts w:eastAsia="細明體" w:hAnsi="細明體"/>
        </w:rPr>
        <w:t>）」</w:t>
      </w:r>
      <w:r>
        <w:rPr>
          <w:rStyle w:val="ae"/>
          <w:rFonts w:eastAsia="細明體"/>
        </w:rPr>
        <w:footnoteReference w:id="42"/>
      </w:r>
      <w:r>
        <w:rPr>
          <w:rFonts w:eastAsia="細明體" w:hAnsi="細明體"/>
        </w:rPr>
        <w:t>。亦即透過「對外法律效果」指涉該行政行為之相對人（或利害關係人）與其「權利」得、喪、變更之間的關連性。因此，行政處分所應具備的「對外性」，似乎可以透過權利或法律上地位之相關性的判斷加以取代。</w:t>
      </w:r>
      <w:r>
        <w:rPr>
          <w:rFonts w:eastAsia="細明體" w:hAnsi="細明體" w:hint="eastAsia"/>
        </w:rPr>
        <w:t>針對公務人員而言，應視其身分係屬於職務執行者（</w:t>
      </w:r>
      <w:r>
        <w:rPr>
          <w:rFonts w:eastAsia="細明體" w:hAnsi="細明體" w:hint="eastAsia"/>
        </w:rPr>
        <w:t>Amtswalter</w:t>
      </w:r>
      <w:r>
        <w:rPr>
          <w:rFonts w:eastAsia="細明體" w:hAnsi="細明體" w:hint="eastAsia"/>
        </w:rPr>
        <w:t>）</w:t>
      </w:r>
      <w:r>
        <w:rPr>
          <w:rFonts w:ascii="新細明體" w:hAnsi="新細明體" w:hint="eastAsia"/>
        </w:rPr>
        <w:t>、</w:t>
      </w:r>
      <w:r>
        <w:rPr>
          <w:rFonts w:eastAsia="細明體" w:hAnsi="細明體" w:hint="eastAsia"/>
        </w:rPr>
        <w:t>公行政之機關或一般人民個人之法律地位（</w:t>
      </w:r>
      <w:r>
        <w:rPr>
          <w:rFonts w:eastAsia="MS Mincho" w:hAnsi="細明體"/>
        </w:rPr>
        <w:t>in seiner pers</w:t>
      </w:r>
      <w:r>
        <w:rPr>
          <w:rFonts w:eastAsia="MS Mincho" w:hAnsi="細明體"/>
        </w:rPr>
        <w:t>ö</w:t>
      </w:r>
      <w:r>
        <w:rPr>
          <w:rFonts w:eastAsia="MS Mincho" w:hAnsi="細明體"/>
        </w:rPr>
        <w:t>nlichen Rechhtstellung</w:t>
      </w:r>
      <w:r>
        <w:rPr>
          <w:rFonts w:eastAsia="細明體" w:hAnsi="細明體" w:hint="eastAsia"/>
        </w:rPr>
        <w:t>）（且不論在職務關係內或職務關係外）分別而定其所受行政行為之屬性。如果公務人員是居於職務執行者的身分，並無主張基本權的可能性，因為基本權保障的一般人民而非國家機關</w:t>
      </w:r>
      <w:r>
        <w:rPr>
          <w:rStyle w:val="ae"/>
          <w:rFonts w:eastAsia="細明體" w:hAnsi="細明體"/>
        </w:rPr>
        <w:footnoteReference w:id="43"/>
      </w:r>
      <w:r>
        <w:rPr>
          <w:rFonts w:eastAsia="細明體" w:hAnsi="細明體" w:hint="eastAsia"/>
        </w:rPr>
        <w:t>。</w:t>
      </w:r>
      <w:r>
        <w:rPr>
          <w:rFonts w:eastAsia="細明體" w:hAnsi="細明體"/>
        </w:rPr>
        <w:t>但是須注意的是，權利相關性具備，並不足以直接推論行政處分存在，因為是否具備前揭之「直接性」要素，仍須進一步判斷</w:t>
      </w:r>
      <w:r>
        <w:rPr>
          <w:rStyle w:val="ae"/>
          <w:rFonts w:eastAsia="細明體"/>
        </w:rPr>
        <w:footnoteReference w:id="44"/>
      </w:r>
      <w:r>
        <w:rPr>
          <w:rFonts w:eastAsia="細明體" w:hAnsi="細明體"/>
        </w:rPr>
        <w:t>。這裡涉及到行政處分的存在要素與訴訟權能乃提起撤銷訴訟的兩個分別獨立的要件，即使作為原告的公務員可以主張自己權利或法律上利益因上級機關的具體措施而受損，也未必同時解答了該措施是否為一行政處分的問題</w:t>
      </w:r>
      <w:r>
        <w:rPr>
          <w:rStyle w:val="ae"/>
          <w:rFonts w:eastAsia="細明體"/>
        </w:rPr>
        <w:footnoteReference w:id="45"/>
      </w:r>
      <w:r>
        <w:rPr>
          <w:rFonts w:eastAsia="細明體" w:hAnsi="細明體"/>
        </w:rPr>
        <w:t>。</w:t>
      </w:r>
    </w:p>
    <w:p w:rsidR="007D6688" w:rsidRDefault="007D6688">
      <w:pPr>
        <w:pStyle w:val="22"/>
        <w:spacing w:line="480" w:lineRule="auto"/>
        <w:rPr>
          <w:rFonts w:hint="eastAsia"/>
        </w:rPr>
      </w:pPr>
      <w:r>
        <w:rPr>
          <w:rFonts w:hint="eastAsia"/>
        </w:rPr>
        <w:t>行政機關對於特定之申請陞遷之公務人員所為之拒絕決定，形式上屬「機關內」之決定，若該公務人員本無法律上之陞遷請求權存在（請求權是否存在之進一步討論，見下文），而此一拒絕決定實質上又未對於公務人員之權利產生直接規制的法效性存在（現有權利狀態未受直接影響），同時依公務人員身分而論，此刻他係以職務執行者而非一般人民個人權利地位身分受此拒絕決定，故此決定之性質可能即非行政處分</w:t>
      </w:r>
      <w:r>
        <w:rPr>
          <w:rStyle w:val="ae"/>
        </w:rPr>
        <w:footnoteReference w:id="46"/>
      </w:r>
      <w:r>
        <w:rPr>
          <w:rFonts w:hint="eastAsia"/>
        </w:rPr>
        <w:t>。而且事實上，此一拒絕決定是否為行政處分本非爭執重心，因為此刻的權利救濟目的往往是會透過課予義務型的救濟型態加以實現，而提起此類的救濟，並不需要理會原本申請遭拒絕的行為屬性為何。亦即，即使行政機關之拒絕行為並非一個行政處分，但是原告訴訟或者救濟的目的是希望行政機關作成一個行政處分時，本來就是適用課予義務型救濟的類型。但是我國公務人員保障法中並無如同行政訴訟法第</w:t>
      </w:r>
      <w:r>
        <w:rPr>
          <w:rFonts w:hint="eastAsia"/>
        </w:rPr>
        <w:t>5</w:t>
      </w:r>
      <w:r>
        <w:rPr>
          <w:rFonts w:hint="eastAsia"/>
        </w:rPr>
        <w:t>條般有所謂拒為處分之復審，而僅有怠為決定之復審（第</w:t>
      </w:r>
      <w:r>
        <w:rPr>
          <w:rFonts w:hint="eastAsia"/>
        </w:rPr>
        <w:t>26</w:t>
      </w:r>
      <w:r>
        <w:rPr>
          <w:rFonts w:hint="eastAsia"/>
        </w:rPr>
        <w:t>條），致使此類救濟可能還是得透過公務人員保障法第</w:t>
      </w:r>
      <w:r>
        <w:rPr>
          <w:rFonts w:hint="eastAsia"/>
        </w:rPr>
        <w:t>25</w:t>
      </w:r>
      <w:r>
        <w:rPr>
          <w:rFonts w:hint="eastAsia"/>
        </w:rPr>
        <w:t>條實現，致使其救濟前提所需的不利益行政處分，反成爭執重心。</w:t>
      </w:r>
    </w:p>
    <w:p w:rsidR="007D6688" w:rsidRDefault="007D6688">
      <w:pPr>
        <w:pStyle w:val="22"/>
        <w:spacing w:line="480" w:lineRule="auto"/>
        <w:rPr>
          <w:rFonts w:ascii="Arial" w:hAnsi="Arial" w:cs="Arial"/>
          <w:sz w:val="16"/>
          <w:szCs w:val="16"/>
        </w:rPr>
      </w:pPr>
      <w:r>
        <w:rPr>
          <w:rFonts w:hint="eastAsia"/>
        </w:rPr>
        <w:t>相反地，對於特定公務人員給予同意陞遷之決定，此一決定應屬一授益行政處分（已經造成身分上的變動，故具有直接對外之法效性），但對於競爭關係下的其他未獲陞遷之公務人員而言，卻可能相反地是一項侵益的決定，因此有可能被理解成一個「附第三人效力之行政處分（</w:t>
      </w:r>
      <w:r>
        <w:t>Verwaltungsakt mit Drittwirkung</w:t>
      </w:r>
      <w:r>
        <w:rPr>
          <w:rFonts w:hint="eastAsia"/>
        </w:rPr>
        <w:t>）」</w:t>
      </w:r>
      <w:r>
        <w:rPr>
          <w:rStyle w:val="ae"/>
        </w:rPr>
        <w:footnoteReference w:id="47"/>
      </w:r>
      <w:r>
        <w:rPr>
          <w:rFonts w:hint="eastAsia"/>
        </w:rPr>
        <w:t>。此競爭關係下之第三人提起以這個附第三人效力之行政處分作為前提的救濟（如撤銷型的復審，更進一步言之，這是一種消極的競爭關係救濟）也就可以想像。不過需注意的是，在此並非意指所有的任何其他公務人員均會因該陞遷而受侵害，所謂附「第三人」效力之行政處分，受其不利益影響的「人」的範圍還需要進一步確認，如果根本不會因此有法律上保護之權益受影響的公務人員，其不論個別申請陞遷遭拒絕，或者因為他人獲致陞遷，均不會有成立行政處分（不論是單純行政處分或者附第三人效力行政處分）的機會。</w:t>
      </w:r>
    </w:p>
    <w:p w:rsidR="007D6688" w:rsidRDefault="007D6688">
      <w:pPr>
        <w:pStyle w:val="1"/>
        <w:spacing w:before="180" w:after="180" w:line="480" w:lineRule="auto"/>
        <w:rPr>
          <w:lang w:val="de-DE"/>
        </w:rPr>
      </w:pPr>
      <w:bookmarkStart w:id="109" w:name="_Toc121199226"/>
      <w:bookmarkStart w:id="110" w:name="_Toc121212698"/>
      <w:bookmarkStart w:id="111" w:name="_Toc121212961"/>
      <w:r>
        <w:rPr>
          <w:rFonts w:hint="eastAsia"/>
          <w:lang w:val="de-DE"/>
        </w:rPr>
        <w:t>5.</w:t>
      </w:r>
      <w:r>
        <w:rPr>
          <w:lang w:val="de-DE"/>
        </w:rPr>
        <w:t>陞遷程序行為之法律性質</w:t>
      </w:r>
      <w:bookmarkEnd w:id="109"/>
      <w:bookmarkEnd w:id="110"/>
      <w:bookmarkEnd w:id="111"/>
    </w:p>
    <w:p w:rsidR="007D6688" w:rsidRDefault="007D6688">
      <w:pPr>
        <w:pStyle w:val="2"/>
        <w:spacing w:line="480" w:lineRule="auto"/>
        <w:rPr>
          <w:lang w:val="de-DE"/>
        </w:rPr>
      </w:pPr>
      <w:bookmarkStart w:id="112" w:name="_Toc121199227"/>
      <w:bookmarkStart w:id="113" w:name="_Toc121212699"/>
      <w:bookmarkStart w:id="114" w:name="_Toc121212962"/>
      <w:r>
        <w:rPr>
          <w:rFonts w:hint="eastAsia"/>
          <w:lang w:val="de-DE"/>
        </w:rPr>
        <w:t>5.1.</w:t>
      </w:r>
      <w:r>
        <w:rPr>
          <w:lang w:val="de-DE"/>
        </w:rPr>
        <w:t>陞遷程序中不利益之決定</w:t>
      </w:r>
      <w:bookmarkEnd w:id="112"/>
      <w:bookmarkEnd w:id="113"/>
      <w:bookmarkEnd w:id="114"/>
    </w:p>
    <w:p w:rsidR="007D6688" w:rsidRDefault="007D6688">
      <w:pPr>
        <w:pStyle w:val="22"/>
        <w:spacing w:line="480" w:lineRule="auto"/>
        <w:rPr>
          <w:rFonts w:ascii="Arial" w:hAnsi="Arial" w:cs="Arial"/>
        </w:rPr>
      </w:pPr>
      <w:r>
        <w:rPr>
          <w:rFonts w:hint="eastAsia"/>
        </w:rPr>
        <w:t>由前述陞遷程序觀之，行政機關辦理公務人員陞遷程序，除於最終做成陞遷之決定外，於陞遷程序中或多或少地會依職權或依申請作成若干程序中之決定。這些程序中之決定有時亦可能對於參與陞遷之人員產生權益之影響。例如訂定陞遷序列表、內陞或外補之決定、甄審名冊之造列、甄審會之評分、參加他機關甄審之通知</w:t>
      </w:r>
      <w:r>
        <w:rPr>
          <w:lang w:val="en-US"/>
        </w:rPr>
        <w:t>、</w:t>
      </w:r>
      <w:r>
        <w:rPr>
          <w:rFonts w:hint="eastAsia"/>
          <w:lang w:val="en-US"/>
        </w:rPr>
        <w:t>本機關之同意商調</w:t>
      </w:r>
      <w:r>
        <w:rPr>
          <w:rFonts w:hint="eastAsia"/>
        </w:rPr>
        <w:t>等等。參與陞遷程序之公務人員往往也會針對其中特定之程序上決定提起救濟。保訓會對於此類程序決定行為容許其適用（再）申訴程序或復審程序，亦有不同之認知。此類陞遷程序中的決定類似行政程序法上所謂的「程序行為（</w:t>
      </w:r>
      <w:r>
        <w:rPr>
          <w:bCs/>
          <w:kern w:val="0"/>
        </w:rPr>
        <w:t>Verfahrenshandlungen</w:t>
      </w:r>
      <w:r>
        <w:rPr>
          <w:rFonts w:hint="eastAsia"/>
        </w:rPr>
        <w:t>）」。對於行政程序行為的法律性質判斷以及救濟方式，均有其特殊性。倘陞遷過程中之決定亦屬行政程序法上之程序行為，在公務人員的權利救濟上將具有特殊意義。</w:t>
      </w:r>
    </w:p>
    <w:p w:rsidR="007D6688" w:rsidRDefault="007D6688">
      <w:pPr>
        <w:pStyle w:val="2"/>
        <w:spacing w:line="480" w:lineRule="auto"/>
        <w:rPr>
          <w:lang w:val="de-DE"/>
        </w:rPr>
      </w:pPr>
      <w:bookmarkStart w:id="115" w:name="_Toc121199228"/>
      <w:bookmarkStart w:id="116" w:name="_Toc121212700"/>
      <w:bookmarkStart w:id="117" w:name="_Toc121212963"/>
      <w:r>
        <w:rPr>
          <w:rFonts w:hint="eastAsia"/>
          <w:lang w:val="de-DE"/>
        </w:rPr>
        <w:t>5.2.</w:t>
      </w:r>
      <w:r>
        <w:rPr>
          <w:lang w:val="de-DE"/>
        </w:rPr>
        <w:t>陞遷程序</w:t>
      </w:r>
      <w:r>
        <w:rPr>
          <w:lang w:val="de-DE"/>
        </w:rPr>
        <w:t>v.s.</w:t>
      </w:r>
      <w:r>
        <w:rPr>
          <w:lang w:val="de-DE"/>
        </w:rPr>
        <w:t>行政程序</w:t>
      </w:r>
      <w:bookmarkEnd w:id="115"/>
      <w:bookmarkEnd w:id="116"/>
      <w:bookmarkEnd w:id="117"/>
    </w:p>
    <w:p w:rsidR="007D6688" w:rsidRDefault="007D6688">
      <w:pPr>
        <w:pStyle w:val="22"/>
        <w:spacing w:line="480" w:lineRule="auto"/>
        <w:rPr>
          <w:rFonts w:hint="eastAsia"/>
        </w:rPr>
      </w:pPr>
      <w:r>
        <w:rPr>
          <w:rFonts w:hint="eastAsia"/>
        </w:rPr>
        <w:t>行政程序行為一般即指行政程序法第</w:t>
      </w:r>
      <w:r>
        <w:rPr>
          <w:rFonts w:hint="eastAsia"/>
        </w:rPr>
        <w:t>174</w:t>
      </w:r>
      <w:r>
        <w:rPr>
          <w:rFonts w:hint="eastAsia"/>
        </w:rPr>
        <w:t>條所稱「行政機關於行政程序中所為之決定或處置」。根據行政機關的觀點，往往這些決定或處置是適合由機關作成，但卻非絕對必然</w:t>
      </w:r>
      <w:r>
        <w:rPr>
          <w:rStyle w:val="ae"/>
        </w:rPr>
        <w:footnoteReference w:id="48"/>
      </w:r>
      <w:r>
        <w:rPr>
          <w:rFonts w:hint="eastAsia"/>
        </w:rPr>
        <w:t>。如果這些程序行為是在作成最終行政處分之程序中所為，學說上稱之為「行政處分之先行行為（</w:t>
      </w:r>
      <w:r>
        <w:rPr>
          <w:bCs/>
          <w:kern w:val="0"/>
        </w:rPr>
        <w:t>„Verwaltungsvorakt“</w:t>
      </w:r>
      <w:r>
        <w:rPr>
          <w:rFonts w:hint="eastAsia"/>
        </w:rPr>
        <w:t>）」</w:t>
      </w:r>
      <w:r>
        <w:rPr>
          <w:rStyle w:val="ae"/>
        </w:rPr>
        <w:footnoteReference w:id="49"/>
      </w:r>
      <w:r>
        <w:rPr>
          <w:rFonts w:hint="eastAsia"/>
        </w:rPr>
        <w:t>。通常是一些資訊的提供或拒絕、拒絕提出證據、要求或拒絕代理、其他機關的協力行為等等。人民針對這類程序行為往往不能獨立以之作為程序標的而提起行政救濟，因為我國行政程序法第</w:t>
      </w:r>
      <w:r>
        <w:rPr>
          <w:rFonts w:hint="eastAsia"/>
        </w:rPr>
        <w:t>174</w:t>
      </w:r>
      <w:r>
        <w:rPr>
          <w:rFonts w:hint="eastAsia"/>
        </w:rPr>
        <w:t>條規定，「當</w:t>
      </w:r>
      <w:r>
        <w:rPr>
          <w:rFonts w:hint="eastAsia"/>
          <w:b/>
          <w:u w:val="single"/>
        </w:rPr>
        <w:t>事人或利害關係人不服行政機關於行政程序中所為之決定或處置，僅得於對實體決定聲明不服時一併聲明之</w:t>
      </w:r>
      <w:r>
        <w:rPr>
          <w:rFonts w:hint="eastAsia"/>
        </w:rPr>
        <w:t>。但行政機關之決定或處置得強制執行或本法或其他法規另有規定者，不在此限。」這是一種基於程序經濟原則（</w:t>
      </w:r>
      <w:r>
        <w:rPr>
          <w:kern w:val="0"/>
        </w:rPr>
        <w:t>allgemeiner Grundsatz der Verfahrensökonomie</w:t>
      </w:r>
      <w:r>
        <w:t>）的立法思考。法院或者提供救濟之機關基於救濟資源有限的考量，不宜單獨針對程序中的行為提供獨立的救濟，而從請求救濟者的立場來看，此時他並不具備有權利保護之必要性（</w:t>
      </w:r>
      <w:r>
        <w:rPr>
          <w:kern w:val="0"/>
        </w:rPr>
        <w:t>Rechtsschutzbedürfnis</w:t>
      </w:r>
      <w:r>
        <w:rPr>
          <w:rFonts w:hint="eastAsia"/>
        </w:rPr>
        <w:t>）</w:t>
      </w:r>
      <w:r>
        <w:rPr>
          <w:rStyle w:val="ae"/>
        </w:rPr>
        <w:footnoteReference w:id="50"/>
      </w:r>
      <w:r>
        <w:rPr>
          <w:rFonts w:hint="eastAsia"/>
        </w:rPr>
        <w:t>。但是一些得強制執行的程序行為則未必不能單獨救濟。因為這類程序行為直到最終與終局實體決定一併救濟時，往往會因執行結果已產生，其救濟為時已晚而對人民的權益產生重大的影響。基於這種權利救濟的想法，即使條文未明定，但是經由目的性的限縮適用解釋，其他那些雖非得執行，但同樣會產生類似不利益的程序行為亦應排除本法之適用，而令之得有隔離單獨救濟的可能</w:t>
      </w:r>
      <w:r>
        <w:rPr>
          <w:rStyle w:val="ae"/>
        </w:rPr>
        <w:footnoteReference w:id="51"/>
      </w:r>
      <w:r>
        <w:rPr>
          <w:rFonts w:hint="eastAsia"/>
        </w:rPr>
        <w:t>。</w:t>
      </w:r>
    </w:p>
    <w:p w:rsidR="007D6688" w:rsidRDefault="007D6688">
      <w:pPr>
        <w:pStyle w:val="22"/>
        <w:spacing w:line="480" w:lineRule="auto"/>
        <w:rPr>
          <w:rFonts w:hint="eastAsia"/>
        </w:rPr>
      </w:pPr>
      <w:r>
        <w:rPr>
          <w:rFonts w:hint="eastAsia"/>
        </w:rPr>
        <w:t>而究竟公務人員陞遷的程序是否有行政程序法之適用？又該如何處理程序中處置的救濟問題呢？</w:t>
      </w:r>
    </w:p>
    <w:p w:rsidR="007D6688" w:rsidRDefault="007D6688">
      <w:pPr>
        <w:pStyle w:val="22"/>
        <w:spacing w:line="480" w:lineRule="auto"/>
        <w:rPr>
          <w:rFonts w:eastAsia="MS Mincho" w:hint="eastAsia"/>
          <w:lang w:eastAsia="ja-JP"/>
        </w:rPr>
      </w:pPr>
      <w:r>
        <w:rPr>
          <w:rFonts w:hint="eastAsia"/>
        </w:rPr>
        <w:t>根據行政程序法第</w:t>
      </w:r>
      <w:r>
        <w:rPr>
          <w:rFonts w:hint="eastAsia"/>
        </w:rPr>
        <w:t>3</w:t>
      </w:r>
      <w:r>
        <w:rPr>
          <w:rFonts w:hint="eastAsia"/>
        </w:rPr>
        <w:t>條第</w:t>
      </w:r>
      <w:r>
        <w:rPr>
          <w:rFonts w:hint="eastAsia"/>
        </w:rPr>
        <w:t>3</w:t>
      </w:r>
      <w:r>
        <w:rPr>
          <w:rFonts w:hint="eastAsia"/>
        </w:rPr>
        <w:t>項規定，「對公務員所為之人事行政行為」，不適用行政程序法之程序規定。依性質而論，對於公務人員陞遷之決定亦屬對公務員所為之人事行政行為。</w:t>
      </w:r>
      <w:r>
        <w:rPr>
          <w:rFonts w:hint="eastAsia"/>
          <w:b/>
        </w:rPr>
        <w:t>所以陞遷程序並不需要適用行政程序法之程序規定</w:t>
      </w:r>
      <w:r>
        <w:rPr>
          <w:rFonts w:hint="eastAsia"/>
        </w:rPr>
        <w:t>。惟根據法務部</w:t>
      </w:r>
      <w:smartTag w:uri="urn:schemas-microsoft-com:office:smarttags" w:element="chsdate">
        <w:smartTagPr>
          <w:attr w:name="Year" w:val="1989"/>
          <w:attr w:name="Month" w:val="4"/>
          <w:attr w:name="Day" w:val="12"/>
          <w:attr w:name="IsLunarDate" w:val="False"/>
          <w:attr w:name="IsROCDate" w:val="False"/>
        </w:smartTagPr>
        <w:r>
          <w:rPr>
            <w:rFonts w:hint="eastAsia"/>
          </w:rPr>
          <w:t>89</w:t>
        </w:r>
        <w:r>
          <w:rPr>
            <w:rFonts w:hint="eastAsia"/>
          </w:rPr>
          <w:t>年</w:t>
        </w:r>
        <w:r>
          <w:rPr>
            <w:rFonts w:hint="eastAsia"/>
          </w:rPr>
          <w:t>4</w:t>
        </w:r>
        <w:r>
          <w:rPr>
            <w:rFonts w:hint="eastAsia"/>
          </w:rPr>
          <w:t>月</w:t>
        </w:r>
        <w:r>
          <w:rPr>
            <w:rFonts w:hint="eastAsia"/>
          </w:rPr>
          <w:t>12</w:t>
        </w:r>
        <w:r>
          <w:rPr>
            <w:rFonts w:hint="eastAsia"/>
          </w:rPr>
          <w:t>日</w:t>
        </w:r>
      </w:smartTag>
      <w:r>
        <w:rPr>
          <w:rFonts w:hint="eastAsia"/>
        </w:rPr>
        <w:t>法</w:t>
      </w:r>
      <w:r>
        <w:rPr>
          <w:rFonts w:hint="eastAsia"/>
        </w:rPr>
        <w:t>89</w:t>
      </w:r>
      <w:r>
        <w:rPr>
          <w:rFonts w:hint="eastAsia"/>
        </w:rPr>
        <w:t>律字第</w:t>
      </w:r>
      <w:r>
        <w:rPr>
          <w:rFonts w:hint="eastAsia"/>
        </w:rPr>
        <w:t>008393</w:t>
      </w:r>
      <w:r>
        <w:rPr>
          <w:rFonts w:hint="eastAsia"/>
        </w:rPr>
        <w:t>號函</w:t>
      </w:r>
      <w:r>
        <w:rPr>
          <w:rStyle w:val="ae"/>
        </w:rPr>
        <w:footnoteReference w:id="52"/>
      </w:r>
      <w:r>
        <w:rPr>
          <w:rFonts w:hint="eastAsia"/>
        </w:rPr>
        <w:t>，「對公務員所為之人事行政行為」，是否適用行政程序法之規定，仍應分別情形判斷。「（一）凡構成行政處分之人事行政行為，因於事後當事人仍可依訴願</w:t>
      </w:r>
      <w:r>
        <w:rPr>
          <w:rFonts w:ascii="新細明體" w:hAnsi="新細明體" w:hint="eastAsia"/>
        </w:rPr>
        <w:t>、</w:t>
      </w:r>
      <w:r>
        <w:rPr>
          <w:rFonts w:hint="eastAsia"/>
        </w:rPr>
        <w:t>行政訴訟程序或其相當之程序請求救濟，故行政機關於為此類行政處分時，即應依行政程序法之規定為之。至於非屬行政處分之其他人事行政行為則是個案情形，由主管機關自行斟酌。（二）改變公務員之身分或對公務員權利或法律上利益有重大影響之人事行政行為或基於公務員身分所產生之公法上財產請求權遭受侵害者，仍應依行政程序法之規定為之。（三）退休</w:t>
      </w:r>
      <w:r>
        <w:rPr>
          <w:rFonts w:ascii="新細明體" w:hAnsi="新細明體" w:hint="eastAsia"/>
        </w:rPr>
        <w:t>、</w:t>
      </w:r>
      <w:r>
        <w:rPr>
          <w:rFonts w:hint="eastAsia"/>
        </w:rPr>
        <w:t>離職公務員對於行政機關於其具有公務員身分時所為之人事行政行為提出陳情者，仍依前述（一）之結論處理。」似乎將「對公務員所為之人事行政行為」區分成「性質屬於行政處分之對公務員所為之人事行政行為」與「性質非屬於行政處分之對公務員所為之人事行政行為」。其是否適用行政程序法，還是取決於該人事行政行為的屬性。所以很難直接說公務員之陞遷決定究竟應否適用行政程序法，還是得進一步認定陞遷決定（或陞遷程序決定）的法律性質。法務部的該決議對於本文的爭議判斷，其實並無直接的助益。</w:t>
      </w:r>
    </w:p>
    <w:p w:rsidR="007D6688" w:rsidRDefault="007D6688">
      <w:pPr>
        <w:pStyle w:val="22"/>
        <w:spacing w:line="480" w:lineRule="auto"/>
        <w:rPr>
          <w:rFonts w:hint="eastAsia"/>
        </w:rPr>
      </w:pPr>
      <w:r>
        <w:rPr>
          <w:rFonts w:hint="eastAsia"/>
        </w:rPr>
        <w:t>再者需注意的是，此一行政程序法的排除適用條款是排除試用本法之「程序規定」，至於其他在行政程序法中也具有的實體規定，仍未必排除。行政程序法第</w:t>
      </w:r>
      <w:r>
        <w:rPr>
          <w:rFonts w:hint="eastAsia"/>
        </w:rPr>
        <w:t>174</w:t>
      </w:r>
      <w:r>
        <w:rPr>
          <w:rFonts w:hint="eastAsia"/>
        </w:rPr>
        <w:t>條有關程序行為的特殊救濟規定，並非單純作成行政行為的程序規範事項，而是有關實體權益的救濟規定。再加上本法第</w:t>
      </w:r>
      <w:r>
        <w:rPr>
          <w:rFonts w:hint="eastAsia"/>
        </w:rPr>
        <w:t>2</w:t>
      </w:r>
      <w:r>
        <w:rPr>
          <w:rFonts w:hint="eastAsia"/>
        </w:rPr>
        <w:t>條規定，「本法所稱行政程序，係指行政機關作成行政處分、締結行政契約、訂定法規命令與行政規則、確定行政計畫、實施行政指導及處理陳情『等』行為之程序。」陞遷的決定可能是影響公務員地位之行政處分或者只是內部遷調的決定。即使非行政處分，仍得適用行政程序法，而不以第</w:t>
      </w:r>
      <w:r>
        <w:rPr>
          <w:rFonts w:hint="eastAsia"/>
        </w:rPr>
        <w:t>2</w:t>
      </w:r>
      <w:r>
        <w:rPr>
          <w:rFonts w:hint="eastAsia"/>
        </w:rPr>
        <w:t>條列舉之行政行為為限。</w:t>
      </w:r>
      <w:r>
        <w:rPr>
          <w:rFonts w:hint="eastAsia"/>
          <w:b/>
        </w:rPr>
        <w:t>因此本文認為行政程序法第</w:t>
      </w:r>
      <w:r>
        <w:rPr>
          <w:rFonts w:hint="eastAsia"/>
          <w:b/>
        </w:rPr>
        <w:t>174</w:t>
      </w:r>
      <w:r>
        <w:rPr>
          <w:rFonts w:hint="eastAsia"/>
          <w:b/>
        </w:rPr>
        <w:t>條之規定，在陞遷過程中行政機關所為之處置亦有適用</w:t>
      </w:r>
      <w:r>
        <w:rPr>
          <w:rFonts w:hint="eastAsia"/>
        </w:rPr>
        <w:t>。但是公務人員欲對其中單獨一項程序中的決定不服，是否應容許其單獨救濟，應同樣採取同上之限縮適用解釋，考量對公務人員而言是否會造成過遲救濟的危險而定。換言之，假如不讓公務人員即時針對程序行為救濟，會發生無可回復的危害或者過遲救濟的危險時，應該排除本法的限制。亦即得適用行政程序法之程序規定，以及得針對程序決定獨立進行救濟。</w:t>
      </w:r>
    </w:p>
    <w:p w:rsidR="007D6688" w:rsidRDefault="007D6688">
      <w:pPr>
        <w:pStyle w:val="2"/>
        <w:spacing w:line="480" w:lineRule="auto"/>
        <w:rPr>
          <w:rFonts w:hint="eastAsia"/>
          <w:lang w:val="de-DE"/>
        </w:rPr>
      </w:pPr>
      <w:bookmarkStart w:id="118" w:name="_Toc121199229"/>
      <w:bookmarkStart w:id="119" w:name="_Toc121212701"/>
      <w:bookmarkStart w:id="120" w:name="_Toc121212964"/>
      <w:r>
        <w:rPr>
          <w:rFonts w:hint="eastAsia"/>
          <w:lang w:val="de-DE"/>
        </w:rPr>
        <w:t>5.3.</w:t>
      </w:r>
      <w:r>
        <w:rPr>
          <w:lang w:val="de-DE"/>
        </w:rPr>
        <w:t>程序行為之法律性質</w:t>
      </w:r>
      <w:bookmarkEnd w:id="118"/>
      <w:bookmarkEnd w:id="119"/>
      <w:bookmarkEnd w:id="120"/>
    </w:p>
    <w:p w:rsidR="007D6688" w:rsidRDefault="007D6688">
      <w:pPr>
        <w:pStyle w:val="22"/>
        <w:spacing w:line="480" w:lineRule="auto"/>
        <w:rPr>
          <w:rFonts w:hint="eastAsia"/>
        </w:rPr>
      </w:pPr>
      <w:r>
        <w:rPr>
          <w:rFonts w:hint="eastAsia"/>
        </w:rPr>
        <w:t>一般行政程序上的程序行為，在法律性質的認定上並非毫無爭議。這必須個案中判斷行政機關的決定是否具有對外直接規制的效力而定。例如證人或鑑定人的任命</w:t>
      </w:r>
      <w:r>
        <w:rPr>
          <w:rStyle w:val="ae"/>
        </w:rPr>
        <w:footnoteReference w:id="53"/>
      </w:r>
      <w:r>
        <w:rPr>
          <w:rFonts w:hint="eastAsia"/>
        </w:rPr>
        <w:t>、確定當事人資訊請求權的決定</w:t>
      </w:r>
      <w:r>
        <w:rPr>
          <w:rStyle w:val="ae"/>
        </w:rPr>
        <w:footnoteReference w:id="54"/>
      </w:r>
      <w:r>
        <w:rPr>
          <w:rFonts w:hint="eastAsia"/>
        </w:rPr>
        <w:t>、對於當事人請求提供資訊的行為</w:t>
      </w:r>
      <w:r>
        <w:rPr>
          <w:rStyle w:val="ae"/>
        </w:rPr>
        <w:footnoteReference w:id="55"/>
      </w:r>
      <w:r>
        <w:rPr>
          <w:rFonts w:hint="eastAsia"/>
        </w:rPr>
        <w:t>等等均被視為具有行政處分的特徵。但是也有一些程序行為可能只是一些準備行為而不具備課予義務的特徵，當事人受到的影響也可能只是增加程序上的負擔，尚未必可以被認定為行政處分。</w:t>
      </w:r>
    </w:p>
    <w:p w:rsidR="007D6688" w:rsidRDefault="007D6688">
      <w:pPr>
        <w:pStyle w:val="22"/>
        <w:spacing w:line="480" w:lineRule="auto"/>
        <w:rPr>
          <w:rFonts w:hint="eastAsia"/>
        </w:rPr>
      </w:pPr>
      <w:r>
        <w:rPr>
          <w:rFonts w:hint="eastAsia"/>
        </w:rPr>
        <w:t>至於陞遷程序中，行政機關在程序中所為之處置是否為行政處分，同樣必須在個案中逐一檢視。如本文前述，行政處分之判斷應回歸行政程序法第</w:t>
      </w:r>
      <w:r>
        <w:rPr>
          <w:rFonts w:hint="eastAsia"/>
        </w:rPr>
        <w:t>92</w:t>
      </w:r>
      <w:r>
        <w:rPr>
          <w:rFonts w:hint="eastAsia"/>
        </w:rPr>
        <w:t>條第</w:t>
      </w:r>
      <w:r>
        <w:rPr>
          <w:rFonts w:hint="eastAsia"/>
        </w:rPr>
        <w:t>1</w:t>
      </w:r>
      <w:r>
        <w:rPr>
          <w:rFonts w:hint="eastAsia"/>
        </w:rPr>
        <w:t>項規定。本法規定「行政處分，係指行政機關就公法上具體事件所為之決定或其他公權力措施而對外『直接發生法律效果』之單方行政行為」。在行政程序法立法程序中，於立法院所討論的各種版本中，均類如現行法之規定，認定行政處分必須對外『直接』發生法律效果。從經建會委託研究的行政程序法草案以及研議資料中，由</w:t>
      </w:r>
      <w:smartTag w:uri="urn:schemas-microsoft-com:office:smarttags" w:element="PersonName">
        <w:smartTagPr>
          <w:attr w:name="ProductID" w:val="翁岳生"/>
        </w:smartTagPr>
        <w:r>
          <w:rPr>
            <w:rFonts w:hint="eastAsia"/>
          </w:rPr>
          <w:t>翁岳生</w:t>
        </w:r>
      </w:smartTag>
      <w:r>
        <w:rPr>
          <w:rFonts w:hint="eastAsia"/>
        </w:rPr>
        <w:t>教授所撰「論行政處分」一文提及，根據草案（如現行法）的定義，行政處分是「行政機關對外直接發生法律效果之行為。行政處分不包括行政機關之單純事實行為（</w:t>
      </w:r>
      <w:r>
        <w:rPr>
          <w:rFonts w:hint="eastAsia"/>
        </w:rPr>
        <w:t>Realakte</w:t>
      </w:r>
      <w:r>
        <w:rPr>
          <w:rFonts w:hint="eastAsia"/>
        </w:rPr>
        <w:t>），如告知經辦事件進度或緩辦原因等單純之通知、告知、報導、理由之說明等既不發生具體法律效果，不直接對人民之權利義務發生影響，自不屬於行政法學上行政處分之概念</w:t>
      </w:r>
      <w:r>
        <w:rPr>
          <w:rStyle w:val="ae"/>
          <w:rFonts w:ascii="Arial" w:hAnsi="Arial" w:cs="Arial"/>
          <w:szCs w:val="23"/>
        </w:rPr>
        <w:footnoteReference w:id="56"/>
      </w:r>
      <w:r>
        <w:rPr>
          <w:rFonts w:hint="eastAsia"/>
        </w:rPr>
        <w:t>。」</w:t>
      </w:r>
      <w:smartTag w:uri="urn:schemas-microsoft-com:office:smarttags" w:element="PersonName">
        <w:smartTagPr>
          <w:attr w:name="ProductID" w:val="翁"/>
        </w:smartTagPr>
        <w:r>
          <w:rPr>
            <w:rFonts w:hint="eastAsia"/>
          </w:rPr>
          <w:t>翁</w:t>
        </w:r>
      </w:smartTag>
      <w:r>
        <w:rPr>
          <w:rFonts w:hint="eastAsia"/>
        </w:rPr>
        <w:t>教授認為行政行為中「不發生具體法律效果，不直接對人民之權利義務發生影響」者，不足以認定為行政處分。其結論雖可資贊同，並已修正了早期其對於行政處分的詮釋，但是我們仍然想要知道，假如行政行為「發生法律效果，但不直接對人民權利義務發生影響」者（這也是過去可能被指為「法的行為」的類型），行政程序法的立場為何？雖然立法資料並無法詳細地反應，但是我們從事後條文的確立，應該可以推測僅以發生法效果與否，並不足以精確地描繪行政處分的輪廓，否則立法者沒有必要限縮於必須對外「直接發生法律效果」之要素之上。換言之，僅僅是間接或者甚至於只是輻射造成權利義務影響的單方行為，尚不足已被認定為行政處分。前述的說明，讓我們發現，如果我們對於行政處分應該具備的「對外直接法效性」要素不予以堅持，僅憑是否發生法律效果作為行政處分的判準，將使得行政處分、事實行為與觀念通知之間的界限更形模糊。吳庚教授於其行政法教科書中指出，行政行為理論中，如從官署的主觀層次觀察，可分為意思表示與認知表示（</w:t>
      </w:r>
      <w:r>
        <w:t>Wissenserklärung</w:t>
      </w:r>
      <w:r>
        <w:rPr>
          <w:rFonts w:hint="eastAsia"/>
        </w:rPr>
        <w:t>）。觀念通知故應歸類為認知表示，但是在公法領域中認知表示亦可能發生意思表示相同之法律效果</w:t>
      </w:r>
      <w:r>
        <w:rPr>
          <w:rStyle w:val="ae"/>
          <w:rFonts w:ascii="Arial" w:hAnsi="Arial" w:cs="Arial"/>
          <w:szCs w:val="23"/>
        </w:rPr>
        <w:footnoteReference w:id="57"/>
      </w:r>
      <w:r>
        <w:rPr>
          <w:rFonts w:hint="eastAsia"/>
        </w:rPr>
        <w:t>。但是我們卻不會將之認定為行政處分，因為這個法律效果發生的原因不同。</w:t>
      </w:r>
    </w:p>
    <w:p w:rsidR="007D6688" w:rsidRDefault="007D6688">
      <w:pPr>
        <w:pStyle w:val="22"/>
        <w:spacing w:line="480" w:lineRule="auto"/>
        <w:rPr>
          <w:rFonts w:hint="eastAsia"/>
        </w:rPr>
      </w:pPr>
      <w:r>
        <w:rPr>
          <w:rFonts w:hint="eastAsia"/>
        </w:rPr>
        <w:t>我國行政程序法規定雖繼受自德國，但卻未必掌握到其規範細微之處。德國聯邦行政法第</w:t>
      </w:r>
      <w:r>
        <w:t>35</w:t>
      </w:r>
      <w:r>
        <w:t>條第</w:t>
      </w:r>
      <w:r>
        <w:t>1</w:t>
      </w:r>
      <w:r>
        <w:t>句</w:t>
      </w:r>
      <w:r>
        <w:rPr>
          <w:rFonts w:hint="eastAsia"/>
        </w:rPr>
        <w:t>規定，「行政處分係官署</w:t>
      </w:r>
      <w:r>
        <w:rPr>
          <w:rFonts w:hint="eastAsia"/>
          <w:b/>
          <w:bCs/>
          <w:i/>
          <w:iCs/>
          <w:u w:val="single"/>
        </w:rPr>
        <w:t>為了規制</w:t>
      </w:r>
      <w:r>
        <w:rPr>
          <w:rFonts w:hint="eastAsia"/>
        </w:rPr>
        <w:t>個案，而於公法領域中以直接發生對外法律效果</w:t>
      </w:r>
      <w:r>
        <w:rPr>
          <w:rFonts w:hint="eastAsia"/>
          <w:b/>
          <w:bCs/>
          <w:i/>
          <w:iCs/>
          <w:u w:val="single"/>
        </w:rPr>
        <w:t>作為目的</w:t>
      </w:r>
      <w:r>
        <w:rPr>
          <w:rFonts w:hint="eastAsia"/>
        </w:rPr>
        <w:t>，所為之任何的處分、決定或其他公權力措施（</w:t>
      </w:r>
      <w:r>
        <w:t xml:space="preserve">Verwaltungsakt ist jede Verfügung, Entscheidung oder andere hoheitliche Maßnahme, die eine Behörde </w:t>
      </w:r>
      <w:r>
        <w:rPr>
          <w:b/>
          <w:bCs/>
          <w:i/>
          <w:iCs/>
          <w:u w:val="single"/>
        </w:rPr>
        <w:t>zur</w:t>
      </w:r>
      <w:r>
        <w:rPr>
          <w:u w:val="single"/>
        </w:rPr>
        <w:t xml:space="preserve"> </w:t>
      </w:r>
      <w:r>
        <w:rPr>
          <w:b/>
          <w:bCs/>
          <w:i/>
          <w:iCs/>
          <w:u w:val="single"/>
        </w:rPr>
        <w:t>Regelung</w:t>
      </w:r>
      <w:r>
        <w:rPr>
          <w:i/>
          <w:iCs/>
          <w:u w:val="single"/>
        </w:rPr>
        <w:t xml:space="preserve"> </w:t>
      </w:r>
      <w:r>
        <w:t xml:space="preserve">eines Einzelfalles auf dem Gebiet des öffentlichen Rechts trifft und die auf unmittelbare Rechtswirkung nach außen </w:t>
      </w:r>
      <w:r>
        <w:rPr>
          <w:b/>
          <w:bCs/>
          <w:i/>
          <w:iCs/>
          <w:u w:val="single"/>
        </w:rPr>
        <w:t>gerichtet</w:t>
      </w:r>
      <w:r>
        <w:t xml:space="preserve"> ist.</w:t>
      </w:r>
      <w:r>
        <w:rPr>
          <w:rFonts w:hint="eastAsia"/>
        </w:rPr>
        <w:t>）。」這個德文的句法充斥著行政處分規制的目的性與直接性，但是被翻譯成漢文之後，力道盡失。</w:t>
      </w:r>
    </w:p>
    <w:p w:rsidR="007D6688" w:rsidRDefault="007D6688">
      <w:pPr>
        <w:pStyle w:val="22"/>
        <w:spacing w:line="480" w:lineRule="auto"/>
      </w:pPr>
      <w:r>
        <w:t>首先我們可以發現，行政處分是一個具有目的性的行為，而其「目的」在於「規制」個案（</w:t>
      </w:r>
      <w:r>
        <w:t>„zur“ „Regelung“</w:t>
      </w:r>
      <w:r>
        <w:rPr>
          <w:i/>
          <w:iCs/>
        </w:rPr>
        <w:t xml:space="preserve"> </w:t>
      </w:r>
      <w:r>
        <w:t>eines Einzelfalles</w:t>
      </w:r>
      <w:r>
        <w:t>），這在我國行政程序法中只剩下不痛不癢「『就』公法上具體事件」的描述性文字。</w:t>
      </w:r>
    </w:p>
    <w:p w:rsidR="007D6688" w:rsidRDefault="007D6688">
      <w:pPr>
        <w:pStyle w:val="22"/>
        <w:spacing w:line="480" w:lineRule="auto"/>
      </w:pPr>
      <w:r>
        <w:t>行政處分具有的「規制目的（</w:t>
      </w:r>
      <w:r>
        <w:t>...zur Regelung...</w:t>
      </w:r>
      <w:r>
        <w:t>）」，在法治國中僅能意指「法律上規制」之目的</w:t>
      </w:r>
      <w:r>
        <w:rPr>
          <w:rStyle w:val="ae"/>
          <w:szCs w:val="23"/>
        </w:rPr>
        <w:footnoteReference w:id="58"/>
      </w:r>
      <w:r>
        <w:t>。「規制」的要素是少包含以下幾個層次的內容</w:t>
      </w:r>
      <w:r>
        <w:rPr>
          <w:rStyle w:val="ae"/>
          <w:szCs w:val="23"/>
        </w:rPr>
        <w:footnoteReference w:id="59"/>
      </w:r>
      <w:r>
        <w:t>。第一、公權力的措施必須是官署根據其意思，意欲所為之行為（</w:t>
      </w:r>
      <w:r>
        <w:t xml:space="preserve">nach dem </w:t>
      </w:r>
      <w:r>
        <w:rPr>
          <w:i/>
          <w:iCs/>
        </w:rPr>
        <w:t>Willen der Behöre</w:t>
      </w:r>
      <w:r>
        <w:t xml:space="preserve"> darauf </w:t>
      </w:r>
      <w:r>
        <w:rPr>
          <w:i/>
          <w:iCs/>
        </w:rPr>
        <w:t>gerichtet</w:t>
      </w:r>
      <w:r>
        <w:t xml:space="preserve"> ist</w:t>
      </w:r>
      <w:r>
        <w:t>）；第二、官署意欲發生一個單方，同時要求對方受其拘束的效力（</w:t>
      </w:r>
      <w:r>
        <w:t xml:space="preserve">Anspruch auf </w:t>
      </w:r>
      <w:r>
        <w:rPr>
          <w:i/>
          <w:iCs/>
        </w:rPr>
        <w:t>Verbindlichkeit</w:t>
      </w:r>
      <w:r>
        <w:t xml:space="preserve">; mit </w:t>
      </w:r>
      <w:r>
        <w:rPr>
          <w:i/>
          <w:iCs/>
        </w:rPr>
        <w:t>verbindlicher Wirkung</w:t>
      </w:r>
      <w:r>
        <w:t>）；第三、官署意欲發生一個直接的效力（</w:t>
      </w:r>
      <w:r>
        <w:t xml:space="preserve">eine </w:t>
      </w:r>
      <w:r>
        <w:rPr>
          <w:i/>
          <w:iCs/>
        </w:rPr>
        <w:t>unmittelbare Wirkung</w:t>
      </w:r>
      <w:r>
        <w:t>），亦即發生一個法律上的效果（</w:t>
      </w:r>
      <w:r>
        <w:rPr>
          <w:i/>
          <w:iCs/>
        </w:rPr>
        <w:t>Rechtsfolge</w:t>
      </w:r>
      <w:r>
        <w:t>）。所以規制的概念其實已經跟透過法律上的拘束力去形塑行政法法律關係（</w:t>
      </w:r>
      <w:r>
        <w:t xml:space="preserve">Ein Verwaltungsrechtsverhältnis wird mit rechtlicher Verbindlichkeit </w:t>
      </w:r>
      <w:r>
        <w:rPr>
          <w:bCs/>
        </w:rPr>
        <w:t>gestaltet</w:t>
      </w:r>
      <w:r>
        <w:t>）的意義無差。這與事實行為（</w:t>
      </w:r>
      <w:r>
        <w:t>Realakt</w:t>
      </w:r>
      <w:r>
        <w:t>）不同，它雖可產生事實上之效力，並且具有法律上之重要性（例如引發公法上的損害賠償請求權，並且形成一個公法上之法定債的關係），但是行政處分是一個法的行為（</w:t>
      </w:r>
      <w:r>
        <w:t>Rechtsakt</w:t>
      </w:r>
      <w:r>
        <w:t>），直接可以透過官署意思形塑一個法律狀態</w:t>
      </w:r>
      <w:r>
        <w:rPr>
          <w:rStyle w:val="ae"/>
          <w:szCs w:val="23"/>
        </w:rPr>
        <w:footnoteReference w:id="60"/>
      </w:r>
      <w:r>
        <w:t>。規制概念的內含其實是集中在於行政「目的（</w:t>
      </w:r>
      <w:r>
        <w:t>abzielen</w:t>
      </w:r>
      <w:r>
        <w:t>）」造成一個有拘束力的法律效果之上</w:t>
      </w:r>
      <w:r>
        <w:rPr>
          <w:rStyle w:val="ae"/>
          <w:szCs w:val="23"/>
        </w:rPr>
        <w:footnoteReference w:id="61"/>
      </w:r>
      <w:r>
        <w:t>。</w:t>
      </w:r>
    </w:p>
    <w:p w:rsidR="007D6688" w:rsidRDefault="007D6688">
      <w:pPr>
        <w:pStyle w:val="22"/>
        <w:spacing w:line="480" w:lineRule="auto"/>
      </w:pPr>
      <w:r>
        <w:t>針對前述分析之第一點而言，規制的特徵首在於法律效果的發生正是基於所謂的「官署意思（</w:t>
      </w:r>
      <w:r>
        <w:t>Behördenwillen</w:t>
      </w:r>
      <w:r>
        <w:t>）」。換句話說，法律效果的發生正因為官署希望它能發生，而非單純地根據法律規定</w:t>
      </w:r>
      <w:r>
        <w:rPr>
          <w:rStyle w:val="ae"/>
          <w:sz w:val="23"/>
          <w:szCs w:val="23"/>
        </w:rPr>
        <w:footnoteReference w:id="62"/>
      </w:r>
      <w:r>
        <w:t>。針對第二點，並非所有的單方法律行為的表示均屬行政處分，因為有些表示之所以發生法律上的效果，僅是因為所有的法律要件滿足的結果。如果法律要件仍有欠缺，即使有官署之意思，該行為仍然還是不生效力（</w:t>
      </w:r>
      <w:r>
        <w:t>unwirksam</w:t>
      </w:r>
      <w:r>
        <w:t>）</w:t>
      </w:r>
      <w:r>
        <w:rPr>
          <w:rStyle w:val="ae"/>
          <w:sz w:val="23"/>
          <w:szCs w:val="23"/>
        </w:rPr>
        <w:footnoteReference w:id="63"/>
      </w:r>
      <w:r>
        <w:t>。例如公法上的抵銷（</w:t>
      </w:r>
      <w:r>
        <w:t>Aufrechnung</w:t>
      </w:r>
      <w:r>
        <w:t>），它雖然是官署的單方意思表示，但是卻並非行政處分。因為抵銷是指二人互負債務而其給付之種類相同，並已屆清償期，為使雙方所負相當額之債務同歸消滅之單方意思表示。但是官署為抵銷之意思表示時卻無法透過他的表示就發生彼此請求權消滅的效果，因為還有其他法律要件須要滿足。倘若有所欠缺，抵銷還是不生效力</w:t>
      </w:r>
      <w:r>
        <w:rPr>
          <w:rStyle w:val="ae"/>
          <w:sz w:val="23"/>
          <w:szCs w:val="23"/>
        </w:rPr>
        <w:footnoteReference w:id="64"/>
      </w:r>
      <w:r>
        <w:t>。但是行政處分卻不然，即使作成處分之法律要件欠缺，官署作成之行政處分依然還是發生法律效果。第三，假如官署措施的目的本身並非「直接」發生法律效果時，它更無法該當「規制」的意涵</w:t>
      </w:r>
      <w:r>
        <w:rPr>
          <w:rStyle w:val="ae"/>
          <w:sz w:val="23"/>
          <w:szCs w:val="23"/>
        </w:rPr>
        <w:footnoteReference w:id="65"/>
      </w:r>
      <w:r>
        <w:t>。</w:t>
      </w:r>
    </w:p>
    <w:p w:rsidR="007D6688" w:rsidRDefault="007D6688">
      <w:pPr>
        <w:pStyle w:val="22"/>
        <w:spacing w:line="480" w:lineRule="auto"/>
      </w:pPr>
      <w:r>
        <w:t>行政處分必須具備直接性（</w:t>
      </w:r>
      <w:r>
        <w:t>Unmittelbarkeit</w:t>
      </w:r>
      <w:r>
        <w:t>）的規制特徵是指，根據公權力措施的客觀意義內涵，行政處分必須「直接涉及到」拘束關係人權利或（與）義務或法律地位之規範。至於所謂的直接性只有當公權力措施在主要內容中針對自然人或法人表示</w:t>
      </w:r>
      <w:r>
        <w:t xml:space="preserve"> – </w:t>
      </w:r>
      <w:r>
        <w:t>不論已明確表示出或者必須自其意思表示內容推導出</w:t>
      </w:r>
      <w:r>
        <w:t xml:space="preserve"> – </w:t>
      </w:r>
      <w:r>
        <w:t>其所「意欲（</w:t>
      </w:r>
      <w:r>
        <w:t>gerichtet</w:t>
      </w:r>
      <w:r>
        <w:t>）」的法律效果時才存在</w:t>
      </w:r>
      <w:r>
        <w:rPr>
          <w:rStyle w:val="ae"/>
        </w:rPr>
        <w:footnoteReference w:id="66"/>
      </w:r>
      <w:r>
        <w:t>。德國聯邦行政程序法上「規制」的意義因此再進一步地與條文中的行政機關的「意欲性」相結合，強化官署主觀意思表示或者法效目的的要求。這些層層疊疊的目的取向要求以及官署法效意思的堅持，落實在我國行政程序法上，有意義之處僅剩「直接發生法律效果」一語。不過聊勝於無，我國行政程序法上仍然要求行政處分發生法律效果的「直接性」。就這點而言，也應該包含以上有關官署意思、目的性、意欲性等相關內涵。透過以上說明，我們可以如此判斷，即使行政的措施缺乏針對此法律效果的「主要內容」，但是卻還是發生法律效果時，此一非主要內容所引發的法律效果還是不能作為認定該措施具有行政處分特徵的理由</w:t>
      </w:r>
      <w:r>
        <w:rPr>
          <w:vertAlign w:val="superscript"/>
        </w:rPr>
        <w:footnoteReference w:id="67"/>
      </w:r>
      <w:r>
        <w:t>。換言之，德國聯邦行政程序法有關行政處分定義中「意欲」發生外部效果的要件仍應滿足</w:t>
      </w:r>
      <w:r>
        <w:rPr>
          <w:vertAlign w:val="superscript"/>
        </w:rPr>
        <w:footnoteReference w:id="68"/>
      </w:r>
      <w:r>
        <w:t>。具體而言，行政處分作為一個行政法上的意思表示，當然必須進一步探求作成處分機關究竟意欲藉此行為達到何種法律效果的真意。</w:t>
      </w:r>
    </w:p>
    <w:p w:rsidR="007D6688" w:rsidRDefault="007D6688">
      <w:pPr>
        <w:pStyle w:val="22"/>
        <w:spacing w:line="480" w:lineRule="auto"/>
      </w:pPr>
      <w:r>
        <w:t>就這點而言，</w:t>
      </w:r>
      <w:smartTag w:uri="urn:schemas-microsoft-com:office:smarttags" w:element="PersonName">
        <w:smartTagPr>
          <w:attr w:name="ProductID" w:val="陳愛娥"/>
        </w:smartTagPr>
        <w:r>
          <w:t>陳愛娥</w:t>
        </w:r>
      </w:smartTag>
      <w:r>
        <w:t>教授正確與忠實地反應行政處分應該具備的規制目的性特徵。她認為行政處分之所以能夠與行政法上之事實行為，包括行政法上之準法律行為相區分，並不在於它是否對外發生法律效果，毋寧在於它包含了行政法上意思表示。換句話說，作成行政處分者藉由行政處分「擬（</w:t>
      </w:r>
      <w:r>
        <w:t>gerichtet</w:t>
      </w:r>
      <w:r>
        <w:t>）</w:t>
      </w:r>
      <w:r>
        <w:rPr>
          <w:rStyle w:val="ae"/>
        </w:rPr>
        <w:footnoteReference w:id="69"/>
      </w:r>
      <w:r>
        <w:t>」規定一定的法律效果，且法秩序即相應承認其得以發生此等法律效果。行政程序法第</w:t>
      </w:r>
      <w:r>
        <w:t>92</w:t>
      </w:r>
      <w:r>
        <w:t>條關於行政處分之定義，也表現出這項要求</w:t>
      </w:r>
      <w:r>
        <w:rPr>
          <w:rStyle w:val="ae"/>
        </w:rPr>
        <w:footnoteReference w:id="70"/>
      </w:r>
      <w:r>
        <w:t>。行政上之事實行為，乃至於行政法上的準法律行為</w:t>
      </w:r>
      <w:r>
        <w:rPr>
          <w:b/>
        </w:rPr>
        <w:t>無妨直接依據法律規定而發生法律效果</w:t>
      </w:r>
      <w:r>
        <w:t>，但並不因其「直接影響人民權利義務關係，且實際上已對外發生效力」，即認其為行政處分。至於行政機關是否擬作成行政處分，其透過行政處分究竟要規定什麼法律效果，其取決於行政處分之意思表示的內容。具體而言，必須探求作成行政處分機關究竟想藉此規定什麼法律效果。行政機關意思表示的內容為何，首先應從行政處分決定的主文去探求，在決定主文不清晰的情況下，也不排除從決定的理由說明中進行解釋</w:t>
      </w:r>
      <w:r>
        <w:rPr>
          <w:rStyle w:val="ae"/>
        </w:rPr>
        <w:footnoteReference w:id="71"/>
      </w:r>
      <w:r>
        <w:t>。本文之基本立場與</w:t>
      </w:r>
      <w:smartTag w:uri="urn:schemas-microsoft-com:office:smarttags" w:element="PersonName">
        <w:smartTagPr>
          <w:attr w:name="ProductID" w:val="陳"/>
        </w:smartTagPr>
        <w:r>
          <w:t>陳</w:t>
        </w:r>
      </w:smartTag>
      <w:r>
        <w:t>教授的詳實說明幾無差別，但是對於</w:t>
      </w:r>
      <w:smartTag w:uri="urn:schemas-microsoft-com:office:smarttags" w:element="PersonName">
        <w:smartTagPr>
          <w:attr w:name="ProductID" w:val="陳"/>
        </w:smartTagPr>
        <w:r>
          <w:t>陳</w:t>
        </w:r>
      </w:smartTag>
      <w:r>
        <w:t>教授在此未能進一步將「直接性」的重要性點出，本文認為還有補充說明之必要。特別是行政處分發生之效果如果是基於行政機關之意思而生，那麼行政處分之「直接性」要素就必須跟意思表示（法效意思）緊緊相扣。像是準法律行為之類的行政行為，應該不會再因為它也能「直接影響人民權利義務關係」而發生與行政處分混淆之處（這與所謂的事實行為直接造成權利損害的問題不同）。換句話說，「目的性」與「直接性」的要素應是重合的概念</w:t>
      </w:r>
      <w:r>
        <w:rPr>
          <w:rStyle w:val="ae"/>
        </w:rPr>
        <w:footnoteReference w:id="72"/>
      </w:r>
      <w:r>
        <w:t>。準法律行為無法效意思支持，即會欠缺發生對外法律效果的目的性與直接性。除非說，這個直接的影響是因為「直接根據法律規定」的關係，而不同於行政處分效力是直接根據官署意思。就這點而言，</w:t>
      </w:r>
      <w:smartTag w:uri="urn:schemas-microsoft-com:office:smarttags" w:element="PersonName">
        <w:smartTagPr>
          <w:attr w:name="ProductID" w:val="陳"/>
        </w:smartTagPr>
        <w:r>
          <w:t>陳</w:t>
        </w:r>
      </w:smartTag>
      <w:r>
        <w:t>教授在新作之中比較</w:t>
      </w:r>
      <w:smartTag w:uri="urn:schemas-microsoft-com:office:smarttags" w:element="PersonName">
        <w:smartTagPr>
          <w:attr w:name="ProductID" w:val="陳敏"/>
        </w:smartTagPr>
        <w:r>
          <w:t>陳敏</w:t>
        </w:r>
      </w:smartTag>
      <w:r>
        <w:t>教授、許宗力與廖義男兩位大法官對於行政處分要素之判斷差異時指出，</w:t>
      </w:r>
      <w:smartTag w:uri="urn:schemas-microsoft-com:office:smarttags" w:element="PersonName">
        <w:smartTagPr>
          <w:attr w:name="ProductID" w:val="陳敏"/>
        </w:smartTagPr>
        <w:r>
          <w:t>陳敏</w:t>
        </w:r>
      </w:smartTag>
      <w:r>
        <w:t>教授以「規制」的概念突顯行政處分係「以發生法律效果之意思所為」，不同於兩位大法官以「（對外）直接發生法律效果」作為主要標準。</w:t>
      </w:r>
      <w:smartTag w:uri="urn:schemas-microsoft-com:office:smarttags" w:element="PersonName">
        <w:smartTagPr>
          <w:attr w:name="ProductID" w:val="陳愛娥"/>
        </w:smartTagPr>
        <w:r>
          <w:t>陳愛娥</w:t>
        </w:r>
      </w:smartTag>
      <w:r>
        <w:t>教授採取了如同</w:t>
      </w:r>
      <w:smartTag w:uri="urn:schemas-microsoft-com:office:smarttags" w:element="PersonName">
        <w:smartTagPr>
          <w:attr w:name="ProductID" w:val="陳敏"/>
        </w:smartTagPr>
        <w:r>
          <w:t>陳敏</w:t>
        </w:r>
      </w:smartTag>
      <w:r>
        <w:t>教授的立場，重申行政處分之所以能夠與行政法上之事實行為、準法律行為相區分，不在於它是否「對外發生法律效果」，毋寧在於它包含行政法上之意思表示。換句話說，作成行政處分者擬藉由行政處分規定一定的法律效果，且法秩序相應承認其得以發生此等法律效果。至於行政法上之事實行為或者準法律行為無妨「直接依法發生法律效果」，但不因其「直接影響人民權利義務關係，且實際上已對外發生效力」，即認其為行政處分</w:t>
      </w:r>
      <w:r>
        <w:rPr>
          <w:rStyle w:val="ae"/>
        </w:rPr>
        <w:footnoteReference w:id="73"/>
      </w:r>
      <w:r>
        <w:t>。我們可以比較清楚地看出</w:t>
      </w:r>
      <w:smartTag w:uri="urn:schemas-microsoft-com:office:smarttags" w:element="PersonName">
        <w:smartTagPr>
          <w:attr w:name="ProductID" w:val="陳愛娥"/>
        </w:smartTagPr>
        <w:r>
          <w:t>陳愛娥</w:t>
        </w:r>
      </w:smartTag>
      <w:r>
        <w:t>教授並不將規制的目的性與直接性等同視之之立場。並據以主張前述兩種說法有異。但是如果我們將直接性的概念與目的性的概念視為結合的概念，這兩說間的距離其實應該不會那麼遙遠。</w:t>
      </w:r>
    </w:p>
    <w:p w:rsidR="007D6688" w:rsidRDefault="007D6688">
      <w:pPr>
        <w:pStyle w:val="22"/>
        <w:spacing w:line="480" w:lineRule="auto"/>
      </w:pPr>
      <w:r>
        <w:t>不過如果將直接性的概念作「直接根據法律規定」解釋，舊訴願法的規定，顯然就這一部份也沒有進一步調整成行政程序法般規定的必要。因為加上「直接性」的要素還是無法跟其他準法律行為精確區分（或者說直接根據法規範而發生法律效果的準法律行為也會是行政處分），特別是我國法上沒能精確表達出「規制目的」的情況下，還得要藉助比較法的解釋，以目的性的要素進行判斷，這恐怕不是修法對於行政處分重新定義的原意。過去或許我們因為訴訟類型的狹隘，要擴大人民救濟的可能性，而將若干準法律行為判定具有行政處分特徵的作法應該可以放棄。德國實務界過去以權利救濟有無必要，作為行政處分是否存在的主要根據，而忽略了行政程序法當中，行政處分規定本應著重的「目的性（</w:t>
      </w:r>
      <w:r>
        <w:t>Finalität</w:t>
      </w:r>
      <w:r>
        <w:t>）」要素的作法，漸漸有反省的聲浪發出</w:t>
      </w:r>
      <w:r>
        <w:rPr>
          <w:vertAlign w:val="superscript"/>
        </w:rPr>
        <w:footnoteReference w:id="74"/>
      </w:r>
      <w:r>
        <w:t>。學者也認為我們不能因為救濟的需求而放棄以規制的特徵作為評價一個行政措施是否具備行政處分特性的操作。相反地，我們也可能因此錯誤認定是否有「規制效果」。我們應該謹記，行政救濟門戶的開啟與否，其實跟一個行政措施是否具有規制特徵，換句話說跟它是不是行政處分無關</w:t>
      </w:r>
      <w:r>
        <w:rPr>
          <w:rStyle w:val="ae"/>
        </w:rPr>
        <w:footnoteReference w:id="75"/>
      </w:r>
      <w:r>
        <w:t>。</w:t>
      </w:r>
    </w:p>
    <w:p w:rsidR="007D6688" w:rsidRDefault="007D6688">
      <w:pPr>
        <w:pStyle w:val="22"/>
        <w:spacing w:line="480" w:lineRule="auto"/>
        <w:ind w:firstLine="460"/>
        <w:rPr>
          <w:rFonts w:hint="eastAsia"/>
          <w:sz w:val="23"/>
        </w:rPr>
      </w:pPr>
      <w:r>
        <w:rPr>
          <w:sz w:val="23"/>
        </w:rPr>
        <w:t>由於行政程序法中有關行政處分的定義明確，行政處分的規制特徵讓行政處分成為一種以發生法律效果作為目的之行政法上意思表示，幾無疑義</w:t>
      </w:r>
      <w:r>
        <w:rPr>
          <w:rStyle w:val="ae"/>
        </w:rPr>
        <w:footnoteReference w:id="76"/>
      </w:r>
      <w:r>
        <w:rPr>
          <w:sz w:val="23"/>
        </w:rPr>
        <w:t>。</w:t>
      </w:r>
      <w:smartTag w:uri="urn:schemas-microsoft-com:office:smarttags" w:element="PersonName">
        <w:smartTagPr>
          <w:attr w:name="ProductID" w:val="陳敏"/>
        </w:smartTagPr>
        <w:r>
          <w:rPr>
            <w:sz w:val="23"/>
          </w:rPr>
          <w:t>陳敏</w:t>
        </w:r>
      </w:smartTag>
      <w:r>
        <w:rPr>
          <w:sz w:val="23"/>
        </w:rPr>
        <w:t>教授就毫不掩飾地指出，行政處分乃行政機關單方所為之規制措施。在此所謂之「規制（</w:t>
      </w:r>
      <w:r>
        <w:rPr>
          <w:sz w:val="23"/>
        </w:rPr>
        <w:t>Regelung</w:t>
      </w:r>
      <w:r>
        <w:rPr>
          <w:sz w:val="23"/>
        </w:rPr>
        <w:t>）」，係以設定法律效果為目的，具有法律拘束力之</w:t>
      </w:r>
      <w:r>
        <w:rPr>
          <w:b/>
          <w:bCs/>
          <w:sz w:val="23"/>
        </w:rPr>
        <w:t>意思表示</w:t>
      </w:r>
      <w:r>
        <w:rPr>
          <w:rStyle w:val="ae"/>
        </w:rPr>
        <w:footnoteReference w:id="77"/>
      </w:r>
      <w:r>
        <w:rPr>
          <w:sz w:val="23"/>
        </w:rPr>
        <w:t>。不論德國或我國行政程序法之規定，不僅沒有擺脫意思表示概念的束縛，毋寧將行政處分僅限定於法律行為形式的行政行為之上。意思表示的概念早已內化在行政程序法第</w:t>
      </w:r>
      <w:r>
        <w:rPr>
          <w:sz w:val="23"/>
        </w:rPr>
        <w:t>92</w:t>
      </w:r>
      <w:r>
        <w:rPr>
          <w:sz w:val="23"/>
        </w:rPr>
        <w:t>條第</w:t>
      </w:r>
      <w:r>
        <w:rPr>
          <w:sz w:val="23"/>
        </w:rPr>
        <w:t>1</w:t>
      </w:r>
      <w:r>
        <w:rPr>
          <w:sz w:val="23"/>
        </w:rPr>
        <w:t>項（或德國聯邦行政程序法第</w:t>
      </w:r>
      <w:r>
        <w:rPr>
          <w:sz w:val="23"/>
        </w:rPr>
        <w:t>35</w:t>
      </w:r>
      <w:r>
        <w:rPr>
          <w:sz w:val="23"/>
        </w:rPr>
        <w:t>條第</w:t>
      </w:r>
      <w:r>
        <w:rPr>
          <w:sz w:val="23"/>
        </w:rPr>
        <w:t>1</w:t>
      </w:r>
      <w:r>
        <w:rPr>
          <w:sz w:val="23"/>
        </w:rPr>
        <w:t>句）的定義之中。目前學說上較少以意思表示的概念進行討論，並非揚棄意思表示作為行政處分的內涵，而應當是視其為法條定義下的當然解釋。因此，像是公法上的事實行為或者準法律行為，即使它們可以根據法律規定發生一定的法律效果，但是因為它們不是意思表示，也就不可能成為行政處分了</w:t>
      </w:r>
      <w:r>
        <w:rPr>
          <w:rStyle w:val="ae"/>
        </w:rPr>
        <w:footnoteReference w:id="78"/>
      </w:r>
      <w:r>
        <w:rPr>
          <w:sz w:val="23"/>
        </w:rPr>
        <w:t>。</w:t>
      </w:r>
    </w:p>
    <w:p w:rsidR="007D6688" w:rsidRDefault="007D6688">
      <w:pPr>
        <w:pStyle w:val="22"/>
        <w:spacing w:line="480" w:lineRule="auto"/>
        <w:ind w:firstLine="460"/>
        <w:rPr>
          <w:rFonts w:ascii="Arial" w:hAnsi="Arial" w:cs="Arial"/>
          <w:vanish/>
          <w:kern w:val="0"/>
          <w:sz w:val="19"/>
          <w:szCs w:val="19"/>
        </w:rPr>
      </w:pPr>
      <w:r>
        <w:rPr>
          <w:rFonts w:hint="eastAsia"/>
          <w:sz w:val="23"/>
        </w:rPr>
        <w:t>經由以上的說明，我們可以知道行政處分認定的核心要素在於其是否具備對外直接法效性之上。</w:t>
      </w:r>
      <w:r>
        <w:rPr>
          <w:rFonts w:hint="eastAsia"/>
        </w:rPr>
        <w:t>在陞遷流程中，行政機關訂定陞遷序列表、內陞或外補之決定、列入甄審名冊</w:t>
      </w:r>
      <w:r>
        <w:rPr>
          <w:lang w:val="en-US"/>
        </w:rPr>
        <w:t>、</w:t>
      </w:r>
      <w:r>
        <w:rPr>
          <w:rFonts w:hint="eastAsia"/>
        </w:rPr>
        <w:t>甄審會評分、參加他機關甄審之通知、商調時原服務機關不同意均因其不具有此一對外直接法效性的特徵而非行政處分。保訓會一貫的立場亦採之。</w:t>
      </w:r>
    </w:p>
    <w:p w:rsidR="007D6688" w:rsidRDefault="007D6688">
      <w:pPr>
        <w:pStyle w:val="1"/>
        <w:spacing w:before="180" w:after="180" w:line="480" w:lineRule="auto"/>
        <w:rPr>
          <w:lang w:val="de-DE"/>
        </w:rPr>
      </w:pPr>
      <w:bookmarkStart w:id="121" w:name="_Toc121199230"/>
      <w:bookmarkStart w:id="122" w:name="_Toc121212702"/>
      <w:bookmarkStart w:id="123" w:name="_Toc121212965"/>
      <w:r>
        <w:rPr>
          <w:rFonts w:hint="eastAsia"/>
          <w:lang w:val="de-DE"/>
        </w:rPr>
        <w:t>6.</w:t>
      </w:r>
      <w:r>
        <w:rPr>
          <w:lang w:val="de-DE"/>
        </w:rPr>
        <w:t>公務人員對於陞遷之請求權</w:t>
      </w:r>
      <w:bookmarkEnd w:id="121"/>
      <w:bookmarkEnd w:id="122"/>
      <w:bookmarkEnd w:id="123"/>
    </w:p>
    <w:p w:rsidR="007D6688" w:rsidRDefault="007D6688">
      <w:pPr>
        <w:pStyle w:val="2"/>
        <w:spacing w:line="480" w:lineRule="auto"/>
        <w:rPr>
          <w:lang w:val="de-DE"/>
        </w:rPr>
      </w:pPr>
      <w:bookmarkStart w:id="124" w:name="_Toc121199231"/>
      <w:bookmarkStart w:id="125" w:name="_Toc121212703"/>
      <w:bookmarkStart w:id="126" w:name="_Toc121212966"/>
      <w:r>
        <w:rPr>
          <w:rFonts w:hint="eastAsia"/>
          <w:lang w:val="de-DE"/>
        </w:rPr>
        <w:t>6.1.</w:t>
      </w:r>
      <w:r>
        <w:rPr>
          <w:lang w:val="de-DE"/>
        </w:rPr>
        <w:t>公法上權利</w:t>
      </w:r>
      <w:bookmarkEnd w:id="124"/>
      <w:bookmarkEnd w:id="125"/>
      <w:bookmarkEnd w:id="126"/>
    </w:p>
    <w:p w:rsidR="007D6688" w:rsidRDefault="007D6688">
      <w:pPr>
        <w:pStyle w:val="22"/>
        <w:spacing w:line="480" w:lineRule="auto"/>
        <w:rPr>
          <w:rFonts w:hint="eastAsia"/>
        </w:rPr>
      </w:pPr>
      <w:r>
        <w:rPr>
          <w:rFonts w:hint="eastAsia"/>
        </w:rPr>
        <w:t>對於陞遷決定不服而得以提起救濟之前提，往往取決於該陞遷決定是否侵害當事人之公法上權利或者當事人是否具有請求陞遷之公法上權利（學說上或稱「主觀公法上權利（</w:t>
      </w:r>
      <w:r>
        <w:t>sujecktiv-öffentliches Recht</w:t>
      </w:r>
      <w:r>
        <w:rPr>
          <w:rFonts w:hint="eastAsia"/>
        </w:rPr>
        <w:t>）」）。</w:t>
      </w:r>
      <w:r>
        <w:t>「公法上權利」之法規範依據</w:t>
      </w:r>
      <w:r>
        <w:rPr>
          <w:rFonts w:hint="eastAsia"/>
        </w:rPr>
        <w:t>（請求權根據）</w:t>
      </w:r>
      <w:r>
        <w:t>，未必限於法律，上可以由憲法導出，下也可以由地方法規或法規命令、行政規則甚至是「反覆慣行之具體行政作為而形成之行政先例」來創設。所以原始僅具反射利益意涵之「救濟制度」，也可能因為法制之開展，而形成一個「由實證法保證實現」的「權利」。</w:t>
      </w:r>
      <w:r>
        <w:rPr>
          <w:rFonts w:hint="eastAsia"/>
        </w:rPr>
        <w:t>根據陞遷法第</w:t>
      </w:r>
      <w:r>
        <w:rPr>
          <w:rFonts w:hint="eastAsia"/>
        </w:rPr>
        <w:t>9</w:t>
      </w:r>
      <w:r>
        <w:rPr>
          <w:rFonts w:hint="eastAsia"/>
        </w:rPr>
        <w:t>條之規定，主管長官對於陞遷名冊所列人員保有最終圈定陞補之權限。依本法之精神以觀，似乎並無直接賦予具陞遷條件之公務人員向主管機關要求務必給予陞遷之請求權之意</w:t>
      </w:r>
      <w:r>
        <w:rPr>
          <w:rStyle w:val="ae"/>
        </w:rPr>
        <w:footnoteReference w:id="79"/>
      </w:r>
      <w:r>
        <w:rPr>
          <w:rFonts w:hint="eastAsia"/>
        </w:rPr>
        <w:t>。在每一個陞遷程序中，無可忽略的是行政機關（首長）擁有的機關高權（</w:t>
      </w:r>
      <w:r>
        <w:rPr>
          <w:rFonts w:eastAsia="MS Mincho"/>
        </w:rPr>
        <w:t>Organisationsgewalt</w:t>
      </w:r>
      <w:r>
        <w:rPr>
          <w:rFonts w:hint="eastAsia"/>
        </w:rPr>
        <w:t>）。這是機關以及內部組織之組成</w:t>
      </w:r>
      <w:r>
        <w:rPr>
          <w:rFonts w:ascii="新細明體" w:hAnsi="新細明體" w:hint="eastAsia"/>
        </w:rPr>
        <w:t>、</w:t>
      </w:r>
      <w:r>
        <w:rPr>
          <w:rFonts w:hint="eastAsia"/>
        </w:rPr>
        <w:t>設置</w:t>
      </w:r>
      <w:r>
        <w:rPr>
          <w:rFonts w:ascii="新細明體" w:hAnsi="新細明體" w:hint="eastAsia"/>
        </w:rPr>
        <w:t>、</w:t>
      </w:r>
      <w:r>
        <w:rPr>
          <w:rFonts w:hint="eastAsia"/>
        </w:rPr>
        <w:t>變更或裁撤權限</w:t>
      </w:r>
      <w:r>
        <w:rPr>
          <w:rStyle w:val="ae"/>
        </w:rPr>
        <w:footnoteReference w:id="80"/>
      </w:r>
      <w:r>
        <w:rPr>
          <w:rFonts w:hint="eastAsia"/>
        </w:rPr>
        <w:t>。同時也包括決定是否</w:t>
      </w:r>
      <w:r>
        <w:rPr>
          <w:rFonts w:ascii="新細明體" w:hAnsi="新細明體" w:hint="eastAsia"/>
        </w:rPr>
        <w:t>、</w:t>
      </w:r>
      <w:r>
        <w:rPr>
          <w:rFonts w:hint="eastAsia"/>
        </w:rPr>
        <w:t>如何</w:t>
      </w:r>
      <w:r>
        <w:rPr>
          <w:rFonts w:ascii="新細明體" w:hAnsi="新細明體" w:hint="eastAsia"/>
        </w:rPr>
        <w:t>、</w:t>
      </w:r>
      <w:r>
        <w:rPr>
          <w:rFonts w:hint="eastAsia"/>
        </w:rPr>
        <w:t>何時辦理陞遷以及決定名額的權限</w:t>
      </w:r>
      <w:r>
        <w:rPr>
          <w:rStyle w:val="ae"/>
        </w:rPr>
        <w:footnoteReference w:id="81"/>
      </w:r>
      <w:r>
        <w:rPr>
          <w:rFonts w:hint="eastAsia"/>
        </w:rPr>
        <w:t>。組織高權係由立法權與行政權共同擁有</w:t>
      </w:r>
      <w:r>
        <w:rPr>
          <w:rStyle w:val="ae"/>
        </w:rPr>
        <w:footnoteReference w:id="82"/>
      </w:r>
      <w:r>
        <w:rPr>
          <w:rFonts w:hint="eastAsia"/>
        </w:rPr>
        <w:t>。立法權擁有的應該是透過財政預算法律等形成陞遷的可能條件，行政權並無法在無預算的前提下貿然對於公務人員完成陞遷任命。行政權（機關首長）則進一步決定這個職缺是否以及如何辦理陞遷。在財政預算的權力分配與限制下，行政權（機關首長）擁有如何自我負責地去實現人事預算的決定權限。不過應注意的是預算上的授權並非同時課予機關首長實現授權內容的義務</w:t>
      </w:r>
      <w:r>
        <w:rPr>
          <w:rStyle w:val="ae"/>
        </w:rPr>
        <w:footnoteReference w:id="83"/>
      </w:r>
      <w:r>
        <w:rPr>
          <w:rFonts w:hint="eastAsia"/>
        </w:rPr>
        <w:t>。我們也可以發現，機關首長的機關高權與其人事高權（</w:t>
      </w:r>
      <w:r>
        <w:rPr>
          <w:rFonts w:eastAsia="MS Mincho"/>
        </w:rPr>
        <w:t>Personalgewalt</w:t>
      </w:r>
      <w:r>
        <w:rPr>
          <w:rFonts w:hint="eastAsia"/>
        </w:rPr>
        <w:t>）具有緊密的關連性</w:t>
      </w:r>
      <w:r>
        <w:rPr>
          <w:rStyle w:val="ae"/>
        </w:rPr>
        <w:footnoteReference w:id="84"/>
      </w:r>
      <w:r>
        <w:rPr>
          <w:rFonts w:hint="eastAsia"/>
        </w:rPr>
        <w:t>。在組織高權之下，機關首長在人事高權中還具有形成</w:t>
      </w:r>
      <w:r>
        <w:rPr>
          <w:rFonts w:ascii="新細明體" w:hAnsi="新細明體" w:hint="eastAsia"/>
        </w:rPr>
        <w:t>、</w:t>
      </w:r>
      <w:r>
        <w:rPr>
          <w:rFonts w:hint="eastAsia"/>
        </w:rPr>
        <w:t>變更公務員關係</w:t>
      </w:r>
      <w:r>
        <w:rPr>
          <w:rFonts w:ascii="新細明體" w:hAnsi="新細明體" w:hint="eastAsia"/>
        </w:rPr>
        <w:t>、陞遷</w:t>
      </w:r>
      <w:r>
        <w:rPr>
          <w:rFonts w:hint="eastAsia"/>
        </w:rPr>
        <w:t>任命公務人員</w:t>
      </w:r>
      <w:r>
        <w:rPr>
          <w:rFonts w:ascii="新細明體" w:hAnsi="新細明體" w:hint="eastAsia"/>
        </w:rPr>
        <w:t>、</w:t>
      </w:r>
      <w:r>
        <w:rPr>
          <w:rFonts w:hint="eastAsia"/>
        </w:rPr>
        <w:t>具體職務的分配</w:t>
      </w:r>
      <w:r>
        <w:rPr>
          <w:rFonts w:ascii="新細明體" w:hAnsi="新細明體" w:hint="eastAsia"/>
        </w:rPr>
        <w:t>與下達指令的權限</w:t>
      </w:r>
      <w:r>
        <w:rPr>
          <w:rStyle w:val="ae"/>
          <w:rFonts w:ascii="新細明體" w:hAnsi="新細明體"/>
        </w:rPr>
        <w:footnoteReference w:id="85"/>
      </w:r>
      <w:r>
        <w:rPr>
          <w:rFonts w:ascii="新細明體" w:hAnsi="新細明體" w:hint="eastAsia"/>
        </w:rPr>
        <w:t>。</w:t>
      </w:r>
    </w:p>
    <w:p w:rsidR="007D6688" w:rsidRDefault="007D6688">
      <w:pPr>
        <w:pStyle w:val="22"/>
        <w:spacing w:line="480" w:lineRule="auto"/>
        <w:rPr>
          <w:rFonts w:hint="eastAsia"/>
        </w:rPr>
      </w:pPr>
      <w:r>
        <w:rPr>
          <w:rFonts w:hint="eastAsia"/>
        </w:rPr>
        <w:t>至於憲法第</w:t>
      </w:r>
      <w:r>
        <w:rPr>
          <w:rFonts w:hint="eastAsia"/>
        </w:rPr>
        <w:t>18</w:t>
      </w:r>
      <w:r>
        <w:rPr>
          <w:rFonts w:hint="eastAsia"/>
        </w:rPr>
        <w:t>條雖保障人民有服公職之權利，</w:t>
      </w:r>
      <w:r>
        <w:rPr>
          <w:rFonts w:ascii="細明體" w:eastAsia="細明體" w:hAnsi="細明體" w:cs="新細明體" w:hint="eastAsia"/>
          <w:b/>
          <w:kern w:val="0"/>
        </w:rPr>
        <w:t>旨在保障人民有依法令從事於公務，暨由此衍生享有之身分保障、俸給與退休金等權利</w:t>
      </w:r>
      <w:r>
        <w:rPr>
          <w:rStyle w:val="ae"/>
          <w:rFonts w:ascii="細明體" w:eastAsia="細明體" w:hAnsi="細明體" w:cs="新細明體"/>
          <w:kern w:val="0"/>
        </w:rPr>
        <w:footnoteReference w:id="86"/>
      </w:r>
      <w:r>
        <w:rPr>
          <w:rFonts w:ascii="細明體" w:eastAsia="細明體" w:hAnsi="細明體" w:cs="新細明體" w:hint="eastAsia"/>
          <w:kern w:val="0"/>
        </w:rPr>
        <w:t>。</w:t>
      </w:r>
      <w:r>
        <w:rPr>
          <w:rFonts w:hint="eastAsia"/>
        </w:rPr>
        <w:t>此規定「</w:t>
      </w:r>
      <w:r>
        <w:t>乃是著眼於政府代表國家統治人民，因此一方面其統治權限之取得應符合民主正當性之要求。另一方面則因政府從事之活動具有獨占性格，必須向被統治之人民開放，</w:t>
      </w:r>
      <w:r>
        <w:rPr>
          <w:b/>
        </w:rPr>
        <w:t>容許人民有進入政府部門服務之公平機</w:t>
      </w:r>
      <w:r>
        <w:rPr>
          <w:rFonts w:hint="eastAsia"/>
          <w:b/>
        </w:rPr>
        <w:t>會</w:t>
      </w:r>
      <w:r>
        <w:rPr>
          <w:b/>
        </w:rPr>
        <w:t>，並在其進入政府部門之服務期間給予照顧，並保障其</w:t>
      </w:r>
      <w:r>
        <w:rPr>
          <w:rFonts w:hint="eastAsia"/>
          <w:b/>
        </w:rPr>
        <w:t>『</w:t>
      </w:r>
      <w:r>
        <w:rPr>
          <w:b/>
        </w:rPr>
        <w:t>在該部門服務</w:t>
      </w:r>
      <w:r>
        <w:rPr>
          <w:rFonts w:hint="eastAsia"/>
          <w:b/>
        </w:rPr>
        <w:t>』</w:t>
      </w:r>
      <w:r>
        <w:rPr>
          <w:b/>
        </w:rPr>
        <w:t>之身份</w:t>
      </w:r>
      <w:r>
        <w:t>，其原始之規範功能意義應僅止於此</w:t>
      </w:r>
      <w:r>
        <w:rPr>
          <w:rStyle w:val="ae"/>
        </w:rPr>
        <w:footnoteReference w:id="87"/>
      </w:r>
      <w:r>
        <w:t>。</w:t>
      </w:r>
      <w:r>
        <w:rPr>
          <w:rFonts w:hint="eastAsia"/>
        </w:rPr>
        <w:t>」因此是否可以自憲法第</w:t>
      </w:r>
      <w:r>
        <w:rPr>
          <w:rFonts w:hint="eastAsia"/>
        </w:rPr>
        <w:t>18</w:t>
      </w:r>
      <w:r>
        <w:rPr>
          <w:rFonts w:hint="eastAsia"/>
        </w:rPr>
        <w:t>條對於「</w:t>
      </w:r>
      <w:r>
        <w:rPr>
          <w:rFonts w:ascii="細明體" w:eastAsia="細明體" w:hAnsi="細明體" w:cs="新細明體" w:hint="eastAsia"/>
          <w:kern w:val="0"/>
        </w:rPr>
        <w:t>依法令從事於公務，暨由此衍生享有之身分保障以外」，再</w:t>
      </w:r>
      <w:r>
        <w:rPr>
          <w:rFonts w:hint="eastAsia"/>
        </w:rPr>
        <w:t>推導出公務人員有進一步所謂的「陞遷請求權（</w:t>
      </w:r>
      <w:r>
        <w:t>Anspruch auf Beförderung</w:t>
      </w:r>
      <w:r>
        <w:rPr>
          <w:rFonts w:hint="eastAsia"/>
        </w:rPr>
        <w:t>）」，仍不明確。這點對於當事人提起課與義務類型的救濟特別具有實益。</w:t>
      </w:r>
    </w:p>
    <w:p w:rsidR="007D6688" w:rsidRDefault="007D6688">
      <w:pPr>
        <w:pStyle w:val="22"/>
        <w:spacing w:line="480" w:lineRule="auto"/>
      </w:pPr>
      <w:r>
        <w:rPr>
          <w:rFonts w:hint="eastAsia"/>
        </w:rPr>
        <w:t>憲法第</w:t>
      </w:r>
      <w:r>
        <w:rPr>
          <w:rFonts w:hint="eastAsia"/>
        </w:rPr>
        <w:t>18</w:t>
      </w:r>
      <w:r>
        <w:rPr>
          <w:rFonts w:hint="eastAsia"/>
        </w:rPr>
        <w:t>條保障人民有應考試服公職之權利，與</w:t>
      </w:r>
      <w:r>
        <w:rPr>
          <w:rFonts w:ascii="Arial" w:hAnsi="Arial" w:cs="Arial" w:hint="eastAsia"/>
          <w:kern w:val="0"/>
        </w:rPr>
        <w:t>德</w:t>
      </w:r>
      <w:r>
        <w:rPr>
          <w:kern w:val="0"/>
        </w:rPr>
        <w:t>國基本法第</w:t>
      </w:r>
      <w:r>
        <w:rPr>
          <w:kern w:val="0"/>
        </w:rPr>
        <w:t>33</w:t>
      </w:r>
      <w:r>
        <w:rPr>
          <w:kern w:val="0"/>
        </w:rPr>
        <w:t>條第</w:t>
      </w:r>
      <w:r>
        <w:rPr>
          <w:kern w:val="0"/>
        </w:rPr>
        <w:t>2</w:t>
      </w:r>
      <w:r>
        <w:rPr>
          <w:kern w:val="0"/>
        </w:rPr>
        <w:t>項之</w:t>
      </w:r>
      <w:r>
        <w:rPr>
          <w:rFonts w:ascii="Arial" w:hAnsi="Arial" w:cs="Arial" w:hint="eastAsia"/>
          <w:kern w:val="0"/>
        </w:rPr>
        <w:t>規定，任何（德國）人根據他的資格、能力以及專業，有從事公職的同等機會</w:t>
      </w:r>
      <w:r>
        <w:rPr>
          <w:rFonts w:hint="eastAsia"/>
        </w:rPr>
        <w:t>，在前述行政法院裁判的詮釋下，其規範的內涵極為類似。就德國法之規定而言，早自帝國法院時期，實務見解即反對有所謂陞遷請求權或類似的概念存在。雖然主管機關或長官會於公務人員負有照顧義務（</w:t>
      </w:r>
      <w:r>
        <w:t>Fürsorgepflicht</w:t>
      </w:r>
      <w:r>
        <w:rPr>
          <w:rFonts w:hint="eastAsia"/>
        </w:rPr>
        <w:t>），但這卻僅止於對於公務人員「現狀職務地位（</w:t>
      </w:r>
      <w:r>
        <w:t>gegenwärtige Dienststellung des Beamten</w:t>
      </w:r>
      <w:r>
        <w:rPr>
          <w:rFonts w:hint="eastAsia"/>
        </w:rPr>
        <w:t>）」的保障，而非保障公務人員可以獲得一個更好的（</w:t>
      </w:r>
      <w:r>
        <w:rPr>
          <w:rFonts w:hint="eastAsia"/>
        </w:rPr>
        <w:t>besser</w:t>
      </w:r>
      <w:r>
        <w:rPr>
          <w:rFonts w:hint="eastAsia"/>
        </w:rPr>
        <w:t>）法律地位。甚至於當時的見解指出，「陞遷」僅為了公共利益（</w:t>
      </w:r>
      <w:r>
        <w:t>Interesse des Gemeinwohls</w:t>
      </w:r>
      <w:r>
        <w:rPr>
          <w:rFonts w:hint="eastAsia"/>
        </w:rPr>
        <w:t>）的實現，同時屬於長官「合義務裁量（</w:t>
      </w:r>
      <w:r>
        <w:t>das pflichtgemäßige Ermessen</w:t>
      </w:r>
      <w:r>
        <w:rPr>
          <w:rFonts w:hint="eastAsia"/>
        </w:rPr>
        <w:t>）」的範圍。因此不論是陞遷決定這個國家高權行為本身，或者適合於公務員之陞遷程序，均不屬於法院事後審查的事項</w:t>
      </w:r>
      <w:r>
        <w:rPr>
          <w:rStyle w:val="ae"/>
        </w:rPr>
        <w:footnoteReference w:id="88"/>
      </w:r>
      <w:r>
        <w:rPr>
          <w:rFonts w:hint="eastAsia"/>
        </w:rPr>
        <w:t>。</w:t>
      </w:r>
    </w:p>
    <w:p w:rsidR="007D6688" w:rsidRDefault="007D6688">
      <w:pPr>
        <w:pStyle w:val="22"/>
        <w:spacing w:line="480" w:lineRule="auto"/>
      </w:pPr>
      <w:r>
        <w:rPr>
          <w:rFonts w:hint="eastAsia"/>
        </w:rPr>
        <w:t>這種見解持續到戰後，法院保持不去碰觸陞遷行為的態度。換言之，行政法院承認主管長官擁有一個毫無設限的決定空間。即使未獲陞遷之公務人員符合所有得以陞遷的條件，但是法院還是不承認他有任何的請求權，因此，未予陞遷的決定對於公務人員法律上保護的利益並無任何（負面）影響</w:t>
      </w:r>
      <w:r>
        <w:rPr>
          <w:rStyle w:val="ae"/>
        </w:rPr>
        <w:footnoteReference w:id="89"/>
      </w:r>
      <w:r>
        <w:rPr>
          <w:rFonts w:hint="eastAsia"/>
        </w:rPr>
        <w:t>。</w:t>
      </w:r>
    </w:p>
    <w:p w:rsidR="007D6688" w:rsidRDefault="007D6688">
      <w:pPr>
        <w:pStyle w:val="22"/>
        <w:spacing w:line="480" w:lineRule="auto"/>
        <w:rPr>
          <w:rFonts w:ascii="新細明體" w:hAnsi="新細明體" w:hint="eastAsia"/>
        </w:rPr>
      </w:pPr>
      <w:r>
        <w:rPr>
          <w:rFonts w:hint="eastAsia"/>
        </w:rPr>
        <w:t>時至今日，實務見解已有若干調整。至少承認公務人員具有要求主管機關對於他的陞遷申請以「無裁量瑕疵的方式（</w:t>
      </w:r>
      <w:r>
        <w:t>„in wemessensfehlerfreier Weise“</w:t>
      </w:r>
      <w:r>
        <w:rPr>
          <w:rFonts w:hint="eastAsia"/>
        </w:rPr>
        <w:t>）」予以決定之請求權。相較於實體上之請求權，在此公務人員擁有的僅是一種型式的公法上權利而已。在判斷公務人員陞遷條件之上（能力與專業表現與陞遷所需之知能），往往涉及主管長官的評價認識行為，這裡容有所謂行政機關的「判斷餘地（</w:t>
      </w:r>
      <w:r>
        <w:rPr>
          <w:rFonts w:eastAsia="MS Mincho"/>
        </w:rPr>
        <w:t>Beurteilungsspielraum</w:t>
      </w:r>
      <w:r>
        <w:rPr>
          <w:rFonts w:hint="eastAsia"/>
        </w:rPr>
        <w:t>）」存在。而在陞遷流程中的若干決定（內陞或外補</w:t>
      </w:r>
      <w:r>
        <w:rPr>
          <w:rFonts w:ascii="新細明體" w:hAnsi="新細明體" w:hint="eastAsia"/>
        </w:rPr>
        <w:t>、</w:t>
      </w:r>
      <w:r>
        <w:rPr>
          <w:rFonts w:hint="eastAsia"/>
        </w:rPr>
        <w:t>評分</w:t>
      </w:r>
      <w:r>
        <w:rPr>
          <w:rFonts w:ascii="新細明體" w:hAnsi="新細明體" w:hint="eastAsia"/>
        </w:rPr>
        <w:t>、</w:t>
      </w:r>
      <w:r>
        <w:rPr>
          <w:rFonts w:hint="eastAsia"/>
        </w:rPr>
        <w:t>圈選），則會涉及到行政機關的「合義務裁量」，亦即裁量決定中必須為正確的衡量</w:t>
      </w:r>
      <w:r>
        <w:rPr>
          <w:rFonts w:ascii="新細明體" w:hAnsi="新細明體" w:hint="eastAsia"/>
        </w:rPr>
        <w:t>、公平善意地位公務人員考量。因此至少應該給予公務人員有透過法院加以主張的請求權，用以限縮行政機關的裁量餘地。這是一種要求裁量必須無瑕疵運用的請求權，甚至有些特殊情況下還可以強化成為更具體的陞遷請求權</w:t>
      </w:r>
      <w:r>
        <w:rPr>
          <w:rStyle w:val="ae"/>
          <w:rFonts w:ascii="新細明體" w:hAnsi="新細明體"/>
        </w:rPr>
        <w:footnoteReference w:id="90"/>
      </w:r>
      <w:r>
        <w:rPr>
          <w:rFonts w:ascii="新細明體" w:hAnsi="新細明體" w:hint="eastAsia"/>
        </w:rPr>
        <w:t>。</w:t>
      </w:r>
    </w:p>
    <w:p w:rsidR="007D6688" w:rsidRDefault="007D6688">
      <w:pPr>
        <w:pStyle w:val="22"/>
        <w:spacing w:line="480" w:lineRule="auto"/>
        <w:rPr>
          <w:rFonts w:hint="eastAsia"/>
        </w:rPr>
      </w:pPr>
      <w:r>
        <w:rPr>
          <w:rFonts w:hint="eastAsia"/>
        </w:rPr>
        <w:t>相較於德國實務的保守態度，早期學說上的見解一般也都只是承認公務人員在陞遷問題上僅有「參與甄選的權利（</w:t>
      </w:r>
      <w:r>
        <w:rPr>
          <w:rFonts w:eastAsia="MS Mincho" w:hint="eastAsia"/>
        </w:rPr>
        <w:t xml:space="preserve">Recht </w:t>
      </w:r>
      <w:r>
        <w:rPr>
          <w:rFonts w:eastAsia="MS Mincho"/>
        </w:rPr>
        <w:t>zur Bewerbung</w:t>
      </w:r>
      <w:r>
        <w:rPr>
          <w:rFonts w:hint="eastAsia"/>
        </w:rPr>
        <w:t>）」而已</w:t>
      </w:r>
      <w:r>
        <w:rPr>
          <w:rStyle w:val="ae"/>
        </w:rPr>
        <w:footnoteReference w:id="91"/>
      </w:r>
      <w:r>
        <w:rPr>
          <w:rFonts w:hint="eastAsia"/>
        </w:rPr>
        <w:t>。至於今日多數的學說則主張，公務人員不僅可以從憲法基本權中導出參與陞遷競爭的權利，陞遷競爭者還應該在主管長官同時尊重功績原則（</w:t>
      </w:r>
      <w:r>
        <w:rPr>
          <w:rFonts w:eastAsia="MS Mincho" w:hint="eastAsia"/>
        </w:rPr>
        <w:t>Leistungsgrundsatz</w:t>
      </w:r>
      <w:r>
        <w:rPr>
          <w:rFonts w:hint="eastAsia"/>
        </w:rPr>
        <w:t>）的前提下，主張無瑕疵裁量決定的法律請求權</w:t>
      </w:r>
      <w:r>
        <w:rPr>
          <w:rStyle w:val="ae"/>
        </w:rPr>
        <w:footnoteReference w:id="92"/>
      </w:r>
      <w:r>
        <w:rPr>
          <w:rFonts w:hint="eastAsia"/>
        </w:rPr>
        <w:t>。晚近的文獻中，甚至出現越來越多的主張，贊同公務人員直接擁有陞遷請求權。特別是如果有公務人員職缺空出（這也是預算法與組織法上，陞遷的前提要件），有資格參與甄選，並於甄選程序中被評定為「最佳（</w:t>
      </w:r>
      <w:r>
        <w:t>„</w:t>
      </w:r>
      <w:r>
        <w:rPr>
          <w:rFonts w:hint="eastAsia"/>
        </w:rPr>
        <w:t>Beste</w:t>
      </w:r>
      <w:r>
        <w:t>“</w:t>
      </w:r>
      <w:r>
        <w:rPr>
          <w:rFonts w:hint="eastAsia"/>
        </w:rPr>
        <w:t>）」的競爭者，應該有要求接受此項職缺的請求權。此時，主管長官並不再具有選擇裁量的空間</w:t>
      </w:r>
      <w:r>
        <w:rPr>
          <w:rStyle w:val="ae"/>
        </w:rPr>
        <w:footnoteReference w:id="93"/>
      </w:r>
      <w:r>
        <w:rPr>
          <w:rFonts w:hint="eastAsia"/>
        </w:rPr>
        <w:t>。</w:t>
      </w:r>
    </w:p>
    <w:p w:rsidR="007D6688" w:rsidRDefault="007D6688">
      <w:pPr>
        <w:pStyle w:val="22"/>
        <w:spacing w:line="480" w:lineRule="auto"/>
        <w:rPr>
          <w:rFonts w:hint="eastAsia"/>
        </w:rPr>
      </w:pPr>
      <w:r>
        <w:rPr>
          <w:rFonts w:hint="eastAsia"/>
        </w:rPr>
        <w:t>在此並不宜誤解參與陞遷競爭者從憲法基本權的條款中，得出有屬於原始給付請求權的所謂一般陞遷請求權</w:t>
      </w:r>
      <w:r>
        <w:rPr>
          <w:rStyle w:val="ae"/>
        </w:rPr>
        <w:footnoteReference w:id="94"/>
      </w:r>
      <w:r>
        <w:rPr>
          <w:rFonts w:hint="eastAsia"/>
        </w:rPr>
        <w:t>。因為並不是所有具備特定資績與專業能力的公務人員，均具有得以要求國家給予其陞遷至特定職缺的請求權。他除了擁有源自於憲法平等原則要求之上述「參與甄選的權利」</w:t>
      </w:r>
      <w:r>
        <w:rPr>
          <w:rFonts w:ascii="MS Mincho" w:hAnsi="MS Mincho" w:hint="eastAsia"/>
        </w:rPr>
        <w:t>或者</w:t>
      </w:r>
      <w:r>
        <w:rPr>
          <w:rFonts w:hint="eastAsia"/>
        </w:rPr>
        <w:t>「要求甄選的權利（</w:t>
      </w:r>
      <w:r>
        <w:rPr>
          <w:rFonts w:eastAsia="MS Mincho" w:hint="eastAsia"/>
        </w:rPr>
        <w:t>Recht auf Bewerbung</w:t>
      </w:r>
      <w:r>
        <w:rPr>
          <w:rFonts w:hint="eastAsia"/>
        </w:rPr>
        <w:t>）」外，憲法服公職基本權應該至少還有保護特定（準備陞遷）公務人員利益的目的，因此客觀上拘束主管長官應該基於功績原則作成決定的甄選標準，也會賦予以經被評定為「最佳」的公務員要求給予陞遷的主觀法上請求權</w:t>
      </w:r>
      <w:r>
        <w:rPr>
          <w:rStyle w:val="ae"/>
        </w:rPr>
        <w:footnoteReference w:id="95"/>
      </w:r>
      <w:r>
        <w:rPr>
          <w:rFonts w:hint="eastAsia"/>
        </w:rPr>
        <w:t>。但是假如甄選評分的結果，有多數在專業能力與資歷條件上幾近相當的公務人員同為競爭者時，根據功績原則所規定的甄選標準並無法在形式上評定出一位所謂「最佳」公務人員</w:t>
      </w:r>
      <w:r>
        <w:rPr>
          <w:rStyle w:val="ae"/>
        </w:rPr>
        <w:footnoteReference w:id="96"/>
      </w:r>
      <w:r>
        <w:rPr>
          <w:rFonts w:hint="eastAsia"/>
        </w:rPr>
        <w:t>。此時即無法導出上述的主觀法上請求權。但是根據長官對於公務人員的「照顧義務（</w:t>
      </w:r>
      <w:r>
        <w:rPr>
          <w:rFonts w:eastAsia="MS Mincho"/>
        </w:rPr>
        <w:t>Fürsorgerpflicht</w:t>
      </w:r>
      <w:r>
        <w:rPr>
          <w:rFonts w:hint="eastAsia"/>
        </w:rPr>
        <w:t>）」，則可以推出主管長官對於陞遷競爭的公務人員必須就事論事</w:t>
      </w:r>
      <w:r>
        <w:rPr>
          <w:rFonts w:ascii="新細明體" w:hAnsi="新細明體" w:hint="eastAsia"/>
        </w:rPr>
        <w:t>、</w:t>
      </w:r>
      <w:r>
        <w:rPr>
          <w:rFonts w:hint="eastAsia"/>
        </w:rPr>
        <w:t>公平正義對待與盡力著想（</w:t>
      </w:r>
      <w:r>
        <w:rPr>
          <w:rFonts w:eastAsia="MS Mincho"/>
        </w:rPr>
        <w:t>Sachlichkeit, Gerechtigkeit, Wohlwollen</w:t>
      </w:r>
      <w:r>
        <w:rPr>
          <w:rFonts w:hint="eastAsia"/>
        </w:rPr>
        <w:t>）的義務。主管長官還是應該在功績原則的範圍內擇取適當者陞遷</w:t>
      </w:r>
      <w:r>
        <w:rPr>
          <w:rStyle w:val="ae"/>
        </w:rPr>
        <w:footnoteReference w:id="97"/>
      </w:r>
      <w:r>
        <w:rPr>
          <w:rFonts w:hint="eastAsia"/>
        </w:rPr>
        <w:t>。此時條件相當的公務人員擁有的是基於照顧義務而導出的要求持平與無瑕疵判斷與圈選的主觀請求權</w:t>
      </w:r>
      <w:r>
        <w:rPr>
          <w:rStyle w:val="ae"/>
        </w:rPr>
        <w:footnoteReference w:id="98"/>
      </w:r>
      <w:r>
        <w:rPr>
          <w:rFonts w:hint="eastAsia"/>
        </w:rPr>
        <w:t>。</w:t>
      </w:r>
    </w:p>
    <w:p w:rsidR="007D6688" w:rsidRDefault="007D6688">
      <w:pPr>
        <w:pStyle w:val="22"/>
        <w:spacing w:line="480" w:lineRule="auto"/>
        <w:rPr>
          <w:rFonts w:hint="eastAsia"/>
        </w:rPr>
      </w:pPr>
      <w:r>
        <w:rPr>
          <w:rFonts w:hint="eastAsia"/>
        </w:rPr>
        <w:t>每一個陞遷決定的個案，其實應該考量參與陞遷競爭公務人員目前時間相近的「功績」比較。主管長官在圈選人選時應該考量陞遷決定時，公務人員所有必備的資能</w:t>
      </w:r>
      <w:r>
        <w:rPr>
          <w:rFonts w:ascii="新細明體" w:hAnsi="新細明體" w:hint="eastAsia"/>
        </w:rPr>
        <w:t>與專業功績表現。從</w:t>
      </w:r>
      <w:r>
        <w:rPr>
          <w:rFonts w:ascii="Arial" w:hAnsi="Arial" w:cs="Arial" w:hint="eastAsia"/>
          <w:kern w:val="0"/>
        </w:rPr>
        <w:t>德</w:t>
      </w:r>
      <w:r>
        <w:rPr>
          <w:kern w:val="0"/>
        </w:rPr>
        <w:t>國基本法第</w:t>
      </w:r>
      <w:r>
        <w:rPr>
          <w:kern w:val="0"/>
        </w:rPr>
        <w:t>33</w:t>
      </w:r>
      <w:r>
        <w:rPr>
          <w:kern w:val="0"/>
        </w:rPr>
        <w:t>條第</w:t>
      </w:r>
      <w:r>
        <w:rPr>
          <w:kern w:val="0"/>
        </w:rPr>
        <w:t>2</w:t>
      </w:r>
      <w:r>
        <w:rPr>
          <w:kern w:val="0"/>
        </w:rPr>
        <w:t>項之</w:t>
      </w:r>
      <w:r>
        <w:rPr>
          <w:rFonts w:ascii="Arial" w:hAnsi="Arial" w:cs="Arial" w:hint="eastAsia"/>
          <w:kern w:val="0"/>
        </w:rPr>
        <w:t>規定，任何（德國）人根據他的資格、能力以及專業，有從事公職的同等機會。我國憲法</w:t>
      </w:r>
      <w:r>
        <w:rPr>
          <w:rFonts w:hint="eastAsia"/>
        </w:rPr>
        <w:t>第</w:t>
      </w:r>
      <w:r>
        <w:rPr>
          <w:rFonts w:hint="eastAsia"/>
        </w:rPr>
        <w:t>18</w:t>
      </w:r>
      <w:r>
        <w:rPr>
          <w:rFonts w:hint="eastAsia"/>
        </w:rPr>
        <w:t>條保障人民有服公職之權利。或者陞遷法第</w:t>
      </w:r>
      <w:r>
        <w:rPr>
          <w:rFonts w:hint="eastAsia"/>
        </w:rPr>
        <w:t>2</w:t>
      </w:r>
      <w:r>
        <w:rPr>
          <w:rFonts w:hint="eastAsia"/>
        </w:rPr>
        <w:t>條規定，</w:t>
      </w:r>
      <w:r>
        <w:rPr>
          <w:rFonts w:hint="eastAsia"/>
          <w:w w:val="105"/>
        </w:rPr>
        <w:t>公務人員之陞遷，應本人與事適切配合之旨，考量機關特性與職務需要，依「資績」並重、內陞與外補兼顧原則，採公開、公平、公正方式，擇優陞任或遷調歷練，以拔擢及培育人才。如果必須要落實功績原則，主管長官在圈選最適當之陞遷人選時，究竟有無裁量權限？或者反過來思考，在陞遷決定中，除了「功績（</w:t>
      </w:r>
      <w:r>
        <w:rPr>
          <w:rFonts w:hint="eastAsia"/>
          <w:w w:val="105"/>
        </w:rPr>
        <w:t>Leistung</w:t>
      </w:r>
      <w:r>
        <w:rPr>
          <w:rFonts w:hint="eastAsia"/>
          <w:w w:val="105"/>
        </w:rPr>
        <w:t>）」表現之外，是否還有其他（輔助）的獨立選擇考量因素？例如公務人員年資或者年功序列原則（</w:t>
      </w:r>
      <w:r>
        <w:rPr>
          <w:rFonts w:eastAsia="MS Mincho"/>
          <w:w w:val="105"/>
        </w:rPr>
        <w:t>Dienstalter od. Ancienitätsprinzip</w:t>
      </w:r>
      <w:r>
        <w:rPr>
          <w:rFonts w:hint="eastAsia"/>
          <w:w w:val="105"/>
        </w:rPr>
        <w:t>）。德國有學者主張，這些看似獨立的輔助因素，其實應該早已經內化在功績原則之中，不需要獨立判斷</w:t>
      </w:r>
      <w:r>
        <w:rPr>
          <w:rStyle w:val="ae"/>
          <w:w w:val="105"/>
        </w:rPr>
        <w:footnoteReference w:id="99"/>
      </w:r>
      <w:r>
        <w:rPr>
          <w:rFonts w:hint="eastAsia"/>
          <w:w w:val="105"/>
        </w:rPr>
        <w:t>。這種看法，在解釋我國陞遷制度時，原則上應該也適用之。換言之，陞遷決定時原則上也應該只考量公務人員之資績，與資績無關之因素，應該盡可能摒除。相較德國與我國規範度，我國陞遷法上的規定，授權主管長官在甄審會所列陞遷名單中，再擇一圈選（可能未必是形式上評分最高者）。其並非嚴格遵守功績原則所導出的最佳選擇要求</w:t>
      </w:r>
      <w:r>
        <w:rPr>
          <w:rStyle w:val="ae"/>
          <w:w w:val="105"/>
        </w:rPr>
        <w:footnoteReference w:id="100"/>
      </w:r>
      <w:r>
        <w:rPr>
          <w:rFonts w:hint="eastAsia"/>
          <w:w w:val="105"/>
        </w:rPr>
        <w:t>。根據裁量或者判斷餘地的規範授權理論，立法目的應該並無賦予特定公務人員於辦理陞遷程序中，要求必予陞遷的主觀權利。但是至少應該同意，在陞遷的決定上應該也要求事理之平。即使這裡有主管觀長官相當的判斷裁量餘地，但仍不容許恣意或加入與事理無相關的因素考量（其違反一般常理下的陞遷決定更應該明確說理）。承認</w:t>
      </w:r>
      <w:r>
        <w:rPr>
          <w:rFonts w:hint="eastAsia"/>
        </w:rPr>
        <w:t>前述基於照顧義務而導出的要求持平與無瑕疵判斷與圈選的（形式）主觀請求權或者無瑕疵判斷或裁量請求權，則是最低程度的要求。這應該也是目前保訓會所採的基本立場，應值得肯定。</w:t>
      </w:r>
    </w:p>
    <w:p w:rsidR="007D6688" w:rsidRDefault="007D6688">
      <w:pPr>
        <w:pStyle w:val="2"/>
        <w:spacing w:line="480" w:lineRule="auto"/>
        <w:rPr>
          <w:rFonts w:hint="eastAsia"/>
          <w:lang w:val="de-DE"/>
        </w:rPr>
      </w:pPr>
      <w:bookmarkStart w:id="127" w:name="_Toc121199232"/>
      <w:bookmarkStart w:id="128" w:name="_Toc121212704"/>
      <w:bookmarkStart w:id="129" w:name="_Toc121212967"/>
      <w:r>
        <w:rPr>
          <w:rFonts w:hint="eastAsia"/>
          <w:lang w:val="de-DE"/>
        </w:rPr>
        <w:t>6.2.</w:t>
      </w:r>
      <w:r>
        <w:rPr>
          <w:lang w:val="de-DE"/>
        </w:rPr>
        <w:t>實體請求權與程序請求權</w:t>
      </w:r>
      <w:bookmarkEnd w:id="127"/>
      <w:bookmarkEnd w:id="128"/>
      <w:bookmarkEnd w:id="129"/>
    </w:p>
    <w:p w:rsidR="007D6688" w:rsidRDefault="007D6688">
      <w:pPr>
        <w:pStyle w:val="22"/>
        <w:spacing w:line="480" w:lineRule="auto"/>
        <w:rPr>
          <w:rFonts w:hint="eastAsia"/>
        </w:rPr>
      </w:pPr>
      <w:r>
        <w:rPr>
          <w:rFonts w:hint="eastAsia"/>
        </w:rPr>
        <w:t>如前所述，陞遷流程乃是一個多重階段的行政程序。在階段的決定上，公務人員原則上並無實體內容的請求權。但是基於基本權的程序保障功能理論，人民服公職的基本權應屬於具有程序依賴傾向的基本權。雖然具體的陞遷法規中，並不直接賦予公務人員要求國家提供陞遷職位的請求權，但是這個基本權還是要求國家應該提供一個符合法治國家所要求的公平公正的陞遷程序。人民所擁有的至少是一個消極面向的程序保障要求。特別是當實體決定有可能侵害其基本權時，應該在行政機關於最終決定前，踐履一定的程序義務，避免基本權的實害發生。至於人民的程序請求內容與行政機關應踐履之程序義務範圍，則應進一步視基本權侵害侵害的強度</w:t>
      </w:r>
      <w:r>
        <w:rPr>
          <w:rFonts w:ascii="新細明體" w:hAnsi="新細明體" w:hint="eastAsia"/>
        </w:rPr>
        <w:t>、</w:t>
      </w:r>
      <w:r>
        <w:rPr>
          <w:rFonts w:hint="eastAsia"/>
        </w:rPr>
        <w:t>侵害的範圍與造成實害風險的大小等因素綜合判斷</w:t>
      </w:r>
      <w:r>
        <w:rPr>
          <w:rStyle w:val="ae"/>
        </w:rPr>
        <w:footnoteReference w:id="101"/>
      </w:r>
      <w:r>
        <w:rPr>
          <w:rFonts w:hint="eastAsia"/>
        </w:rPr>
        <w:t>。</w:t>
      </w:r>
    </w:p>
    <w:p w:rsidR="007D6688" w:rsidRDefault="007D6688">
      <w:pPr>
        <w:pStyle w:val="22"/>
        <w:spacing w:line="480" w:lineRule="auto"/>
        <w:rPr>
          <w:rFonts w:hint="eastAsia"/>
        </w:rPr>
      </w:pPr>
      <w:r>
        <w:rPr>
          <w:rFonts w:hint="eastAsia"/>
        </w:rPr>
        <w:t>現行法中行政程序法上有關之程序保障的內容，即屬原則性的規範。前文已述，陞遷程序仍有適用行政程序法之實體或程序規定可能。</w:t>
      </w:r>
      <w:r>
        <w:t>行政程序法第</w:t>
      </w:r>
      <w:r>
        <w:rPr>
          <w:rFonts w:hint="eastAsia"/>
        </w:rPr>
        <w:t>3</w:t>
      </w:r>
      <w:r>
        <w:t>條第</w:t>
      </w:r>
      <w:r>
        <w:rPr>
          <w:rFonts w:hint="eastAsia"/>
        </w:rPr>
        <w:t>3</w:t>
      </w:r>
      <w:r>
        <w:t>項第</w:t>
      </w:r>
      <w:r>
        <w:rPr>
          <w:rFonts w:hint="eastAsia"/>
        </w:rPr>
        <w:t>7</w:t>
      </w:r>
      <w:r>
        <w:t>款規定，對公務員所為之人事行政行為不適用本法之程序規定，係僅排除程序規定，如屬本法實體規定者，仍有其適用。而有關改變公務員之身分或對公務員權利或法律上利益有重大影響之人事行政行為，或基於公務員身分所產生之公法上財產請求權遭受侵害者，仍應依本法規定給予相對人程序的保障，例如陳述意見、閱覽卷宗及教示救濟方法之記載等等，方符現代法治國家程序保障之要求</w:t>
      </w:r>
      <w:r>
        <w:rPr>
          <w:rFonts w:hint="eastAsia"/>
        </w:rPr>
        <w:t>。</w:t>
      </w:r>
      <w:r>
        <w:t>本法第</w:t>
      </w:r>
      <w:r>
        <w:rPr>
          <w:rFonts w:hint="eastAsia"/>
        </w:rPr>
        <w:t>46</w:t>
      </w:r>
      <w:r>
        <w:t>條規定之申請閱覽卷宗請求權，係指特定之行政程序中當事人或利害關係人為主張或維護其法律上利益之必要，有向行政機關申請閱覽、抄寫、複印或攝影有關資料或卷宗之權利，屬程序權利。申請人如提出請求遭行政機關拒絕時，依本法第</w:t>
      </w:r>
      <w:r>
        <w:rPr>
          <w:rFonts w:hint="eastAsia"/>
        </w:rPr>
        <w:t>174</w:t>
      </w:r>
      <w:r>
        <w:t>條規定，僅得於對實體決定不服時一併聲明之，不得單獨提起訴願。</w:t>
      </w:r>
      <w:r>
        <w:rPr>
          <w:rFonts w:hint="eastAsia"/>
        </w:rPr>
        <w:t>而行政院與考試院會銜發布之</w:t>
      </w:r>
      <w:r>
        <w:t>行政資訊公開辦法則係滿足人民知的權利及促進行政程序之公開化與透明化，其公開之對象為一般人民，</w:t>
      </w:r>
      <w:r>
        <w:rPr>
          <w:b/>
        </w:rPr>
        <w:t>當然亦包括已終結之個別行政程序之當事人或利害關係人</w:t>
      </w:r>
      <w:r>
        <w:t>，依該辦法規定申請行政機關提供行政資訊之權利，屬實體權利。行政機關拒絕提供者，應屬行政處分之性質，申請人如有不服，得依法提起訴願</w:t>
      </w:r>
      <w:r>
        <w:rPr>
          <w:rFonts w:hint="eastAsia"/>
        </w:rPr>
        <w:t>。若僅屬</w:t>
      </w:r>
      <w:r>
        <w:t>服務機關</w:t>
      </w:r>
      <w:r>
        <w:rPr>
          <w:rFonts w:hint="eastAsia"/>
        </w:rPr>
        <w:t>對</w:t>
      </w:r>
      <w:r>
        <w:t>公務員</w:t>
      </w:r>
      <w:r>
        <w:rPr>
          <w:rFonts w:hint="eastAsia"/>
        </w:rPr>
        <w:t>所為之</w:t>
      </w:r>
      <w:r>
        <w:t>管理措施</w:t>
      </w:r>
      <w:r>
        <w:rPr>
          <w:rFonts w:hint="eastAsia"/>
        </w:rPr>
        <w:t>（</w:t>
      </w:r>
      <w:r>
        <w:t>非屬行政處分</w:t>
      </w:r>
      <w:r>
        <w:rPr>
          <w:rFonts w:hint="eastAsia"/>
        </w:rPr>
        <w:t>）</w:t>
      </w:r>
      <w:r>
        <w:t>之人事行政行為</w:t>
      </w:r>
      <w:r>
        <w:rPr>
          <w:rFonts w:hint="eastAsia"/>
        </w:rPr>
        <w:t>（例如</w:t>
      </w:r>
      <w:r>
        <w:t>有關其個人平時考核紀錄、年終考核表及考績委員會紀錄等相關資料</w:t>
      </w:r>
      <w:r>
        <w:rPr>
          <w:rFonts w:hint="eastAsia"/>
        </w:rPr>
        <w:t>），</w:t>
      </w:r>
      <w:r>
        <w:t>當事人或利害關係人自不得依本法第</w:t>
      </w:r>
      <w:r>
        <w:rPr>
          <w:rFonts w:hint="eastAsia"/>
        </w:rPr>
        <w:t>46</w:t>
      </w:r>
      <w:r>
        <w:t>條規定申請閱覽，</w:t>
      </w:r>
      <w:r>
        <w:rPr>
          <w:b/>
        </w:rPr>
        <w:t>惟</w:t>
      </w:r>
      <w:r>
        <w:rPr>
          <w:rFonts w:hint="eastAsia"/>
          <w:b/>
        </w:rPr>
        <w:t>仍</w:t>
      </w:r>
      <w:r>
        <w:rPr>
          <w:b/>
        </w:rPr>
        <w:t>得依行政資訊公開辦法之規定辦理</w:t>
      </w:r>
      <w:r>
        <w:t>。行政機關</w:t>
      </w:r>
      <w:r>
        <w:rPr>
          <w:rFonts w:hint="eastAsia"/>
        </w:rPr>
        <w:t>依該辦法</w:t>
      </w:r>
      <w:r>
        <w:t>受理人民請求提供行政資訊時，仍得視其是否符合該辦法相關程式及有無限制公開或提供之情形</w:t>
      </w:r>
      <w:r>
        <w:rPr>
          <w:rStyle w:val="ae"/>
        </w:rPr>
        <w:footnoteReference w:id="102"/>
      </w:r>
      <w:r>
        <w:t>，以決定是否准予提供，非謂人民提出請求，即應無條件一律公開或提供</w:t>
      </w:r>
      <w:r>
        <w:rPr>
          <w:rStyle w:val="ae"/>
        </w:rPr>
        <w:footnoteReference w:id="103"/>
      </w:r>
      <w:r>
        <w:t>。</w:t>
      </w:r>
    </w:p>
    <w:p w:rsidR="007D6688" w:rsidRDefault="007D6688">
      <w:pPr>
        <w:pStyle w:val="2"/>
        <w:spacing w:line="480" w:lineRule="auto"/>
        <w:rPr>
          <w:rFonts w:hint="eastAsia"/>
          <w:lang w:val="de-DE"/>
        </w:rPr>
      </w:pPr>
      <w:bookmarkStart w:id="130" w:name="_Toc121199233"/>
      <w:bookmarkStart w:id="131" w:name="_Toc121212705"/>
      <w:bookmarkStart w:id="132" w:name="_Toc121212968"/>
      <w:r>
        <w:rPr>
          <w:rFonts w:hint="eastAsia"/>
          <w:lang w:val="de-DE"/>
        </w:rPr>
        <w:t>6.3.</w:t>
      </w:r>
      <w:r>
        <w:rPr>
          <w:lang w:val="de-DE"/>
        </w:rPr>
        <w:t>保護規範理論與競爭關係</w:t>
      </w:r>
      <w:bookmarkEnd w:id="130"/>
      <w:bookmarkEnd w:id="131"/>
      <w:bookmarkEnd w:id="132"/>
    </w:p>
    <w:p w:rsidR="007D6688" w:rsidRDefault="007D6688">
      <w:pPr>
        <w:pStyle w:val="22"/>
        <w:spacing w:line="480" w:lineRule="auto"/>
        <w:rPr>
          <w:rFonts w:hint="eastAsia"/>
        </w:rPr>
      </w:pPr>
      <w:r>
        <w:rPr>
          <w:rFonts w:hint="eastAsia"/>
        </w:rPr>
        <w:t>公務人員之陞遷案件往往並非只是一種行政機關與特定公務人員間的雙邊法律關係，毋寧多屬複雜的多邊法律關係。特別是在有複數的陞遷競爭關係下，有限的陞遷職缺往往造成特定公務人員獲得陞遷，而其他競爭者卻無緣陞遷的結果。對於因陞遷決定而受影響的競爭者，例如保訓會在前揭「</w:t>
      </w:r>
      <w:r>
        <w:rPr>
          <w:rFonts w:hint="eastAsia"/>
          <w:b/>
        </w:rPr>
        <w:t>葉玉琴案</w:t>
      </w:r>
      <w:r>
        <w:rPr>
          <w:rFonts w:hint="eastAsia"/>
        </w:rPr>
        <w:t>」與「</w:t>
      </w:r>
      <w:r>
        <w:rPr>
          <w:rFonts w:hint="eastAsia"/>
          <w:b/>
        </w:rPr>
        <w:t>黃椿雄案</w:t>
      </w:r>
      <w:r>
        <w:rPr>
          <w:rFonts w:hint="eastAsia"/>
        </w:rPr>
        <w:t>」中，似乎曾以陞遷處理結果與請求救濟之公務人員權益無直接關連為由，拒絕當事人之救濟。這種典型的競爭者救濟（訴訟）案型中，競爭關係下的第三人是否具有救濟權能，一般必須要進一步透過法律解釋確認，不得驟然予以拒絕。</w:t>
      </w:r>
      <w:r>
        <w:t>參諸行政法學理，行政</w:t>
      </w:r>
      <w:r>
        <w:rPr>
          <w:rFonts w:hint="eastAsia"/>
        </w:rPr>
        <w:t>救濟（</w:t>
      </w:r>
      <w:r>
        <w:t>訴訟</w:t>
      </w:r>
      <w:r>
        <w:rPr>
          <w:rFonts w:hint="eastAsia"/>
        </w:rPr>
        <w:t>）</w:t>
      </w:r>
      <w:r>
        <w:t>所保障之權利係指所有法秩序（包括憲法保障基本權之規定）認為值得保護，並得以個別化之利益</w:t>
      </w:r>
      <w:r>
        <w:rPr>
          <w:rFonts w:hint="eastAsia"/>
          <w:lang w:val="en-US"/>
        </w:rPr>
        <w:t>（</w:t>
      </w:r>
      <w:r>
        <w:rPr>
          <w:lang w:val="en-US"/>
        </w:rPr>
        <w:t>das</w:t>
      </w:r>
      <w:r>
        <w:rPr>
          <w:rFonts w:hint="eastAsia"/>
          <w:lang w:val="en-US"/>
        </w:rPr>
        <w:t xml:space="preserve"> </w:t>
      </w:r>
      <w:r>
        <w:rPr>
          <w:lang w:val="en-US"/>
        </w:rPr>
        <w:t>sujecktiv-öffentlich</w:t>
      </w:r>
      <w:r>
        <w:rPr>
          <w:rFonts w:hint="eastAsia"/>
          <w:lang w:val="en-US"/>
        </w:rPr>
        <w:t xml:space="preserve"> gesch</w:t>
      </w:r>
      <w:r>
        <w:rPr>
          <w:lang w:val="en-US"/>
        </w:rPr>
        <w:t>ützte Interesse</w:t>
      </w:r>
      <w:r>
        <w:rPr>
          <w:lang w:val="en-US"/>
        </w:rPr>
        <w:t>），</w:t>
      </w:r>
      <w:r>
        <w:t>因此探究原告有無得以主張之權利</w:t>
      </w:r>
      <w:r>
        <w:rPr>
          <w:lang w:val="en-US"/>
        </w:rPr>
        <w:t>，</w:t>
      </w:r>
      <w:r>
        <w:t>即轉換為以保護原告利益為目的之保護規範存否的問題。在非處分相對人提起撤銷之訴的情形，以「保護規範理論」作為界定第三人範圍之基準意義尤其深刻，須先認定系爭</w:t>
      </w:r>
      <w:r>
        <w:rPr>
          <w:rFonts w:hint="eastAsia"/>
        </w:rPr>
        <w:t>決定</w:t>
      </w:r>
      <w:r>
        <w:t>依據之法規範對該第三人而言為「保護規範」，第三人於系爭案件始具當事人適格（學說上亦稱之「訴訟權能」）。</w:t>
      </w:r>
      <w:r>
        <w:rPr>
          <w:rFonts w:hint="eastAsia"/>
        </w:rPr>
        <w:t>至於</w:t>
      </w:r>
      <w:r>
        <w:t>「保護規範理論」之內涵向有新舊兩說，舊說偏重從歷史上之立法意旨解釋法規範，須該法規範至少要同時包含保護該第三人之權利或法律利益之目的，始得認為</w:t>
      </w:r>
      <w:r>
        <w:rPr>
          <w:rFonts w:hint="eastAsia"/>
        </w:rPr>
        <w:t>是一種</w:t>
      </w:r>
      <w:r>
        <w:t>「保護規範」</w:t>
      </w:r>
      <w:r>
        <w:rPr>
          <w:rStyle w:val="ae"/>
        </w:rPr>
        <w:footnoteReference w:id="104"/>
      </w:r>
      <w:r>
        <w:rPr>
          <w:rFonts w:hint="eastAsia"/>
        </w:rPr>
        <w:t>（</w:t>
      </w:r>
      <w:r>
        <w:rPr>
          <w:color w:val="000000"/>
        </w:rPr>
        <w:t>舊保護規範理論乃偏重於從立法者主觀意旨探求是否具備保護個人之目的</w:t>
      </w:r>
      <w:r>
        <w:rPr>
          <w:rFonts w:hint="eastAsia"/>
        </w:rPr>
        <w:t>）</w:t>
      </w:r>
      <w:r>
        <w:t>；新說則著重於探求法規範的客觀目的，如「就法律之整體結構、適用對象、所欲產生之規範效果及社會發展因素等綜合判斷，可得知亦有保障特定人之意旨時」，即得認該法規屬「保護規範」</w:t>
      </w:r>
      <w:r>
        <w:rPr>
          <w:rStyle w:val="ae"/>
        </w:rPr>
        <w:footnoteReference w:id="105"/>
      </w:r>
      <w:r>
        <w:t>。新舊兩種「保護規範理論」並非互斥，而係立於補充關係，蓋依立法目的解釋（歷史解釋方法）不足認定為保護規範時，於法律無明文限制時，尚得依客觀解釋方法，探求系爭規範是否有保護特定人之意旨，當有助於保障人民實體權利</w:t>
      </w:r>
      <w:r>
        <w:rPr>
          <w:rStyle w:val="ae"/>
        </w:rPr>
        <w:footnoteReference w:id="106"/>
      </w:r>
      <w:r>
        <w:t>以及提供人民有效的權利救濟途徑，而且仍得避免撤銷訴訟淪為</w:t>
      </w:r>
      <w:r>
        <w:rPr>
          <w:rFonts w:hint="eastAsia"/>
        </w:rPr>
        <w:t>無所限制之</w:t>
      </w:r>
      <w:r>
        <w:t>民眾訴訟風險</w:t>
      </w:r>
      <w:r>
        <w:rPr>
          <w:rStyle w:val="ae"/>
        </w:rPr>
        <w:footnoteReference w:id="107"/>
      </w:r>
      <w:r>
        <w:t>。</w:t>
      </w:r>
      <w:r>
        <w:rPr>
          <w:rFonts w:hint="eastAsia"/>
        </w:rPr>
        <w:t>換言之，</w:t>
      </w:r>
      <w:r>
        <w:rPr>
          <w:kern w:val="0"/>
        </w:rPr>
        <w:t>因法律上利益受到侵害之人，始能以利害關係第三人資格就他人之行政處分提起撤銷之訴，若僅有事實上利害關係，而不具備</w:t>
      </w:r>
      <w:r>
        <w:rPr>
          <w:rFonts w:hint="eastAsia"/>
          <w:kern w:val="0"/>
        </w:rPr>
        <w:t>「</w:t>
      </w:r>
      <w:r>
        <w:rPr>
          <w:kern w:val="0"/>
        </w:rPr>
        <w:t>法律上利害關係</w:t>
      </w:r>
      <w:r>
        <w:rPr>
          <w:rFonts w:hint="eastAsia"/>
          <w:kern w:val="0"/>
        </w:rPr>
        <w:t>」</w:t>
      </w:r>
      <w:r>
        <w:rPr>
          <w:kern w:val="0"/>
        </w:rPr>
        <w:t>，自不得任意主張他人行政處分違法侵害其權益而提起行政爭訟。茲所謂「法律上利害關係」之判斷，係以</w:t>
      </w:r>
      <w:r>
        <w:rPr>
          <w:rFonts w:hint="eastAsia"/>
          <w:kern w:val="0"/>
        </w:rPr>
        <w:t>上述</w:t>
      </w:r>
      <w:r>
        <w:rPr>
          <w:kern w:val="0"/>
        </w:rPr>
        <w:t>「新保護規範理論」為界定利害關係第三人範圍之基準。如法律已明確規定特定人得享有權利，或對符合法定條件而可得特定之人，授予向行政主體或國家機關為一定作為之請求權者，其規範目的在於保障個人權益，固無疑義；如法律雖係為公共利益或一般國民福祉而設之規定，但就法律之整體結構、適用對象、所欲產生之規範效果及社會發展因素等綜合判斷，可得知亦有保障特定人之意旨時，即應許</w:t>
      </w:r>
      <w:r>
        <w:rPr>
          <w:rFonts w:ascii="新細明體" w:hAnsi="新細明體" w:cs="新細明體"/>
        </w:rPr>
        <w:t>其依法請求救濟</w:t>
      </w:r>
      <w:r>
        <w:rPr>
          <w:rStyle w:val="ae"/>
          <w:rFonts w:ascii="新細明體" w:hAnsi="新細明體" w:cs="新細明體"/>
        </w:rPr>
        <w:footnoteReference w:id="108"/>
      </w:r>
      <w:r>
        <w:rPr>
          <w:rFonts w:ascii="新細明體" w:hAnsi="新細明體" w:cs="新細明體"/>
        </w:rPr>
        <w:t>。</w:t>
      </w:r>
      <w:r>
        <w:rPr>
          <w:rFonts w:ascii="新細明體" w:hAnsi="新細明體" w:cs="新細明體" w:hint="eastAsia"/>
        </w:rPr>
        <w:t>若依此解釋檢視我國陞遷法之規範目的與規範效果，在如此廣泛授權主管長官裁量權限的前提下，是否有要賦予同一陞遷程序中未獲陞遷之公務人員，得以透過權利救濟的途徑主張實體上「權益」之意旨，似乎不易得出。因此在說理上，並不容易將之劃入附第三人效力之行政處分的利害關係人範圍。這種結論雖不無遺憾，不過若是主管長官在甄選圈選陞遷人選時，確有裁量或判斷的權限逾越或夾雜不相關因素的考量時，已經是對於不想予以陞遷之同等條件公務人員的一種直接性、目的性的權利影響，未獲陞遷之公務人員原本僅具有的形式參與甄選權利，將進一步提升至具體的實體法上請求權，同時也應該承認其具有救濟權能，在救濟程序中實現他自己的權利。</w:t>
      </w:r>
    </w:p>
    <w:p w:rsidR="007D6688" w:rsidRDefault="007D6688">
      <w:pPr>
        <w:pStyle w:val="1"/>
        <w:spacing w:before="180" w:after="180" w:line="480" w:lineRule="auto"/>
        <w:rPr>
          <w:lang w:val="de-DE"/>
        </w:rPr>
      </w:pPr>
      <w:bookmarkStart w:id="133" w:name="_Toc121199234"/>
      <w:bookmarkStart w:id="134" w:name="_Toc121212706"/>
      <w:bookmarkStart w:id="135" w:name="_Toc121212969"/>
      <w:r>
        <w:rPr>
          <w:rFonts w:eastAsia="MS Mincho" w:hint="eastAsia"/>
          <w:lang w:val="de-DE"/>
        </w:rPr>
        <w:t>7</w:t>
      </w:r>
      <w:r>
        <w:rPr>
          <w:rFonts w:hint="eastAsia"/>
          <w:lang w:val="de-DE"/>
        </w:rPr>
        <w:t>.</w:t>
      </w:r>
      <w:r>
        <w:rPr>
          <w:lang w:val="de-DE"/>
        </w:rPr>
        <w:t>陞遷程序中之權利保護</w:t>
      </w:r>
      <w:bookmarkEnd w:id="133"/>
      <w:bookmarkEnd w:id="134"/>
      <w:bookmarkEnd w:id="135"/>
    </w:p>
    <w:p w:rsidR="007D6688" w:rsidRDefault="007D6688">
      <w:pPr>
        <w:pStyle w:val="22"/>
        <w:spacing w:line="480" w:lineRule="auto"/>
        <w:rPr>
          <w:rFonts w:hint="eastAsia"/>
        </w:rPr>
      </w:pPr>
      <w:r>
        <w:rPr>
          <w:rFonts w:hint="eastAsia"/>
        </w:rPr>
        <w:t>在公務人員的陞遷程序中，應該如前文所述，基於基本權的程序保障功能，給予參與陞遷公務人員正當法律程序的保障。行政程序法第</w:t>
      </w:r>
      <w:r>
        <w:rPr>
          <w:rFonts w:hint="eastAsia"/>
        </w:rPr>
        <w:t>174</w:t>
      </w:r>
      <w:r>
        <w:rPr>
          <w:rFonts w:hint="eastAsia"/>
        </w:rPr>
        <w:t>條基於訴訟經濟的考量，對於行政程序中的程序行為不服者，原則上僅容許針對最終實體決定聲明不服時一併聲明之。例外於該程序決定或處置得強制執行時，或者在一些會造成過遲救濟疑慮的案件中，得獨立以之作為程序標的進行爭訟救濟。依前文所述，陞遷程序並非絕對排除適用行政程序法規定之適用，因此在程序法中的各種程序請求權，理論上也應該承認之。所以針對陞遷程序中的不利益決定（例如拒絕程序上的請求</w:t>
      </w:r>
      <w:r>
        <w:rPr>
          <w:rFonts w:ascii="新細明體" w:hAnsi="新細明體" w:hint="eastAsia"/>
        </w:rPr>
        <w:t>、</w:t>
      </w:r>
      <w:r>
        <w:rPr>
          <w:rFonts w:hint="eastAsia"/>
        </w:rPr>
        <w:t>內陞外補之決定等等），應該也可以在此前提下，考量獨立給予救濟機會，避免執行結果無法回復或者最終給予救濟已過遲或已無實益的窘態發生。在目前保障法的救濟類型下，針對這些程序決定實務上多承認得透過申訴程序而救濟。如果能再輔以暫時性權利保護制度，將更能保障公務人員的權益。</w:t>
      </w:r>
    </w:p>
    <w:p w:rsidR="007D6688" w:rsidRDefault="007D6688">
      <w:pPr>
        <w:pStyle w:val="22"/>
        <w:spacing w:line="480" w:lineRule="auto"/>
        <w:rPr>
          <w:rFonts w:hint="eastAsia"/>
        </w:rPr>
      </w:pPr>
      <w:r>
        <w:rPr>
          <w:rFonts w:hint="eastAsia"/>
        </w:rPr>
        <w:t>由法務部目前的函示</w:t>
      </w:r>
      <w:r>
        <w:rPr>
          <w:rStyle w:val="ae"/>
        </w:rPr>
        <w:footnoteReference w:id="109"/>
      </w:r>
      <w:r>
        <w:rPr>
          <w:rFonts w:hint="eastAsia"/>
        </w:rPr>
        <w:t>可知，行政院與考試院會銜發布之「</w:t>
      </w:r>
      <w:r>
        <w:t>行政資訊公開辦法則係</w:t>
      </w:r>
      <w:r>
        <w:rPr>
          <w:rFonts w:hint="eastAsia"/>
        </w:rPr>
        <w:t>為了</w:t>
      </w:r>
      <w:r>
        <w:t>滿足人民知的權利及促進行政程序之公開化與透明化，其公開之對象為一般人民，當然亦包括</w:t>
      </w:r>
      <w:r>
        <w:rPr>
          <w:rFonts w:hint="eastAsia"/>
          <w:b/>
        </w:rPr>
        <w:t>『</w:t>
      </w:r>
      <w:r>
        <w:rPr>
          <w:b/>
        </w:rPr>
        <w:t>已終結</w:t>
      </w:r>
      <w:r>
        <w:rPr>
          <w:rFonts w:hint="eastAsia"/>
          <w:b/>
        </w:rPr>
        <w:t>』</w:t>
      </w:r>
      <w:r>
        <w:rPr>
          <w:b/>
        </w:rPr>
        <w:t>之個別行政程序之當事人或利害關係人</w:t>
      </w:r>
      <w:r>
        <w:t>，依該辦法規定申請行政機關提供行政資訊之權利，屬實體權利。</w:t>
      </w:r>
      <w:r>
        <w:rPr>
          <w:b/>
        </w:rPr>
        <w:t>行政機關拒絕提供者，應屬行政處分之性質</w:t>
      </w:r>
      <w:r>
        <w:t>，申請人如有不服，得依法提起訴願</w:t>
      </w:r>
      <w:r>
        <w:rPr>
          <w:rFonts w:hint="eastAsia"/>
        </w:rPr>
        <w:t>。」法務部的看法似乎有意要區分程序中與程序後的程序請求。若屬於已終結（例如已經辦理陞遷程序完畢）之程序當事人或利害關係人，得獨立針對請求遭拒絕的決定（即為行政處分），單獨提起訴願甚至行政訴訟。但是程序中資訊公開的請求遭拒絕，則似乎採不同的處理。不過應該還是不許提起訴願（或者復審）。</w:t>
      </w:r>
    </w:p>
    <w:p w:rsidR="007D6688" w:rsidRDefault="007D6688">
      <w:pPr>
        <w:pStyle w:val="22"/>
        <w:spacing w:line="480" w:lineRule="auto"/>
        <w:rPr>
          <w:rFonts w:hint="eastAsia"/>
        </w:rPr>
      </w:pPr>
      <w:r>
        <w:rPr>
          <w:rFonts w:hint="eastAsia"/>
        </w:rPr>
        <w:t>雖然在陞遷程序中的程序決定未必均屬資訊請求之准駁，但是也不排除其可能性。實務上這種不同的救濟處理方式，難免滋生疑義。其重點應該在於行政程序法第</w:t>
      </w:r>
      <w:r>
        <w:rPr>
          <w:rFonts w:hint="eastAsia"/>
        </w:rPr>
        <w:t>174</w:t>
      </w:r>
      <w:r>
        <w:rPr>
          <w:rFonts w:hint="eastAsia"/>
        </w:rPr>
        <w:t>條但書之解釋適用範圍。本文認為資訊公開辦法係但書所稱「其他法規令有規定者」。所以不應該限縮該辦法僅適用於程序終結後之請求。即使在辦理陞遷程序中，當事人或利害關係人請求資訊公開（包括個人陞遷相關資訊</w:t>
      </w:r>
      <w:r>
        <w:rPr>
          <w:rStyle w:val="ae"/>
        </w:rPr>
        <w:footnoteReference w:id="110"/>
      </w:r>
      <w:r>
        <w:rPr>
          <w:rFonts w:hint="eastAsia"/>
        </w:rPr>
        <w:t>），除非法規另有禁止事項，否則主管機關即應提供，行政機關之拒絕可能即屬行政處分，應該容許公務人員提起復審救濟。</w:t>
      </w:r>
    </w:p>
    <w:p w:rsidR="007D6688" w:rsidRDefault="007D6688">
      <w:pPr>
        <w:pStyle w:val="1"/>
        <w:spacing w:before="180" w:after="180" w:line="480" w:lineRule="auto"/>
        <w:rPr>
          <w:rFonts w:hint="eastAsia"/>
          <w:lang w:val="de-DE"/>
        </w:rPr>
      </w:pPr>
      <w:bookmarkStart w:id="136" w:name="_Toc121199235"/>
      <w:bookmarkStart w:id="137" w:name="_Toc121212707"/>
      <w:bookmarkStart w:id="138" w:name="_Toc121212970"/>
      <w:r>
        <w:rPr>
          <w:lang w:val="de-DE"/>
        </w:rPr>
        <w:t>8</w:t>
      </w:r>
      <w:r>
        <w:rPr>
          <w:rFonts w:hint="eastAsia"/>
          <w:lang w:val="de-DE"/>
        </w:rPr>
        <w:t>.</w:t>
      </w:r>
      <w:r>
        <w:rPr>
          <w:lang w:val="de-DE"/>
        </w:rPr>
        <w:t>針對陞遷決定之訴訟類型</w:t>
      </w:r>
      <w:bookmarkEnd w:id="136"/>
      <w:bookmarkEnd w:id="137"/>
      <w:bookmarkEnd w:id="138"/>
    </w:p>
    <w:p w:rsidR="007D6688" w:rsidRDefault="007D6688">
      <w:pPr>
        <w:pStyle w:val="22"/>
        <w:spacing w:line="480" w:lineRule="auto"/>
        <w:rPr>
          <w:rFonts w:hint="eastAsia"/>
        </w:rPr>
      </w:pPr>
      <w:r>
        <w:t>訴願法與行政訴訟法修正之前，行政訴訟類型僅撤銷訴訟一種，因此無可避免地造成撤銷訴訟過度地承載人民權利救濟的功能，相對地，也使得提起撤銷訴訟的前提要件</w:t>
      </w:r>
      <w:r>
        <w:t xml:space="preserve"> - </w:t>
      </w:r>
      <w:r>
        <w:t>必須存在一個行政處分</w:t>
      </w:r>
      <w:r>
        <w:t xml:space="preserve"> - </w:t>
      </w:r>
      <w:r>
        <w:t>被過度地強調，也進而導致行政處分是否存在的判斷，逐漸地偏離法釋義學（</w:t>
      </w:r>
      <w:r>
        <w:t>Rechtsdogmatik</w:t>
      </w:r>
      <w:r>
        <w:t>）上的操作，而反從救濟目的之達成與否加以思考。具體而言，被認定為行政處分之行政行為是否真的是行政處分的問題卻居次要；反而是只要能達成救濟目的時，即使係爭行政行為「本質上」不是行政處分，也可以擴張解釋成為行政處分，而透過承認行政處分存在的這種道具功能，以滿足人民權利救濟的需求。這種解釋的方式雖然一方面成就了人民權利救濟的前提要件，但是卻也相對地犧牲法釋義學的重要性。這種現象在訴願法與行政訴訟法修正後，或者行政程序法制定，行政處分已有法定之定義規定後，似乎仍然存在。對於提起訴願或行政訴訟之要件是否成立之判斷，應該回歸立法者在行政程序法規上的決定（例如立法者在行政程序法第</w:t>
      </w:r>
      <w:r>
        <w:t>92</w:t>
      </w:r>
      <w:r>
        <w:t>條第</w:t>
      </w:r>
      <w:r>
        <w:t>1</w:t>
      </w:r>
      <w:r>
        <w:t>項中歸納出判斷行政處分是否存在的要素）。如此才能一方面避免適用法律者（例如行政法院），每每必須在法律具體化之時，都要重新去檢視一些原則性的問題（例如究竟什麼要素是行政處分存在所應具備者？）；同時另一方面也才能避免體系外的因素被不當地納入考量（例如，行政行為是否該當行政程序法第</w:t>
      </w:r>
      <w:r>
        <w:t>92</w:t>
      </w:r>
      <w:r>
        <w:t>條第</w:t>
      </w:r>
      <w:r>
        <w:t>1</w:t>
      </w:r>
      <w:r>
        <w:t>項之要件要素，與針對此一行為是否應當給予救濟，即屬不同層次的問題）。如此一來，主要以行政行為的類型作為前提而設計之行政訴訟法修正後，各種不同的訴訟類型也才有平均發展的機會，而非賦予撤銷訴訟過度的負擔或者過度地期待。</w:t>
      </w:r>
    </w:p>
    <w:p w:rsidR="007D6688" w:rsidRDefault="007D6688">
      <w:pPr>
        <w:pStyle w:val="22"/>
        <w:spacing w:line="480" w:lineRule="auto"/>
      </w:pPr>
      <w:r>
        <w:rPr>
          <w:rFonts w:hint="eastAsia"/>
        </w:rPr>
        <w:t>憲法第</w:t>
      </w:r>
      <w:r>
        <w:rPr>
          <w:rFonts w:hint="eastAsia"/>
        </w:rPr>
        <w:t>16</w:t>
      </w:r>
      <w:r>
        <w:rPr>
          <w:rFonts w:hint="eastAsia"/>
        </w:rPr>
        <w:t>條之規定，蘊含人民「有效」與「完善」之權益保障要求。礙於舊行政訴訟法之訴訟之種類僅限撤銷訴訟與附帶損害賠償訴訟，與前該憲法要求有極大差距</w:t>
      </w:r>
      <w:r>
        <w:rPr>
          <w:rStyle w:val="ae"/>
        </w:rPr>
        <w:footnoteReference w:id="111"/>
      </w:r>
      <w:r>
        <w:rPr>
          <w:rFonts w:hint="eastAsia"/>
        </w:rPr>
        <w:t>。因此新修訂之行政訴訟法特增列訴訟種類，至少包括撤銷訴訟、確認訴訟及給付訴訟（請求作成處分之訴</w:t>
      </w:r>
      <w:r>
        <w:t>、</w:t>
      </w:r>
      <w:r>
        <w:rPr>
          <w:rFonts w:hint="eastAsia"/>
        </w:rPr>
        <w:t>請求財產上給付之訴</w:t>
      </w:r>
      <w:r>
        <w:t>、請求</w:t>
      </w:r>
      <w:r>
        <w:rPr>
          <w:rFonts w:hint="eastAsia"/>
        </w:rPr>
        <w:t>非行政處分以外之非財產上給付之訴）（第</w:t>
      </w:r>
      <w:r>
        <w:rPr>
          <w:rFonts w:hint="eastAsia"/>
        </w:rPr>
        <w:t>3</w:t>
      </w:r>
      <w:r>
        <w:rPr>
          <w:rFonts w:hint="eastAsia"/>
        </w:rPr>
        <w:t>條）。又依第</w:t>
      </w:r>
      <w:r>
        <w:rPr>
          <w:rFonts w:hint="eastAsia"/>
        </w:rPr>
        <w:t>4</w:t>
      </w:r>
      <w:r>
        <w:rPr>
          <w:rFonts w:hint="eastAsia"/>
        </w:rPr>
        <w:t>條規定人民因中央或地方機關之違法行政處分，認為損害其權利或法律上之利益，經訴願程序後，得向高等行政法院提起撤銷訴訟，請求撤銷違法行政處分。第</w:t>
      </w:r>
      <w:r>
        <w:rPr>
          <w:rFonts w:hint="eastAsia"/>
        </w:rPr>
        <w:t>5</w:t>
      </w:r>
      <w:r>
        <w:rPr>
          <w:rFonts w:hint="eastAsia"/>
        </w:rPr>
        <w:t>條規定人民因中央或地方機關對其依法申請之案件，於法令所定期間內應作為而不作為，認為其權利或法律上利益受損害者，經依訴願程序後，得向高等行政法院提起請求該機關應為行政處分或應為特定內容之行政處分之訴訟。或者人民因中央或地方機關對其依法申請之案件，予以駁回，認為其權利或法律上利益受違法損害者，經依訴願程序後，得向高等行政法院提起請求該機關應為行政處分或應為特定內容之行政處分之訴訟。第</w:t>
      </w:r>
      <w:r>
        <w:rPr>
          <w:rFonts w:hint="eastAsia"/>
        </w:rPr>
        <w:t>6</w:t>
      </w:r>
      <w:r>
        <w:rPr>
          <w:rFonts w:hint="eastAsia"/>
        </w:rPr>
        <w:t>條則規定人民有即受確認判決之法律上利益時，得提起確認行政處分無效（或違法）及確認公法上法律關係成立或不成立之訴訟</w:t>
      </w:r>
      <w:r>
        <w:rPr>
          <w:rStyle w:val="ae"/>
        </w:rPr>
        <w:footnoteReference w:id="112"/>
      </w:r>
      <w:r>
        <w:rPr>
          <w:rFonts w:hint="eastAsia"/>
        </w:rPr>
        <w:t>。第</w:t>
      </w:r>
      <w:r>
        <w:rPr>
          <w:rFonts w:hint="eastAsia"/>
        </w:rPr>
        <w:t>8</w:t>
      </w:r>
      <w:r>
        <w:rPr>
          <w:rFonts w:hint="eastAsia"/>
        </w:rPr>
        <w:t>條則規定人民與中央或地方機關間，因公法上原因發生財產上之給付或請求作成行政處分以外之其他非財產上之給付，或因公法上契約發生之給付，得提起給付訴訟。人民自得針對不同的公權力行為與訴訟目的提起相應的訴訟，而不以撤銷訴訟為限。</w:t>
      </w:r>
    </w:p>
    <w:p w:rsidR="007D6688" w:rsidRDefault="007D6688">
      <w:pPr>
        <w:pStyle w:val="2"/>
        <w:spacing w:line="480" w:lineRule="auto"/>
        <w:rPr>
          <w:rFonts w:hint="eastAsia"/>
          <w:lang w:val="de-DE"/>
        </w:rPr>
      </w:pPr>
      <w:bookmarkStart w:id="139" w:name="_Toc121199236"/>
      <w:bookmarkStart w:id="140" w:name="_Toc121212708"/>
      <w:bookmarkStart w:id="141" w:name="_Toc121212971"/>
      <w:r>
        <w:rPr>
          <w:lang w:val="de-DE"/>
        </w:rPr>
        <w:t>8</w:t>
      </w:r>
      <w:r>
        <w:rPr>
          <w:rFonts w:hint="eastAsia"/>
          <w:lang w:val="de-DE"/>
        </w:rPr>
        <w:t>.</w:t>
      </w:r>
      <w:r>
        <w:rPr>
          <w:lang w:val="de-DE"/>
        </w:rPr>
        <w:t>1</w:t>
      </w:r>
      <w:r>
        <w:rPr>
          <w:rFonts w:hint="eastAsia"/>
          <w:lang w:val="de-DE"/>
        </w:rPr>
        <w:t>.</w:t>
      </w:r>
      <w:r>
        <w:rPr>
          <w:lang w:val="de-DE"/>
        </w:rPr>
        <w:t>撤銷訴訟</w:t>
      </w:r>
      <w:bookmarkEnd w:id="139"/>
      <w:bookmarkEnd w:id="140"/>
      <w:bookmarkEnd w:id="141"/>
    </w:p>
    <w:p w:rsidR="007D6688" w:rsidRDefault="007D6688">
      <w:pPr>
        <w:pStyle w:val="22"/>
        <w:spacing w:line="480" w:lineRule="auto"/>
        <w:rPr>
          <w:rFonts w:hint="eastAsia"/>
        </w:rPr>
      </w:pPr>
      <w:r>
        <w:rPr>
          <w:rFonts w:hint="eastAsia"/>
        </w:rPr>
        <w:t>針對陞遷決定不服提起的訴訟類型，首先可以想到提起撤銷訴訟。但是要注意的是，撤銷訴訟的目的是透過法院的形成判決將行政機關所作的不利益違法行政處分遡及地使其失其效力，回到為作成行政處分前的原初狀態。但是在陞遷救濟案件中，未獲陞遷之公務人員與獲得陞遷之公務人員處於一種競爭關係，他的救濟目的往往不是單純地撤銷一個對他不利益的拒絕陞遷決定而已。對於最終的陞遷決定不服提起撤銷訴訟往往不是最適當的訴訟類型選擇。但是在此不能否定，如果原告只是要針對部分程序上的決定提起撤銷訴訟的可能，不過必須滿足提起撤銷訴訟的前提要件，亦即這些程序決定必須是一個行政處分。</w:t>
      </w:r>
    </w:p>
    <w:p w:rsidR="007D6688" w:rsidRDefault="007D6688">
      <w:pPr>
        <w:pStyle w:val="22"/>
        <w:spacing w:line="480" w:lineRule="auto"/>
        <w:rPr>
          <w:rFonts w:hint="eastAsia"/>
          <w:kern w:val="0"/>
        </w:rPr>
      </w:pPr>
      <w:r>
        <w:t>在現行的行政訴訟法規範下，訴訟類型已趨多元，人民針對行政機關</w:t>
      </w:r>
      <w:r>
        <w:rPr>
          <w:rFonts w:hint="eastAsia"/>
        </w:rPr>
        <w:t>拒絕</w:t>
      </w:r>
      <w:r>
        <w:t>之</w:t>
      </w:r>
      <w:r>
        <w:rPr>
          <w:rFonts w:hint="eastAsia"/>
        </w:rPr>
        <w:t>陞遷請求</w:t>
      </w:r>
      <w:r>
        <w:t>案件，適當的訴訟類型，一般而言是指給付訴訟。因為對於</w:t>
      </w:r>
      <w:r>
        <w:rPr>
          <w:rFonts w:hint="eastAsia"/>
        </w:rPr>
        <w:t>原告</w:t>
      </w:r>
      <w:r>
        <w:t>而言，其訴訟的目的無非是希望最後終能獲得行政機關對之為</w:t>
      </w:r>
      <w:r>
        <w:rPr>
          <w:rFonts w:hint="eastAsia"/>
        </w:rPr>
        <w:t>陞遷之決定</w:t>
      </w:r>
      <w:r>
        <w:t>（</w:t>
      </w:r>
      <w:r>
        <w:rPr>
          <w:rFonts w:hint="eastAsia"/>
        </w:rPr>
        <w:t>不論</w:t>
      </w:r>
      <w:r>
        <w:t>作成行政處分或行政處分以外之</w:t>
      </w:r>
      <w:r>
        <w:rPr>
          <w:rFonts w:hint="eastAsia"/>
        </w:rPr>
        <w:t>行為均為一種</w:t>
      </w:r>
      <w:r>
        <w:t>給付），因此往往就沒有必要為了提起一個本質上非最佳選擇的訴訟類型（即撤銷訴訟），而必須斤斤計較行政機關對於人民申請案件的駁回或拒絕決定是否為一行政處分。行政訴訟法對於給付訴訟的規定，也有意地略過此種問題地判斷。例如本法第</w:t>
      </w:r>
      <w:r>
        <w:t>5</w:t>
      </w:r>
      <w:r>
        <w:t>條第</w:t>
      </w:r>
      <w:r>
        <w:t>2</w:t>
      </w:r>
      <w:r>
        <w:t>項規定課予義務訴訟，若「</w:t>
      </w:r>
      <w:r>
        <w:rPr>
          <w:kern w:val="0"/>
        </w:rPr>
        <w:t>人民因中央或地方機關對其依法申請之案件，予以駁回，認為其權利或法律上利益受違法損害者，經依訴願程序後，得向高等行政法院提起請求該機關應為行政處分或應為特定內容之行政處分之訴訟。」至於駁回的決定，其法律性質為何，與課予義務訴訟之能否提起，全然無關。因為課予義務訴訟之提起，</w:t>
      </w:r>
      <w:r>
        <w:t>並非以駁回的決定為一行政處分作為前提，換言之，只要受理申請之行政機關作成單純「拒絕」的表示（</w:t>
      </w:r>
      <w:r>
        <w:t>ein einfaches „Nein“</w:t>
      </w:r>
      <w:r>
        <w:t>），即使該駁回的決定不具法效特徵，或具體言之，非一行政處分，也不會影響此一特殊之給付訴訟提起的合法性</w:t>
      </w:r>
      <w:r>
        <w:rPr>
          <w:rStyle w:val="ae"/>
          <w:rFonts w:cs="Arial"/>
          <w:color w:val="000000"/>
        </w:rPr>
        <w:footnoteReference w:id="113"/>
      </w:r>
      <w:r>
        <w:t>。就這一部份而言，提起課予義務訴訟原則上是比撤銷訴訟容易以及適當</w:t>
      </w:r>
      <w:r>
        <w:rPr>
          <w:rStyle w:val="ae"/>
          <w:rFonts w:cs="Arial"/>
          <w:color w:val="000000"/>
        </w:rPr>
        <w:footnoteReference w:id="114"/>
      </w:r>
      <w:r>
        <w:t>。又本法第</w:t>
      </w:r>
      <w:r>
        <w:t>8</w:t>
      </w:r>
      <w:r>
        <w:t>條第</w:t>
      </w:r>
      <w:r>
        <w:t>1</w:t>
      </w:r>
      <w:r>
        <w:t>項規定一般給付訴訟，若「</w:t>
      </w:r>
      <w:r>
        <w:rPr>
          <w:kern w:val="0"/>
        </w:rPr>
        <w:t>人民與中央或地方機關間，因公法上原因發生財產上之給付或請求作成行政處分以外之其他非財產上之給付，得提起給付訴訟。」其請求亦與先前行政機關曾有過之拒絕或駁回行為之法律性質無關。</w:t>
      </w:r>
    </w:p>
    <w:p w:rsidR="007D6688" w:rsidRDefault="007D6688">
      <w:pPr>
        <w:pStyle w:val="22"/>
        <w:spacing w:line="480" w:lineRule="auto"/>
        <w:rPr>
          <w:rFonts w:hint="eastAsia"/>
        </w:rPr>
      </w:pPr>
      <w:r>
        <w:t>但是我們不可否認的是，即使針對行政機關駁回人民</w:t>
      </w:r>
      <w:r>
        <w:rPr>
          <w:rFonts w:hint="eastAsia"/>
        </w:rPr>
        <w:t>請求</w:t>
      </w:r>
      <w:r>
        <w:t>作成</w:t>
      </w:r>
      <w:r>
        <w:rPr>
          <w:rFonts w:hint="eastAsia"/>
        </w:rPr>
        <w:t>陞遷決定</w:t>
      </w:r>
      <w:r>
        <w:t>之案件，以課予義務訴訟尋求救濟是比較適當的方式，但是仍然有一些特殊的情況，可能會面臨到撤銷訴訟的選擇。最典型的例子即是提起所謂「隔離的撤銷訴訟（</w:t>
      </w:r>
      <w:r>
        <w:t>isolierte Anfechtungsklage</w:t>
      </w:r>
      <w:r>
        <w:t>）」。稱此類訴訟為「隔離」之撤銷訴訟，是指區隔原先想要獲得行政機關作成授益行政處分的希望，單獨針對行政機關之駁回處分提起撤銷訴訟之意</w:t>
      </w:r>
      <w:r>
        <w:rPr>
          <w:rStyle w:val="ae"/>
          <w:rFonts w:cs="Arial"/>
          <w:color w:val="000000"/>
        </w:rPr>
        <w:footnoteReference w:id="115"/>
      </w:r>
      <w:r>
        <w:t>。雖然學說大多以欠缺權利保護之必要性（</w:t>
      </w:r>
      <w:r>
        <w:t>Rechtsschutzbedürfnis</w:t>
      </w:r>
      <w:r>
        <w:t>）而否定此類訴訟</w:t>
      </w:r>
      <w:r>
        <w:rPr>
          <w:rStyle w:val="ae"/>
          <w:rFonts w:cs="Arial"/>
          <w:color w:val="000000"/>
        </w:rPr>
        <w:footnoteReference w:id="116"/>
      </w:r>
      <w:r>
        <w:t>。從而，申請被駁回的相對人在希望透過行政法院撤銷該駁回處分，與請求課予行政機關作成授益處分義務之選擇間，原則上並不具有選擇權</w:t>
      </w:r>
      <w:r>
        <w:rPr>
          <w:rStyle w:val="ae"/>
          <w:rFonts w:cs="Arial"/>
          <w:color w:val="000000"/>
        </w:rPr>
        <w:footnoteReference w:id="117"/>
      </w:r>
      <w:r>
        <w:t>。但是在許多具體的事例中，撤銷訴訟並不見得會完全被課予義務之訴所排擠，同時提起隔離的撤銷訴訟也未必完全不具有權利保護之必要性。更具體地說，立法者也從沒有想過要全然地以課予義務訴訟取代若干具有權利保護必要性之（隔離）撤銷訴訟之意思</w:t>
      </w:r>
      <w:r>
        <w:rPr>
          <w:rStyle w:val="ae"/>
          <w:rFonts w:cs="Arial"/>
          <w:color w:val="000000"/>
        </w:rPr>
        <w:footnoteReference w:id="118"/>
      </w:r>
      <w:r>
        <w:t>。特別是當申請人不再希望得到原先意欲的授益內容，但是卻有法律上之利益以排除行政機關之駁回處分在這期間所造成的不利益</w:t>
      </w:r>
      <w:r>
        <w:rPr>
          <w:rStyle w:val="ae"/>
          <w:rFonts w:cs="Arial"/>
          <w:color w:val="000000"/>
        </w:rPr>
        <w:footnoteReference w:id="119"/>
      </w:r>
      <w:r>
        <w:t>，或者希望日後重新申請的可能性能保持開放時</w:t>
      </w:r>
      <w:r>
        <w:rPr>
          <w:rStyle w:val="ae"/>
          <w:rFonts w:cs="Arial"/>
          <w:color w:val="000000"/>
        </w:rPr>
        <w:footnoteReference w:id="120"/>
      </w:r>
      <w:r>
        <w:t xml:space="preserve"> - </w:t>
      </w:r>
      <w:r>
        <w:t>即有權利保護之必要性時</w:t>
      </w:r>
      <w:r>
        <w:t xml:space="preserve"> - </w:t>
      </w:r>
      <w:r>
        <w:t>隔離撤銷訴訟仍應予以許可</w:t>
      </w:r>
      <w:r>
        <w:rPr>
          <w:rStyle w:val="ae"/>
          <w:rFonts w:cs="Arial"/>
          <w:color w:val="000000"/>
        </w:rPr>
        <w:footnoteReference w:id="121"/>
      </w:r>
      <w:r>
        <w:t>。</w:t>
      </w:r>
      <w:r>
        <w:rPr>
          <w:rFonts w:hint="eastAsia"/>
        </w:rPr>
        <w:t>在陞遷案件中，未獲陞遷的公務人員獨立針對拒絕其陞遷要求之決定，似乎也可以想像。但是如前所述，本文並不認為此一拒絕陞遷的決定，對於當事人而言絕對是一個行政處分。所以還需要在個案中進一步判斷此一前提要件是否該當。</w:t>
      </w:r>
    </w:p>
    <w:p w:rsidR="007D6688" w:rsidRDefault="007D6688">
      <w:pPr>
        <w:pStyle w:val="22"/>
        <w:spacing w:line="480" w:lineRule="auto"/>
        <w:rPr>
          <w:rFonts w:hint="eastAsia"/>
        </w:rPr>
      </w:pPr>
      <w:r>
        <w:rPr>
          <w:rFonts w:hint="eastAsia"/>
        </w:rPr>
        <w:t>此外若是原告以利害關係人第三人之地位，亦可以訴請撤銷對競爭者予以陞遷之決定。而此一決定理論上可以被評價為「附第三人效力之行政處分」。倘若訴訟權能的要件亦可進一步確定，則在這種競爭關係下提起撤銷訴訟應屬於合法的訴訟類型選擇。學說上幾乎無所爭議的是，此時已經獲得圈選的公務人員則可以在訴訟程序或者暫時性權利保障程序中，以必要參加人的地位，參加訴訟</w:t>
      </w:r>
      <w:r>
        <w:rPr>
          <w:rStyle w:val="ae"/>
        </w:rPr>
        <w:footnoteReference w:id="122"/>
      </w:r>
      <w:r>
        <w:rPr>
          <w:rFonts w:hint="eastAsia"/>
        </w:rPr>
        <w:t>。倘若此一附第三人行政處分所涉及利害關係人範圍相當廣泛（亦即一次陞遷涉及之公務人員為數相當可觀），同時在訴訟上又屬於必要參加訴訟之人，在訴訟上如何使其在一次訴訟救濟中同時處理即相當棘手。換言之，本來訴訟參加制度所要達到的程序加速目的反而有實現的障礙。對此德國行政法院法第</w:t>
      </w:r>
      <w:r>
        <w:rPr>
          <w:rFonts w:hint="eastAsia"/>
        </w:rPr>
        <w:t>65</w:t>
      </w:r>
      <w:r>
        <w:rPr>
          <w:rFonts w:hint="eastAsia"/>
        </w:rPr>
        <w:t>條第</w:t>
      </w:r>
      <w:r>
        <w:rPr>
          <w:rFonts w:hint="eastAsia"/>
        </w:rPr>
        <w:t>3</w:t>
      </w:r>
      <w:r>
        <w:rPr>
          <w:rFonts w:hint="eastAsia"/>
        </w:rPr>
        <w:t>項，針對超過五十人以上之訴訟必要參加人，授權法院可以透過裁定命令僅於一定期間內聲請登記之利害關係人得以參加訴訟。此項裁定並需於聯邦電子公報、新聞紙或其他特定的資訊系統上公告。其中之公告期限並不得少於三個月</w:t>
      </w:r>
      <w:r>
        <w:rPr>
          <w:rStyle w:val="ae"/>
        </w:rPr>
        <w:footnoteReference w:id="123"/>
      </w:r>
      <w:r>
        <w:rPr>
          <w:rFonts w:hint="eastAsia"/>
        </w:rPr>
        <w:t>。本法甚至規定，對於未於期限內聲請登記，但是那些「已知（</w:t>
      </w:r>
      <w:r>
        <w:t>erkennbar</w:t>
      </w:r>
      <w:r>
        <w:rPr>
          <w:rFonts w:hint="eastAsia"/>
        </w:rPr>
        <w:t>）」會受到判決某種程度影響之利害關係人，也可以由法院決定令其參加訴訟</w:t>
      </w:r>
      <w:r>
        <w:rPr>
          <w:rStyle w:val="ae"/>
        </w:rPr>
        <w:footnoteReference w:id="124"/>
      </w:r>
      <w:r>
        <w:rPr>
          <w:rFonts w:hint="eastAsia"/>
        </w:rPr>
        <w:t>。</w:t>
      </w:r>
    </w:p>
    <w:p w:rsidR="007D6688" w:rsidRDefault="007D6688">
      <w:pPr>
        <w:pStyle w:val="22"/>
        <w:spacing w:line="480" w:lineRule="auto"/>
        <w:rPr>
          <w:rFonts w:hint="eastAsia"/>
        </w:rPr>
      </w:pPr>
      <w:r>
        <w:rPr>
          <w:rFonts w:hint="eastAsia"/>
        </w:rPr>
        <w:t>另外有關行政處分之確認訴訟，理論上應該也可以考慮。其中包括確認行政處分無效之訴與確認已終結行政處分違法之訴。前者在撤銷訴訟可供選擇的前提下（另外可能涉及確認訴訟相較於撤銷訴訟之補充性，是否亦適用於無效確認訴訟之爭議！），提起的機會並不大。假如陞遷決定之行政處分有重大明顯瑕疵，同時特殊之訴訟利益亦滿足時，原則上亦不排除其可能性。至於後者，在行政處分已經終結或已經無撤銷之實益時，為了避免反覆發生的危險</w:t>
      </w:r>
      <w:r>
        <w:rPr>
          <w:rFonts w:ascii="新細明體" w:hAnsi="新細明體" w:hint="eastAsia"/>
        </w:rPr>
        <w:t>、</w:t>
      </w:r>
      <w:r>
        <w:rPr>
          <w:rFonts w:hint="eastAsia"/>
        </w:rPr>
        <w:t>回復名譽之需要或者準備作為損害賠償救濟之先行確認，提起確認行政處分違法之訴，亦可以想像。在此，不另文處理。</w:t>
      </w:r>
    </w:p>
    <w:p w:rsidR="007D6688" w:rsidRDefault="007D6688">
      <w:pPr>
        <w:pStyle w:val="2"/>
        <w:spacing w:line="480" w:lineRule="auto"/>
        <w:rPr>
          <w:lang w:val="de-DE"/>
        </w:rPr>
      </w:pPr>
      <w:bookmarkStart w:id="142" w:name="_Toc121199237"/>
      <w:bookmarkStart w:id="143" w:name="_Toc121212709"/>
      <w:bookmarkStart w:id="144" w:name="_Toc121212972"/>
      <w:r>
        <w:rPr>
          <w:lang w:val="de-DE"/>
        </w:rPr>
        <w:t>8</w:t>
      </w:r>
      <w:r>
        <w:rPr>
          <w:rFonts w:hint="eastAsia"/>
          <w:lang w:val="de-DE"/>
        </w:rPr>
        <w:t>.</w:t>
      </w:r>
      <w:r>
        <w:rPr>
          <w:lang w:val="de-DE"/>
        </w:rPr>
        <w:t>2</w:t>
      </w:r>
      <w:r>
        <w:rPr>
          <w:rFonts w:hint="eastAsia"/>
          <w:lang w:val="de-DE"/>
        </w:rPr>
        <w:t>.</w:t>
      </w:r>
      <w:r>
        <w:rPr>
          <w:lang w:val="de-DE"/>
        </w:rPr>
        <w:t>課予義務訴訟</w:t>
      </w:r>
      <w:bookmarkEnd w:id="142"/>
      <w:bookmarkEnd w:id="143"/>
      <w:bookmarkEnd w:id="144"/>
    </w:p>
    <w:p w:rsidR="007D6688" w:rsidRDefault="007D6688">
      <w:pPr>
        <w:pStyle w:val="22"/>
        <w:spacing w:line="480" w:lineRule="auto"/>
        <w:rPr>
          <w:rFonts w:hint="eastAsia"/>
        </w:rPr>
      </w:pPr>
      <w:r>
        <w:rPr>
          <w:rFonts w:hint="eastAsia"/>
        </w:rPr>
        <w:t>對同一陞遷機會而有多數申請人競爭，其未獲陞遷任用者，如認為主管長官或行政機關之決定違法，實則應該給予自己陞遷者，亦會產生所謂「競爭者訴訟」（</w:t>
      </w:r>
      <w:r>
        <w:rPr>
          <w:rFonts w:hint="eastAsia"/>
        </w:rPr>
        <w:t>Konkurreentenklage</w:t>
      </w:r>
      <w:r>
        <w:rPr>
          <w:rFonts w:hint="eastAsia"/>
        </w:rPr>
        <w:t>）之問題。如果只是單純針對自己陞遷請求被拒絕（亦無其他人獲得陞遷），而提起的救濟類型，當然是純粹屬於提起課予義務訴訟的問題，其目的在於請求法院為應任用原告之判決</w:t>
      </w:r>
      <w:r>
        <w:rPr>
          <w:rStyle w:val="ae"/>
        </w:rPr>
        <w:footnoteReference w:id="125"/>
      </w:r>
      <w:r>
        <w:rPr>
          <w:rFonts w:hint="eastAsia"/>
        </w:rPr>
        <w:t>。此時無庸再針對主管長官之拒絕行為合併提起撤銷訴訟（當然也就不必要在討論此一拒絕行為是否為行政處分的問題，見前述）。倘若主管長官或行政機關已經給予他人陞遷，而同時拒絕自己的陞遷要求，在滿足訴訟權能的要件時（特別在行政機關逾越裁量或者判斷界限時），適當的救濟應該是同時合併提起撤銷訴訟與課予義務訴訟。</w:t>
      </w:r>
    </w:p>
    <w:p w:rsidR="007D6688" w:rsidRDefault="007D6688">
      <w:pPr>
        <w:pStyle w:val="22"/>
        <w:spacing w:line="480" w:lineRule="auto"/>
        <w:rPr>
          <w:rFonts w:hint="eastAsia"/>
        </w:rPr>
      </w:pPr>
      <w:r>
        <w:rPr>
          <w:rFonts w:hint="eastAsia"/>
        </w:rPr>
        <w:t>不過需注意的是，提起課予義務訴訟的訴訟權能要求。一般而言，公務人員具有要求行政機關作成無瑕疵判斷或裁量的請求權。例外情形下，當主管長官的判斷餘地或裁量空間縮減至零時，原告方具有請求特定陞遷決定的公權利</w:t>
      </w:r>
      <w:r>
        <w:rPr>
          <w:rStyle w:val="ae"/>
        </w:rPr>
        <w:footnoteReference w:id="126"/>
      </w:r>
      <w:r>
        <w:rPr>
          <w:rFonts w:hint="eastAsia"/>
        </w:rPr>
        <w:t>。所以一般的情形下，課予義務訴訟往往會因為紛爭欠缺成熟性（</w:t>
      </w:r>
      <w:r>
        <w:rPr>
          <w:rFonts w:eastAsia="MS Mincho" w:hint="eastAsia"/>
        </w:rPr>
        <w:t>Spruchreife</w:t>
      </w:r>
      <w:r>
        <w:rPr>
          <w:rFonts w:hint="eastAsia"/>
        </w:rPr>
        <w:t>），使得課予義務訴訟的結果只是一種「</w:t>
      </w:r>
      <w:r>
        <w:rPr>
          <w:rFonts w:ascii="MS Mincho" w:hAnsi="MS Mincho" w:hint="eastAsia"/>
        </w:rPr>
        <w:t>不服駁回</w:t>
      </w:r>
      <w:r>
        <w:rPr>
          <w:rFonts w:hint="eastAsia"/>
        </w:rPr>
        <w:t>之訴（</w:t>
      </w:r>
      <w:r>
        <w:rPr>
          <w:rFonts w:eastAsia="MS Mincho" w:hint="eastAsia"/>
        </w:rPr>
        <w:t>Versagungsgegenklage</w:t>
      </w:r>
      <w:r>
        <w:rPr>
          <w:rFonts w:hint="eastAsia"/>
        </w:rPr>
        <w:t>）」下位概念之「應為決定之訴（</w:t>
      </w:r>
      <w:r>
        <w:rPr>
          <w:rFonts w:eastAsia="MS Mincho" w:hint="eastAsia"/>
        </w:rPr>
        <w:t>Bescheidungsklage</w:t>
      </w:r>
      <w:r>
        <w:rPr>
          <w:rFonts w:hint="eastAsia"/>
        </w:rPr>
        <w:t>）」的型態。例如我國行政訴訟法第</w:t>
      </w:r>
      <w:r>
        <w:rPr>
          <w:rFonts w:hint="eastAsia"/>
        </w:rPr>
        <w:t>200</w:t>
      </w:r>
      <w:r>
        <w:rPr>
          <w:rFonts w:hint="eastAsia"/>
        </w:rPr>
        <w:t>條第</w:t>
      </w:r>
      <w:r>
        <w:rPr>
          <w:rFonts w:hint="eastAsia"/>
        </w:rPr>
        <w:t>4</w:t>
      </w:r>
      <w:r>
        <w:rPr>
          <w:rFonts w:hint="eastAsia"/>
        </w:rPr>
        <w:t>款規定，「</w:t>
      </w:r>
      <w:r>
        <w:rPr>
          <w:rFonts w:hint="eastAsia"/>
          <w:kern w:val="0"/>
        </w:rPr>
        <w:t>原告之訴雖有理由，惟案件事證尚未臻明確或涉及行政機關之行政裁量決定者，應判命行政機關遵照其判決之法律見解對於原告作成決定</w:t>
      </w:r>
      <w:r>
        <w:rPr>
          <w:rStyle w:val="ae"/>
          <w:kern w:val="0"/>
        </w:rPr>
        <w:footnoteReference w:id="127"/>
      </w:r>
      <w:r>
        <w:rPr>
          <w:rFonts w:hint="eastAsia"/>
          <w:kern w:val="0"/>
        </w:rPr>
        <w:t>」，即為此種訴訟裁判的形式。</w:t>
      </w:r>
    </w:p>
    <w:p w:rsidR="007D6688" w:rsidRDefault="007D6688">
      <w:pPr>
        <w:pStyle w:val="2"/>
        <w:spacing w:line="480" w:lineRule="auto"/>
        <w:rPr>
          <w:lang w:val="de-DE"/>
        </w:rPr>
      </w:pPr>
      <w:bookmarkStart w:id="145" w:name="_Toc121199238"/>
      <w:bookmarkStart w:id="146" w:name="_Toc121212710"/>
      <w:bookmarkStart w:id="147" w:name="_Toc121212973"/>
      <w:smartTag w:uri="urn:schemas-microsoft-com:office:smarttags" w:element="chsdate">
        <w:smartTagPr>
          <w:attr w:name="Year" w:val="1899"/>
          <w:attr w:name="Month" w:val="12"/>
          <w:attr w:name="Day" w:val="30"/>
          <w:attr w:name="IsLunarDate" w:val="False"/>
          <w:attr w:name="IsROCDate" w:val="False"/>
        </w:smartTagPr>
        <w:r>
          <w:rPr>
            <w:lang w:val="de-DE"/>
          </w:rPr>
          <w:t>8</w:t>
        </w:r>
        <w:r>
          <w:rPr>
            <w:rFonts w:hint="eastAsia"/>
            <w:lang w:val="de-DE"/>
          </w:rPr>
          <w:t>.</w:t>
        </w:r>
        <w:r>
          <w:rPr>
            <w:lang w:val="de-DE"/>
          </w:rPr>
          <w:t>3</w:t>
        </w:r>
        <w:r>
          <w:rPr>
            <w:rFonts w:hint="eastAsia"/>
            <w:lang w:val="de-DE"/>
          </w:rPr>
          <w:t>.</w:t>
        </w:r>
        <w:r>
          <w:rPr>
            <w:rFonts w:hint="eastAsia"/>
            <w:lang w:val="de-DE"/>
          </w:rPr>
          <w:t>一</w:t>
        </w:r>
      </w:smartTag>
      <w:r>
        <w:rPr>
          <w:rFonts w:hint="eastAsia"/>
          <w:lang w:val="de-DE"/>
        </w:rPr>
        <w:t>般給付訴訟與</w:t>
      </w:r>
      <w:r>
        <w:rPr>
          <w:lang w:val="de-DE"/>
        </w:rPr>
        <w:t>一般撤銷（形成）訴訟</w:t>
      </w:r>
      <w:bookmarkEnd w:id="145"/>
      <w:bookmarkEnd w:id="146"/>
      <w:bookmarkEnd w:id="147"/>
    </w:p>
    <w:p w:rsidR="007D6688" w:rsidRDefault="007D6688">
      <w:pPr>
        <w:pStyle w:val="22"/>
        <w:spacing w:line="480" w:lineRule="auto"/>
      </w:pPr>
      <w:r>
        <w:t>根據行政訴訟法第</w:t>
      </w:r>
      <w:r>
        <w:t>3</w:t>
      </w:r>
      <w:r>
        <w:t>條之規定，本法所稱之行政訴訟包括撤銷訴訟、確認訴訟與給付訴訟，採取明示主義的訴訟類型設計。但為貫徹有權利即有救濟之法理，本法應從寬解釋，亦即具體的訴訟種類並不以本法第</w:t>
      </w:r>
      <w:r>
        <w:t>4</w:t>
      </w:r>
      <w:r>
        <w:t>條至第</w:t>
      </w:r>
      <w:r>
        <w:t>11</w:t>
      </w:r>
      <w:r>
        <w:t>條所規定者為限，應包括第</w:t>
      </w:r>
      <w:r>
        <w:t>4</w:t>
      </w:r>
      <w:r>
        <w:t>條至第</w:t>
      </w:r>
      <w:r>
        <w:t>11</w:t>
      </w:r>
      <w:r>
        <w:t>條所規定情形以外之其他三大類型所能涵蓋之訴訟種類</w:t>
      </w:r>
      <w:r>
        <w:rPr>
          <w:rStyle w:val="ae"/>
        </w:rPr>
        <w:footnoteReference w:id="128"/>
      </w:r>
      <w:r>
        <w:t>。其中透過給付訴訟的提起，原告往往訴求被告強制為特定之作為或不作為。根據作為或不作為的內容，本法分別進一步規定了針對作成授益行政處分之課予義務訴訟（特殊的給付類型）與一般給付訴訟（金錢給付請求、行政處分以外的其他非財產上之給付以及公法契約之給付等）。確認訴訟的目的原則上是對於法律關係的存在與不存在，希望透過法院加以確定。其次還包括針對行政處分的有效性與合法性加以確認之訴訟（確認行政處分無效之訴以及確認已經消滅之行政處分為違法之訴）。至於本法所稱之撤銷訴訟其實是形成訴訟（</w:t>
      </w:r>
      <w:r>
        <w:t>Gestaltungsklage</w:t>
      </w:r>
      <w:r>
        <w:t>）的一種。形成訴訟的特徵在於原告希望透過訴訟爭取到法院的裁判，並藉由裁判的確定力（</w:t>
      </w:r>
      <w:r>
        <w:t>Rechtskraft</w:t>
      </w:r>
      <w:r>
        <w:t>）直接變動一個實體的法律狀態。它不同於給付訴訟的裁判，其內容往往還得要藉助後續的執行作用加以實現。但是相反地，形成的裁判基於其直接的權利變動特徵，本身即蘊含執行的功能於其中。而撤銷訴訟則是一種專門以行政處分之撤銷作為目的之特殊的形成訴訟。</w:t>
      </w:r>
    </w:p>
    <w:p w:rsidR="007D6688" w:rsidRDefault="007D6688">
      <w:pPr>
        <w:pStyle w:val="22"/>
        <w:spacing w:line="480" w:lineRule="auto"/>
      </w:pPr>
      <w:r>
        <w:t>根據行政處分的外部效力特徵，行政處分與僅具有內部規範性格之行為有別。但是兩者之間的區分並非僅以實際上是否發生外部效力為斷，而是必須確認該行政措施是否果真以發生外部效力作為目的（</w:t>
      </w:r>
      <w:r>
        <w:t>die Gerichtetheit auf Außenwirkung</w:t>
      </w:r>
      <w:r>
        <w:t>）。所以若一個行政措施目的在於行政的相對人身上形成、變更或者消滅其固有的權利時，該措施目的即在於發生對外法效性，因此它（在滿足其他要件後）應該被認定為一行政處分。而其所謂的固有權利可能是因該特別權利義務關係而形成（例如公務員的薪資請求權），也有可能與此無關（例如基本權）。如果因為該措施而對於其權利僅僅造成實際（</w:t>
      </w:r>
      <w:r>
        <w:t>faktisch</w:t>
      </w:r>
      <w:r>
        <w:t>）的影響，不論其權利影響是否嚴重，並無法被判定為行政處分</w:t>
      </w:r>
      <w:r>
        <w:rPr>
          <w:rStyle w:val="ae"/>
        </w:rPr>
        <w:footnoteReference w:id="129"/>
      </w:r>
      <w:r>
        <w:t>。對於公務員所為之記過或申誡之懲處即屬此例，而非行政處分。既非行政處分，提起撤銷訴訟即顯非適當之訴訟類型選擇。</w:t>
      </w:r>
    </w:p>
    <w:p w:rsidR="007D6688" w:rsidRDefault="007D6688">
      <w:pPr>
        <w:pStyle w:val="22"/>
        <w:spacing w:line="480" w:lineRule="auto"/>
      </w:pPr>
      <w:r>
        <w:t>根據行政訴訟法第</w:t>
      </w:r>
      <w:r>
        <w:t>8</w:t>
      </w:r>
      <w:r>
        <w:t>條第</w:t>
      </w:r>
      <w:r>
        <w:t>1</w:t>
      </w:r>
      <w:r>
        <w:t>項之規定，</w:t>
      </w:r>
      <w:r>
        <w:rPr>
          <w:rFonts w:eastAsia="細明體"/>
          <w:color w:val="000000"/>
          <w:kern w:val="0"/>
          <w:szCs w:val="22"/>
        </w:rPr>
        <w:t>人民與中央或地方機關間，因公法上原因發生財產上之給付或請求作成行政處分以外之其他非財產上之給付，得提起一般給付訴訟。</w:t>
      </w:r>
      <w:r>
        <w:t>對於公務員所為之記過或申誡之懲戒處分既非屬行政處分，因此有學者主張，凡是行政處分以外的其他公法上的行政行為，均得為一般給付之訴之訴訟對象。其為行政外部行為或內部行為則非所問。並舉職務調整之職務命令為例，公務員提起一般給付之訴，請求法院判令該行政機關廢棄該命令，將原告調回原工作崗位以回復原狀，在訴訟對象上並無不合</w:t>
      </w:r>
      <w:r>
        <w:rPr>
          <w:rStyle w:val="ae"/>
        </w:rPr>
        <w:footnoteReference w:id="130"/>
      </w:r>
      <w:r>
        <w:t>。準此，請求將一個記過或者申誡之懲處決定（非行政處分）或者若干陞遷決定加以廢棄，以一般給付訴訟加以實現似乎亦無不可。不過這種見解似乎忽略行政機關廢棄記過</w:t>
      </w:r>
      <w:r>
        <w:rPr>
          <w:rFonts w:hAnsi="新細明體"/>
        </w:rPr>
        <w:t>、</w:t>
      </w:r>
      <w:r>
        <w:t>申誡或陞遷決定處分的決定本身其實還是一個行政處分，所以這種請求的內容還是要求行政機關作成一個行政處分，是否合宜提起一般給付之訴，仍有疑問。甚且，一個給付的判決（不論一般給付訴訟或課予義務訴訟）往往難以滿足撤銷行政機關違法行政行為之責任。如果強制執行的制度又欠缺實效性，提起給付訴訟恐怕非正確的訴訟類型選擇</w:t>
      </w:r>
      <w:r>
        <w:rPr>
          <w:rStyle w:val="ae"/>
        </w:rPr>
        <w:footnoteReference w:id="131"/>
      </w:r>
      <w:r>
        <w:t>。</w:t>
      </w:r>
    </w:p>
    <w:p w:rsidR="007D6688" w:rsidRDefault="007D6688">
      <w:pPr>
        <w:pStyle w:val="22"/>
        <w:spacing w:line="480" w:lineRule="auto"/>
        <w:rPr>
          <w:rFonts w:hint="eastAsia"/>
        </w:rPr>
      </w:pPr>
      <w:r>
        <w:t>由於主管長官對於公務員所為之記過、申誡懲處決定或若干陞遷程序中的程序決定或最終決定非行政處分，因此無法藉由撤銷判決予以排除。論者於是思考，行政訴訟類型當中，除了撤銷訴訟這種形成之訴外，是否還有可能存在一種可以透過形成的判決除去此類行政行為的一般性的形成之訴。學說上將這種「非典型的撤銷訴訟（</w:t>
      </w:r>
      <w:r>
        <w:t>atypische Anfechtungsklage</w:t>
      </w:r>
      <w:r>
        <w:t>）</w:t>
      </w:r>
      <w:r>
        <w:rPr>
          <w:rStyle w:val="ae"/>
        </w:rPr>
        <w:footnoteReference w:id="132"/>
      </w:r>
      <w:r>
        <w:t>」稱之為「一般形成訴訟（</w:t>
      </w:r>
      <w:r>
        <w:t>allgemeine Gestaltungsklage</w:t>
      </w:r>
      <w:r>
        <w:t>）」。其主要針對的行政行為包括非屬行政處分之行政機關行為（</w:t>
      </w:r>
      <w:r>
        <w:t>Verwaltungsorgansakt</w:t>
      </w:r>
      <w:r>
        <w:t>）以及其他非以發生直接對外法效果作為目的，但卻涉及原告法律地位之行政行為。如果這些行為對他造成權利侵害，則可能透過形成判決直接由法院將之加以撤銷</w:t>
      </w:r>
      <w:r>
        <w:rPr>
          <w:rStyle w:val="ae"/>
        </w:rPr>
        <w:footnoteReference w:id="133"/>
      </w:r>
      <w:r>
        <w:t>。但由於我國行政訴訟法第</w:t>
      </w:r>
      <w:r>
        <w:t>3</w:t>
      </w:r>
      <w:r>
        <w:t>條規定，限定行政訴訟的型態為撤銷、確認與給付訴訟，故在我國法上，若承認這種一般性的形成訴訟，宜稱之為「一般撤銷訴訟（</w:t>
      </w:r>
      <w:r>
        <w:t>allgemeine Anfechtungsklage</w:t>
      </w:r>
      <w:r>
        <w:t>）</w:t>
      </w:r>
      <w:r>
        <w:rPr>
          <w:rStyle w:val="ae"/>
        </w:rPr>
        <w:footnoteReference w:id="134"/>
      </w:r>
      <w:r>
        <w:t>」。</w:t>
      </w:r>
    </w:p>
    <w:p w:rsidR="007D6688" w:rsidRDefault="007D6688">
      <w:pPr>
        <w:pStyle w:val="22"/>
        <w:spacing w:line="480" w:lineRule="auto"/>
        <w:rPr>
          <w:rFonts w:hint="eastAsia"/>
        </w:rPr>
      </w:pPr>
      <w:r>
        <w:rPr>
          <w:rFonts w:hint="eastAsia"/>
        </w:rPr>
        <w:t>另外可以想像的是，若是公務人員希望透過行政訴訟的提起，要求行政法院命行政機關不得陞遷任命特定之公務人員。此時訴訟類型應如何選擇？在德國，這是以所謂「預防的不作為訴訟（</w:t>
      </w:r>
      <w:r>
        <w:t xml:space="preserve">die </w:t>
      </w:r>
      <w:r>
        <w:rPr>
          <w:rFonts w:eastAsia="MS Mincho"/>
        </w:rPr>
        <w:t>vorbeugende Unterlassungsklage</w:t>
      </w:r>
      <w:r>
        <w:rPr>
          <w:rFonts w:hint="eastAsia"/>
        </w:rPr>
        <w:t>）」處理。這是一種一般給付訴訟的子類型。我國學者亦採類似見解</w:t>
      </w:r>
      <w:r>
        <w:rPr>
          <w:rStyle w:val="ae"/>
        </w:rPr>
        <w:footnoteReference w:id="135"/>
      </w:r>
      <w:r>
        <w:rPr>
          <w:rFonts w:hint="eastAsia"/>
        </w:rPr>
        <w:t>。值得比較的是，日本在今年的行政事件訴訟法修法中，特別獨立設計性質上類似給付訴訟的「要求不作為訴訟」。至於要求不作為訴訟僅限於因特定之處分或裁決將產生重大損害之虞始可提起，</w:t>
      </w:r>
      <w:r>
        <w:rPr>
          <w:rFonts w:hint="eastAsia"/>
          <w:b/>
        </w:rPr>
        <w:t>但為避免該損害之適當方法存在時不在此限</w:t>
      </w:r>
      <w:r>
        <w:rPr>
          <w:rFonts w:hint="eastAsia"/>
        </w:rPr>
        <w:t>。法院於判斷是否會產生重大損害之際，則應考慮損害恢復困難度、此外並應考量損害之性質程度及處分或裁決之內容或性質。同時要求不作為訴訟僅限於對於要求法院向行政機關命其不得為該特定處分或裁決有法律上利益者</w:t>
      </w:r>
      <w:r>
        <w:rPr>
          <w:rFonts w:hint="eastAsia"/>
        </w:rPr>
        <w:t xml:space="preserve"> </w:t>
      </w:r>
      <w:r>
        <w:rPr>
          <w:rFonts w:hint="eastAsia"/>
        </w:rPr>
        <w:t>始可為之。日本學者也認為這是一種預防性的訴訟類型</w:t>
      </w:r>
      <w:r>
        <w:rPr>
          <w:rStyle w:val="ae"/>
        </w:rPr>
        <w:footnoteReference w:id="136"/>
      </w:r>
      <w:r>
        <w:rPr>
          <w:rFonts w:hint="eastAsia"/>
        </w:rPr>
        <w:t>。</w:t>
      </w:r>
    </w:p>
    <w:p w:rsidR="007D6688" w:rsidRDefault="007D6688">
      <w:pPr>
        <w:pStyle w:val="22"/>
        <w:spacing w:line="480" w:lineRule="auto"/>
        <w:rPr>
          <w:rFonts w:hint="eastAsia"/>
        </w:rPr>
      </w:pPr>
      <w:r>
        <w:rPr>
          <w:rFonts w:hint="eastAsia"/>
        </w:rPr>
        <w:t>這種預防性的不作為訴訟主要是要保障對於原告主觀公權利的侵害威脅的確不至於發生。但是相對地也是司法對於行政第一次判斷權的比較強烈的介入。日本法上的設計是將預防性的權利保障與暫時性的權利保障在某種程度上整合（日本法上假處分的功能相當侷限）。但在德國法上則是比較明確區分這兩者。預防的不作為訴訟本身即是一個主訴訟程序，目的在於透過一個具有確定力的判決事前防禦一個可能作成的國家行為。暫時性的權利保護則是在一個主訴訟程序中，面對一個已經存在的國家行為，在還沒有法院的終局說明之前，防止其內容被具體實現。預防性的不作為訴訟雖可以想像，但是必須具有極為特殊的權利保護必要性，意即原告完全無法期待這個處分真的被作成，始得許可之。若是有另一個充分強烈與有效的（</w:t>
      </w:r>
      <w:r>
        <w:rPr>
          <w:rFonts w:eastAsia="MS Mincho"/>
        </w:rPr>
        <w:t>hinreichend intensiv und effektiv</w:t>
      </w:r>
      <w:r>
        <w:rPr>
          <w:rFonts w:hint="eastAsia"/>
        </w:rPr>
        <w:t>）暫時性權利保護措施可以提供保障時，這時預防性救濟的權利保護必要性恐怕就不必然存在</w:t>
      </w:r>
      <w:r>
        <w:rPr>
          <w:rStyle w:val="ae"/>
        </w:rPr>
        <w:footnoteReference w:id="137"/>
      </w:r>
      <w:r>
        <w:rPr>
          <w:rFonts w:hint="eastAsia"/>
        </w:rPr>
        <w:t>。原告可以等到行政決定真的作成後，在撤銷或課予義務訴訟中，再輔以暫時性權利保護的制度，保障其權利。</w:t>
      </w:r>
    </w:p>
    <w:p w:rsidR="007D6688" w:rsidRDefault="007D6688">
      <w:pPr>
        <w:pStyle w:val="1"/>
        <w:spacing w:before="180" w:after="180" w:line="480" w:lineRule="auto"/>
        <w:rPr>
          <w:lang w:val="de-DE"/>
        </w:rPr>
      </w:pPr>
      <w:bookmarkStart w:id="148" w:name="_Toc121199239"/>
      <w:bookmarkStart w:id="149" w:name="_Toc121212711"/>
      <w:bookmarkStart w:id="150" w:name="_Toc121212974"/>
      <w:r>
        <w:rPr>
          <w:lang w:val="de-DE"/>
        </w:rPr>
        <w:t>9</w:t>
      </w:r>
      <w:r>
        <w:rPr>
          <w:rFonts w:hint="eastAsia"/>
          <w:lang w:val="de-DE"/>
        </w:rPr>
        <w:t>.</w:t>
      </w:r>
      <w:r>
        <w:rPr>
          <w:lang w:val="de-DE"/>
        </w:rPr>
        <w:t>針對陞遷決定救濟之權利保護必要性</w:t>
      </w:r>
      <w:bookmarkEnd w:id="148"/>
      <w:bookmarkEnd w:id="149"/>
      <w:bookmarkEnd w:id="150"/>
    </w:p>
    <w:p w:rsidR="007D6688" w:rsidRDefault="007D6688">
      <w:pPr>
        <w:pStyle w:val="2"/>
        <w:spacing w:line="480" w:lineRule="auto"/>
        <w:rPr>
          <w:rFonts w:hint="eastAsia"/>
          <w:lang w:val="de-DE"/>
        </w:rPr>
      </w:pPr>
      <w:bookmarkStart w:id="151" w:name="_Toc121199240"/>
      <w:bookmarkStart w:id="152" w:name="_Toc121212712"/>
      <w:bookmarkStart w:id="153" w:name="_Toc121212975"/>
      <w:r>
        <w:rPr>
          <w:lang w:val="de-DE"/>
        </w:rPr>
        <w:t>9</w:t>
      </w:r>
      <w:r>
        <w:rPr>
          <w:rFonts w:hint="eastAsia"/>
          <w:lang w:val="de-DE"/>
        </w:rPr>
        <w:t>.</w:t>
      </w:r>
      <w:r>
        <w:rPr>
          <w:lang w:val="de-DE"/>
        </w:rPr>
        <w:t>1</w:t>
      </w:r>
      <w:r>
        <w:rPr>
          <w:rFonts w:hint="eastAsia"/>
          <w:lang w:val="de-DE"/>
        </w:rPr>
        <w:t>.</w:t>
      </w:r>
      <w:r>
        <w:rPr>
          <w:lang w:val="de-DE"/>
        </w:rPr>
        <w:t>權利保護之必要性與訴訟權能之區分</w:t>
      </w:r>
      <w:bookmarkEnd w:id="151"/>
      <w:bookmarkEnd w:id="152"/>
      <w:bookmarkEnd w:id="153"/>
    </w:p>
    <w:p w:rsidR="007D6688" w:rsidRDefault="007D6688">
      <w:pPr>
        <w:pStyle w:val="22"/>
        <w:spacing w:line="480" w:lineRule="auto"/>
      </w:pPr>
      <w:r>
        <w:rPr>
          <w:rFonts w:hint="eastAsia"/>
        </w:rPr>
        <w:t>在行政救濟中，原告之訴訟權能（</w:t>
      </w:r>
      <w:r>
        <w:rPr>
          <w:rFonts w:eastAsia="MS Mincho"/>
          <w:lang w:eastAsia="ja-JP"/>
        </w:rPr>
        <w:t>Klagsbefugnis</w:t>
      </w:r>
      <w:r>
        <w:rPr>
          <w:rFonts w:hint="eastAsia"/>
        </w:rPr>
        <w:t>）與權利保護之必要性（</w:t>
      </w:r>
      <w:r>
        <w:t>Rechtsschutzbedürfnis</w:t>
      </w:r>
      <w:r>
        <w:rPr>
          <w:rFonts w:hint="eastAsia"/>
        </w:rPr>
        <w:t>）兩者並非等同的概念。前者要回答的問題是原告在這個爭訟程序是否具有主張（</w:t>
      </w:r>
      <w:r>
        <w:rPr>
          <w:rFonts w:hint="eastAsia"/>
        </w:rPr>
        <w:t>geltend machen</w:t>
      </w:r>
      <w:r>
        <w:rPr>
          <w:rFonts w:hint="eastAsia"/>
        </w:rPr>
        <w:t>）自己權利遭受不法侵害的資格或者法律上地位。這是前文討論有關原告之主觀公法上權利的問題。至於權利保護必要性的要件則是從訴訟資源的經濟性考量，要回答的是，原告是否有必要利用此一程序請求救濟，或者法院或其他類似司法救濟機關是否有必要在此時提供作為其實現權利救濟的管道。換言之，假如原告有其他更有效的手段，則應該選取其他救濟手段，假如所提供的救濟資源對其權利救濟並無任何幫助時，則應以無權利保護必要性為由，駁回當事人之聲請。例如對他人之陞遷任命程序已經完成，自己要求法院撤銷他人之陞遷決定（不論有無再為自己提一個課予義務訴訟）即會發生有無權利保護必要性的爭議。</w:t>
      </w:r>
    </w:p>
    <w:p w:rsidR="007D6688" w:rsidRDefault="007D6688">
      <w:pPr>
        <w:pStyle w:val="2"/>
        <w:spacing w:line="480" w:lineRule="auto"/>
        <w:rPr>
          <w:lang w:val="de-DE"/>
        </w:rPr>
      </w:pPr>
      <w:bookmarkStart w:id="154" w:name="_Toc121199241"/>
      <w:bookmarkStart w:id="155" w:name="_Toc121212713"/>
      <w:bookmarkStart w:id="156" w:name="_Toc121212976"/>
      <w:r>
        <w:rPr>
          <w:lang w:val="de-DE"/>
        </w:rPr>
        <w:t>9</w:t>
      </w:r>
      <w:r>
        <w:rPr>
          <w:rFonts w:hint="eastAsia"/>
          <w:lang w:val="de-DE"/>
        </w:rPr>
        <w:t>.</w:t>
      </w:r>
      <w:r>
        <w:rPr>
          <w:lang w:val="de-DE"/>
        </w:rPr>
        <w:t>2</w:t>
      </w:r>
      <w:r>
        <w:rPr>
          <w:rFonts w:hint="eastAsia"/>
          <w:lang w:val="de-DE"/>
        </w:rPr>
        <w:t>.</w:t>
      </w:r>
      <w:r>
        <w:rPr>
          <w:lang w:val="de-DE"/>
        </w:rPr>
        <w:t>紛爭已終結與爭訟之實益</w:t>
      </w:r>
      <w:bookmarkEnd w:id="154"/>
      <w:bookmarkEnd w:id="155"/>
      <w:bookmarkEnd w:id="156"/>
    </w:p>
    <w:p w:rsidR="007D6688" w:rsidRDefault="007D6688">
      <w:pPr>
        <w:pStyle w:val="22"/>
        <w:spacing w:line="480" w:lineRule="auto"/>
        <w:rPr>
          <w:rFonts w:hint="eastAsia"/>
          <w:kern w:val="0"/>
        </w:rPr>
      </w:pPr>
      <w:r>
        <w:rPr>
          <w:kern w:val="0"/>
        </w:rPr>
        <w:t>對於已經辦理陞遷完畢的救濟案件</w:t>
      </w:r>
      <w:r>
        <w:rPr>
          <w:rFonts w:hint="eastAsia"/>
          <w:kern w:val="0"/>
        </w:rPr>
        <w:t>（已完成的陞遷任命又無實體法上的違法事由）</w:t>
      </w:r>
      <w:r>
        <w:rPr>
          <w:kern w:val="0"/>
        </w:rPr>
        <w:t>，實務上的處理方式，救濟機關（如保訓會）多以無權利保護必要性為由，駁回當事人之聲請。即使在德國也有相當多支持這種作法的聲音</w:t>
      </w:r>
      <w:r>
        <w:rPr>
          <w:rStyle w:val="ae"/>
          <w:kern w:val="0"/>
        </w:rPr>
        <w:footnoteReference w:id="138"/>
      </w:r>
      <w:r>
        <w:rPr>
          <w:kern w:val="0"/>
        </w:rPr>
        <w:t>。</w:t>
      </w:r>
      <w:r>
        <w:rPr>
          <w:rFonts w:hint="eastAsia"/>
          <w:kern w:val="0"/>
        </w:rPr>
        <w:t>他們多認為陞遷程序已臻「終結（</w:t>
      </w:r>
      <w:r>
        <w:rPr>
          <w:rFonts w:hint="eastAsia"/>
          <w:kern w:val="0"/>
        </w:rPr>
        <w:t>erledigt</w:t>
      </w:r>
      <w:r>
        <w:rPr>
          <w:rFonts w:hint="eastAsia"/>
          <w:kern w:val="0"/>
        </w:rPr>
        <w:t>）」。同時因為陞遷決定的不可撤廢性，將導致聲請法院在撤銷程序中的排除行為變成不應予以許可。其理由即在於缺乏必備的權利保護必要性。假如陞遷任命程序是在已經提起撤銷訴訟中才終結，在德國的作法是根據聯邦行政法院法第</w:t>
      </w:r>
      <w:r>
        <w:rPr>
          <w:rFonts w:hint="eastAsia"/>
          <w:kern w:val="0"/>
        </w:rPr>
        <w:t>113</w:t>
      </w:r>
      <w:r>
        <w:rPr>
          <w:rFonts w:hint="eastAsia"/>
          <w:kern w:val="0"/>
        </w:rPr>
        <w:t>條第</w:t>
      </w:r>
      <w:r>
        <w:rPr>
          <w:rFonts w:hint="eastAsia"/>
          <w:kern w:val="0"/>
        </w:rPr>
        <w:t>1</w:t>
      </w:r>
      <w:r>
        <w:rPr>
          <w:rFonts w:hint="eastAsia"/>
          <w:kern w:val="0"/>
        </w:rPr>
        <w:t>項，應該要將撤銷訴訟轉換成「續行確認（行政處分違法）訴訟（</w:t>
      </w:r>
      <w:r>
        <w:rPr>
          <w:rFonts w:eastAsia="MS Mincho" w:hint="eastAsia"/>
          <w:kern w:val="0"/>
        </w:rPr>
        <w:t>Fortsetzungsfeststellungsklage</w:t>
      </w:r>
      <w:r>
        <w:rPr>
          <w:rFonts w:hint="eastAsia"/>
          <w:kern w:val="0"/>
        </w:rPr>
        <w:t>）」</w:t>
      </w:r>
      <w:r>
        <w:rPr>
          <w:rStyle w:val="ae"/>
          <w:rFonts w:hAnsi="Arial"/>
          <w:kern w:val="0"/>
        </w:rPr>
        <w:footnoteReference w:id="139"/>
      </w:r>
      <w:r>
        <w:rPr>
          <w:rFonts w:hint="eastAsia"/>
          <w:kern w:val="0"/>
        </w:rPr>
        <w:t>。而在台灣可能必須為訴之變更成行政訴訟法第</w:t>
      </w:r>
      <w:r>
        <w:rPr>
          <w:rFonts w:hint="eastAsia"/>
          <w:kern w:val="0"/>
        </w:rPr>
        <w:t>6</w:t>
      </w:r>
      <w:r>
        <w:rPr>
          <w:rFonts w:hint="eastAsia"/>
          <w:kern w:val="0"/>
        </w:rPr>
        <w:t>條之確認處分違法之訴（但須注意特殊訴之利益的要求，亦即變更提起卻認為法訴訟的目的何在）。至於這個陞遷任命的決定發生不可撤廢的效果，則可能受到</w:t>
      </w:r>
      <w:r>
        <w:rPr>
          <w:kern w:val="0"/>
        </w:rPr>
        <w:t>職務安定原則</w:t>
      </w:r>
      <w:r>
        <w:rPr>
          <w:rFonts w:hAnsi="Arial"/>
          <w:kern w:val="0"/>
        </w:rPr>
        <w:t>（</w:t>
      </w:r>
      <w:r>
        <w:rPr>
          <w:bCs/>
          <w:kern w:val="0"/>
        </w:rPr>
        <w:t>Ämterstabilität</w:t>
      </w:r>
      <w:r>
        <w:rPr>
          <w:rFonts w:hAnsi="Arial"/>
          <w:kern w:val="0"/>
        </w:rPr>
        <w:t>）</w:t>
      </w:r>
      <w:r>
        <w:rPr>
          <w:rStyle w:val="ae"/>
          <w:kern w:val="0"/>
        </w:rPr>
        <w:footnoteReference w:id="140"/>
      </w:r>
      <w:r>
        <w:rPr>
          <w:rFonts w:hAnsi="Arial" w:hint="eastAsia"/>
          <w:kern w:val="0"/>
        </w:rPr>
        <w:t>的重大影響。</w:t>
      </w:r>
    </w:p>
    <w:p w:rsidR="007D6688" w:rsidRDefault="007D6688">
      <w:pPr>
        <w:pStyle w:val="22"/>
        <w:spacing w:line="480" w:lineRule="auto"/>
        <w:rPr>
          <w:kern w:val="0"/>
        </w:rPr>
      </w:pPr>
      <w:r>
        <w:rPr>
          <w:kern w:val="0"/>
        </w:rPr>
        <w:t>職務安定原則</w:t>
      </w:r>
      <w:r>
        <w:rPr>
          <w:rFonts w:hAnsi="Arial"/>
          <w:kern w:val="0"/>
        </w:rPr>
        <w:t>乃是（德國）公務員法上的基本原則。它通常在針對之前的競爭者所提出的競爭訴訟（</w:t>
      </w:r>
      <w:r>
        <w:rPr>
          <w:kern w:val="0"/>
        </w:rPr>
        <w:t>Konkurrentenklagen</w:t>
      </w:r>
      <w:r>
        <w:rPr>
          <w:rFonts w:hAnsi="Arial"/>
          <w:kern w:val="0"/>
        </w:rPr>
        <w:t>）中，例如在公務員陞遷（</w:t>
      </w:r>
      <w:r>
        <w:rPr>
          <w:kern w:val="0"/>
        </w:rPr>
        <w:t>Beförderung</w:t>
      </w:r>
      <w:r>
        <w:rPr>
          <w:rFonts w:hAnsi="Arial"/>
          <w:kern w:val="0"/>
        </w:rPr>
        <w:t>）或者任命（</w:t>
      </w:r>
      <w:r>
        <w:rPr>
          <w:kern w:val="0"/>
        </w:rPr>
        <w:t>Ernennung</w:t>
      </w:r>
      <w:r>
        <w:rPr>
          <w:rFonts w:hAnsi="Arial"/>
          <w:kern w:val="0"/>
        </w:rPr>
        <w:t>）的爭議中，發生作用。根據職務安定原則，並不會因為競爭關係下的爭訟者提起的法律救濟而事後撤銷已經完成的公務員任命。除因為公務員法上具體指陳的原因而可以確認公務員勤務關係無效或者撤銷任命者外，先前已經完成的任命及具有存續效果</w:t>
      </w:r>
      <w:r>
        <w:rPr>
          <w:rStyle w:val="ae"/>
          <w:rFonts w:hAnsi="Arial"/>
          <w:kern w:val="0"/>
        </w:rPr>
        <w:footnoteReference w:id="141"/>
      </w:r>
      <w:r>
        <w:rPr>
          <w:rFonts w:hAnsi="Arial"/>
          <w:kern w:val="0"/>
        </w:rPr>
        <w:t>。</w:t>
      </w:r>
    </w:p>
    <w:p w:rsidR="007D6688" w:rsidRDefault="007D6688">
      <w:pPr>
        <w:pStyle w:val="22"/>
        <w:spacing w:line="480" w:lineRule="auto"/>
        <w:rPr>
          <w:rFonts w:hint="eastAsia"/>
          <w:kern w:val="0"/>
        </w:rPr>
      </w:pPr>
      <w:r>
        <w:rPr>
          <w:rFonts w:hAnsi="Arial"/>
          <w:kern w:val="0"/>
        </w:rPr>
        <w:t>對於撤銷公務員任命的可能性所作的這種限制，主要是源自德國基本法第</w:t>
      </w:r>
      <w:r>
        <w:rPr>
          <w:kern w:val="0"/>
        </w:rPr>
        <w:t>33</w:t>
      </w:r>
      <w:r>
        <w:rPr>
          <w:rFonts w:hAnsi="Arial"/>
          <w:kern w:val="0"/>
        </w:rPr>
        <w:t>條第</w:t>
      </w:r>
      <w:r>
        <w:rPr>
          <w:kern w:val="0"/>
        </w:rPr>
        <w:t>5</w:t>
      </w:r>
      <w:r>
        <w:rPr>
          <w:rFonts w:hAnsi="Arial"/>
          <w:kern w:val="0"/>
        </w:rPr>
        <w:t>項。該法規定「有關公務員的法律必須顧及公務員制度的傳統基本原則加以制訂」。一般也將職務安定原則理解成為公務員制度的傳統基本原則之一。另外一些承認職務安定原則的原因則是基於</w:t>
      </w:r>
      <w:r>
        <w:rPr>
          <w:rFonts w:hAnsi="Arial" w:hint="eastAsia"/>
          <w:kern w:val="0"/>
        </w:rPr>
        <w:t>憲法上確保行政功能運作穩定的要求或者自法治國原則導出的</w:t>
      </w:r>
      <w:r>
        <w:rPr>
          <w:rFonts w:hAnsi="Arial"/>
          <w:kern w:val="0"/>
        </w:rPr>
        <w:t>法律安定性原則（</w:t>
      </w:r>
      <w:r>
        <w:rPr>
          <w:kern w:val="0"/>
        </w:rPr>
        <w:t>Grundsatz der Rechtssicherheit</w:t>
      </w:r>
      <w:r>
        <w:rPr>
          <w:rFonts w:hAnsi="Arial"/>
          <w:kern w:val="0"/>
        </w:rPr>
        <w:t>）、公眾對於公務員特質的信賴（</w:t>
      </w:r>
      <w:r>
        <w:rPr>
          <w:kern w:val="0"/>
        </w:rPr>
        <w:t>Vertrauen der Öffentlichkeit auf die Beamteneigenschaft</w:t>
      </w:r>
      <w:r>
        <w:rPr>
          <w:rFonts w:hAnsi="Arial"/>
          <w:kern w:val="0"/>
        </w:rPr>
        <w:t>）以及受任命公務員值得保障的信賴。假如公務員的任命存在有撤銷的危險時，受任命公務員自己的個人利益將與先前未受任命競爭者的權利保護利益處於無法解決的衝突。</w:t>
      </w:r>
      <w:r>
        <w:rPr>
          <w:rFonts w:hAnsi="Arial" w:hint="eastAsia"/>
          <w:kern w:val="0"/>
        </w:rPr>
        <w:t>由結果而論，將對於公務人員任命之撤銷原因嚴格加以限縮，最終確保的除已任命公務員之利益外，更重要的則是行政的功能運作（</w:t>
      </w:r>
      <w:r>
        <w:rPr>
          <w:rFonts w:eastAsia="MS Mincho" w:hAnsi="Arial"/>
          <w:kern w:val="0"/>
        </w:rPr>
        <w:t>Funktio</w:t>
      </w:r>
      <w:r>
        <w:rPr>
          <w:rFonts w:eastAsia="MS Mincho"/>
          <w:kern w:val="0"/>
        </w:rPr>
        <w:t>nsfähig</w:t>
      </w:r>
      <w:r>
        <w:rPr>
          <w:rFonts w:eastAsia="MS Mincho" w:hAnsi="Arial"/>
          <w:kern w:val="0"/>
        </w:rPr>
        <w:t>keit der Verwaltung</w:t>
      </w:r>
      <w:r>
        <w:rPr>
          <w:rFonts w:hAnsi="Arial" w:hint="eastAsia"/>
          <w:kern w:val="0"/>
        </w:rPr>
        <w:t>）</w:t>
      </w:r>
      <w:r>
        <w:rPr>
          <w:rStyle w:val="ae"/>
          <w:rFonts w:hAnsi="Arial"/>
          <w:kern w:val="0"/>
        </w:rPr>
        <w:footnoteReference w:id="142"/>
      </w:r>
      <w:r>
        <w:rPr>
          <w:rFonts w:hAnsi="Arial" w:hint="eastAsia"/>
          <w:kern w:val="0"/>
        </w:rPr>
        <w:t>。以避免行政機關陷入已陞遷任命的公務人員如何「讓出」職缺給予原先未獲陞遷公務人員的難解窘境</w:t>
      </w:r>
      <w:r>
        <w:rPr>
          <w:rStyle w:val="ae"/>
          <w:rFonts w:hAnsi="Arial"/>
          <w:kern w:val="0"/>
        </w:rPr>
        <w:footnoteReference w:id="143"/>
      </w:r>
      <w:r>
        <w:rPr>
          <w:rFonts w:hAnsi="Arial" w:hint="eastAsia"/>
          <w:kern w:val="0"/>
        </w:rPr>
        <w:t>。</w:t>
      </w:r>
    </w:p>
    <w:p w:rsidR="007D6688" w:rsidRDefault="007D6688">
      <w:pPr>
        <w:pStyle w:val="22"/>
        <w:spacing w:line="480" w:lineRule="auto"/>
        <w:rPr>
          <w:kern w:val="0"/>
        </w:rPr>
      </w:pPr>
      <w:r>
        <w:rPr>
          <w:rFonts w:hAnsi="Arial"/>
          <w:kern w:val="0"/>
        </w:rPr>
        <w:t>在德國行政訴訟的裁判實務中，基於職務安定原則甚至可以導出，即使先前的任命行為是違法，例如先前的任命是因為公務員與其官署首長之間具有良好的（政治）關係（即所謂的「職務裙帶關係（</w:t>
      </w:r>
      <w:r>
        <w:rPr>
          <w:kern w:val="0"/>
        </w:rPr>
        <w:t>sog. Ämterpatronage</w:t>
      </w:r>
      <w:r>
        <w:rPr>
          <w:rFonts w:hAnsi="Arial"/>
          <w:kern w:val="0"/>
        </w:rPr>
        <w:t>）」），也不會因為其他未獲任命者所提起之競爭訴訟而遭撤銷的命運。</w:t>
      </w:r>
    </w:p>
    <w:p w:rsidR="007D6688" w:rsidRDefault="007D6688">
      <w:pPr>
        <w:pStyle w:val="22"/>
        <w:spacing w:line="480" w:lineRule="auto"/>
        <w:rPr>
          <w:kern w:val="0"/>
        </w:rPr>
      </w:pPr>
      <w:r>
        <w:rPr>
          <w:rFonts w:hAnsi="Arial"/>
          <w:kern w:val="0"/>
        </w:rPr>
        <w:t>不過也有批判的意見認為，針對此類公務員的任命不應有所謂職務安定原則的保護，而仍有提起撤銷訴訟的可能性。因為此類的行政處分是所謂典型的附第三人效力之行政處分（</w:t>
      </w:r>
      <w:r>
        <w:rPr>
          <w:kern w:val="0"/>
        </w:rPr>
        <w:t>Verwaltungsakt mit Doppelwirkung</w:t>
      </w:r>
      <w:r>
        <w:rPr>
          <w:rFonts w:hAnsi="Arial"/>
          <w:kern w:val="0"/>
        </w:rPr>
        <w:t>），所以可能造成競爭第三人的負擔而由其請求加以撤銷。未獲任命的申請者可能因為行政機關對他人之任命欠缺撤銷可能性而造成自己無可排除的障礙。如果有這種狀況發生，則可能另外對基本法第</w:t>
      </w:r>
      <w:r>
        <w:rPr>
          <w:kern w:val="0"/>
        </w:rPr>
        <w:t>19</w:t>
      </w:r>
      <w:r>
        <w:rPr>
          <w:rFonts w:hAnsi="Arial"/>
          <w:kern w:val="0"/>
        </w:rPr>
        <w:t>條第</w:t>
      </w:r>
      <w:r>
        <w:rPr>
          <w:kern w:val="0"/>
        </w:rPr>
        <w:t>4</w:t>
      </w:r>
      <w:r>
        <w:rPr>
          <w:rFonts w:hAnsi="Arial"/>
          <w:kern w:val="0"/>
        </w:rPr>
        <w:t>項所保護的權利救濟保障（</w:t>
      </w:r>
      <w:r>
        <w:rPr>
          <w:kern w:val="0"/>
        </w:rPr>
        <w:t>Rechtsschutzgarantie</w:t>
      </w:r>
      <w:r>
        <w:rPr>
          <w:kern w:val="0"/>
        </w:rPr>
        <w:t>）造成侵害。根據基本法第</w:t>
      </w:r>
      <w:r>
        <w:rPr>
          <w:kern w:val="0"/>
        </w:rPr>
        <w:t>33</w:t>
      </w:r>
      <w:r>
        <w:rPr>
          <w:kern w:val="0"/>
        </w:rPr>
        <w:t>條第</w:t>
      </w:r>
      <w:r>
        <w:rPr>
          <w:kern w:val="0"/>
        </w:rPr>
        <w:t>2</w:t>
      </w:r>
      <w:r>
        <w:rPr>
          <w:kern w:val="0"/>
        </w:rPr>
        <w:t>項之規定，任何德國人根據他的資格、能力以及專業，有從事公職的同等機會。職務安定原則因此有可能削弱了未獲任命之申請者，要求合法選才的（主觀）權利。</w:t>
      </w:r>
    </w:p>
    <w:p w:rsidR="007D6688" w:rsidRDefault="007D6688">
      <w:pPr>
        <w:pStyle w:val="22"/>
        <w:spacing w:line="480" w:lineRule="auto"/>
        <w:rPr>
          <w:rFonts w:hint="eastAsia"/>
          <w:kern w:val="0"/>
        </w:rPr>
      </w:pPr>
      <w:r>
        <w:rPr>
          <w:kern w:val="0"/>
        </w:rPr>
        <w:t>這個爭議性的問題，最近因德國聯邦行政法院</w:t>
      </w:r>
      <w:smartTag w:uri="urn:schemas-microsoft-com:office:smarttags" w:element="chsdate">
        <w:smartTagPr>
          <w:attr w:name="Year" w:val="2001"/>
          <w:attr w:name="Month" w:val="9"/>
          <w:attr w:name="Day" w:val="13"/>
          <w:attr w:name="IsLunarDate" w:val="False"/>
          <w:attr w:name="IsROCDate" w:val="False"/>
        </w:smartTagPr>
        <w:r>
          <w:rPr>
            <w:kern w:val="0"/>
          </w:rPr>
          <w:t>2001</w:t>
        </w:r>
        <w:r>
          <w:rPr>
            <w:kern w:val="0"/>
          </w:rPr>
          <w:t>年</w:t>
        </w:r>
        <w:r>
          <w:rPr>
            <w:kern w:val="0"/>
          </w:rPr>
          <w:t>9</w:t>
        </w:r>
        <w:r>
          <w:rPr>
            <w:kern w:val="0"/>
          </w:rPr>
          <w:t>月</w:t>
        </w:r>
        <w:r>
          <w:rPr>
            <w:kern w:val="0"/>
          </w:rPr>
          <w:t>13</w:t>
        </w:r>
        <w:r>
          <w:rPr>
            <w:kern w:val="0"/>
          </w:rPr>
          <w:t>日</w:t>
        </w:r>
      </w:smartTag>
      <w:r>
        <w:rPr>
          <w:kern w:val="0"/>
        </w:rPr>
        <w:t>判決</w:t>
      </w:r>
      <w:r>
        <w:rPr>
          <w:rStyle w:val="ae"/>
          <w:kern w:val="0"/>
        </w:rPr>
        <w:footnoteReference w:id="144"/>
      </w:r>
      <w:r>
        <w:rPr>
          <w:kern w:val="0"/>
        </w:rPr>
        <w:t>的旁論（</w:t>
      </w:r>
      <w:r>
        <w:rPr>
          <w:kern w:val="0"/>
        </w:rPr>
        <w:t>obiter dictum</w:t>
      </w:r>
      <w:r>
        <w:rPr>
          <w:kern w:val="0"/>
        </w:rPr>
        <w:t>）中，針對職務安定原則所提出的質疑，又重新獲得重視。聯邦行政法院的判決如同對於過去理論的重擊（</w:t>
      </w:r>
      <w:r>
        <w:rPr>
          <w:kern w:val="0"/>
        </w:rPr>
        <w:t>Paukenschlag</w:t>
      </w:r>
      <w:r>
        <w:rPr>
          <w:kern w:val="0"/>
        </w:rPr>
        <w:t>），同時也廣受好評。它針對公務員法上的競爭訴訟主張，如果在競爭者之間的職位分配違反因為請求分配遭拒絕而尋求救濟時所作成的暫時命令（</w:t>
      </w:r>
      <w:r>
        <w:rPr>
          <w:kern w:val="0"/>
        </w:rPr>
        <w:t>die einstweilige Anordnung</w:t>
      </w:r>
      <w:r>
        <w:rPr>
          <w:kern w:val="0"/>
        </w:rPr>
        <w:t>），那麼在暫時性權利救濟程序中原本只是暫時獲得保護的公務員，便有能在請求重新決定的主要訴訟程序中進一步實現其「應徵程序請求權（</w:t>
      </w:r>
      <w:r>
        <w:rPr>
          <w:kern w:val="0"/>
        </w:rPr>
        <w:t>Bewerbungsverfahrensanspruch</w:t>
      </w:r>
      <w:r>
        <w:rPr>
          <w:kern w:val="0"/>
        </w:rPr>
        <w:t>）」的可能。同時這也不需要以已經被任命公務員之任命處分遭撤銷作為前提，毋寧是由機關首長給一個新的職位</w:t>
      </w:r>
      <w:r>
        <w:rPr>
          <w:rStyle w:val="ae"/>
          <w:kern w:val="0"/>
        </w:rPr>
        <w:footnoteReference w:id="145"/>
      </w:r>
      <w:r>
        <w:rPr>
          <w:kern w:val="0"/>
        </w:rPr>
        <w:t>。聯邦行政法院的看法是認為這在預算財政法上是有可能實現的。不過這項觀點至今仍未被充分討論。</w:t>
      </w:r>
    </w:p>
    <w:p w:rsidR="007D6688" w:rsidRDefault="007D6688">
      <w:pPr>
        <w:pStyle w:val="22"/>
        <w:spacing w:line="480" w:lineRule="auto"/>
        <w:rPr>
          <w:rFonts w:hint="eastAsia"/>
          <w:kern w:val="0"/>
        </w:rPr>
      </w:pPr>
      <w:r>
        <w:rPr>
          <w:rFonts w:hint="eastAsia"/>
          <w:kern w:val="0"/>
        </w:rPr>
        <w:t>至於我國實務上，在前揭保訓會「</w:t>
      </w:r>
      <w:r>
        <w:rPr>
          <w:rFonts w:hint="eastAsia"/>
          <w:b/>
          <w:kern w:val="0"/>
        </w:rPr>
        <w:t>劉慶蜀案</w:t>
      </w:r>
      <w:r>
        <w:rPr>
          <w:rFonts w:hint="eastAsia"/>
          <w:kern w:val="0"/>
        </w:rPr>
        <w:t>」中，台北高等行政法院在撤銷保訓會之復審決定時，似乎否定（或至少弱化）了職務安定原則在我國的適用。其結果與德國實務見解的轉變，竟意外地有若干吻合之處。不過這種作法是否已經可以成為我國法上的裁判先例，又機關首長如何重新騰出職缺安置，均仍屬相當曖昧的問題。對於職務安定原則的適度尊重（亦即與權利保障之間理性調和），應有其必要性與正當性。</w:t>
      </w:r>
    </w:p>
    <w:p w:rsidR="007D6688" w:rsidRDefault="007D6688">
      <w:pPr>
        <w:pStyle w:val="22"/>
        <w:spacing w:line="480" w:lineRule="auto"/>
        <w:rPr>
          <w:rFonts w:hint="eastAsia"/>
          <w:kern w:val="0"/>
        </w:rPr>
      </w:pPr>
      <w:r>
        <w:rPr>
          <w:rFonts w:hint="eastAsia"/>
          <w:kern w:val="0"/>
        </w:rPr>
        <w:t>應該進一步說明的是，保訓會與行政法院在類似問題的救濟處理上立場仍有統一的必要。因為前者以無權利保護之必要性駁回復審請求，係屬爭執合法要件的審查結果。（台北高等）行政法院撤銷復審決定，似乎認為即使已經完成他人之陞遷任命，亦應該實質審查後，撤銷拒絕原告陞遷請求之處分（經復審決定包裝過的原處分），顯屬經過有無理由的判斷</w:t>
      </w:r>
      <w:r>
        <w:rPr>
          <w:rStyle w:val="ae"/>
          <w:kern w:val="0"/>
        </w:rPr>
        <w:footnoteReference w:id="146"/>
      </w:r>
      <w:r>
        <w:rPr>
          <w:rFonts w:hint="eastAsia"/>
          <w:kern w:val="0"/>
        </w:rPr>
        <w:t>。德國學說對於已辦理陞遷完畢之救濟案件，是否屬於已經終結（</w:t>
      </w:r>
      <w:r>
        <w:rPr>
          <w:rFonts w:hint="eastAsia"/>
          <w:kern w:val="0"/>
        </w:rPr>
        <w:t>erledigt</w:t>
      </w:r>
      <w:r>
        <w:rPr>
          <w:rFonts w:hint="eastAsia"/>
          <w:kern w:val="0"/>
        </w:rPr>
        <w:t>），亦有爭議</w:t>
      </w:r>
      <w:r>
        <w:rPr>
          <w:rStyle w:val="ae"/>
          <w:kern w:val="0"/>
        </w:rPr>
        <w:footnoteReference w:id="147"/>
      </w:r>
      <w:r>
        <w:rPr>
          <w:rFonts w:hint="eastAsia"/>
          <w:kern w:val="0"/>
        </w:rPr>
        <w:t>。德國實務則認為，倘若陞遷的決定仍有撤銷之可能性時，係爭案件仍屬尚未終結</w:t>
      </w:r>
      <w:r>
        <w:rPr>
          <w:rStyle w:val="ae"/>
          <w:kern w:val="0"/>
        </w:rPr>
        <w:footnoteReference w:id="148"/>
      </w:r>
      <w:r>
        <w:rPr>
          <w:rFonts w:hint="eastAsia"/>
          <w:kern w:val="0"/>
        </w:rPr>
        <w:t>。同時若是未獲陞遷之公務人員仍有實現其害賠償請求權之機會時，應該也還不能稱係爭案件已經終結</w:t>
      </w:r>
      <w:r>
        <w:rPr>
          <w:rStyle w:val="ae"/>
          <w:kern w:val="0"/>
        </w:rPr>
        <w:footnoteReference w:id="149"/>
      </w:r>
      <w:r>
        <w:rPr>
          <w:rFonts w:hint="eastAsia"/>
          <w:kern w:val="0"/>
        </w:rPr>
        <w:t>。本文認為，辦理陞遷完畢並不必然構成無權利保護必要。原來提起的撤銷訴訟也未必一定終結。必須進一步個案判斷。倘仍有撤銷可能（或持續撤銷訴訟審理之必要）時，程序未必終結，原告亦仍有權利保護之必要</w:t>
      </w:r>
      <w:r>
        <w:rPr>
          <w:rStyle w:val="ae"/>
          <w:kern w:val="0"/>
        </w:rPr>
        <w:footnoteReference w:id="150"/>
      </w:r>
      <w:r>
        <w:rPr>
          <w:rFonts w:hint="eastAsia"/>
          <w:kern w:val="0"/>
        </w:rPr>
        <w:t>。</w:t>
      </w:r>
    </w:p>
    <w:p w:rsidR="007D6688" w:rsidRDefault="007D6688">
      <w:pPr>
        <w:pStyle w:val="1"/>
        <w:spacing w:before="180" w:after="180" w:line="480" w:lineRule="auto"/>
        <w:rPr>
          <w:lang w:val="de-DE"/>
        </w:rPr>
      </w:pPr>
      <w:bookmarkStart w:id="157" w:name="_Toc121199242"/>
      <w:bookmarkStart w:id="158" w:name="_Toc121212714"/>
      <w:bookmarkStart w:id="159" w:name="_Toc121212977"/>
      <w:r>
        <w:rPr>
          <w:lang w:val="de-DE"/>
        </w:rPr>
        <w:t>10</w:t>
      </w:r>
      <w:r>
        <w:rPr>
          <w:rFonts w:hint="eastAsia"/>
          <w:lang w:val="de-DE"/>
        </w:rPr>
        <w:t>.</w:t>
      </w:r>
      <w:r>
        <w:rPr>
          <w:lang w:val="de-DE"/>
        </w:rPr>
        <w:t>陞遷救濟時之暫時權利保護</w:t>
      </w:r>
      <w:bookmarkEnd w:id="157"/>
      <w:bookmarkEnd w:id="158"/>
      <w:bookmarkEnd w:id="159"/>
    </w:p>
    <w:p w:rsidR="007D6688" w:rsidRDefault="007D6688">
      <w:pPr>
        <w:pStyle w:val="2"/>
        <w:spacing w:line="480" w:lineRule="auto"/>
        <w:rPr>
          <w:rFonts w:hint="eastAsia"/>
          <w:lang w:val="de-DE"/>
        </w:rPr>
      </w:pPr>
      <w:bookmarkStart w:id="160" w:name="_Toc121199243"/>
      <w:bookmarkStart w:id="161" w:name="_Toc121212715"/>
      <w:bookmarkStart w:id="162" w:name="_Toc121212978"/>
      <w:r>
        <w:rPr>
          <w:lang w:val="de-DE"/>
        </w:rPr>
        <w:t>10</w:t>
      </w:r>
      <w:r>
        <w:rPr>
          <w:rFonts w:hint="eastAsia"/>
          <w:lang w:val="de-DE"/>
        </w:rPr>
        <w:t>.</w:t>
      </w:r>
      <w:r>
        <w:rPr>
          <w:lang w:val="de-DE"/>
        </w:rPr>
        <w:t>1</w:t>
      </w:r>
      <w:r>
        <w:rPr>
          <w:rFonts w:hint="eastAsia"/>
          <w:lang w:val="de-DE"/>
        </w:rPr>
        <w:t>.</w:t>
      </w:r>
      <w:r>
        <w:rPr>
          <w:lang w:val="de-DE"/>
        </w:rPr>
        <w:t>復審階段及行政訴訟中之暫時性權利保護</w:t>
      </w:r>
      <w:bookmarkEnd w:id="160"/>
      <w:bookmarkEnd w:id="161"/>
      <w:bookmarkEnd w:id="162"/>
    </w:p>
    <w:p w:rsidR="007D6688" w:rsidRDefault="007D6688">
      <w:pPr>
        <w:snapToGrid w:val="0"/>
        <w:spacing w:beforeLines="50" w:before="180" w:afterLines="50" w:after="180" w:line="480" w:lineRule="auto"/>
        <w:ind w:firstLineChars="225" w:firstLine="540"/>
        <w:jc w:val="both"/>
        <w:rPr>
          <w:rFonts w:hAnsi="Arial" w:hint="eastAsia"/>
          <w:kern w:val="0"/>
          <w:lang w:val="de-DE"/>
        </w:rPr>
      </w:pPr>
      <w:r>
        <w:rPr>
          <w:rFonts w:hAnsi="Arial" w:hint="eastAsia"/>
          <w:kern w:val="0"/>
        </w:rPr>
        <w:t>根據本研究的初步瞭解，陞遷救濟具有相當的特殊性。亦即受限於職缺的有限性以及陞遷任命的連鎖效應（</w:t>
      </w:r>
      <w:r>
        <w:rPr>
          <w:kern w:val="0"/>
        </w:rPr>
        <w:t>„</w:t>
      </w:r>
      <w:r>
        <w:rPr>
          <w:rFonts w:eastAsia="MS Mincho" w:hAnsi="Arial" w:hint="eastAsia"/>
          <w:kern w:val="0"/>
        </w:rPr>
        <w:t>Be</w:t>
      </w:r>
      <w:r>
        <w:rPr>
          <w:rFonts w:eastAsia="MS Mincho" w:hAnsi="Arial"/>
          <w:kern w:val="0"/>
          <w:lang w:val="de-DE"/>
        </w:rPr>
        <w:t>f</w:t>
      </w:r>
      <w:r>
        <w:rPr>
          <w:rFonts w:eastAsia="MS Mincho" w:hAnsi="Arial"/>
          <w:kern w:val="0"/>
          <w:lang w:val="de-DE"/>
        </w:rPr>
        <w:t>ö</w:t>
      </w:r>
      <w:r>
        <w:rPr>
          <w:rFonts w:eastAsia="MS Mincho" w:hAnsi="Arial"/>
          <w:kern w:val="0"/>
          <w:lang w:val="de-DE"/>
        </w:rPr>
        <w:t>rderungskette</w:t>
      </w:r>
      <w:r>
        <w:rPr>
          <w:rFonts w:eastAsia="MS Mincho"/>
          <w:kern w:val="0"/>
          <w:lang w:val="de-DE"/>
        </w:rPr>
        <w:t>“</w:t>
      </w:r>
      <w:r>
        <w:rPr>
          <w:rFonts w:hAnsi="Arial" w:hint="eastAsia"/>
          <w:kern w:val="0"/>
        </w:rPr>
        <w:t>），以及公務員法體系的嚴格形式要求（</w:t>
      </w:r>
      <w:r>
        <w:rPr>
          <w:rFonts w:eastAsia="MS Mincho" w:hAnsi="Arial" w:hint="eastAsia"/>
          <w:kern w:val="0"/>
        </w:rPr>
        <w:t>Formstrenge</w:t>
      </w:r>
      <w:r>
        <w:rPr>
          <w:rFonts w:hAnsi="Arial" w:hint="eastAsia"/>
          <w:kern w:val="0"/>
        </w:rPr>
        <w:t>）</w:t>
      </w:r>
      <w:r>
        <w:rPr>
          <w:rFonts w:hAnsi="Arial" w:hint="eastAsia"/>
          <w:kern w:val="0"/>
          <w:lang w:val="de-DE"/>
        </w:rPr>
        <w:t>，一經陞遷程序完成，已任命之公務員又無其他得以認定陞遷任命無效之事由，往往會造成救濟的實效落空</w:t>
      </w:r>
      <w:r>
        <w:rPr>
          <w:rStyle w:val="ae"/>
          <w:rFonts w:hAnsi="Arial"/>
          <w:kern w:val="0"/>
          <w:lang w:val="de-DE"/>
        </w:rPr>
        <w:footnoteReference w:id="151"/>
      </w:r>
      <w:r>
        <w:rPr>
          <w:rFonts w:hAnsi="Arial" w:hint="eastAsia"/>
          <w:kern w:val="0"/>
          <w:lang w:val="de-DE"/>
        </w:rPr>
        <w:t>。因此與其事後救濟無望，不如事前防堵會造成事後救濟無望的原因。此時暫時性的權利救濟設計，應該是重要的考量。</w:t>
      </w:r>
    </w:p>
    <w:p w:rsidR="007D6688" w:rsidRDefault="007D6688">
      <w:pPr>
        <w:snapToGrid w:val="0"/>
        <w:spacing w:beforeLines="50" w:before="180" w:afterLines="50" w:after="180" w:line="480" w:lineRule="auto"/>
        <w:ind w:firstLineChars="225" w:firstLine="540"/>
        <w:jc w:val="both"/>
        <w:rPr>
          <w:rFonts w:hAnsi="Arial"/>
          <w:kern w:val="0"/>
        </w:rPr>
      </w:pPr>
      <w:r>
        <w:rPr>
          <w:rFonts w:hAnsi="Arial"/>
          <w:kern w:val="0"/>
        </w:rPr>
        <w:t>假如公務員的任命存在有撤銷的危險時，受任命公務員自己的個人利益將與先前未受任命競爭者的權利保護利益處於無法解決的衝突。因此它保障已經完成的陞遷任命在一定的條件下可以</w:t>
      </w:r>
      <w:r>
        <w:rPr>
          <w:rFonts w:hAnsi="Arial" w:hint="eastAsia"/>
          <w:kern w:val="0"/>
        </w:rPr>
        <w:t>比較穩定地</w:t>
      </w:r>
      <w:r>
        <w:rPr>
          <w:rFonts w:hAnsi="Arial"/>
          <w:kern w:val="0"/>
        </w:rPr>
        <w:t>維持其存續效力。</w:t>
      </w:r>
      <w:r>
        <w:rPr>
          <w:rFonts w:hAnsi="Arial" w:hint="eastAsia"/>
          <w:kern w:val="0"/>
        </w:rPr>
        <w:t>德國</w:t>
      </w:r>
      <w:r>
        <w:rPr>
          <w:rFonts w:hAnsi="Arial"/>
          <w:kern w:val="0"/>
        </w:rPr>
        <w:t>聯邦憲法法院因此演繹出「身分法上職務</w:t>
      </w:r>
      <w:r>
        <w:rPr>
          <w:rStyle w:val="ae"/>
          <w:kern w:val="0"/>
        </w:rPr>
        <w:footnoteReference w:id="152"/>
      </w:r>
      <w:r>
        <w:rPr>
          <w:rFonts w:hAnsi="Arial"/>
          <w:kern w:val="0"/>
        </w:rPr>
        <w:t>不可剝奪原則（</w:t>
      </w:r>
      <w:r>
        <w:rPr>
          <w:kern w:val="0"/>
        </w:rPr>
        <w:t>Grundsatz der Unentziehbarkeit des statusrechtkichen Amtes</w:t>
      </w:r>
      <w:r>
        <w:rPr>
          <w:rFonts w:hAnsi="Arial"/>
          <w:kern w:val="0"/>
        </w:rPr>
        <w:t>）</w:t>
      </w:r>
      <w:r>
        <w:rPr>
          <w:rStyle w:val="ae"/>
          <w:kern w:val="0"/>
        </w:rPr>
        <w:footnoteReference w:id="153"/>
      </w:r>
      <w:r>
        <w:rPr>
          <w:rFonts w:hAnsi="Arial"/>
          <w:kern w:val="0"/>
        </w:rPr>
        <w:t>。」若是於陞遷任命之後數年仍容許藉由訴訟使得公務員的職位發生變動，或者讓已經發生陞遷連鎖效應的公務員法律關係再一次受到質疑，恐怕會嚴重影響到行政的運作能力以及公務員地位的穩定保障（</w:t>
      </w:r>
      <w:r>
        <w:rPr>
          <w:rFonts w:eastAsia="MS Mincho"/>
          <w:kern w:val="0"/>
        </w:rPr>
        <w:t>Stabilitätsgarantie</w:t>
      </w:r>
      <w:r>
        <w:rPr>
          <w:rFonts w:hAnsi="Arial"/>
          <w:kern w:val="0"/>
        </w:rPr>
        <w:t>）。所以基於職務安定原則與有效權利保障之折衷，我們所承認的陞遷任命救濟，應該將重心放在陞遷任命前的階段。換言之，應該考量的是行政救濟中的暫時性權利保護制度。</w:t>
      </w:r>
    </w:p>
    <w:p w:rsidR="007D6688" w:rsidRDefault="007D6688">
      <w:pPr>
        <w:snapToGrid w:val="0"/>
        <w:spacing w:beforeLines="50" w:before="180" w:afterLines="50" w:after="180" w:line="480" w:lineRule="auto"/>
        <w:ind w:firstLineChars="225" w:firstLine="540"/>
        <w:jc w:val="both"/>
        <w:rPr>
          <w:rFonts w:hAnsi="Arial" w:hint="eastAsia"/>
          <w:kern w:val="0"/>
        </w:rPr>
      </w:pPr>
      <w:r>
        <w:rPr>
          <w:rFonts w:hint="eastAsia"/>
        </w:rPr>
        <w:t>針對公權力措施之權利救濟原則上是一種事後的權利救濟制度（</w:t>
      </w:r>
      <w:r>
        <w:t>repressiver Rechtsschutz</w:t>
      </w:r>
      <w:r>
        <w:rPr>
          <w:rFonts w:hint="eastAsia"/>
        </w:rPr>
        <w:t>）」。因為若是容許同步進行的法院救濟審查程序，恐怕會過度阻礙了其他國家功能（如行政或立法）的活動。但是實效性權利保障之要求卻並不排除於嚴格條件限制下（例如必須要有異於一般的權利保護必要性（</w:t>
      </w:r>
      <w:r>
        <w:t>„qualifiziertes Rechtsschutzbedürfnis“</w:t>
      </w:r>
      <w:r>
        <w:rPr>
          <w:rFonts w:hint="eastAsia"/>
        </w:rPr>
        <w:t>）），基於避免個案中嚴重且無法逆轉的權利侵害目的，於必要時開放預防性的權利救濟空間，而非必然僅針對「現時」的權利侵害</w:t>
      </w:r>
      <w:r>
        <w:rPr>
          <w:rStyle w:val="ae"/>
        </w:rPr>
        <w:footnoteReference w:id="154"/>
      </w:r>
      <w:r>
        <w:rPr>
          <w:rFonts w:hint="eastAsia"/>
        </w:rPr>
        <w:t>。這種預防性權利保護的要求，其實也不過是廣泛地「及時權利救濟（</w:t>
      </w:r>
      <w:r>
        <w:t>rechtszeitiges Rechtsschutz</w:t>
      </w:r>
      <w:r>
        <w:rPr>
          <w:rFonts w:hint="eastAsia"/>
        </w:rPr>
        <w:t>）」的一種反應而已</w:t>
      </w:r>
      <w:r>
        <w:rPr>
          <w:rStyle w:val="ae"/>
        </w:rPr>
        <w:footnoteReference w:id="155"/>
      </w:r>
      <w:r>
        <w:rPr>
          <w:rFonts w:hint="eastAsia"/>
        </w:rPr>
        <w:t>。其次，實效性之權利保障制度亦要求提供人民暫時性的權利保障。特別是在若不提供暫時性的權利保護措施時，將會發生嚴重或無可避免的損害，以致於本案的裁判即使作成，亦無法於事後將之除去的情況下，暫時性的權利保障即屬必要</w:t>
      </w:r>
      <w:r>
        <w:rPr>
          <w:rStyle w:val="ae"/>
        </w:rPr>
        <w:footnoteReference w:id="156"/>
      </w:r>
      <w:r>
        <w:rPr>
          <w:rFonts w:hint="eastAsia"/>
        </w:rPr>
        <w:t>。大法官在釋字第</w:t>
      </w:r>
      <w:r>
        <w:rPr>
          <w:rFonts w:hint="eastAsia"/>
        </w:rPr>
        <w:t>585</w:t>
      </w:r>
      <w:r>
        <w:rPr>
          <w:rFonts w:hint="eastAsia"/>
        </w:rPr>
        <w:t>號解釋中亦指出，</w:t>
      </w:r>
      <w:r>
        <w:rPr>
          <w:rFonts w:ascii="細明體" w:eastAsia="細明體" w:hAnsi="細明體" w:cs="細明體"/>
          <w:color w:val="000000"/>
          <w:kern w:val="0"/>
        </w:rPr>
        <w:t>確保裁判結果實效性之保全制度，乃司法權核心機能之一，不因憲法解釋、審判或民事、刑事、行政訴訟之</w:t>
      </w:r>
      <w:r>
        <w:rPr>
          <w:rFonts w:ascii="新細明體" w:hAnsi="新細明體" w:cs="新細明體"/>
          <w:color w:val="000000"/>
          <w:kern w:val="0"/>
        </w:rPr>
        <w:t>審判而有異</w:t>
      </w:r>
      <w:r>
        <w:rPr>
          <w:rStyle w:val="ae"/>
          <w:rFonts w:ascii="新細明體" w:hAnsi="新細明體" w:cs="新細明體"/>
          <w:color w:val="000000"/>
          <w:kern w:val="0"/>
        </w:rPr>
        <w:footnoteReference w:id="157"/>
      </w:r>
      <w:r>
        <w:rPr>
          <w:rFonts w:ascii="新細明體" w:hAnsi="新細明體" w:cs="新細明體"/>
          <w:color w:val="000000"/>
          <w:kern w:val="0"/>
        </w:rPr>
        <w:t>。</w:t>
      </w:r>
    </w:p>
    <w:p w:rsidR="007D6688" w:rsidRDefault="007D6688">
      <w:pPr>
        <w:snapToGrid w:val="0"/>
        <w:spacing w:beforeLines="50" w:before="180" w:afterLines="50" w:after="180" w:line="480" w:lineRule="auto"/>
        <w:ind w:firstLineChars="225" w:firstLine="540"/>
        <w:jc w:val="both"/>
        <w:rPr>
          <w:kern w:val="0"/>
        </w:rPr>
      </w:pPr>
      <w:r>
        <w:rPr>
          <w:rFonts w:hAnsi="Arial"/>
          <w:kern w:val="0"/>
        </w:rPr>
        <w:t>暫時權利保護作為訴訟法上傳統的制度，依傳統的見解，其主要只是具有「保全功能（</w:t>
      </w:r>
      <w:r>
        <w:rPr>
          <w:kern w:val="0"/>
        </w:rPr>
        <w:t>Sicherungsfunktion</w:t>
      </w:r>
      <w:r>
        <w:rPr>
          <w:rFonts w:hAnsi="Arial"/>
          <w:kern w:val="0"/>
        </w:rPr>
        <w:t>）」，以保障訴訟原告之權利在勝訴後不因無從執行而終局落空</w:t>
      </w:r>
      <w:r>
        <w:rPr>
          <w:rStyle w:val="ae"/>
          <w:kern w:val="0"/>
        </w:rPr>
        <w:footnoteReference w:id="158"/>
      </w:r>
      <w:r>
        <w:rPr>
          <w:rFonts w:hAnsi="Arial"/>
          <w:kern w:val="0"/>
        </w:rPr>
        <w:t>。但是隨著訴訟程序在實務上往往曠日廢時，目前在訴訟實務上，當事人多習於在本案訴訟外，另行聲請暫時權利保護，以避免權利不因過長的訴訟程序而致嗣後無法實際獲得所需救濟。一般的本案訴訟程序，為了追求終局正義，往往適用各種傳統的程序原則以及複雜的訴訟制度。但是相對地在程序上會造成延宕。而暫時權利保護程序，適用所謂略式審查（</w:t>
      </w:r>
      <w:r>
        <w:rPr>
          <w:kern w:val="0"/>
        </w:rPr>
        <w:t>summarische Prüfung</w:t>
      </w:r>
      <w:r>
        <w:rPr>
          <w:rFonts w:hAnsi="Arial"/>
          <w:kern w:val="0"/>
        </w:rPr>
        <w:t>），可以謀求訴訟上之本案爭議，至少在終局裁判前迅速暫時獲得解決。所以暫時權利保護程序，亦常被稱為「快速程序（</w:t>
      </w:r>
      <w:r>
        <w:rPr>
          <w:kern w:val="0"/>
        </w:rPr>
        <w:t>Eilverfahren</w:t>
      </w:r>
      <w:r>
        <w:rPr>
          <w:rFonts w:hAnsi="Arial"/>
          <w:kern w:val="0"/>
        </w:rPr>
        <w:t>）」，其更具有所謂「暫時滿足之功能（</w:t>
      </w:r>
      <w:r>
        <w:rPr>
          <w:kern w:val="0"/>
        </w:rPr>
        <w:t>interimistische Befriedungsfunktion</w:t>
      </w:r>
      <w:r>
        <w:rPr>
          <w:rFonts w:hAnsi="Arial"/>
          <w:kern w:val="0"/>
        </w:rPr>
        <w:t>）」</w:t>
      </w:r>
      <w:r>
        <w:rPr>
          <w:rStyle w:val="ae"/>
          <w:kern w:val="0"/>
        </w:rPr>
        <w:footnoteReference w:id="159"/>
      </w:r>
      <w:r>
        <w:rPr>
          <w:rFonts w:hAnsi="Arial"/>
          <w:kern w:val="0"/>
        </w:rPr>
        <w:t>。</w:t>
      </w:r>
    </w:p>
    <w:p w:rsidR="007D6688" w:rsidRDefault="007D6688">
      <w:pPr>
        <w:snapToGrid w:val="0"/>
        <w:spacing w:beforeLines="50" w:before="180" w:afterLines="50" w:after="180" w:line="480" w:lineRule="auto"/>
        <w:ind w:firstLineChars="225" w:firstLine="540"/>
        <w:jc w:val="both"/>
      </w:pPr>
      <w:r>
        <w:rPr>
          <w:rFonts w:hint="eastAsia"/>
        </w:rPr>
        <w:t>在德國，如果原告提起的本案訴訟是撤銷訴訟時，此時可以考慮的暫時性權利保護制度乃是請求「暫時停止執行」（德國行政法院法第</w:t>
      </w:r>
      <w:r>
        <w:rPr>
          <w:rFonts w:hint="eastAsia"/>
        </w:rPr>
        <w:t>80</w:t>
      </w:r>
      <w:r>
        <w:rPr>
          <w:rFonts w:hint="eastAsia"/>
        </w:rPr>
        <w:t>條與第</w:t>
      </w:r>
      <w:smartTag w:uri="urn:schemas-microsoft-com:office:smarttags" w:element="chmetcnv">
        <w:smartTagPr>
          <w:attr w:name="UnitName" w:val="a"/>
          <w:attr w:name="SourceValue" w:val="80"/>
          <w:attr w:name="HasSpace" w:val="False"/>
          <w:attr w:name="Negative" w:val="False"/>
          <w:attr w:name="NumberType" w:val="1"/>
          <w:attr w:name="TCSC" w:val="0"/>
        </w:smartTagPr>
        <w:r>
          <w:rPr>
            <w:rFonts w:hint="eastAsia"/>
          </w:rPr>
          <w:t>80a</w:t>
        </w:r>
      </w:smartTag>
      <w:r>
        <w:rPr>
          <w:rFonts w:hint="eastAsia"/>
        </w:rPr>
        <w:t>條，我國行政訴訟法第</w:t>
      </w:r>
      <w:r>
        <w:t>116</w:t>
      </w:r>
      <w:r>
        <w:rPr>
          <w:rFonts w:hint="eastAsia"/>
        </w:rPr>
        <w:t>與</w:t>
      </w:r>
      <w:r>
        <w:rPr>
          <w:rFonts w:hint="eastAsia"/>
        </w:rPr>
        <w:t>117</w:t>
      </w:r>
      <w:r>
        <w:rPr>
          <w:rFonts w:hint="eastAsia"/>
        </w:rPr>
        <w:t>條）。但是如前所述，德國實務的見解一貫地認為此時撤銷訴訟並不合法（欠缺權利保護必要），因此暫時停止執行的要求亦不可能。我們可以考慮的應該是行政法院法第</w:t>
      </w:r>
      <w:r>
        <w:rPr>
          <w:rFonts w:hint="eastAsia"/>
        </w:rPr>
        <w:t>123</w:t>
      </w:r>
      <w:r>
        <w:rPr>
          <w:rFonts w:hint="eastAsia"/>
        </w:rPr>
        <w:t>條以下規定的假處分制度。在我國則為第</w:t>
      </w:r>
      <w:r>
        <w:t>298</w:t>
      </w:r>
      <w:r>
        <w:rPr>
          <w:rFonts w:hint="eastAsia"/>
        </w:rPr>
        <w:t>條第</w:t>
      </w:r>
      <w:r>
        <w:rPr>
          <w:rFonts w:hint="eastAsia"/>
        </w:rPr>
        <w:t>1</w:t>
      </w:r>
      <w:r>
        <w:rPr>
          <w:rFonts w:hint="eastAsia"/>
        </w:rPr>
        <w:t>項，要求法院發保全命令（</w:t>
      </w:r>
      <w:r>
        <w:t>Sicherungsordnung</w:t>
      </w:r>
      <w:r>
        <w:rPr>
          <w:rFonts w:hint="eastAsia"/>
        </w:rPr>
        <w:t>）以保全日後實施強制執行，以及第</w:t>
      </w:r>
      <w:r>
        <w:t>298</w:t>
      </w:r>
      <w:r>
        <w:rPr>
          <w:rFonts w:hint="eastAsia"/>
        </w:rPr>
        <w:t>條第</w:t>
      </w:r>
      <w:r>
        <w:rPr>
          <w:rFonts w:hint="eastAsia"/>
        </w:rPr>
        <w:t>2</w:t>
      </w:r>
      <w:r>
        <w:rPr>
          <w:rFonts w:hint="eastAsia"/>
        </w:rPr>
        <w:t>項要求法院發定暫時狀態命令（</w:t>
      </w:r>
      <w:r>
        <w:t>Regelungsordnung</w:t>
      </w:r>
      <w:r>
        <w:rPr>
          <w:rFonts w:hint="eastAsia"/>
        </w:rPr>
        <w:t>）以採取必要措施，維護暫時狀態之制度。</w:t>
      </w:r>
    </w:p>
    <w:p w:rsidR="007D6688" w:rsidRDefault="007D6688">
      <w:pPr>
        <w:snapToGrid w:val="0"/>
        <w:spacing w:beforeLines="50" w:before="180" w:afterLines="50" w:after="180" w:line="480" w:lineRule="auto"/>
        <w:ind w:firstLineChars="225" w:firstLine="540"/>
        <w:jc w:val="both"/>
        <w:rPr>
          <w:rFonts w:ascii="MS Mincho" w:hAnsi="MS Mincho" w:cs="MS Mincho" w:hint="eastAsia"/>
        </w:rPr>
      </w:pPr>
      <w:r>
        <w:t>未獲陞遷任命者提起訴訟的目的無非是希望原本空缺出來的職</w:t>
      </w:r>
      <w:r>
        <w:rPr>
          <w:rFonts w:hint="eastAsia"/>
        </w:rPr>
        <w:t xml:space="preserve"> </w:t>
      </w:r>
      <w:r>
        <w:t>位能夠保持，甚至於由自己來獲得。由於原告可以主張基本法第</w:t>
      </w:r>
      <w:r>
        <w:t>33</w:t>
      </w:r>
      <w:r>
        <w:rPr>
          <w:rFonts w:hAnsi="MS Mincho"/>
        </w:rPr>
        <w:t>條第</w:t>
      </w:r>
      <w:r>
        <w:t>2</w:t>
      </w:r>
      <w:r>
        <w:rPr>
          <w:rFonts w:hAnsi="MS Mincho"/>
        </w:rPr>
        <w:t>項保障他於陞遷時有應被尊重的（主觀）公法權利（至少有應徵的程序請求權！），所以他有請求受暫時性權利保護的資格。假如原告對於暫時命令的請求以及請求暫時命令的原因顯而可信（</w:t>
      </w:r>
      <w:r>
        <w:t>glaubhaft</w:t>
      </w:r>
      <w:r>
        <w:rPr>
          <w:rFonts w:hAnsi="MS Mincho"/>
        </w:rPr>
        <w:t>）</w:t>
      </w:r>
      <w:r>
        <w:rPr>
          <w:rFonts w:hAnsi="MS Mincho" w:hint="eastAsia"/>
        </w:rPr>
        <w:t>，其請求</w:t>
      </w:r>
      <w:r>
        <w:rPr>
          <w:rFonts w:hint="eastAsia"/>
        </w:rPr>
        <w:t>發保全命令或定暫時狀態即屬有理由。</w:t>
      </w:r>
      <w:r>
        <w:rPr>
          <w:rFonts w:hAnsi="MS Mincho"/>
        </w:rPr>
        <w:t>原告對於暫時命令的請求</w:t>
      </w:r>
      <w:r>
        <w:rPr>
          <w:rFonts w:hAnsi="MS Mincho" w:hint="eastAsia"/>
        </w:rPr>
        <w:t>權</w:t>
      </w:r>
      <w:r>
        <w:rPr>
          <w:rFonts w:hAnsi="MS Mincho"/>
        </w:rPr>
        <w:t>顯而可信</w:t>
      </w:r>
      <w:r>
        <w:rPr>
          <w:rFonts w:hAnsi="MS Mincho" w:hint="eastAsia"/>
        </w:rPr>
        <w:t>，</w:t>
      </w:r>
      <w:r>
        <w:rPr>
          <w:rFonts w:hint="eastAsia"/>
        </w:rPr>
        <w:t>是指原告所提供的事實足堪證明其所主張「極具可能性（</w:t>
      </w:r>
      <w:r>
        <w:t>überwiegend wahrscheinlich</w:t>
      </w:r>
      <w:r>
        <w:rPr>
          <w:rFonts w:hint="eastAsia"/>
        </w:rPr>
        <w:t>）</w:t>
      </w:r>
      <w:r>
        <w:t>」</w:t>
      </w:r>
      <w:r>
        <w:rPr>
          <w:rStyle w:val="ae"/>
        </w:rPr>
        <w:footnoteReference w:id="160"/>
      </w:r>
      <w:r>
        <w:t>。而並不需要真的確定原告是根據基本法第</w:t>
      </w:r>
      <w:r>
        <w:t>33</w:t>
      </w:r>
      <w:r>
        <w:t>條第</w:t>
      </w:r>
      <w:r>
        <w:t>2</w:t>
      </w:r>
      <w:r>
        <w:rPr>
          <w:rFonts w:hAnsi="MS Mincho"/>
        </w:rPr>
        <w:t>項事實上最適於被陞遷任命者</w:t>
      </w:r>
      <w:r>
        <w:rPr>
          <w:rStyle w:val="ae"/>
        </w:rPr>
        <w:footnoteReference w:id="161"/>
      </w:r>
      <w:r>
        <w:rPr>
          <w:rFonts w:hAnsi="MS Mincho"/>
        </w:rPr>
        <w:t>。</w:t>
      </w:r>
    </w:p>
    <w:p w:rsidR="007D6688" w:rsidRDefault="007D6688">
      <w:pPr>
        <w:snapToGrid w:val="0"/>
        <w:spacing w:beforeLines="50" w:before="180" w:afterLines="50" w:after="180" w:line="480" w:lineRule="auto"/>
        <w:ind w:firstLineChars="225" w:firstLine="540"/>
        <w:jc w:val="both"/>
        <w:rPr>
          <w:rFonts w:hint="eastAsia"/>
        </w:rPr>
      </w:pPr>
      <w:r>
        <w:t>原告請求暫時命令的原因顯而可信則是指，若是既有狀態已經改變，存有權利的實現會被嚴重削弱或阻礙的危險。例如原本空缺之職位已經有其他人被任命後，原告的權利之實現即有嚴重弱化的危險。基本法第</w:t>
      </w:r>
      <w:r>
        <w:t>19</w:t>
      </w:r>
      <w:r>
        <w:t>條第</w:t>
      </w:r>
      <w:r>
        <w:t>4</w:t>
      </w:r>
      <w:r>
        <w:t>項所保障的有效權利救濟體系</w:t>
      </w:r>
      <w:r>
        <w:rPr>
          <w:rFonts w:hint="eastAsia"/>
        </w:rPr>
        <w:t>無論如何都應該包括暫時性的權利救濟。而自</w:t>
      </w:r>
      <w:r>
        <w:t>基本法第</w:t>
      </w:r>
      <w:r>
        <w:t>19</w:t>
      </w:r>
      <w:r>
        <w:t>條第</w:t>
      </w:r>
      <w:r>
        <w:t>4</w:t>
      </w:r>
      <w:r>
        <w:t>項</w:t>
      </w:r>
      <w:r>
        <w:rPr>
          <w:rFonts w:hint="eastAsia"/>
        </w:rPr>
        <w:t>可以導出，未獲陞遷任命之原告至少擁有程序上的請求權。因此機關首長在陞遷任命決定前，應該有通知其他競爭者進行選拔程序的義務，這些競爭者也才有透過行政法院法第</w:t>
      </w:r>
      <w:r>
        <w:rPr>
          <w:rFonts w:hint="eastAsia"/>
        </w:rPr>
        <w:t>123</w:t>
      </w:r>
      <w:r>
        <w:rPr>
          <w:rFonts w:hint="eastAsia"/>
        </w:rPr>
        <w:t>條暫時權利保護的途徑保護自己權利的機會。</w:t>
      </w:r>
    </w:p>
    <w:p w:rsidR="007D6688" w:rsidRDefault="007D6688">
      <w:pPr>
        <w:snapToGrid w:val="0"/>
        <w:spacing w:beforeLines="50" w:before="180" w:afterLines="50" w:after="180" w:line="480" w:lineRule="auto"/>
        <w:ind w:firstLineChars="225" w:firstLine="540"/>
        <w:jc w:val="both"/>
        <w:rPr>
          <w:rFonts w:hint="eastAsia"/>
        </w:rPr>
      </w:pPr>
      <w:r>
        <w:rPr>
          <w:rFonts w:hint="eastAsia"/>
        </w:rPr>
        <w:t>我國保障法中僅第</w:t>
      </w:r>
      <w:r>
        <w:rPr>
          <w:rFonts w:hint="eastAsia"/>
        </w:rPr>
        <w:t>89</w:t>
      </w:r>
      <w:r>
        <w:rPr>
          <w:rFonts w:hint="eastAsia"/>
        </w:rPr>
        <w:t>條規定，</w:t>
      </w:r>
      <w:r>
        <w:t>原行政處分、管理措施或有關工作條件之處置，不因依本法所進行之各項程序而停止執行。原行政處分、管理措施或有關工作條件之處置合法性顯有疑義者，或其執行將發生難以回復之損害，且有急迫情事，並非為維護重大公共利益所必要者，保訓會、原處分機關或服務機關得依職權或依申請，就原行政處分、管理措施或有關工作條件之處置全部或一部，停止執行。</w:t>
      </w:r>
    </w:p>
    <w:p w:rsidR="007D6688" w:rsidRDefault="007D6688">
      <w:pPr>
        <w:snapToGrid w:val="0"/>
        <w:spacing w:beforeLines="50" w:before="180" w:afterLines="50" w:after="180" w:line="480" w:lineRule="auto"/>
        <w:ind w:firstLineChars="225" w:firstLine="540"/>
        <w:jc w:val="both"/>
        <w:rPr>
          <w:rFonts w:ascii="細明體" w:eastAsia="細明體" w:hAnsi="MS Sans Serif"/>
          <w:color w:val="000000"/>
          <w:kern w:val="0"/>
        </w:rPr>
      </w:pPr>
      <w:r>
        <w:rPr>
          <w:rFonts w:hint="eastAsia"/>
        </w:rPr>
        <w:t>另外根據行政訴訟法第</w:t>
      </w:r>
      <w:r>
        <w:rPr>
          <w:rFonts w:hint="eastAsia"/>
        </w:rPr>
        <w:t>116</w:t>
      </w:r>
      <w:r>
        <w:rPr>
          <w:rFonts w:hint="eastAsia"/>
        </w:rPr>
        <w:t>條規定，「</w:t>
      </w:r>
      <w:r>
        <w:rPr>
          <w:rFonts w:hint="eastAsia"/>
        </w:rPr>
        <w:t>I.</w:t>
      </w:r>
      <w:r>
        <w:rPr>
          <w:rFonts w:ascii="細明體" w:eastAsia="細明體" w:hAnsi="MS Sans Serif" w:hint="eastAsia"/>
          <w:color w:val="000000"/>
          <w:kern w:val="0"/>
        </w:rPr>
        <w:t>原處分或決定之執行，除法律另有規定外，不因提起行政訴訟而停止。</w:t>
      </w:r>
      <w:r>
        <w:rPr>
          <w:rFonts w:eastAsia="細明體"/>
          <w:color w:val="000000"/>
          <w:kern w:val="0"/>
        </w:rPr>
        <w:t>II.</w:t>
      </w:r>
      <w:r>
        <w:rPr>
          <w:rFonts w:ascii="細明體" w:eastAsia="細明體" w:hAnsi="MS Sans Serif" w:hint="eastAsia"/>
          <w:color w:val="000000"/>
          <w:kern w:val="0"/>
        </w:rPr>
        <w:t>行政訴訟繫屬中，行政法院認為原處分或決定之執行，將發生難於回復之損害，且有急迫情事者，得依職權或依聲請裁定停止執行。但於公益有重大影響，或原告之訴在法律上顯無理由者，不得為之。</w:t>
      </w:r>
      <w:r>
        <w:rPr>
          <w:rFonts w:eastAsia="細明體"/>
          <w:color w:val="000000"/>
          <w:kern w:val="0"/>
        </w:rPr>
        <w:t>III.</w:t>
      </w:r>
      <w:r>
        <w:rPr>
          <w:rFonts w:eastAsia="細明體"/>
          <w:b/>
          <w:color w:val="000000"/>
          <w:kern w:val="0"/>
        </w:rPr>
        <w:t xml:space="preserve"> </w:t>
      </w:r>
      <w:r>
        <w:rPr>
          <w:rFonts w:eastAsia="細明體"/>
          <w:b/>
          <w:color w:val="000000"/>
          <w:kern w:val="0"/>
        </w:rPr>
        <w:t>於行政訴訟起訴前，如原處分或決定之執行將發生難於回復之損害，且有急迫情事者，行政法院亦得依受處分人或訴願人之聲請，裁定停止執行。</w:t>
      </w:r>
      <w:r>
        <w:rPr>
          <w:rFonts w:eastAsia="細明體"/>
          <w:color w:val="000000"/>
          <w:kern w:val="0"/>
        </w:rPr>
        <w:t>但於公益有重大影響者，不在此限。</w:t>
      </w:r>
      <w:r>
        <w:rPr>
          <w:rFonts w:eastAsia="細明體"/>
          <w:color w:val="000000"/>
          <w:kern w:val="0"/>
        </w:rPr>
        <w:t>IV.</w:t>
      </w:r>
      <w:r>
        <w:rPr>
          <w:rFonts w:eastAsia="細明體"/>
          <w:color w:val="000000"/>
          <w:kern w:val="0"/>
        </w:rPr>
        <w:t>行政法院為前二項裁定前，應先徵詢當事人之意見。如原處分或決定機關已依職權或依聲請停止執行者，應為駁回聲請之裁定。</w:t>
      </w:r>
      <w:r>
        <w:rPr>
          <w:rFonts w:eastAsia="細明體"/>
          <w:color w:val="000000"/>
          <w:kern w:val="0"/>
        </w:rPr>
        <w:t>V.</w:t>
      </w:r>
      <w:r>
        <w:rPr>
          <w:rFonts w:eastAsia="細明體"/>
          <w:color w:val="000000"/>
          <w:kern w:val="0"/>
        </w:rPr>
        <w:t>停止執行之裁定，得停止原處分或決定之效力、處分或決定之執行或程序之續行之全部或部份。</w:t>
      </w:r>
      <w:r>
        <w:rPr>
          <w:rFonts w:ascii="細明體" w:eastAsia="細明體" w:hAnsi="MS Sans Serif" w:hint="eastAsia"/>
          <w:color w:val="000000"/>
          <w:kern w:val="0"/>
        </w:rPr>
        <w:t>」其中第三項規定亦容許於訴訟提起前，向高等行政法院聲請。</w:t>
      </w:r>
    </w:p>
    <w:p w:rsidR="007D6688" w:rsidRDefault="007D6688">
      <w:pPr>
        <w:snapToGrid w:val="0"/>
        <w:spacing w:beforeLines="50" w:before="180" w:afterLines="50" w:after="180" w:line="480" w:lineRule="auto"/>
        <w:ind w:firstLineChars="225" w:firstLine="540"/>
        <w:jc w:val="both"/>
        <w:rPr>
          <w:rFonts w:hAnsi="Batang" w:hint="eastAsia"/>
        </w:rPr>
      </w:pPr>
      <w:r>
        <w:rPr>
          <w:rFonts w:ascii="細明體" w:eastAsia="細明體" w:hAnsi="MS Sans Serif" w:hint="eastAsia"/>
          <w:color w:val="000000"/>
          <w:kern w:val="0"/>
        </w:rPr>
        <w:t>在陞遷救濟案件中，職缺往往不能空懸過久，陞遷的程序也往往會在短期內完成。此時若不能及時聲請停止陞遷任命之執行，往往也可能發生難以再重行辦理陞遷的窘態。所以停止執行要件中「原處分或決定之執行，將發生難於回復之損害，且有急迫情事者」，在個案中成立的機會應不難想像。</w:t>
      </w:r>
    </w:p>
    <w:p w:rsidR="007D6688" w:rsidRDefault="007D6688">
      <w:pPr>
        <w:pStyle w:val="22"/>
        <w:spacing w:line="480" w:lineRule="auto"/>
      </w:pPr>
      <w:r>
        <w:rPr>
          <w:rFonts w:hint="eastAsia"/>
          <w:kern w:val="0"/>
        </w:rPr>
        <w:t>在陞遷保障案件中所需要的暫時性權利保障，除停止執行的制度外，尚應考量聲請假處分的制度。</w:t>
      </w:r>
      <w:r>
        <w:rPr>
          <w:kern w:val="0"/>
        </w:rPr>
        <w:t>這種暫時性權利救濟主要是適用於課予義務訴訟中</w:t>
      </w:r>
      <w:r>
        <w:rPr>
          <w:rStyle w:val="ae"/>
          <w:kern w:val="0"/>
        </w:rPr>
        <w:footnoteReference w:id="162"/>
      </w:r>
      <w:r>
        <w:rPr>
          <w:kern w:val="0"/>
        </w:rPr>
        <w:t>。</w:t>
      </w:r>
      <w:r>
        <w:rPr>
          <w:rFonts w:hAnsi="新細明體"/>
          <w:kern w:val="0"/>
        </w:rPr>
        <w:t>行政訴訟法第</w:t>
      </w:r>
      <w:r>
        <w:rPr>
          <w:kern w:val="0"/>
        </w:rPr>
        <w:t xml:space="preserve"> 298</w:t>
      </w:r>
      <w:r>
        <w:rPr>
          <w:rFonts w:hAnsi="新細明體"/>
          <w:kern w:val="0"/>
        </w:rPr>
        <w:t>條即規定，「</w:t>
      </w:r>
      <w:r>
        <w:rPr>
          <w:kern w:val="0"/>
        </w:rPr>
        <w:t>I.</w:t>
      </w:r>
      <w:r>
        <w:rPr>
          <w:rFonts w:hAnsi="新細明體"/>
          <w:kern w:val="0"/>
        </w:rPr>
        <w:t>公法上之權利因現狀變更，有不能實現或甚難實現之虞者，為保全強制執</w:t>
      </w:r>
      <w:r>
        <w:rPr>
          <w:rFonts w:eastAsia="細明體"/>
          <w:kern w:val="0"/>
        </w:rPr>
        <w:t>行，得聲請假處分。</w:t>
      </w:r>
      <w:r>
        <w:rPr>
          <w:rFonts w:eastAsia="細明體"/>
          <w:kern w:val="0"/>
        </w:rPr>
        <w:t>II.</w:t>
      </w:r>
      <w:r>
        <w:rPr>
          <w:rFonts w:eastAsia="細明體"/>
          <w:kern w:val="0"/>
        </w:rPr>
        <w:t>於爭執之公法上法律關係，為防止發生重大之損害或避免急迫之危險而有</w:t>
      </w:r>
      <w:r>
        <w:rPr>
          <w:rFonts w:eastAsia="細明體"/>
          <w:color w:val="000000"/>
          <w:kern w:val="0"/>
        </w:rPr>
        <w:t>必要時，得聲請為定暫時狀態之處分。</w:t>
      </w:r>
      <w:r>
        <w:rPr>
          <w:rFonts w:eastAsia="細明體"/>
          <w:color w:val="000000"/>
          <w:kern w:val="0"/>
        </w:rPr>
        <w:t>III.</w:t>
      </w:r>
      <w:r>
        <w:rPr>
          <w:rFonts w:eastAsia="細明體"/>
          <w:color w:val="000000"/>
          <w:kern w:val="0"/>
        </w:rPr>
        <w:t>前項處分，得命先為一定之給付。」</w:t>
      </w:r>
      <w:r>
        <w:rPr>
          <w:rFonts w:eastAsia="細明體" w:hint="eastAsia"/>
          <w:color w:val="000000"/>
          <w:kern w:val="0"/>
        </w:rPr>
        <w:t>但是</w:t>
      </w:r>
      <w:r>
        <w:rPr>
          <w:rFonts w:hint="eastAsia"/>
          <w:kern w:val="0"/>
        </w:rPr>
        <w:t>目前在保障法中雖有課予義務型的復審類型，但卻無相應的聲請假處分制度。而保障法第</w:t>
      </w:r>
      <w:r>
        <w:rPr>
          <w:rFonts w:hint="eastAsia"/>
          <w:kern w:val="0"/>
        </w:rPr>
        <w:t>89</w:t>
      </w:r>
      <w:r>
        <w:rPr>
          <w:rFonts w:hint="eastAsia"/>
          <w:kern w:val="0"/>
        </w:rPr>
        <w:t>條之停止執行制度又無法滿足是類復審之需求，法政策上容有檢討之必要。</w:t>
      </w:r>
    </w:p>
    <w:p w:rsidR="007D6688" w:rsidRDefault="007D6688">
      <w:pPr>
        <w:pStyle w:val="2"/>
        <w:spacing w:line="480" w:lineRule="auto"/>
        <w:rPr>
          <w:rFonts w:hint="eastAsia"/>
          <w:lang w:val="de-DE"/>
        </w:rPr>
      </w:pPr>
      <w:bookmarkStart w:id="163" w:name="_Toc121199244"/>
      <w:bookmarkStart w:id="164" w:name="_Toc121212716"/>
      <w:bookmarkStart w:id="165" w:name="_Toc121212979"/>
      <w:r>
        <w:rPr>
          <w:lang w:val="de-DE"/>
        </w:rPr>
        <w:t>10</w:t>
      </w:r>
      <w:r>
        <w:rPr>
          <w:rFonts w:hint="eastAsia"/>
          <w:lang w:val="de-DE"/>
        </w:rPr>
        <w:t>.</w:t>
      </w:r>
      <w:r>
        <w:rPr>
          <w:lang w:val="de-DE"/>
        </w:rPr>
        <w:t>2</w:t>
      </w:r>
      <w:r>
        <w:rPr>
          <w:lang w:val="de-DE"/>
        </w:rPr>
        <w:t>競爭關係中特殊之暫時性權利保護要求</w:t>
      </w:r>
      <w:bookmarkEnd w:id="163"/>
      <w:bookmarkEnd w:id="164"/>
      <w:bookmarkEnd w:id="165"/>
    </w:p>
    <w:p w:rsidR="007D6688" w:rsidRDefault="007D6688">
      <w:pPr>
        <w:pStyle w:val="22"/>
        <w:spacing w:line="480" w:lineRule="auto"/>
        <w:rPr>
          <w:rFonts w:hint="eastAsia"/>
          <w:kern w:val="0"/>
        </w:rPr>
      </w:pPr>
      <w:r>
        <w:rPr>
          <w:rFonts w:hint="eastAsia"/>
          <w:kern w:val="0"/>
        </w:rPr>
        <w:t>競爭關係的行政爭訟相較於一般的爭訟，具有特殊性。特別涉及到國家有限資源的分配案例，例如有限的補助預算</w:t>
      </w:r>
      <w:r>
        <w:rPr>
          <w:rFonts w:ascii="新細明體" w:hAnsi="新細明體" w:hint="eastAsia"/>
          <w:kern w:val="0"/>
        </w:rPr>
        <w:t>、</w:t>
      </w:r>
      <w:r>
        <w:rPr>
          <w:rFonts w:hint="eastAsia"/>
          <w:kern w:val="0"/>
        </w:rPr>
        <w:t>有限的陞遷名額等等。其中公務人員的競爭訴訟又牽涉到公務人員陞遷調動的連鎖效應。只要辦理陞遷程序完成，其救濟往往不能僅就原告一人利益考量。再加上公務員體系的穩定性要求，已經完成的陞遷任命要再事後變動，誠屬不易。因此在此類的救濟程序中相較於其他的爭訟類型，其暫時性權利保障的需求性是比較高的。在制度的設計上，應該寧可在職務尚未調動之前，盡可能實現救濟的請求。否則即使程序上不禁止，但是往往會因為職缺已無法回復，使得勝訴的救濟也是一個空洞的救濟。因此即使在目前有限的復審救濟類型下，應該思考給予公務人員相應的暫時性權利保障。同時也不論是撤銷型或者課予義務型的救濟（請求撤銷對他人之陞遷決定或者請求對自己為陞遷決定），透過暫時停止執行陞遷任命的決定或者定暫時狀態的決定，均可以有效地確保最終的救濟目的得以實現。</w:t>
      </w:r>
    </w:p>
    <w:p w:rsidR="007D6688" w:rsidRDefault="007D6688">
      <w:pPr>
        <w:pStyle w:val="2"/>
        <w:spacing w:line="480" w:lineRule="auto"/>
        <w:rPr>
          <w:rFonts w:hint="eastAsia"/>
          <w:lang w:val="de-DE"/>
        </w:rPr>
      </w:pPr>
      <w:bookmarkStart w:id="166" w:name="_Toc121199245"/>
      <w:bookmarkStart w:id="167" w:name="_Toc121212717"/>
      <w:bookmarkStart w:id="168" w:name="_Toc121212980"/>
      <w:r>
        <w:rPr>
          <w:lang w:val="de-DE"/>
        </w:rPr>
        <w:t>10</w:t>
      </w:r>
      <w:r>
        <w:rPr>
          <w:rFonts w:hint="eastAsia"/>
          <w:lang w:val="de-DE"/>
        </w:rPr>
        <w:t>.</w:t>
      </w:r>
      <w:r>
        <w:rPr>
          <w:lang w:val="de-DE"/>
        </w:rPr>
        <w:t>3</w:t>
      </w:r>
      <w:r>
        <w:rPr>
          <w:rFonts w:hint="eastAsia"/>
          <w:lang w:val="de-DE"/>
        </w:rPr>
        <w:t>.</w:t>
      </w:r>
      <w:r>
        <w:rPr>
          <w:lang w:val="de-DE"/>
        </w:rPr>
        <w:t>陞遷救濟時暫時權利保護的可行性</w:t>
      </w:r>
      <w:bookmarkEnd w:id="166"/>
      <w:bookmarkEnd w:id="167"/>
      <w:bookmarkEnd w:id="168"/>
    </w:p>
    <w:p w:rsidR="007D6688" w:rsidRDefault="007D6688">
      <w:pPr>
        <w:pStyle w:val="22"/>
        <w:spacing w:line="480" w:lineRule="auto"/>
        <w:rPr>
          <w:rFonts w:hint="eastAsia"/>
          <w:kern w:val="0"/>
        </w:rPr>
      </w:pPr>
      <w:r>
        <w:rPr>
          <w:rFonts w:hint="eastAsia"/>
          <w:kern w:val="0"/>
        </w:rPr>
        <w:t>憲法上有效權利救濟之要求，應該是要求國家提供一個完善而無缺漏的保障體系。在德國陞遷制度上，由於「最佳選擇原則」具有相當的法拘束力，所以以透過課予義務訴訟實現權利救濟最為直接有效。當然此刻還有聲請假處分或定暫時狀態的暫時性權利保障輔助。但是我國法上，公務人員直接請求法院命行政機關給予自己陞遷的實體請求權，在現行法解釋下，相對保守。所以針對他人陞遷決定提起撤銷訴訟，可能性還是比較高。而目前不論在保障法或者行政訴訟法上配合撤銷型救濟的暫時停止執行制度，至少在規範上，應屬適當的設計。有待改善的可能是實務上對於此一制度的活用。如果可以善用此一制度，將來發生已經辦理陞遷完畢，造成無權利保護必要的案例應該可以相對減少。進一步言之，活用暫時性權利保護的機制，可以降低職務安定原則適用造成的困擾</w:t>
      </w:r>
      <w:r>
        <w:rPr>
          <w:rStyle w:val="ae"/>
          <w:kern w:val="0"/>
        </w:rPr>
        <w:footnoteReference w:id="163"/>
      </w:r>
      <w:r>
        <w:rPr>
          <w:rFonts w:hint="eastAsia"/>
          <w:kern w:val="0"/>
        </w:rPr>
        <w:t>。</w:t>
      </w:r>
    </w:p>
    <w:p w:rsidR="007D6688" w:rsidRDefault="007D6688">
      <w:pPr>
        <w:pStyle w:val="22"/>
        <w:spacing w:line="480" w:lineRule="auto"/>
        <w:rPr>
          <w:rFonts w:hint="eastAsia"/>
        </w:rPr>
      </w:pPr>
      <w:r>
        <w:rPr>
          <w:rFonts w:hint="eastAsia"/>
          <w:kern w:val="0"/>
        </w:rPr>
        <w:t>但是在暫時性的權利保障制度未被活用之前，仍有為數不少的爭訟案件在提起救濟時（或提起救濟中），因為陞遷任命程序的完成，導致救濟的實益喪失。同時已完成的陞遷任命又未必有無效的事由。職務安定原則在信賴保護原則或者公務體系穩定之公益原則支撐下，應該予以尊重。保訓會在「</w:t>
      </w:r>
      <w:r>
        <w:rPr>
          <w:rFonts w:hint="eastAsia"/>
          <w:b/>
          <w:kern w:val="0"/>
        </w:rPr>
        <w:t>劉慶蜀案</w:t>
      </w:r>
      <w:r>
        <w:rPr>
          <w:rFonts w:hint="eastAsia"/>
          <w:kern w:val="0"/>
        </w:rPr>
        <w:t>」中，適用</w:t>
      </w:r>
      <w:r>
        <w:rPr>
          <w:rFonts w:hint="eastAsia"/>
        </w:rPr>
        <w:t>保障法第</w:t>
      </w:r>
      <w:r>
        <w:rPr>
          <w:rFonts w:hint="eastAsia"/>
        </w:rPr>
        <w:t>67</w:t>
      </w:r>
      <w:r>
        <w:rPr>
          <w:rFonts w:hint="eastAsia"/>
        </w:rPr>
        <w:t>條規定，於</w:t>
      </w:r>
      <w:r>
        <w:t>保訓會發現原行政處分雖屬違法或顯然不當，但其撤銷或變更於公益有重大損害，</w:t>
      </w:r>
      <w:r>
        <w:rPr>
          <w:b/>
        </w:rPr>
        <w:t>經斟酌復審人所受損害、賠償程度、防止方法及其他一切情事</w:t>
      </w:r>
      <w:r>
        <w:t>，認原行政處分之撤銷或變更顯與公益相違背時，得駁回其復審。前項情形，應於決定主文中載明原行政處分違法或顯然不當。</w:t>
      </w:r>
      <w:r>
        <w:rPr>
          <w:rFonts w:hint="eastAsia"/>
        </w:rPr>
        <w:t>據此作成一般行政爭訟中罕見的情況決定，誠屬目前制度下尊重職務安定原則不得不然的處理方式，應給予肯定。日本學者阿部泰隆與今村和成等學者在評價彼邦「情況判決」時也已指出，「既成事實之尊重在法律上具有不容忽視重要價值，正因為情況判決尊重違法既成事實，就此部分不應逕予以否定其價值。研究如何防止既成事實發生固為重要對於既已發生之既成事實，只能尋求善後之策。」「情況判決除合乎尊重既成事實之一般法律原則之外，亦具有防止因無訴訟利益而遭駁回之情形產生，避免判決後發生混亂，和平解決紛爭之功能。」「在依法行政的原則下，當然不允許違法行政處分之存在，但是撤銷記已存在的違法行政處分，可能將已然形成的法律狀態徹底顛覆，如此情形若非吾人所樂見，從各種角度與層面比較衡量，自有其必要性。</w:t>
      </w:r>
      <w:r>
        <w:rPr>
          <w:rStyle w:val="ae"/>
        </w:rPr>
        <w:footnoteReference w:id="164"/>
      </w:r>
      <w:r>
        <w:rPr>
          <w:rFonts w:hint="eastAsia"/>
        </w:rPr>
        <w:t>」</w:t>
      </w:r>
    </w:p>
    <w:p w:rsidR="007D6688" w:rsidRDefault="007D6688">
      <w:pPr>
        <w:pStyle w:val="22"/>
        <w:spacing w:line="480" w:lineRule="auto"/>
        <w:rPr>
          <w:rFonts w:hint="eastAsia"/>
        </w:rPr>
      </w:pPr>
      <w:r>
        <w:rPr>
          <w:rFonts w:hint="eastAsia"/>
        </w:rPr>
        <w:t>即使在德國，經過職務安定原則與基本權保障的權衡，若為了避免造成行政功能運作的危險，經考量可能因素，在無其他更加選擇時，自服公職基本權，並基於憲法保障的最佳選擇義務違反而進一步導出損害賠償之訴（</w:t>
      </w:r>
      <w:r>
        <w:rPr>
          <w:rFonts w:eastAsia="MS Mincho"/>
        </w:rPr>
        <w:t>Schadensersatzklage</w:t>
      </w:r>
      <w:r>
        <w:rPr>
          <w:rFonts w:hint="eastAsia"/>
        </w:rPr>
        <w:t>）</w:t>
      </w:r>
      <w:r>
        <w:rPr>
          <w:rStyle w:val="ae"/>
        </w:rPr>
        <w:footnoteReference w:id="165"/>
      </w:r>
      <w:r>
        <w:rPr>
          <w:rFonts w:hint="eastAsia"/>
        </w:rPr>
        <w:t>，或者僅容許公務人員請求損害賠償或訴請確認陞遷任命行為具違法性也是一種適當的考量</w:t>
      </w:r>
      <w:r>
        <w:rPr>
          <w:rStyle w:val="ae"/>
        </w:rPr>
        <w:footnoteReference w:id="166"/>
      </w:r>
      <w:r>
        <w:rPr>
          <w:rFonts w:hint="eastAsia"/>
        </w:rPr>
        <w:t>。</w:t>
      </w:r>
    </w:p>
    <w:p w:rsidR="007D6688" w:rsidRDefault="007D6688">
      <w:pPr>
        <w:pStyle w:val="22"/>
        <w:spacing w:line="480" w:lineRule="auto"/>
        <w:rPr>
          <w:rFonts w:hint="eastAsia"/>
        </w:rPr>
      </w:pPr>
      <w:r>
        <w:rPr>
          <w:rFonts w:hint="eastAsia"/>
        </w:rPr>
        <w:t>這種將原有的撤銷陞遷決定的請求轉換成為違法確認或者損害賠償請求，並不會抵觸憲法上有效權利救濟（</w:t>
      </w:r>
      <w:r>
        <w:t>Gebot des effektiven Rechtsschutzes</w:t>
      </w:r>
      <w:r>
        <w:rPr>
          <w:rFonts w:hint="eastAsia"/>
        </w:rPr>
        <w:t>）的要求。此一憲法要求並不保障人民提起特定的訴訟類型、獲得特定判決形式或者權利保障的形式。這毋寧屬於立法者的形成空間。憲法訴訟權保障的其實在於，所有影響人民基本權利的高權行為或措施都可以透過某一種有效權利保護的司法途徑加以審查</w:t>
      </w:r>
      <w:r>
        <w:rPr>
          <w:rStyle w:val="ae"/>
        </w:rPr>
        <w:footnoteReference w:id="167"/>
      </w:r>
      <w:r>
        <w:rPr>
          <w:rFonts w:hint="eastAsia"/>
        </w:rPr>
        <w:t>。所以並非所有的公務人員爭訟案件都必須透過撤銷訴訟才算是滿足訴訟權保障的要求。在爭訟案件的特殊性考量下，容許公務人員提起損害賠償之訴也可滿足有效權利救濟的憲法要求</w:t>
      </w:r>
      <w:r>
        <w:rPr>
          <w:rStyle w:val="ae"/>
        </w:rPr>
        <w:footnoteReference w:id="168"/>
      </w:r>
      <w:r>
        <w:rPr>
          <w:rFonts w:hint="eastAsia"/>
        </w:rPr>
        <w:t>。</w:t>
      </w:r>
    </w:p>
    <w:p w:rsidR="007D6688" w:rsidRDefault="007D6688">
      <w:pPr>
        <w:pStyle w:val="22"/>
        <w:spacing w:line="480" w:lineRule="auto"/>
      </w:pPr>
      <w:r>
        <w:rPr>
          <w:rFonts w:hint="eastAsia"/>
        </w:rPr>
        <w:t>相反地，倘若貿然撤銷原處分，致勝訴之公務人員確實已無職缺可供回復（他人已任命完成），這種勝訴判決不僅可能毫無實益，同時也可能進一步波及其他公務人員已完成的任命。倘他人亦因信賴保護之故，其任命不應予以撤銷或廢止，同一職缺如何安置兩人，恐怕是裁判時，未予以深究之處</w:t>
      </w:r>
      <w:r>
        <w:rPr>
          <w:rStyle w:val="ae"/>
        </w:rPr>
        <w:footnoteReference w:id="169"/>
      </w:r>
      <w:r>
        <w:rPr>
          <w:rFonts w:hint="eastAsia"/>
        </w:rPr>
        <w:t>。</w:t>
      </w:r>
    </w:p>
    <w:p w:rsidR="007D6688" w:rsidRDefault="007D6688">
      <w:pPr>
        <w:pStyle w:val="1"/>
        <w:spacing w:before="180" w:after="180" w:line="480" w:lineRule="auto"/>
        <w:rPr>
          <w:lang w:val="de-DE"/>
        </w:rPr>
      </w:pPr>
      <w:r>
        <w:br w:type="page"/>
      </w:r>
      <w:bookmarkStart w:id="169" w:name="_Toc121199246"/>
      <w:bookmarkStart w:id="170" w:name="_Toc121212718"/>
      <w:bookmarkStart w:id="171" w:name="_Toc121212981"/>
      <w:r>
        <w:rPr>
          <w:lang w:val="de-DE"/>
        </w:rPr>
        <w:t>1</w:t>
      </w:r>
      <w:r>
        <w:rPr>
          <w:rFonts w:hint="eastAsia"/>
          <w:lang w:val="de-DE"/>
        </w:rPr>
        <w:t>1.</w:t>
      </w:r>
      <w:r>
        <w:rPr>
          <w:rFonts w:hint="eastAsia"/>
          <w:lang w:val="de-DE"/>
        </w:rPr>
        <w:t>結論</w:t>
      </w:r>
      <w:bookmarkEnd w:id="169"/>
      <w:bookmarkEnd w:id="170"/>
      <w:bookmarkEnd w:id="171"/>
    </w:p>
    <w:p w:rsidR="007D6688" w:rsidRDefault="007D6688">
      <w:pPr>
        <w:pStyle w:val="22"/>
        <w:spacing w:line="480" w:lineRule="auto"/>
        <w:rPr>
          <w:rFonts w:hint="eastAsia"/>
        </w:rPr>
      </w:pPr>
      <w:r>
        <w:rPr>
          <w:rFonts w:hint="eastAsia"/>
        </w:rPr>
        <w:t>綜合本研究之研究，資綜理提出如下結論：</w:t>
      </w:r>
    </w:p>
    <w:p w:rsidR="007D6688" w:rsidRDefault="007D6688">
      <w:pPr>
        <w:pStyle w:val="22"/>
        <w:numPr>
          <w:ilvl w:val="0"/>
          <w:numId w:val="23"/>
        </w:numPr>
        <w:spacing w:line="480" w:lineRule="auto"/>
        <w:ind w:firstLineChars="0"/>
        <w:rPr>
          <w:rStyle w:val="af3"/>
          <w:rFonts w:ascii="Times New Roman" w:hint="eastAsia"/>
        </w:rPr>
      </w:pPr>
      <w:r>
        <w:rPr>
          <w:rFonts w:hAnsi="新細明體"/>
        </w:rPr>
        <w:t>因不滿機關陞遷序列表所定之陞遷序列而提起</w:t>
      </w:r>
      <w:r>
        <w:rPr>
          <w:rFonts w:hAnsi="新細明體" w:hint="eastAsia"/>
        </w:rPr>
        <w:t>之爭議案件</w:t>
      </w:r>
      <w:r>
        <w:rPr>
          <w:rFonts w:hAnsi="新細明體"/>
        </w:rPr>
        <w:t>。保訓會之立場認為</w:t>
      </w:r>
      <w:r>
        <w:rPr>
          <w:rStyle w:val="af3"/>
          <w:rFonts w:ascii="Times New Roman"/>
        </w:rPr>
        <w:t>陞遷序列表僅為抽象性規範，並非「具體」管理措施，故不得提起再申訴救濟。限縮解釋其再申訴程序標的僅限於「『具體』管理措施」，而不包括其他抽象管理行為。</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hint="eastAsia"/>
          <w:sz w:val="24"/>
          <w:szCs w:val="24"/>
        </w:rPr>
        <w:t>機關</w:t>
      </w:r>
      <w:r>
        <w:rPr>
          <w:rStyle w:val="stext1"/>
          <w:rFonts w:ascii="sөũ" w:hAnsi="sөũ"/>
          <w:sz w:val="24"/>
          <w:szCs w:val="24"/>
        </w:rPr>
        <w:t>職務出缺時，應由人事單位簽報機關首長決定職缺擬辦內陞或外補，其採內陞者，即應依陞遷序列表所定序列逐級辦理甄審，並按甄審結果報請機關首長圈定陞補、發布派令。</w:t>
      </w:r>
      <w:r>
        <w:rPr>
          <w:rStyle w:val="stext1"/>
          <w:rFonts w:ascii="sөũ" w:hAnsi="sөũ" w:hint="eastAsia"/>
          <w:sz w:val="24"/>
          <w:szCs w:val="24"/>
        </w:rPr>
        <w:t>機關首長對於內陞或外補之決定應屬機關首長之合義務決定空間。</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hint="eastAsia"/>
          <w:sz w:val="24"/>
          <w:szCs w:val="24"/>
        </w:rPr>
        <w:t>針對有關內陞或外補的作業標準不服，目前</w:t>
      </w:r>
      <w:r>
        <w:rPr>
          <w:rStyle w:val="stext1"/>
          <w:rFonts w:ascii="sөũ" w:hAnsi="sөũ" w:hint="eastAsia"/>
          <w:color w:val="000000"/>
          <w:sz w:val="24"/>
          <w:szCs w:val="24"/>
        </w:rPr>
        <w:t>保訓會的立場係認定此類作業僅係一般抽象規範，倘公務人員未對主管機關為一定之陞遷請求，同時也</w:t>
      </w:r>
      <w:r>
        <w:rPr>
          <w:rStyle w:val="stext"/>
        </w:rPr>
        <w:t>未見服務機關對</w:t>
      </w:r>
      <w:r>
        <w:rPr>
          <w:rStyle w:val="stext"/>
          <w:rFonts w:hint="eastAsia"/>
        </w:rPr>
        <w:t>特定公務人員</w:t>
      </w:r>
      <w:r>
        <w:rPr>
          <w:rStyle w:val="stext"/>
        </w:rPr>
        <w:t>有任何具體之管理措施</w:t>
      </w:r>
      <w:r>
        <w:rPr>
          <w:rStyle w:val="stext1"/>
          <w:rFonts w:ascii="sөũ" w:hAnsi="sөũ"/>
          <w:color w:val="000000"/>
          <w:sz w:val="24"/>
          <w:szCs w:val="24"/>
        </w:rPr>
        <w:t>，</w:t>
      </w:r>
      <w:r>
        <w:rPr>
          <w:rStyle w:val="stext1"/>
          <w:rFonts w:ascii="sөũ" w:hAnsi="sөũ" w:hint="eastAsia"/>
          <w:color w:val="000000"/>
          <w:sz w:val="24"/>
          <w:szCs w:val="24"/>
        </w:rPr>
        <w:t>尚</w:t>
      </w:r>
      <w:r>
        <w:rPr>
          <w:rStyle w:val="stext1"/>
          <w:rFonts w:ascii="sөũ" w:hAnsi="sөũ"/>
          <w:color w:val="000000"/>
          <w:sz w:val="24"/>
          <w:szCs w:val="24"/>
        </w:rPr>
        <w:t>不得依據保障法所定</w:t>
      </w:r>
      <w:r>
        <w:rPr>
          <w:rStyle w:val="stext1"/>
          <w:rFonts w:ascii="sөũ" w:hAnsi="sөũ" w:hint="eastAsia"/>
          <w:color w:val="000000"/>
          <w:sz w:val="24"/>
          <w:szCs w:val="24"/>
        </w:rPr>
        <w:t>再申訴</w:t>
      </w:r>
      <w:r>
        <w:rPr>
          <w:rStyle w:val="stext1"/>
          <w:rFonts w:ascii="sөũ" w:hAnsi="sөũ"/>
          <w:color w:val="000000"/>
          <w:sz w:val="24"/>
          <w:szCs w:val="24"/>
        </w:rPr>
        <w:t>程序請求救濟</w:t>
      </w:r>
      <w:r>
        <w:rPr>
          <w:rStyle w:val="stext1"/>
          <w:rFonts w:ascii="sөũ" w:hAnsi="sөũ" w:hint="eastAsia"/>
          <w:color w:val="000000"/>
          <w:sz w:val="24"/>
          <w:szCs w:val="24"/>
        </w:rPr>
        <w:t>。</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hint="eastAsia"/>
          <w:color w:val="000000"/>
          <w:sz w:val="24"/>
          <w:szCs w:val="24"/>
        </w:rPr>
        <w:t>機關若直接拒絕公務人員參加甄選，保訓會認為此時機關已作成一內部管理措施，得經再申訴程序尋求救濟。相對地，對於公務人員消極未被列入陞遷名冊之案件，保訓會認為</w:t>
      </w:r>
      <w:r>
        <w:rPr>
          <w:rStyle w:val="stext1"/>
          <w:rFonts w:ascii="sөũ" w:hAnsi="sөũ"/>
          <w:color w:val="000000"/>
          <w:sz w:val="24"/>
          <w:szCs w:val="24"/>
        </w:rPr>
        <w:t>未獲列入陞任或遷調名冊，乃係機關內部所為之管理措施，對</w:t>
      </w:r>
      <w:r>
        <w:rPr>
          <w:rStyle w:val="stext1"/>
          <w:rFonts w:ascii="sөũ" w:hAnsi="sөũ" w:hint="eastAsia"/>
          <w:color w:val="000000"/>
          <w:sz w:val="24"/>
          <w:szCs w:val="24"/>
        </w:rPr>
        <w:t>公務人員</w:t>
      </w:r>
      <w:r>
        <w:rPr>
          <w:rStyle w:val="stext1"/>
          <w:rFonts w:ascii="sөũ" w:hAnsi="sөũ"/>
          <w:color w:val="000000"/>
          <w:sz w:val="24"/>
          <w:szCs w:val="24"/>
        </w:rPr>
        <w:t>之權利尚無重大影響，且未改變其公務人員之身分關係，不得依據保障法所定復審程序請求救濟</w:t>
      </w:r>
      <w:r>
        <w:rPr>
          <w:rStyle w:val="stext1"/>
          <w:rFonts w:ascii="sөũ" w:hAnsi="sөũ" w:hint="eastAsia"/>
          <w:color w:val="000000"/>
          <w:sz w:val="24"/>
          <w:szCs w:val="24"/>
        </w:rPr>
        <w:t>。</w:t>
      </w:r>
    </w:p>
    <w:p w:rsidR="007D6688" w:rsidRDefault="007D6688">
      <w:pPr>
        <w:pStyle w:val="22"/>
        <w:numPr>
          <w:ilvl w:val="0"/>
          <w:numId w:val="23"/>
        </w:numPr>
        <w:spacing w:line="480" w:lineRule="auto"/>
        <w:ind w:firstLineChars="0"/>
        <w:rPr>
          <w:rFonts w:hint="eastAsia"/>
        </w:rPr>
      </w:pPr>
      <w:r>
        <w:rPr>
          <w:rFonts w:hint="eastAsia"/>
          <w:w w:val="105"/>
        </w:rPr>
        <w:t>各機關辦理公務人員之陞遷時，除應由人事單位就具有擬陞遷職務任用資格人員，分別情形，依積分高低順序或資格條件造列名冊外，並應檢同有關資料，報請本機關首長交付甄審委員會進行評審。對於甄審委員會評審決定，保訓會並不認為係一具體管理措施。</w:t>
      </w:r>
    </w:p>
    <w:p w:rsidR="007D6688" w:rsidRDefault="007D6688">
      <w:pPr>
        <w:pStyle w:val="22"/>
        <w:numPr>
          <w:ilvl w:val="0"/>
          <w:numId w:val="23"/>
        </w:numPr>
        <w:spacing w:line="480" w:lineRule="auto"/>
        <w:ind w:firstLineChars="0"/>
        <w:rPr>
          <w:rStyle w:val="af3"/>
          <w:rFonts w:ascii="Times New Roman" w:hAnsi="Times New Roman" w:hint="eastAsia"/>
        </w:rPr>
      </w:pPr>
      <w:r>
        <w:rPr>
          <w:rStyle w:val="af3"/>
          <w:rFonts w:hint="eastAsia"/>
        </w:rPr>
        <w:t>對於本人雖參與甄審，惟最終未獲陞遷之案件，保訓會認為人事</w:t>
      </w:r>
      <w:r>
        <w:rPr>
          <w:rStyle w:val="af3"/>
        </w:rPr>
        <w:t>甄審會</w:t>
      </w:r>
      <w:r>
        <w:rPr>
          <w:rStyle w:val="af3"/>
          <w:rFonts w:hint="eastAsia"/>
        </w:rPr>
        <w:t>對</w:t>
      </w:r>
      <w:r>
        <w:rPr>
          <w:rStyle w:val="af3"/>
        </w:rPr>
        <w:t>符合資格條件者之服務情形、專長才能、發展潛力、領導統御等因素作綜合考評</w:t>
      </w:r>
      <w:r>
        <w:rPr>
          <w:rStyle w:val="af3"/>
          <w:rFonts w:hint="eastAsia"/>
        </w:rPr>
        <w:t>時，</w:t>
      </w:r>
      <w:r>
        <w:rPr>
          <w:rStyle w:val="af3"/>
        </w:rPr>
        <w:t>類此考評工作，富高度屬人性，除辦理考評業務有法定程序上之瑕疵、對事實認定有違誤、審議未遵守一般公認價值判斷之標準、有「與事件無關之考慮」牽涉在內及有違反平等原則等情事外，機關學校首長或甄審會或審議會對符合資格者考評之「判斷餘地」理應尊重</w:t>
      </w:r>
      <w:r>
        <w:rPr>
          <w:rStyle w:val="af3"/>
          <w:rFonts w:hint="eastAsia"/>
        </w:rPr>
        <w:t>。</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color w:val="000000"/>
          <w:sz w:val="24"/>
          <w:szCs w:val="24"/>
        </w:rPr>
        <w:t>辦理陞遷時，應就具有擬陞遷職務任用資格人員，分別情形，依積分高低順序或資格條件造列名冊，並檢同有關資料，交甄審委員會評審後，報請機關首長就前三名中圈定陞補之。</w:t>
      </w:r>
      <w:r>
        <w:rPr>
          <w:rStyle w:val="stext1"/>
          <w:rFonts w:ascii="sөũ" w:hAnsi="sөũ" w:hint="eastAsia"/>
          <w:color w:val="000000"/>
          <w:sz w:val="24"/>
          <w:szCs w:val="24"/>
        </w:rPr>
        <w:t>因此不只</w:t>
      </w:r>
      <w:r>
        <w:rPr>
          <w:rStyle w:val="stext1"/>
          <w:rFonts w:ascii="sөũ" w:hAnsi="sөũ"/>
          <w:color w:val="000000"/>
          <w:sz w:val="24"/>
          <w:szCs w:val="24"/>
        </w:rPr>
        <w:t>機關首長在合理及必要之範圍內，基於內部管理、領導統御及業務運作需要，就公務人員之職務陞遷，應本專才、專業、適才、適所之旨外，並應就公務人員個人之工作表現、品行操守、學識能力等各方面考核評量。類此考評工作，富高度屬人性，</w:t>
      </w:r>
      <w:r>
        <w:rPr>
          <w:rStyle w:val="stext1"/>
          <w:rFonts w:ascii="sөũ" w:hAnsi="sөũ" w:hint="eastAsia"/>
          <w:color w:val="000000"/>
          <w:sz w:val="24"/>
          <w:szCs w:val="24"/>
        </w:rPr>
        <w:t>所以</w:t>
      </w:r>
      <w:r>
        <w:rPr>
          <w:rStyle w:val="stext1"/>
          <w:rFonts w:ascii="sөũ" w:hAnsi="sөũ"/>
          <w:color w:val="000000"/>
          <w:sz w:val="24"/>
          <w:szCs w:val="24"/>
        </w:rPr>
        <w:t>除考評違反相關人事法令規定、具有法定程序上之瑕疵、對事實認定有違誤、未遵守一般公認價值判斷之標準、有與事件無關之考慮牽涉在內及有違反平等原則等情事外，主管長官對部屬所為之考評及職務陞遷之判斷餘地，應予尊重。</w:t>
      </w:r>
      <w:r>
        <w:rPr>
          <w:rStyle w:val="stext1"/>
          <w:rFonts w:ascii="sөũ" w:hAnsi="sөũ" w:hint="eastAsia"/>
          <w:color w:val="000000"/>
          <w:sz w:val="24"/>
          <w:szCs w:val="24"/>
        </w:rPr>
        <w:t>甚至於即使</w:t>
      </w:r>
      <w:r>
        <w:rPr>
          <w:rStyle w:val="stext1"/>
          <w:rFonts w:ascii="sөũ" w:hAnsi="sөũ"/>
          <w:color w:val="000000"/>
          <w:sz w:val="24"/>
          <w:szCs w:val="24"/>
        </w:rPr>
        <w:t>資績分數排序為第一，機關首長</w:t>
      </w:r>
      <w:r>
        <w:rPr>
          <w:rStyle w:val="stext1"/>
          <w:rFonts w:ascii="sөũ" w:hAnsi="sөũ" w:hint="eastAsia"/>
          <w:color w:val="000000"/>
          <w:sz w:val="24"/>
          <w:szCs w:val="24"/>
        </w:rPr>
        <w:t>亦</w:t>
      </w:r>
      <w:r>
        <w:rPr>
          <w:rStyle w:val="stext1"/>
          <w:rFonts w:ascii="sөũ" w:hAnsi="sөũ"/>
          <w:color w:val="000000"/>
          <w:sz w:val="24"/>
          <w:szCs w:val="24"/>
        </w:rPr>
        <w:t>非不得就前三名中圈定</w:t>
      </w:r>
      <w:r>
        <w:rPr>
          <w:rStyle w:val="stext1"/>
          <w:rFonts w:ascii="sөũ" w:hAnsi="sөũ" w:hint="eastAsia"/>
          <w:color w:val="000000"/>
          <w:sz w:val="24"/>
          <w:szCs w:val="24"/>
        </w:rPr>
        <w:t>其他</w:t>
      </w:r>
      <w:r>
        <w:rPr>
          <w:rStyle w:val="stext1"/>
          <w:rFonts w:ascii="sөũ" w:hAnsi="sөũ"/>
          <w:color w:val="000000"/>
          <w:sz w:val="24"/>
          <w:szCs w:val="24"/>
        </w:rPr>
        <w:t>人陞補。</w:t>
      </w:r>
      <w:r>
        <w:rPr>
          <w:rStyle w:val="stext1"/>
          <w:rFonts w:ascii="sөũ" w:hAnsi="sөũ" w:hint="eastAsia"/>
          <w:color w:val="000000"/>
          <w:sz w:val="24"/>
          <w:szCs w:val="24"/>
        </w:rPr>
        <w:t>除非有</w:t>
      </w:r>
      <w:r>
        <w:rPr>
          <w:rStyle w:val="stext1"/>
          <w:rFonts w:ascii="sөũ" w:hAnsi="sөũ"/>
          <w:color w:val="000000"/>
          <w:sz w:val="24"/>
          <w:szCs w:val="24"/>
        </w:rPr>
        <w:t>其他足資證明</w:t>
      </w:r>
      <w:r>
        <w:rPr>
          <w:rStyle w:val="stext1"/>
          <w:rFonts w:ascii="sөũ" w:hAnsi="sөũ" w:hint="eastAsia"/>
          <w:color w:val="000000"/>
          <w:sz w:val="24"/>
          <w:szCs w:val="24"/>
        </w:rPr>
        <w:t>首長</w:t>
      </w:r>
      <w:r>
        <w:rPr>
          <w:rStyle w:val="stext1"/>
          <w:rFonts w:ascii="sөũ" w:hAnsi="sөũ"/>
          <w:color w:val="000000"/>
          <w:sz w:val="24"/>
          <w:szCs w:val="24"/>
        </w:rPr>
        <w:t>對其有不當考量，致影響</w:t>
      </w:r>
      <w:r>
        <w:rPr>
          <w:rStyle w:val="stext1"/>
          <w:rFonts w:ascii="sөũ" w:hAnsi="sөũ" w:hint="eastAsia"/>
          <w:color w:val="000000"/>
          <w:sz w:val="24"/>
          <w:szCs w:val="24"/>
        </w:rPr>
        <w:t>陞遷</w:t>
      </w:r>
      <w:r>
        <w:rPr>
          <w:rStyle w:val="stext1"/>
          <w:rFonts w:ascii="sөũ" w:hAnsi="sөũ"/>
          <w:color w:val="000000"/>
          <w:sz w:val="24"/>
          <w:szCs w:val="24"/>
        </w:rPr>
        <w:t>之具體事證</w:t>
      </w:r>
      <w:r>
        <w:rPr>
          <w:rStyle w:val="stext1"/>
          <w:rFonts w:ascii="sөũ" w:hAnsi="sөũ" w:hint="eastAsia"/>
          <w:color w:val="000000"/>
          <w:sz w:val="24"/>
          <w:szCs w:val="24"/>
        </w:rPr>
        <w:t>。</w:t>
      </w:r>
    </w:p>
    <w:p w:rsidR="007D6688" w:rsidRDefault="007D6688">
      <w:pPr>
        <w:pStyle w:val="22"/>
        <w:numPr>
          <w:ilvl w:val="0"/>
          <w:numId w:val="23"/>
        </w:numPr>
        <w:spacing w:line="480" w:lineRule="auto"/>
        <w:ind w:firstLineChars="0"/>
        <w:rPr>
          <w:rStyle w:val="af3"/>
          <w:rFonts w:ascii="Times New Roman" w:hAnsi="Times New Roman" w:hint="eastAsia"/>
        </w:rPr>
      </w:pPr>
      <w:r>
        <w:rPr>
          <w:rStyle w:val="af3"/>
          <w:rFonts w:hint="eastAsia"/>
        </w:rPr>
        <w:t>對於請求陞遷之公務人員是否具有所謂「陞遷請求權」的認定，保訓會至少承認當事人具有所謂形式之（主觀）公法上權利。</w:t>
      </w:r>
    </w:p>
    <w:p w:rsidR="007D6688" w:rsidRDefault="007D6688">
      <w:pPr>
        <w:pStyle w:val="22"/>
        <w:numPr>
          <w:ilvl w:val="0"/>
          <w:numId w:val="23"/>
        </w:numPr>
        <w:spacing w:line="480" w:lineRule="auto"/>
        <w:ind w:firstLineChars="0"/>
        <w:rPr>
          <w:rStyle w:val="stext1"/>
          <w:rFonts w:hint="eastAsia"/>
          <w:sz w:val="24"/>
          <w:szCs w:val="24"/>
        </w:rPr>
      </w:pPr>
      <w:r>
        <w:rPr>
          <w:rStyle w:val="af3"/>
          <w:rFonts w:hint="eastAsia"/>
        </w:rPr>
        <w:t>公務人員不服陞遷決定，但於其提起救濟時陞遷已辦理完成的案件，保訓會認為</w:t>
      </w:r>
      <w:r>
        <w:rPr>
          <w:rStyle w:val="stext1"/>
          <w:rFonts w:ascii="sөũ" w:hAnsi="sөũ"/>
          <w:color w:val="000000"/>
          <w:sz w:val="24"/>
          <w:szCs w:val="24"/>
        </w:rPr>
        <w:t>公務人員提出再申訴，倘對於當事人被侵害之權利或法律上利益，縱經審議之結果，亦無從補救，或無法回復其法律上之地位或其他利益者，其再申訴已無實益，即屬欠缺權利保護之必要。</w:t>
      </w:r>
    </w:p>
    <w:p w:rsidR="007D6688" w:rsidRDefault="007D6688">
      <w:pPr>
        <w:pStyle w:val="22"/>
        <w:numPr>
          <w:ilvl w:val="0"/>
          <w:numId w:val="23"/>
        </w:numPr>
        <w:spacing w:line="480" w:lineRule="auto"/>
        <w:ind w:firstLineChars="0"/>
        <w:rPr>
          <w:rStyle w:val="af3"/>
          <w:rFonts w:ascii="Times New Roman" w:hAnsi="Times New Roman" w:hint="eastAsia"/>
        </w:rPr>
      </w:pPr>
      <w:r>
        <w:rPr>
          <w:rStyle w:val="af3"/>
          <w:rFonts w:hint="eastAsia"/>
        </w:rPr>
        <w:t>公務人員之陞遷救濟中，單獨對於他人之陞任不服時，保訓會的見解似認為，此類案件因非屬涉及自己權益事項，提起救濟時往往不具請求救濟的權能（訴訟權能），而非適格之主體。</w:t>
      </w:r>
      <w:r>
        <w:rPr>
          <w:rStyle w:val="stext1"/>
          <w:rFonts w:ascii="sөũ" w:hAnsi="sөũ" w:hint="eastAsia"/>
          <w:color w:val="000000"/>
          <w:sz w:val="24"/>
          <w:szCs w:val="24"/>
        </w:rPr>
        <w:t>若考量行政處分中有附第三人效力的成分，即使該行政處分對關係人權益無直接關連，但仍有權益間接影響的可能性，是否全然在救濟時當事人不適格，仍未可率而言之。</w:t>
      </w:r>
    </w:p>
    <w:p w:rsidR="007D6688" w:rsidRDefault="007D6688">
      <w:pPr>
        <w:pStyle w:val="22"/>
        <w:numPr>
          <w:ilvl w:val="0"/>
          <w:numId w:val="23"/>
        </w:numPr>
        <w:spacing w:line="480" w:lineRule="auto"/>
        <w:ind w:firstLineChars="0"/>
        <w:rPr>
          <w:rStyle w:val="text"/>
          <w:rFonts w:hint="eastAsia"/>
        </w:rPr>
      </w:pPr>
      <w:r>
        <w:rPr>
          <w:rStyle w:val="af3"/>
          <w:rFonts w:hint="eastAsia"/>
        </w:rPr>
        <w:t>公務人員之陞遷往往是一個存在多數競爭者的爭議案件。對於自己未獲得陞遷之決定不服，請求救濟時，往往會牽涉到其他已經任命第三人之權益。倘當事人之救濟有理由，但第三人之任命亦已確定，基於職務安定的要求，保訓會採納了情況決定（判決）方式。將雖有理由之</w:t>
      </w:r>
      <w:r>
        <w:rPr>
          <w:rStyle w:val="text"/>
        </w:rPr>
        <w:t>再復審</w:t>
      </w:r>
      <w:r>
        <w:rPr>
          <w:rStyle w:val="text"/>
          <w:rFonts w:hint="eastAsia"/>
        </w:rPr>
        <w:t>予以</w:t>
      </w:r>
      <w:r>
        <w:rPr>
          <w:rStyle w:val="text"/>
        </w:rPr>
        <w:t>駁回</w:t>
      </w:r>
      <w:r>
        <w:rPr>
          <w:rStyle w:val="text"/>
          <w:rFonts w:hint="eastAsia"/>
        </w:rPr>
        <w:t>，而於決定主文中諭知</w:t>
      </w:r>
      <w:r>
        <w:rPr>
          <w:rStyle w:val="text"/>
        </w:rPr>
        <w:t>原處分違法。</w:t>
      </w:r>
    </w:p>
    <w:p w:rsidR="007D6688" w:rsidRDefault="007D6688">
      <w:pPr>
        <w:pStyle w:val="22"/>
        <w:numPr>
          <w:ilvl w:val="0"/>
          <w:numId w:val="23"/>
        </w:numPr>
        <w:spacing w:line="480" w:lineRule="auto"/>
        <w:ind w:firstLineChars="0"/>
        <w:rPr>
          <w:rStyle w:val="text"/>
          <w:rFonts w:hint="eastAsia"/>
        </w:rPr>
      </w:pPr>
      <w:r>
        <w:rPr>
          <w:rStyle w:val="af3"/>
          <w:rFonts w:hint="eastAsia"/>
        </w:rPr>
        <w:t>公務人員於參與他機關之陞遷甄選，倘他機關決定不予率取，如同本機關未予陞遷決定般，原則上應視決定機關之裁量或判斷是否違法而定，否則原則上也應尊重機關之決定。</w:t>
      </w:r>
    </w:p>
    <w:p w:rsidR="007D6688" w:rsidRDefault="007D6688">
      <w:pPr>
        <w:pStyle w:val="22"/>
        <w:numPr>
          <w:ilvl w:val="0"/>
          <w:numId w:val="23"/>
        </w:numPr>
        <w:spacing w:line="480" w:lineRule="auto"/>
        <w:ind w:firstLineChars="0"/>
        <w:rPr>
          <w:rStyle w:val="stext1"/>
          <w:rFonts w:hint="eastAsia"/>
          <w:sz w:val="24"/>
          <w:szCs w:val="24"/>
        </w:rPr>
      </w:pPr>
      <w:r>
        <w:rPr>
          <w:rStyle w:val="af3"/>
          <w:rFonts w:hint="eastAsia"/>
        </w:rPr>
        <w:t>他機關辦理陞遷時，若未被納入甄審名冊或者未被通知參與甄審，</w:t>
      </w:r>
      <w:r>
        <w:rPr>
          <w:rStyle w:val="stext1"/>
          <w:rFonts w:ascii="sөũ" w:hAnsi="sөũ" w:hint="eastAsia"/>
          <w:color w:val="000000"/>
          <w:sz w:val="24"/>
          <w:szCs w:val="24"/>
        </w:rPr>
        <w:t>保訓會立場並認為復審人此時並無要求舉辦甄審機關為行政處分之（主觀）公法上權利，似乎將甄審機關所為參與甄審之通知視為一行政處分。</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新細明體" w:hAnsi="新細明體" w:hint="eastAsia"/>
          <w:color w:val="000000"/>
          <w:sz w:val="24"/>
          <w:szCs w:val="24"/>
        </w:rPr>
        <w:t>他機關函請原服務機關同意商調時，原服務機關不予同意，保訓會認為</w:t>
      </w:r>
      <w:r>
        <w:rPr>
          <w:rStyle w:val="stext1"/>
          <w:rFonts w:ascii="新細明體" w:hAnsi="新細明體"/>
          <w:color w:val="000000"/>
          <w:sz w:val="24"/>
          <w:szCs w:val="24"/>
        </w:rPr>
        <w:t>機關首長考量其屬官之工作情形及機關業務之需要等理由，於合理性及必要性範圍內，對同意權之行使係屬其人事固有權限，如未違反相關人事法令，應予尊重。</w:t>
      </w:r>
    </w:p>
    <w:p w:rsidR="007D6688" w:rsidRDefault="007D6688">
      <w:pPr>
        <w:pStyle w:val="22"/>
        <w:numPr>
          <w:ilvl w:val="0"/>
          <w:numId w:val="23"/>
        </w:numPr>
        <w:spacing w:line="480" w:lineRule="auto"/>
        <w:ind w:firstLineChars="0"/>
        <w:rPr>
          <w:rStyle w:val="af3"/>
          <w:rFonts w:ascii="Times New Roman" w:hAnsi="Times New Roman" w:hint="eastAsia"/>
        </w:rPr>
      </w:pPr>
      <w:r>
        <w:rPr>
          <w:rStyle w:val="af3"/>
          <w:rFonts w:hint="eastAsia"/>
        </w:rPr>
        <w:t>因他機關於辦理指明商調時，嗣後發現商調人員任用資格不符，因此中止商調程序，當事人隨後請求核發派令遭拒絕而生之爭議。保訓會認為此類拒絕函件具有行政處分性質，而受理復審救濟程序。</w:t>
      </w:r>
    </w:p>
    <w:p w:rsidR="007D6688" w:rsidRDefault="007D6688">
      <w:pPr>
        <w:pStyle w:val="22"/>
        <w:numPr>
          <w:ilvl w:val="0"/>
          <w:numId w:val="23"/>
        </w:numPr>
        <w:spacing w:line="480" w:lineRule="auto"/>
        <w:ind w:firstLineChars="0"/>
        <w:rPr>
          <w:rFonts w:hint="eastAsia"/>
        </w:rPr>
      </w:pPr>
      <w:r>
        <w:rPr>
          <w:rFonts w:hint="eastAsia"/>
        </w:rPr>
        <w:t>保訓會對於欲陞遷之公務人員未獲列入</w:t>
      </w:r>
      <w:r>
        <w:t>陞任或遷調名冊</w:t>
      </w:r>
      <w:r>
        <w:rPr>
          <w:rFonts w:hint="eastAsia"/>
        </w:rPr>
        <w:t>，認屬機關內部之管理措施。行政法院應該也支持是項見解。</w:t>
      </w:r>
    </w:p>
    <w:p w:rsidR="007D6688" w:rsidRDefault="007D6688">
      <w:pPr>
        <w:pStyle w:val="22"/>
        <w:numPr>
          <w:ilvl w:val="0"/>
          <w:numId w:val="23"/>
        </w:numPr>
        <w:spacing w:line="480" w:lineRule="auto"/>
        <w:ind w:firstLineChars="0"/>
        <w:rPr>
          <w:rFonts w:hint="eastAsia"/>
        </w:rPr>
      </w:pPr>
      <w:r>
        <w:rPr>
          <w:rFonts w:hint="eastAsia"/>
        </w:rPr>
        <w:t>資績計分部分，保訓會認係機關具體管理措施，而最高行政法院亦有相同的認知。</w:t>
      </w:r>
    </w:p>
    <w:p w:rsidR="007D6688" w:rsidRDefault="007D6688">
      <w:pPr>
        <w:pStyle w:val="22"/>
        <w:numPr>
          <w:ilvl w:val="0"/>
          <w:numId w:val="23"/>
        </w:numPr>
        <w:spacing w:line="480" w:lineRule="auto"/>
        <w:ind w:firstLineChars="0"/>
        <w:rPr>
          <w:rStyle w:val="af3"/>
          <w:rFonts w:ascii="Times New Roman" w:hAnsi="Times New Roman" w:hint="eastAsia"/>
        </w:rPr>
      </w:pPr>
      <w:r>
        <w:rPr>
          <w:rStyle w:val="af3"/>
          <w:rFonts w:hint="eastAsia"/>
        </w:rPr>
        <w:t>最高行政法院認為公務人員請調職務被拒絕，並不影響現行職務與公務員身分，應屬內部管理措施。</w:t>
      </w:r>
    </w:p>
    <w:p w:rsidR="007D6688" w:rsidRDefault="007D6688">
      <w:pPr>
        <w:pStyle w:val="22"/>
        <w:numPr>
          <w:ilvl w:val="0"/>
          <w:numId w:val="23"/>
        </w:numPr>
        <w:spacing w:line="480" w:lineRule="auto"/>
        <w:ind w:firstLineChars="0"/>
        <w:rPr>
          <w:rFonts w:hint="eastAsia"/>
        </w:rPr>
      </w:pPr>
      <w:r>
        <w:rPr>
          <w:rFonts w:hint="eastAsia"/>
          <w:kern w:val="0"/>
        </w:rPr>
        <w:t>最高行政法院一貫地立場均認為公務人員經考試取得服公職之權利，並非指公務人員可以隨心所欲請求所欲任公職。</w:t>
      </w:r>
    </w:p>
    <w:p w:rsidR="007D6688" w:rsidRDefault="007D6688">
      <w:pPr>
        <w:pStyle w:val="22"/>
        <w:numPr>
          <w:ilvl w:val="0"/>
          <w:numId w:val="23"/>
        </w:numPr>
        <w:spacing w:line="480" w:lineRule="auto"/>
        <w:ind w:firstLineChars="0"/>
        <w:rPr>
          <w:rFonts w:hint="eastAsia"/>
        </w:rPr>
      </w:pPr>
      <w:r>
        <w:rPr>
          <w:rFonts w:hint="eastAsia"/>
          <w:kern w:val="0"/>
        </w:rPr>
        <w:t>對於保訓會在若干案件中，對於陞遷程序完成，第三人已獲陞遷任命，因未獲陞遷而請求救濟之公務人員，在事實上回復陞遷任命有困難時不得已所採用的情況決定，相較而言，行政法院的態度採否定說。</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hint="eastAsia"/>
          <w:sz w:val="24"/>
          <w:szCs w:val="24"/>
        </w:rPr>
        <w:t>保障法上作為申訴程序標的之管理措施，保訓會是將之限縮在「</w:t>
      </w:r>
      <w:r>
        <w:rPr>
          <w:rStyle w:val="stext1"/>
          <w:rFonts w:ascii="sөũ" w:hAnsi="sөũ"/>
          <w:sz w:val="24"/>
          <w:szCs w:val="24"/>
        </w:rPr>
        <w:t>有</w:t>
      </w:r>
      <w:r>
        <w:rPr>
          <w:rStyle w:val="stext1"/>
          <w:rFonts w:ascii="sөũ" w:hAnsi="sөũ" w:hint="eastAsia"/>
          <w:sz w:val="24"/>
          <w:szCs w:val="24"/>
        </w:rPr>
        <w:t>『</w:t>
      </w:r>
      <w:r>
        <w:rPr>
          <w:rStyle w:val="stext1"/>
          <w:rFonts w:ascii="sөũ" w:hAnsi="sөũ"/>
          <w:sz w:val="24"/>
          <w:szCs w:val="24"/>
        </w:rPr>
        <w:t>具體</w:t>
      </w:r>
      <w:r>
        <w:rPr>
          <w:rStyle w:val="stext1"/>
          <w:rFonts w:ascii="sөũ" w:hAnsi="sөũ" w:hint="eastAsia"/>
          <w:sz w:val="24"/>
          <w:szCs w:val="24"/>
        </w:rPr>
        <w:t>』</w:t>
      </w:r>
      <w:r>
        <w:rPr>
          <w:rStyle w:val="stext1"/>
          <w:rFonts w:ascii="sөũ" w:hAnsi="sөũ"/>
          <w:sz w:val="24"/>
          <w:szCs w:val="24"/>
        </w:rPr>
        <w:t>事實存在</w:t>
      </w:r>
      <w:r>
        <w:rPr>
          <w:rStyle w:val="stext1"/>
          <w:rFonts w:ascii="sөũ" w:hAnsi="sөũ" w:hint="eastAsia"/>
          <w:sz w:val="24"/>
          <w:szCs w:val="24"/>
        </w:rPr>
        <w:t>之管理措施」，一般抽象之管理行為並不屬之。</w:t>
      </w:r>
    </w:p>
    <w:p w:rsidR="007D6688" w:rsidRDefault="007D6688">
      <w:pPr>
        <w:pStyle w:val="22"/>
        <w:numPr>
          <w:ilvl w:val="0"/>
          <w:numId w:val="23"/>
        </w:numPr>
        <w:spacing w:line="480" w:lineRule="auto"/>
        <w:ind w:firstLineChars="0"/>
        <w:rPr>
          <w:rStyle w:val="stext1"/>
          <w:rFonts w:hint="eastAsia"/>
          <w:sz w:val="24"/>
          <w:szCs w:val="24"/>
        </w:rPr>
      </w:pPr>
      <w:r>
        <w:rPr>
          <w:rStyle w:val="stext1"/>
          <w:rFonts w:ascii="sөũ" w:hAnsi="sөũ" w:hint="eastAsia"/>
          <w:sz w:val="24"/>
          <w:szCs w:val="24"/>
        </w:rPr>
        <w:t>根據保障法</w:t>
      </w:r>
      <w:r>
        <w:rPr>
          <w:rFonts w:ascii="sөũ" w:hAnsi="sөũ"/>
          <w:color w:val="000000"/>
        </w:rPr>
        <w:t>第</w:t>
      </w:r>
      <w:r>
        <w:rPr>
          <w:rFonts w:ascii="sөũ" w:hAnsi="sөũ" w:hint="eastAsia"/>
          <w:color w:val="000000"/>
        </w:rPr>
        <w:t>25</w:t>
      </w:r>
      <w:r>
        <w:rPr>
          <w:rFonts w:ascii="sөũ" w:hAnsi="sөũ"/>
          <w:color w:val="000000"/>
        </w:rPr>
        <w:t>條</w:t>
      </w:r>
      <w:r>
        <w:rPr>
          <w:rFonts w:ascii="sөũ" w:hAnsi="sөũ" w:hint="eastAsia"/>
          <w:color w:val="000000"/>
        </w:rPr>
        <w:t>規定，</w:t>
      </w:r>
      <w:r>
        <w:rPr>
          <w:rFonts w:ascii="sөũ" w:hAnsi="sөũ"/>
          <w:color w:val="000000"/>
        </w:rPr>
        <w:t>公務人員對於服務機關或人事主管機關所為之行政處分，認為違法或顯然不當，致損害其權利或利益者，得依本法提起復審。</w:t>
      </w:r>
      <w:r>
        <w:rPr>
          <w:rFonts w:ascii="sөũ" w:hAnsi="sөũ" w:hint="eastAsia"/>
          <w:color w:val="000000"/>
        </w:rPr>
        <w:t>這種撤銷類型的復審程序標的，依保訓會歷來的解釋，</w:t>
      </w:r>
      <w:r>
        <w:rPr>
          <w:rStyle w:val="stext1"/>
          <w:rFonts w:ascii="sөũ" w:hAnsi="sөũ" w:hint="eastAsia"/>
          <w:color w:val="000000"/>
          <w:sz w:val="24"/>
          <w:szCs w:val="24"/>
        </w:rPr>
        <w:t>此</w:t>
      </w:r>
      <w:r>
        <w:rPr>
          <w:rStyle w:val="stext1"/>
          <w:rFonts w:ascii="sөũ" w:hAnsi="sөũ"/>
          <w:color w:val="000000"/>
          <w:sz w:val="24"/>
          <w:szCs w:val="24"/>
        </w:rPr>
        <w:t>所稱行政處分，除參照行政程序法第</w:t>
      </w:r>
      <w:r>
        <w:rPr>
          <w:rStyle w:val="stext1"/>
          <w:rFonts w:ascii="sөũ" w:hAnsi="sөũ"/>
          <w:color w:val="000000"/>
          <w:sz w:val="24"/>
          <w:szCs w:val="24"/>
        </w:rPr>
        <w:t>92</w:t>
      </w:r>
      <w:r>
        <w:rPr>
          <w:rStyle w:val="stext1"/>
          <w:rFonts w:ascii="sөũ" w:hAnsi="sөũ"/>
          <w:color w:val="000000"/>
          <w:sz w:val="24"/>
          <w:szCs w:val="24"/>
        </w:rPr>
        <w:t>條第</w:t>
      </w:r>
      <w:r>
        <w:rPr>
          <w:rStyle w:val="stext1"/>
          <w:rFonts w:ascii="sөũ" w:hAnsi="sөũ"/>
          <w:color w:val="000000"/>
          <w:sz w:val="24"/>
          <w:szCs w:val="24"/>
        </w:rPr>
        <w:t>1</w:t>
      </w:r>
      <w:r>
        <w:rPr>
          <w:rStyle w:val="stext1"/>
          <w:rFonts w:ascii="sөũ" w:hAnsi="sөũ"/>
          <w:color w:val="000000"/>
          <w:sz w:val="24"/>
          <w:szCs w:val="24"/>
        </w:rPr>
        <w:t>項規定，係指行政機關就公法上具體事件所為之決定或其他公權力措施而對外直接發生法律效果之單方行政行為外，依司法院歷次相關解釋意旨，尚以足以改變公務人員身分關係，或於公務人員權利有重大影響，或基於公務人員身分所產生之公法上財產請求權遭受侵害等事項，為得提起復審之範圍</w:t>
      </w:r>
      <w:r>
        <w:rPr>
          <w:rStyle w:val="stext1"/>
          <w:rFonts w:ascii="sөũ" w:hAnsi="sөũ" w:hint="eastAsia"/>
          <w:color w:val="000000"/>
          <w:sz w:val="24"/>
          <w:szCs w:val="24"/>
        </w:rPr>
        <w:t>。</w:t>
      </w:r>
    </w:p>
    <w:p w:rsidR="007D6688" w:rsidRDefault="007D6688">
      <w:pPr>
        <w:pStyle w:val="22"/>
        <w:numPr>
          <w:ilvl w:val="0"/>
          <w:numId w:val="23"/>
        </w:numPr>
        <w:spacing w:line="480" w:lineRule="auto"/>
        <w:ind w:firstLineChars="0"/>
        <w:rPr>
          <w:rFonts w:hint="eastAsia"/>
        </w:rPr>
      </w:pPr>
      <w:r>
        <w:rPr>
          <w:rFonts w:hint="eastAsia"/>
        </w:rPr>
        <w:t>根據訴願法第</w:t>
      </w:r>
      <w:r>
        <w:rPr>
          <w:rFonts w:hint="eastAsia"/>
        </w:rPr>
        <w:t>3</w:t>
      </w:r>
      <w:r>
        <w:rPr>
          <w:rFonts w:hint="eastAsia"/>
        </w:rPr>
        <w:t>條第</w:t>
      </w:r>
      <w:r>
        <w:rPr>
          <w:rFonts w:hint="eastAsia"/>
        </w:rPr>
        <w:t>1</w:t>
      </w:r>
      <w:r>
        <w:rPr>
          <w:rFonts w:hint="eastAsia"/>
        </w:rPr>
        <w:t>項或行政程序法第</w:t>
      </w:r>
      <w:r>
        <w:rPr>
          <w:rFonts w:hint="eastAsia"/>
        </w:rPr>
        <w:t>92</w:t>
      </w:r>
      <w:r>
        <w:rPr>
          <w:rFonts w:hint="eastAsia"/>
        </w:rPr>
        <w:t>條第</w:t>
      </w:r>
      <w:r>
        <w:rPr>
          <w:rFonts w:hint="eastAsia"/>
        </w:rPr>
        <w:t>1</w:t>
      </w:r>
      <w:r>
        <w:rPr>
          <w:rFonts w:hint="eastAsia"/>
        </w:rPr>
        <w:t>項的定義，在公務員法上，行政處分的判斷的確如</w:t>
      </w:r>
      <w:smartTag w:uri="urn:schemas-microsoft-com:office:smarttags" w:element="PersonName">
        <w:smartTagPr>
          <w:attr w:name="ProductID" w:val="李"/>
        </w:smartTagPr>
        <w:r>
          <w:rPr>
            <w:rFonts w:hint="eastAsia"/>
          </w:rPr>
          <w:t>李</w:t>
        </w:r>
      </w:smartTag>
      <w:r>
        <w:rPr>
          <w:rFonts w:hint="eastAsia"/>
        </w:rPr>
        <w:t>教授前文所稱，以是否發生「對外直接法律效果」的認定最具爭議。但是不論大法官的解釋或者如前揭學者之主張，似乎都傾向認同以「是否對於公務員權益重大影響」取代此一要素的判斷。所以在公務員法上，行政處分的定義，其實會被理解成「</w:t>
      </w:r>
      <w:r>
        <w:rPr>
          <w:rFonts w:hint="eastAsia"/>
          <w:bCs/>
        </w:rPr>
        <w:t>行政機關就公法上具體事件所為之決定或其他公權力之措施而『對公務員造成重大權益影響』之單方法律行為</w:t>
      </w:r>
      <w:r>
        <w:rPr>
          <w:rFonts w:hint="eastAsia"/>
        </w:rPr>
        <w:t>」。這一個意義上的轉折，使得原本行政處分定義中「外部性」與「直接法效性」的判斷可能被忽略。</w:t>
      </w:r>
    </w:p>
    <w:p w:rsidR="007D6688" w:rsidRDefault="007D6688">
      <w:pPr>
        <w:pStyle w:val="22"/>
        <w:numPr>
          <w:ilvl w:val="0"/>
          <w:numId w:val="23"/>
        </w:numPr>
        <w:spacing w:line="480" w:lineRule="auto"/>
        <w:ind w:firstLineChars="0"/>
        <w:rPr>
          <w:rFonts w:eastAsia="細明體" w:hAnsi="細明體" w:hint="eastAsia"/>
        </w:rPr>
      </w:pPr>
      <w:r>
        <w:rPr>
          <w:rFonts w:hint="eastAsia"/>
        </w:rPr>
        <w:t>行政處分定義的判斷其實並無意識到權益影響的重大與否，因此，以高度不確定的「重大影響」與否判斷是否為行政處分，並進一步論斷是否給予權利救濟的作法，其實仍有疑問。</w:t>
      </w:r>
    </w:p>
    <w:p w:rsidR="007D6688" w:rsidRDefault="007D6688">
      <w:pPr>
        <w:pStyle w:val="22"/>
        <w:numPr>
          <w:ilvl w:val="0"/>
          <w:numId w:val="23"/>
        </w:numPr>
        <w:spacing w:line="480" w:lineRule="auto"/>
        <w:ind w:firstLineChars="0"/>
        <w:rPr>
          <w:rFonts w:eastAsia="細明體" w:hAnsi="細明體" w:hint="eastAsia"/>
        </w:rPr>
      </w:pPr>
      <w:r>
        <w:t>行政程序法第</w:t>
      </w:r>
      <w:r>
        <w:t>92</w:t>
      </w:r>
      <w:r>
        <w:t>條第</w:t>
      </w:r>
      <w:r>
        <w:t>1</w:t>
      </w:r>
      <w:r>
        <w:t>項規定：「本法所稱行政處分，係指行政機關就公法上具體事件所為之決定或其他公權力措施而</w:t>
      </w:r>
      <w:r>
        <w:rPr>
          <w:b/>
          <w:bCs/>
        </w:rPr>
        <w:t>對外直接發生法律效果</w:t>
      </w:r>
      <w:r>
        <w:t>之單方行政行為。」由反面解釋推知，行政處分一如法規範乃是一種直接作用在外部法領域（</w:t>
      </w:r>
      <w:r>
        <w:t>Wirkung nach draußen</w:t>
      </w:r>
      <w:r>
        <w:t>）的行政措施。同時行政處分的法律效果必須是直接對外部領域發生，如果行政行為僅是「間接」發生外部效果，或者只是在行政外部領域發生事實上效果（</w:t>
      </w:r>
      <w:r>
        <w:t>tatsächliche Wirkung</w:t>
      </w:r>
      <w:r>
        <w:t>）時，則仍非一行政處分。</w:t>
      </w:r>
      <w:r>
        <w:rPr>
          <w:rFonts w:eastAsia="細明體" w:hAnsi="細明體"/>
        </w:rPr>
        <w:t>但是對於行政處分的「外部性」要件判斷，其實還是停留在另一個要件「直接法效性」的操作認定之上。換言之，行政程序法第</w:t>
      </w:r>
      <w:r>
        <w:rPr>
          <w:rFonts w:eastAsia="細明體"/>
        </w:rPr>
        <w:t>92</w:t>
      </w:r>
      <w:r>
        <w:rPr>
          <w:rFonts w:eastAsia="細明體" w:hAnsi="細明體"/>
        </w:rPr>
        <w:t>條中所要求的「對外法律效果」是處分涉及到其權利與義務之人的「權利相關性所需要的「連結關係詞」。亦即透過「對外法律效果」指涉該行政行為之相對人（或利害關係人）與其「權利」得、喪、變更之間的關連性。因此，行政處分所應具備的「對外性」，似乎可以透過權利或法律上地位之相關性的判斷加以取代。</w:t>
      </w:r>
    </w:p>
    <w:p w:rsidR="007D6688" w:rsidRDefault="007D6688">
      <w:pPr>
        <w:pStyle w:val="22"/>
        <w:numPr>
          <w:ilvl w:val="0"/>
          <w:numId w:val="23"/>
        </w:numPr>
        <w:spacing w:line="480" w:lineRule="auto"/>
        <w:ind w:firstLineChars="0"/>
        <w:rPr>
          <w:rFonts w:eastAsia="細明體" w:hAnsi="細明體" w:hint="eastAsia"/>
        </w:rPr>
      </w:pPr>
      <w:r>
        <w:rPr>
          <w:rFonts w:eastAsia="細明體" w:hAnsi="細明體" w:hint="eastAsia"/>
        </w:rPr>
        <w:t>針對公務人員而言，應視其身分係屬於職務執行者（</w:t>
      </w:r>
      <w:r>
        <w:rPr>
          <w:rFonts w:eastAsia="細明體" w:hAnsi="細明體" w:hint="eastAsia"/>
        </w:rPr>
        <w:t>Amtswalter</w:t>
      </w:r>
      <w:r>
        <w:rPr>
          <w:rFonts w:eastAsia="細明體" w:hAnsi="細明體" w:hint="eastAsia"/>
        </w:rPr>
        <w:t>）</w:t>
      </w:r>
      <w:r>
        <w:rPr>
          <w:rFonts w:ascii="新細明體" w:hAnsi="新細明體" w:hint="eastAsia"/>
        </w:rPr>
        <w:t>、</w:t>
      </w:r>
      <w:r>
        <w:rPr>
          <w:rFonts w:eastAsia="細明體" w:hAnsi="細明體" w:hint="eastAsia"/>
        </w:rPr>
        <w:t>公行政之機關或一般人民個人之法律地位（</w:t>
      </w:r>
      <w:r>
        <w:rPr>
          <w:rFonts w:eastAsia="MS Mincho" w:hAnsi="細明體"/>
        </w:rPr>
        <w:t>in seiner pers</w:t>
      </w:r>
      <w:r>
        <w:rPr>
          <w:rFonts w:eastAsia="MS Mincho" w:hAnsi="細明體"/>
        </w:rPr>
        <w:t>ö</w:t>
      </w:r>
      <w:r>
        <w:rPr>
          <w:rFonts w:eastAsia="MS Mincho" w:hAnsi="細明體"/>
        </w:rPr>
        <w:t>nlichen Rechhtstellung</w:t>
      </w:r>
      <w:r>
        <w:rPr>
          <w:rFonts w:eastAsia="細明體" w:hAnsi="細明體" w:hint="eastAsia"/>
        </w:rPr>
        <w:t>）（且不論在職務關係內或職務關係外）分別而定其所受行政行為之屬性。如果公務人員是居於職務執行者的身分，並無主張基本權的可能性，因為基本權保障的一般人民而非國家機關。</w:t>
      </w:r>
    </w:p>
    <w:p w:rsidR="007D6688" w:rsidRDefault="007D6688">
      <w:pPr>
        <w:pStyle w:val="22"/>
        <w:numPr>
          <w:ilvl w:val="0"/>
          <w:numId w:val="23"/>
        </w:numPr>
        <w:spacing w:line="480" w:lineRule="auto"/>
        <w:ind w:firstLineChars="0"/>
        <w:rPr>
          <w:rFonts w:eastAsia="細明體" w:hAnsi="細明體" w:hint="eastAsia"/>
        </w:rPr>
      </w:pPr>
      <w:r>
        <w:rPr>
          <w:rFonts w:eastAsia="細明體" w:hAnsi="細明體"/>
        </w:rPr>
        <w:t>但是須注意的是，權利相關性具備，並不足以直接推論行政處分存在，因為是否具備前揭之「直接性」要素，仍須進一步判斷。</w:t>
      </w:r>
    </w:p>
    <w:p w:rsidR="007D6688" w:rsidRDefault="007D6688">
      <w:pPr>
        <w:pStyle w:val="22"/>
        <w:numPr>
          <w:ilvl w:val="0"/>
          <w:numId w:val="23"/>
        </w:numPr>
        <w:spacing w:line="480" w:lineRule="auto"/>
        <w:ind w:firstLineChars="0"/>
        <w:rPr>
          <w:rFonts w:hint="eastAsia"/>
        </w:rPr>
      </w:pPr>
      <w:r>
        <w:rPr>
          <w:rFonts w:hint="eastAsia"/>
        </w:rPr>
        <w:t>行政機關對於特定之申請陞遷之公務人員所為之拒絕決定，形式上屬「機關內」之決定，若該公務人員本無法律上之陞遷請求權存在，而此一拒絕決定實質上又未對於公務人員之權利產生直接規制的法效性存在（現有權利狀態未受直接影響），同時依公務人員身分而論，此刻他係以職務執行者而非一般人民個人權利地位身分受此拒絕決定，故此決定之性質可能即非行政處分。</w:t>
      </w:r>
    </w:p>
    <w:p w:rsidR="007D6688" w:rsidRDefault="007D6688">
      <w:pPr>
        <w:pStyle w:val="22"/>
        <w:numPr>
          <w:ilvl w:val="0"/>
          <w:numId w:val="23"/>
        </w:numPr>
        <w:spacing w:line="480" w:lineRule="auto"/>
        <w:ind w:firstLineChars="0"/>
        <w:rPr>
          <w:rFonts w:hint="eastAsia"/>
        </w:rPr>
      </w:pPr>
      <w:r>
        <w:rPr>
          <w:rFonts w:hint="eastAsia"/>
        </w:rPr>
        <w:t>對於特定公務人員給予同意陞遷之決定，此一決定應屬一授益行政處分（已經造成身分上的變動，故具有直接對外之法效性），但對於競爭關係下的其他未獲陞遷之公務人員而言，卻可能相反地是一項侵益的決定，因此有可能被理解成一個「附第三人效力之行政處分」。</w:t>
      </w:r>
    </w:p>
    <w:p w:rsidR="007D6688" w:rsidRDefault="007D6688">
      <w:pPr>
        <w:pStyle w:val="22"/>
        <w:numPr>
          <w:ilvl w:val="0"/>
          <w:numId w:val="23"/>
        </w:numPr>
        <w:spacing w:line="480" w:lineRule="auto"/>
        <w:ind w:firstLineChars="0"/>
        <w:rPr>
          <w:rFonts w:hint="eastAsia"/>
        </w:rPr>
      </w:pPr>
      <w:r>
        <w:rPr>
          <w:rFonts w:hint="eastAsia"/>
        </w:rPr>
        <w:t>行政程序法第</w:t>
      </w:r>
      <w:r>
        <w:rPr>
          <w:rFonts w:hint="eastAsia"/>
        </w:rPr>
        <w:t>174</w:t>
      </w:r>
      <w:r>
        <w:rPr>
          <w:rFonts w:hint="eastAsia"/>
        </w:rPr>
        <w:t>條之規定，在陞遷過程中行政機關所為之處置亦有適用。公務人員欲對其中單獨一項程序中的決定不服，是否應容許其單獨救濟，應同樣採考量對公務人員而言是否會造成過遲救濟的危險而定。換言之，假如不讓公務人員即時針對程序行為救濟，會發生無可回復的危害或者過遲救濟的危險時，應該排除本法的限制。亦即得適用行政程序法之程序規定，以及得針對程序決定獨立進行救濟。</w:t>
      </w:r>
    </w:p>
    <w:p w:rsidR="007D6688" w:rsidRDefault="007D6688">
      <w:pPr>
        <w:pStyle w:val="22"/>
        <w:numPr>
          <w:ilvl w:val="0"/>
          <w:numId w:val="23"/>
        </w:numPr>
        <w:spacing w:line="480" w:lineRule="auto"/>
        <w:ind w:firstLineChars="0"/>
        <w:rPr>
          <w:rFonts w:hint="eastAsia"/>
        </w:rPr>
      </w:pPr>
      <w:r>
        <w:rPr>
          <w:rFonts w:hint="eastAsia"/>
        </w:rPr>
        <w:t>一般行政程序上的程序行為，在法律性質的認定上並非毫無爭議。這必須個案中判斷行政機關的決定是否具有對外直接規制的效力而定。但是也有一些程序行為可能只是一些準備行為而不具備課予義務的特徵，當事人受到的影響也可能只是增加程序上的負擔，尚未必可以被認定為行政處分。</w:t>
      </w:r>
    </w:p>
    <w:p w:rsidR="007D6688" w:rsidRDefault="007D6688">
      <w:pPr>
        <w:pStyle w:val="22"/>
        <w:numPr>
          <w:ilvl w:val="0"/>
          <w:numId w:val="23"/>
        </w:numPr>
        <w:spacing w:line="480" w:lineRule="auto"/>
        <w:ind w:firstLineChars="0"/>
        <w:rPr>
          <w:rFonts w:hint="eastAsia"/>
        </w:rPr>
      </w:pPr>
      <w:r>
        <w:rPr>
          <w:rFonts w:hint="eastAsia"/>
          <w:sz w:val="23"/>
        </w:rPr>
        <w:t>行政處分認定的核心要素在於其是否具備對外直接法效性之上。</w:t>
      </w:r>
      <w:r>
        <w:rPr>
          <w:rFonts w:hint="eastAsia"/>
        </w:rPr>
        <w:t>在陞遷流程中，行政機關訂定陞遷序列表、內陞或外補之決定、列入甄審名冊</w:t>
      </w:r>
      <w:r>
        <w:rPr>
          <w:lang w:val="en-US"/>
        </w:rPr>
        <w:t>、</w:t>
      </w:r>
      <w:r>
        <w:rPr>
          <w:rFonts w:hint="eastAsia"/>
        </w:rPr>
        <w:t>甄審會評分、參加他機關甄審之通知、商調時原服務機關不同意均因其不具有此一對外直接法效性的特徵而非行政處分。保訓會一貫的立場亦採之。</w:t>
      </w:r>
    </w:p>
    <w:p w:rsidR="007D6688" w:rsidRDefault="007D6688">
      <w:pPr>
        <w:pStyle w:val="22"/>
        <w:numPr>
          <w:ilvl w:val="0"/>
          <w:numId w:val="23"/>
        </w:numPr>
        <w:spacing w:line="480" w:lineRule="auto"/>
        <w:ind w:firstLineChars="0"/>
        <w:rPr>
          <w:rFonts w:hint="eastAsia"/>
        </w:rPr>
      </w:pPr>
      <w:r>
        <w:rPr>
          <w:rFonts w:hint="eastAsia"/>
        </w:rPr>
        <w:t>在組織高權之下，機關首長在人事高權中還具有形成</w:t>
      </w:r>
      <w:r>
        <w:rPr>
          <w:rFonts w:ascii="新細明體" w:hAnsi="新細明體" w:hint="eastAsia"/>
        </w:rPr>
        <w:t>、</w:t>
      </w:r>
      <w:r>
        <w:rPr>
          <w:rFonts w:hint="eastAsia"/>
        </w:rPr>
        <w:t>變更公務員關係</w:t>
      </w:r>
      <w:r>
        <w:rPr>
          <w:rFonts w:ascii="新細明體" w:hAnsi="新細明體" w:hint="eastAsia"/>
        </w:rPr>
        <w:t>、陞遷</w:t>
      </w:r>
      <w:r>
        <w:rPr>
          <w:rFonts w:hint="eastAsia"/>
        </w:rPr>
        <w:t>任命公務人員</w:t>
      </w:r>
      <w:r>
        <w:rPr>
          <w:rFonts w:ascii="新細明體" w:hAnsi="新細明體" w:hint="eastAsia"/>
        </w:rPr>
        <w:t>、</w:t>
      </w:r>
      <w:r>
        <w:rPr>
          <w:rFonts w:hint="eastAsia"/>
        </w:rPr>
        <w:t>具體職務的分配</w:t>
      </w:r>
      <w:r>
        <w:rPr>
          <w:rFonts w:ascii="新細明體" w:hAnsi="新細明體" w:hint="eastAsia"/>
        </w:rPr>
        <w:t>與下達指令的權限。</w:t>
      </w:r>
    </w:p>
    <w:p w:rsidR="007D6688" w:rsidRDefault="007D6688">
      <w:pPr>
        <w:pStyle w:val="22"/>
        <w:numPr>
          <w:ilvl w:val="0"/>
          <w:numId w:val="23"/>
        </w:numPr>
        <w:spacing w:line="480" w:lineRule="auto"/>
        <w:ind w:firstLineChars="0"/>
        <w:rPr>
          <w:rFonts w:hint="eastAsia"/>
        </w:rPr>
      </w:pPr>
      <w:r>
        <w:rPr>
          <w:rFonts w:hint="eastAsia"/>
        </w:rPr>
        <w:t>憲法第</w:t>
      </w:r>
      <w:r>
        <w:rPr>
          <w:rFonts w:hint="eastAsia"/>
        </w:rPr>
        <w:t>18</w:t>
      </w:r>
      <w:r>
        <w:rPr>
          <w:rFonts w:hint="eastAsia"/>
        </w:rPr>
        <w:t>條雖保障人民有服公職之權利，</w:t>
      </w:r>
      <w:r>
        <w:rPr>
          <w:rFonts w:ascii="細明體" w:eastAsia="細明體" w:hAnsi="細明體" w:cs="新細明體" w:hint="eastAsia"/>
          <w:kern w:val="0"/>
        </w:rPr>
        <w:t>旨在保障人民有依法令從事於公務，暨由此衍生享有之身分保障、俸給與退休金等權利。</w:t>
      </w:r>
      <w:r>
        <w:rPr>
          <w:rFonts w:hint="eastAsia"/>
        </w:rPr>
        <w:t>此規定「</w:t>
      </w:r>
      <w:r>
        <w:t>乃是著眼於政府代表國家統治人民，因此一方面其統治權限之取得應符合民主正當性之要求。另一方面則因政府從事之活動具有獨占性格，必須向被統治之人民開放，容許人民有進入政府部門服務之公平機</w:t>
      </w:r>
      <w:r>
        <w:rPr>
          <w:rFonts w:hint="eastAsia"/>
        </w:rPr>
        <w:t>會</w:t>
      </w:r>
      <w:r>
        <w:t>，並在其進入政府部門之服務期間給予照顧，並保障其</w:t>
      </w:r>
      <w:r>
        <w:rPr>
          <w:rFonts w:hint="eastAsia"/>
        </w:rPr>
        <w:t>『</w:t>
      </w:r>
      <w:r>
        <w:t>在該部門服務</w:t>
      </w:r>
      <w:r>
        <w:rPr>
          <w:rFonts w:hint="eastAsia"/>
        </w:rPr>
        <w:t>』</w:t>
      </w:r>
      <w:r>
        <w:t>之身份，其原始之規範功能意義應僅止於此</w:t>
      </w:r>
      <w:r>
        <w:rPr>
          <w:rFonts w:hint="eastAsia"/>
        </w:rPr>
        <w:t>。</w:t>
      </w:r>
    </w:p>
    <w:p w:rsidR="007D6688" w:rsidRDefault="007D6688">
      <w:pPr>
        <w:pStyle w:val="22"/>
        <w:numPr>
          <w:ilvl w:val="0"/>
          <w:numId w:val="23"/>
        </w:numPr>
        <w:spacing w:line="480" w:lineRule="auto"/>
        <w:ind w:firstLineChars="0"/>
        <w:rPr>
          <w:rFonts w:hint="eastAsia"/>
        </w:rPr>
      </w:pPr>
      <w:r>
        <w:rPr>
          <w:rFonts w:hint="eastAsia"/>
        </w:rPr>
        <w:t>德國實務見解至少承認公務人員具有要求主管機關對於他的陞遷申請以「無裁量瑕疵的方式」予以決定之請求權。相較於實體上之請求權，在此公務人員擁有的僅是一種型式的公法上權利而已。</w:t>
      </w:r>
    </w:p>
    <w:p w:rsidR="007D6688" w:rsidRDefault="007D6688">
      <w:pPr>
        <w:pStyle w:val="22"/>
        <w:numPr>
          <w:ilvl w:val="0"/>
          <w:numId w:val="23"/>
        </w:numPr>
        <w:spacing w:line="480" w:lineRule="auto"/>
        <w:ind w:firstLineChars="0"/>
        <w:rPr>
          <w:rFonts w:hint="eastAsia"/>
        </w:rPr>
      </w:pPr>
      <w:r>
        <w:rPr>
          <w:rFonts w:hint="eastAsia"/>
        </w:rPr>
        <w:t>德國晚近的文獻中，越來越多的主張贊同公務人員直接擁有陞遷請求權。特別是如果有公務人員職缺空出（這也是預算法與組織法上，陞遷的前提要件），有資格參與甄選，並於甄選程序中被評定為「最佳」的競爭者，應該有要求接受此項職缺的請求權。</w:t>
      </w:r>
    </w:p>
    <w:p w:rsidR="007D6688" w:rsidRDefault="007D6688">
      <w:pPr>
        <w:pStyle w:val="22"/>
        <w:numPr>
          <w:ilvl w:val="0"/>
          <w:numId w:val="23"/>
        </w:numPr>
        <w:spacing w:line="480" w:lineRule="auto"/>
        <w:ind w:firstLineChars="0"/>
        <w:rPr>
          <w:rFonts w:hint="eastAsia"/>
        </w:rPr>
      </w:pPr>
      <w:r>
        <w:rPr>
          <w:rFonts w:hint="eastAsia"/>
          <w:w w:val="105"/>
        </w:rPr>
        <w:t>相較德國與我國規範度，我國陞遷法上的規定，授權主管長官在甄審會所列陞遷名單中，再擇一圈選（可能未必是形式上評分最高者）。其並非嚴格遵守功績原則所導出的最佳選擇要求。根據裁量或者判斷餘地的規範授權理論，立法目的應該並無賦予特定公務人員於辦理陞遷程序中，要求必予陞遷的主觀權利。</w:t>
      </w:r>
    </w:p>
    <w:p w:rsidR="007D6688" w:rsidRDefault="007D6688">
      <w:pPr>
        <w:pStyle w:val="22"/>
        <w:numPr>
          <w:ilvl w:val="0"/>
          <w:numId w:val="23"/>
        </w:numPr>
        <w:spacing w:line="480" w:lineRule="auto"/>
        <w:ind w:firstLineChars="0"/>
        <w:rPr>
          <w:rFonts w:hint="eastAsia"/>
        </w:rPr>
      </w:pPr>
      <w:r>
        <w:rPr>
          <w:rFonts w:hint="eastAsia"/>
        </w:rPr>
        <w:t>陞遷程序仍有適用行政程序法之實體或程序規定可能。</w:t>
      </w:r>
      <w:r>
        <w:t>行政程序法第</w:t>
      </w:r>
      <w:r>
        <w:rPr>
          <w:rFonts w:hint="eastAsia"/>
        </w:rPr>
        <w:t>3</w:t>
      </w:r>
      <w:r>
        <w:t>條第</w:t>
      </w:r>
      <w:r>
        <w:rPr>
          <w:rFonts w:hint="eastAsia"/>
        </w:rPr>
        <w:t>3</w:t>
      </w:r>
      <w:r>
        <w:t>項第</w:t>
      </w:r>
      <w:r>
        <w:rPr>
          <w:rFonts w:hint="eastAsia"/>
        </w:rPr>
        <w:t>7</w:t>
      </w:r>
      <w:r>
        <w:t>款規定，對公務員所為之人事行政行為不適用本法之程序規定，係僅排除程序規定，如屬本法實體規定者，仍有其適用。而有關改變公務員之身分或對公務員權利或法律上利益有重大影響之人事行政行為，或基於公務員身分所產生之公法上財產請求權遭受侵害者，仍應依本法規定給予相對人程序的保障</w:t>
      </w:r>
      <w:r>
        <w:rPr>
          <w:rFonts w:hint="eastAsia"/>
        </w:rPr>
        <w:t>，賦予其程序請求權。</w:t>
      </w:r>
    </w:p>
    <w:p w:rsidR="007D6688" w:rsidRDefault="007D6688">
      <w:pPr>
        <w:pStyle w:val="22"/>
        <w:numPr>
          <w:ilvl w:val="0"/>
          <w:numId w:val="23"/>
        </w:numPr>
        <w:spacing w:line="480" w:lineRule="auto"/>
        <w:ind w:firstLineChars="0"/>
        <w:rPr>
          <w:rFonts w:hint="eastAsia"/>
        </w:rPr>
      </w:pPr>
      <w:r>
        <w:rPr>
          <w:rFonts w:hint="eastAsia"/>
          <w:kern w:val="0"/>
        </w:rPr>
        <w:t>陞遷競爭關係中，</w:t>
      </w:r>
      <w:r>
        <w:rPr>
          <w:kern w:val="0"/>
        </w:rPr>
        <w:t>因法律上利益受到侵害之人，始能以利害關係第三人資格就他人之行政處分提起撤銷之訴，若僅有事實上利害關係，而不具備</w:t>
      </w:r>
      <w:r>
        <w:rPr>
          <w:rFonts w:hint="eastAsia"/>
          <w:kern w:val="0"/>
        </w:rPr>
        <w:t>「</w:t>
      </w:r>
      <w:r>
        <w:rPr>
          <w:kern w:val="0"/>
        </w:rPr>
        <w:t>法律上利害關係</w:t>
      </w:r>
      <w:r>
        <w:rPr>
          <w:rFonts w:hint="eastAsia"/>
          <w:kern w:val="0"/>
        </w:rPr>
        <w:t>」</w:t>
      </w:r>
      <w:r>
        <w:rPr>
          <w:kern w:val="0"/>
        </w:rPr>
        <w:t>，自不得任意主張他人行政處分違法侵害其權益而提起行政爭訟。茲所謂「法律上利害關係」之判斷，係以</w:t>
      </w:r>
      <w:r>
        <w:rPr>
          <w:rFonts w:hint="eastAsia"/>
          <w:kern w:val="0"/>
        </w:rPr>
        <w:t>上述</w:t>
      </w:r>
      <w:r>
        <w:rPr>
          <w:kern w:val="0"/>
        </w:rPr>
        <w:t>「新保護規範理論」為界定利害關係第三人範圍之基準。</w:t>
      </w:r>
    </w:p>
    <w:p w:rsidR="007D6688" w:rsidRDefault="007D6688">
      <w:pPr>
        <w:pStyle w:val="22"/>
        <w:numPr>
          <w:ilvl w:val="0"/>
          <w:numId w:val="23"/>
        </w:numPr>
        <w:spacing w:line="480" w:lineRule="auto"/>
        <w:ind w:firstLineChars="0"/>
        <w:rPr>
          <w:rFonts w:hint="eastAsia"/>
        </w:rPr>
      </w:pPr>
      <w:r>
        <w:rPr>
          <w:rFonts w:hint="eastAsia"/>
        </w:rPr>
        <w:t>針對陞遷決定不服提起的訴訟類型，首先可以想到提起撤銷訴訟。但是要注意的是，撤銷訴訟的目的是透過法院的形成判決將行政機關所作的不利益違法行政處分遡及地使其失其效力，回到為作成行政處分前的原初狀態。</w:t>
      </w:r>
    </w:p>
    <w:p w:rsidR="007D6688" w:rsidRDefault="007D6688">
      <w:pPr>
        <w:pStyle w:val="22"/>
        <w:numPr>
          <w:ilvl w:val="0"/>
          <w:numId w:val="23"/>
        </w:numPr>
        <w:spacing w:line="480" w:lineRule="auto"/>
        <w:ind w:firstLineChars="0"/>
        <w:rPr>
          <w:rFonts w:hint="eastAsia"/>
        </w:rPr>
      </w:pPr>
      <w:r>
        <w:rPr>
          <w:rFonts w:hint="eastAsia"/>
        </w:rPr>
        <w:t>在陞遷救濟案件中，未獲陞遷之公務人員與獲得陞遷之公務人員處於一種競爭關係，他的救濟目的往往不是單純地撤銷一個對他不利益的拒絕陞遷決定而已。對於最終的陞遷決定不服提起撤銷訴訟往往不是最適當的訴訟類型選擇。</w:t>
      </w:r>
    </w:p>
    <w:p w:rsidR="007D6688" w:rsidRDefault="007D6688">
      <w:pPr>
        <w:pStyle w:val="22"/>
        <w:numPr>
          <w:ilvl w:val="0"/>
          <w:numId w:val="23"/>
        </w:numPr>
        <w:spacing w:line="480" w:lineRule="auto"/>
        <w:ind w:firstLineChars="0"/>
        <w:rPr>
          <w:rFonts w:hint="eastAsia"/>
        </w:rPr>
      </w:pPr>
      <w:r>
        <w:rPr>
          <w:rFonts w:hint="eastAsia"/>
        </w:rPr>
        <w:t>若是原告以利害關係人第三人之地位，亦可以訴請撤銷對競爭者予以陞遷之決定。而此一決定理論上可以被評價為「附第三人效力之行政處分」。倘若訴訟權能的要件亦可進一步確定，則在這種競爭關係下提起撤銷訴訟應屬於合法的訴訟類型選擇。</w:t>
      </w:r>
    </w:p>
    <w:p w:rsidR="007D6688" w:rsidRDefault="007D6688">
      <w:pPr>
        <w:pStyle w:val="22"/>
        <w:numPr>
          <w:ilvl w:val="0"/>
          <w:numId w:val="23"/>
        </w:numPr>
        <w:spacing w:line="480" w:lineRule="auto"/>
        <w:ind w:firstLineChars="0"/>
        <w:rPr>
          <w:rFonts w:hint="eastAsia"/>
        </w:rPr>
      </w:pPr>
      <w:r>
        <w:rPr>
          <w:rFonts w:hint="eastAsia"/>
        </w:rPr>
        <w:t>已經獲得圈選的公務人員則可以在訴訟程序或者暫時性權利保障程序中，以必要參加人的地位，參加訴訟。倘若此一附第三人行政處分所涉及利害關係人範圍相當廣泛，同時在訴訟上又屬於必要參加訴訟之人，對此德國行政法院法第</w:t>
      </w:r>
      <w:r>
        <w:rPr>
          <w:rFonts w:hint="eastAsia"/>
        </w:rPr>
        <w:t>65</w:t>
      </w:r>
      <w:r>
        <w:rPr>
          <w:rFonts w:hint="eastAsia"/>
        </w:rPr>
        <w:t>條第</w:t>
      </w:r>
      <w:r>
        <w:rPr>
          <w:rFonts w:hint="eastAsia"/>
        </w:rPr>
        <w:t>3</w:t>
      </w:r>
      <w:r>
        <w:rPr>
          <w:rFonts w:hint="eastAsia"/>
        </w:rPr>
        <w:t>項，針對超過五十人以上之訴訟必要參加人，授權法院可以透過裁定命令僅於一定期間內聲請登記之利害關係人得以參加訴訟。此項裁定並需於聯邦電子公報、新聞紙或其他特定的資訊系統上公告。其中之公告期限並不得少於三個月。本法甚至規定，對於未於期限內聲請登記，但是那些「已知」會受到判決某種程度影響之利害關係人，也可以由法院決定令其參加訴訟。</w:t>
      </w:r>
    </w:p>
    <w:p w:rsidR="007D6688" w:rsidRDefault="007D6688">
      <w:pPr>
        <w:pStyle w:val="22"/>
        <w:numPr>
          <w:ilvl w:val="0"/>
          <w:numId w:val="23"/>
        </w:numPr>
        <w:spacing w:line="480" w:lineRule="auto"/>
        <w:ind w:firstLineChars="0"/>
        <w:rPr>
          <w:rFonts w:hint="eastAsia"/>
        </w:rPr>
      </w:pPr>
      <w:r>
        <w:rPr>
          <w:rFonts w:hint="eastAsia"/>
        </w:rPr>
        <w:t>對同一陞遷機會而有多數申請人競爭，其未獲陞遷任用者，如認為主管長官或行政機關之決定違法，實則應該給予自己陞遷者，亦會產生所謂「競爭者訴訟」之問題。如果只是單純針對自己陞遷請求被拒絕（亦無其他人獲得陞遷），而提起的救濟類型，當然是純粹屬於提起課予義務訴訟的問題，其目的在於請求法院為應任用原告之判決。</w:t>
      </w:r>
    </w:p>
    <w:p w:rsidR="007D6688" w:rsidRDefault="007D6688">
      <w:pPr>
        <w:pStyle w:val="22"/>
        <w:numPr>
          <w:ilvl w:val="0"/>
          <w:numId w:val="23"/>
        </w:numPr>
        <w:spacing w:line="480" w:lineRule="auto"/>
        <w:ind w:firstLineChars="0"/>
        <w:rPr>
          <w:rFonts w:hint="eastAsia"/>
        </w:rPr>
      </w:pPr>
      <w:r>
        <w:rPr>
          <w:rFonts w:hint="eastAsia"/>
        </w:rPr>
        <w:t>倘若主管長官或行政機關已經給予他人陞遷，而同時拒絕自己的陞遷要求，在滿足訴訟權能的要件時（特別在行政機關逾越裁量或者判斷界限時），適當的救濟應該是同時提起撤銷訴訟與課予義務訴訟。</w:t>
      </w:r>
    </w:p>
    <w:p w:rsidR="007D6688" w:rsidRDefault="007D6688">
      <w:pPr>
        <w:pStyle w:val="22"/>
        <w:numPr>
          <w:ilvl w:val="0"/>
          <w:numId w:val="23"/>
        </w:numPr>
        <w:spacing w:line="480" w:lineRule="auto"/>
        <w:ind w:firstLineChars="0"/>
        <w:rPr>
          <w:rFonts w:hint="eastAsia"/>
        </w:rPr>
      </w:pPr>
      <w:r>
        <w:rPr>
          <w:rFonts w:hint="eastAsia"/>
        </w:rPr>
        <w:t>提起課予義務訴訟時，公務人員具有要求行政機關作成無瑕疵判斷或裁量的請求權。例外情形下，當主管長官的判斷餘地或裁量空間縮減至零時，原告方具有請求特定陞遷決定的公權利。</w:t>
      </w:r>
    </w:p>
    <w:p w:rsidR="007D6688" w:rsidRDefault="007D6688">
      <w:pPr>
        <w:pStyle w:val="22"/>
        <w:numPr>
          <w:ilvl w:val="0"/>
          <w:numId w:val="23"/>
        </w:numPr>
        <w:spacing w:line="480" w:lineRule="auto"/>
        <w:ind w:firstLineChars="0"/>
        <w:rPr>
          <w:rFonts w:hint="eastAsia"/>
        </w:rPr>
      </w:pPr>
      <w:r>
        <w:t>有學者主張，凡是行政處分以外的其他公法上的行政行為，均得為一般給付之訴之訴訟對象。其為行政外部行為或內部行為則非所問。請求將一個</w:t>
      </w:r>
      <w:r>
        <w:rPr>
          <w:rFonts w:hint="eastAsia"/>
        </w:rPr>
        <w:t>非行政處分之</w:t>
      </w:r>
      <w:r>
        <w:t>陞遷決定加以廢棄，以一般給付訴訟加以實現似乎亦無不可。</w:t>
      </w:r>
      <w:r>
        <w:rPr>
          <w:rFonts w:hint="eastAsia"/>
        </w:rPr>
        <w:t>但若考慮給付訴訟判決之</w:t>
      </w:r>
      <w:r>
        <w:t>強制執行制度欠缺實效性，提起給付訴訟恐怕非正確的訴訟類型選擇。</w:t>
      </w:r>
    </w:p>
    <w:p w:rsidR="007D6688" w:rsidRDefault="007D6688">
      <w:pPr>
        <w:pStyle w:val="22"/>
        <w:numPr>
          <w:ilvl w:val="0"/>
          <w:numId w:val="23"/>
        </w:numPr>
        <w:spacing w:line="480" w:lineRule="auto"/>
        <w:ind w:firstLineChars="0"/>
        <w:rPr>
          <w:rFonts w:hint="eastAsia"/>
        </w:rPr>
      </w:pPr>
      <w:r>
        <w:t>行政訴訟類型當中，除了撤銷訴訟這種形成之訴外，</w:t>
      </w:r>
      <w:r>
        <w:rPr>
          <w:rFonts w:hint="eastAsia"/>
        </w:rPr>
        <w:t>應可承認</w:t>
      </w:r>
      <w:r>
        <w:t>一種可以透過形成的判決除去</w:t>
      </w:r>
      <w:r>
        <w:rPr>
          <w:rFonts w:hint="eastAsia"/>
        </w:rPr>
        <w:t>非屬行政處分之</w:t>
      </w:r>
      <w:r>
        <w:t>行政行為的一般性的形成之訴。學說上將這種「非典型的撤銷訴訟」稱之為「一般形成訴訟」。</w:t>
      </w:r>
    </w:p>
    <w:p w:rsidR="007D6688" w:rsidRDefault="007D6688">
      <w:pPr>
        <w:pStyle w:val="22"/>
        <w:numPr>
          <w:ilvl w:val="0"/>
          <w:numId w:val="23"/>
        </w:numPr>
        <w:spacing w:line="480" w:lineRule="auto"/>
        <w:ind w:firstLineChars="0"/>
        <w:rPr>
          <w:rFonts w:hint="eastAsia"/>
        </w:rPr>
      </w:pPr>
      <w:r>
        <w:rPr>
          <w:kern w:val="0"/>
        </w:rPr>
        <w:t>對於已經辦理陞遷完畢的救濟案件</w:t>
      </w:r>
      <w:r>
        <w:rPr>
          <w:rFonts w:hint="eastAsia"/>
          <w:kern w:val="0"/>
        </w:rPr>
        <w:t>（已完成的陞遷任命又無實體法上的違法事由）</w:t>
      </w:r>
      <w:r>
        <w:rPr>
          <w:kern w:val="0"/>
        </w:rPr>
        <w:t>，實務上多以無權利保護必要性為由，駁回當事人之聲請。即使在德國</w:t>
      </w:r>
      <w:r>
        <w:rPr>
          <w:rFonts w:hint="eastAsia"/>
          <w:kern w:val="0"/>
        </w:rPr>
        <w:t>學說</w:t>
      </w:r>
      <w:r>
        <w:rPr>
          <w:kern w:val="0"/>
        </w:rPr>
        <w:t>也</w:t>
      </w:r>
      <w:r>
        <w:rPr>
          <w:rFonts w:hint="eastAsia"/>
          <w:kern w:val="0"/>
        </w:rPr>
        <w:t>認為陞遷程序已臻「終結（</w:t>
      </w:r>
      <w:r>
        <w:rPr>
          <w:rFonts w:hint="eastAsia"/>
          <w:kern w:val="0"/>
        </w:rPr>
        <w:t>erledigt</w:t>
      </w:r>
      <w:r>
        <w:rPr>
          <w:rFonts w:hint="eastAsia"/>
          <w:kern w:val="0"/>
        </w:rPr>
        <w:t>）」。同時因為陞遷決定的不可撤廢性，將導致聲請法院在撤銷程序中的排除行為變成不應予以許可。其理由即在於缺乏必備的權利保護必要性。</w:t>
      </w:r>
    </w:p>
    <w:p w:rsidR="007D6688" w:rsidRDefault="007D6688">
      <w:pPr>
        <w:pStyle w:val="22"/>
        <w:numPr>
          <w:ilvl w:val="0"/>
          <w:numId w:val="23"/>
        </w:numPr>
        <w:spacing w:line="480" w:lineRule="auto"/>
        <w:ind w:firstLineChars="0"/>
        <w:rPr>
          <w:rFonts w:hint="eastAsia"/>
        </w:rPr>
      </w:pPr>
      <w:r>
        <w:rPr>
          <w:rFonts w:hint="eastAsia"/>
          <w:kern w:val="0"/>
        </w:rPr>
        <w:t>假如陞遷任命程序是在已經提起撤銷訴訟中才終結，在德國的作法是根據聯邦行政法院法第</w:t>
      </w:r>
      <w:r>
        <w:rPr>
          <w:rFonts w:hint="eastAsia"/>
          <w:kern w:val="0"/>
        </w:rPr>
        <w:t>113</w:t>
      </w:r>
      <w:r>
        <w:rPr>
          <w:rFonts w:hint="eastAsia"/>
          <w:kern w:val="0"/>
        </w:rPr>
        <w:t>條第</w:t>
      </w:r>
      <w:r>
        <w:rPr>
          <w:rFonts w:hint="eastAsia"/>
          <w:kern w:val="0"/>
        </w:rPr>
        <w:t>1</w:t>
      </w:r>
      <w:r>
        <w:rPr>
          <w:rFonts w:hint="eastAsia"/>
          <w:kern w:val="0"/>
        </w:rPr>
        <w:t>項，應該要將撤銷訴訟轉換成「續行確認（行政處分違法）訴訟」。而在台灣可能必須為訴之變更成行政訴訟法第</w:t>
      </w:r>
      <w:r>
        <w:rPr>
          <w:rFonts w:hint="eastAsia"/>
          <w:kern w:val="0"/>
        </w:rPr>
        <w:t>6</w:t>
      </w:r>
      <w:r>
        <w:rPr>
          <w:rFonts w:hint="eastAsia"/>
          <w:kern w:val="0"/>
        </w:rPr>
        <w:t>條之確認處分違法之訴（但須注意特殊訴之利益的要求，亦即變更提起卻認為法訴訟的目的何在）。</w:t>
      </w:r>
    </w:p>
    <w:p w:rsidR="007D6688" w:rsidRDefault="007D6688">
      <w:pPr>
        <w:pStyle w:val="22"/>
        <w:numPr>
          <w:ilvl w:val="0"/>
          <w:numId w:val="23"/>
        </w:numPr>
        <w:spacing w:line="480" w:lineRule="auto"/>
        <w:ind w:firstLineChars="0"/>
        <w:rPr>
          <w:rFonts w:hint="eastAsia"/>
        </w:rPr>
      </w:pPr>
      <w:r>
        <w:rPr>
          <w:kern w:val="0"/>
        </w:rPr>
        <w:t>職務安定原則</w:t>
      </w:r>
      <w:r>
        <w:rPr>
          <w:rFonts w:hAnsi="Arial"/>
          <w:kern w:val="0"/>
        </w:rPr>
        <w:t>乃是（德國）公務員法上的基本原則。在公務員陞遷（</w:t>
      </w:r>
      <w:r>
        <w:rPr>
          <w:kern w:val="0"/>
        </w:rPr>
        <w:t>Beförderung</w:t>
      </w:r>
      <w:r>
        <w:rPr>
          <w:rFonts w:hAnsi="Arial"/>
          <w:kern w:val="0"/>
        </w:rPr>
        <w:t>）或者任命（</w:t>
      </w:r>
      <w:r>
        <w:rPr>
          <w:kern w:val="0"/>
        </w:rPr>
        <w:t>Ernennung</w:t>
      </w:r>
      <w:r>
        <w:rPr>
          <w:rFonts w:hAnsi="Arial"/>
          <w:kern w:val="0"/>
        </w:rPr>
        <w:t>）的爭議中，發生作用。根據職務安定原則，並不會因為競爭關係下的爭訟者提起的法律救濟而事後撤銷已經完成的公務員任命。除因為公務員法上具體指陳的原因而可以確認公務員勤務關係無效或者撤銷任命者外，先前已經完成的任命及具有存續效果。</w:t>
      </w:r>
    </w:p>
    <w:p w:rsidR="007D6688" w:rsidRDefault="007D6688">
      <w:pPr>
        <w:pStyle w:val="22"/>
        <w:numPr>
          <w:ilvl w:val="0"/>
          <w:numId w:val="23"/>
        </w:numPr>
        <w:spacing w:line="480" w:lineRule="auto"/>
        <w:ind w:firstLineChars="0"/>
        <w:rPr>
          <w:rFonts w:hint="eastAsia"/>
        </w:rPr>
      </w:pPr>
      <w:r>
        <w:rPr>
          <w:rFonts w:hAnsi="Arial" w:hint="eastAsia"/>
          <w:kern w:val="0"/>
        </w:rPr>
        <w:t>學說</w:t>
      </w:r>
      <w:r>
        <w:rPr>
          <w:rFonts w:hAnsi="Arial"/>
          <w:kern w:val="0"/>
        </w:rPr>
        <w:t>一般將職務安定原則理解成為公務員制度的傳統基本原則之一。另外一些承認職務安定原則的原因則是基於</w:t>
      </w:r>
      <w:r>
        <w:rPr>
          <w:rFonts w:hAnsi="Arial" w:hint="eastAsia"/>
          <w:kern w:val="0"/>
        </w:rPr>
        <w:t>憲法上確保行政功能運作穩定的要求或者自法治國原則導出的</w:t>
      </w:r>
      <w:r>
        <w:rPr>
          <w:rFonts w:hAnsi="Arial"/>
          <w:kern w:val="0"/>
        </w:rPr>
        <w:t>法律安定性原則、公眾對於公務員特質的信賴以及受任命公務員值得保障的信賴。</w:t>
      </w:r>
    </w:p>
    <w:p w:rsidR="007D6688" w:rsidRDefault="007D6688">
      <w:pPr>
        <w:pStyle w:val="22"/>
        <w:numPr>
          <w:ilvl w:val="0"/>
          <w:numId w:val="23"/>
        </w:numPr>
        <w:spacing w:line="480" w:lineRule="auto"/>
        <w:ind w:firstLineChars="0"/>
        <w:rPr>
          <w:rFonts w:hAnsi="Arial" w:hint="eastAsia"/>
          <w:kern w:val="0"/>
        </w:rPr>
      </w:pPr>
      <w:r>
        <w:rPr>
          <w:rFonts w:hint="eastAsia"/>
          <w:kern w:val="0"/>
        </w:rPr>
        <w:t>我國實務上，在前揭保訓會「</w:t>
      </w:r>
      <w:r>
        <w:rPr>
          <w:rFonts w:hint="eastAsia"/>
          <w:b/>
          <w:kern w:val="0"/>
        </w:rPr>
        <w:t>劉慶蜀案</w:t>
      </w:r>
      <w:r>
        <w:rPr>
          <w:rFonts w:hint="eastAsia"/>
          <w:kern w:val="0"/>
        </w:rPr>
        <w:t>」中，台北高等行政法院在撤銷保訓會之復審決定時，似乎否定（或至少弱化）了職務安定原則在我國的適用。不過這種作法是否已經可以成為我國法上的裁判先例，又機關首長如何重新騰出職缺安置，均仍屬相當曖昧的問題。對於職務安定原則的適度尊重（亦即與權利保障之間理性調和），應有其必要性與正當性。</w:t>
      </w:r>
    </w:p>
    <w:p w:rsidR="007D6688" w:rsidRDefault="007D6688">
      <w:pPr>
        <w:pStyle w:val="22"/>
        <w:numPr>
          <w:ilvl w:val="0"/>
          <w:numId w:val="23"/>
        </w:numPr>
        <w:spacing w:line="480" w:lineRule="auto"/>
        <w:ind w:firstLineChars="0"/>
        <w:rPr>
          <w:rFonts w:hAnsi="Arial" w:hint="eastAsia"/>
          <w:kern w:val="0"/>
        </w:rPr>
      </w:pPr>
      <w:r>
        <w:rPr>
          <w:rFonts w:hAnsi="Arial" w:hint="eastAsia"/>
          <w:kern w:val="0"/>
        </w:rPr>
        <w:t>陞遷救濟具有相當的特殊性。亦即受限於職缺的有限性以及陞遷任命的連鎖效應，以及公務員法體系的嚴格形式要求，一經陞遷程序完成，已任命之公務員又無其他得以認定陞遷任命無效之事由，往往會造成救濟的實效落空。因此與其事後救濟無望，不如事前防堵會造成事後救濟無望的原因。此時暫時性的權利救濟設計，應該是重要的考量。</w:t>
      </w:r>
    </w:p>
    <w:p w:rsidR="007D6688" w:rsidRDefault="007D6688">
      <w:pPr>
        <w:pStyle w:val="22"/>
        <w:numPr>
          <w:ilvl w:val="0"/>
          <w:numId w:val="23"/>
        </w:numPr>
        <w:spacing w:line="480" w:lineRule="auto"/>
        <w:ind w:firstLineChars="0"/>
        <w:rPr>
          <w:rFonts w:hint="eastAsia"/>
        </w:rPr>
      </w:pPr>
      <w:r>
        <w:rPr>
          <w:rFonts w:ascii="細明體" w:eastAsia="細明體" w:hAnsi="MS Sans Serif" w:hint="eastAsia"/>
          <w:color w:val="000000"/>
          <w:kern w:val="0"/>
        </w:rPr>
        <w:t>在陞遷救濟案件中，職缺往往不能空懸過久，陞遷的程序也往往會在短期內完成。此時若不能及時聲請停止陞遷任命之執行，往往也可能發生難以再重行辦理陞遷的窘態。所以停止執行要件中「原處分或決定之執行，將發生難於回復之損害，且有急迫情事者」，在個案中成立的機會應不難想像。</w:t>
      </w:r>
    </w:p>
    <w:p w:rsidR="007D6688" w:rsidRDefault="007D6688">
      <w:pPr>
        <w:pStyle w:val="22"/>
        <w:numPr>
          <w:ilvl w:val="0"/>
          <w:numId w:val="23"/>
        </w:numPr>
        <w:spacing w:line="480" w:lineRule="auto"/>
        <w:ind w:firstLineChars="0"/>
        <w:rPr>
          <w:rFonts w:hint="eastAsia"/>
        </w:rPr>
      </w:pPr>
      <w:r>
        <w:rPr>
          <w:rFonts w:hint="eastAsia"/>
          <w:kern w:val="0"/>
        </w:rPr>
        <w:t>在陞遷保障案件中所需要的暫時性權利保障，除停止執行的制度外，尚應考量聲請假處分的制度。</w:t>
      </w:r>
      <w:r>
        <w:rPr>
          <w:kern w:val="0"/>
        </w:rPr>
        <w:t>這種暫時性權利救濟主要是適用於課予義務訴訟中。</w:t>
      </w:r>
      <w:r>
        <w:rPr>
          <w:rFonts w:eastAsia="細明體" w:hint="eastAsia"/>
          <w:color w:val="000000"/>
          <w:kern w:val="0"/>
        </w:rPr>
        <w:t>但是</w:t>
      </w:r>
      <w:r>
        <w:rPr>
          <w:rFonts w:hint="eastAsia"/>
          <w:kern w:val="0"/>
        </w:rPr>
        <w:t>目前在保障法中雖有課予義務型的復審類型，但卻無相應的聲請假處分制度。而保障法第</w:t>
      </w:r>
      <w:r>
        <w:rPr>
          <w:rFonts w:hint="eastAsia"/>
          <w:kern w:val="0"/>
        </w:rPr>
        <w:t>89</w:t>
      </w:r>
      <w:r>
        <w:rPr>
          <w:rFonts w:hint="eastAsia"/>
          <w:kern w:val="0"/>
        </w:rPr>
        <w:t>條之停止執行制度又無法滿足是類復審之需求，法政策上容有檢討之必要。</w:t>
      </w:r>
    </w:p>
    <w:p w:rsidR="007D6688" w:rsidRDefault="007D6688">
      <w:pPr>
        <w:pStyle w:val="22"/>
        <w:numPr>
          <w:ilvl w:val="0"/>
          <w:numId w:val="23"/>
        </w:numPr>
        <w:spacing w:line="480" w:lineRule="auto"/>
        <w:ind w:firstLineChars="0"/>
        <w:rPr>
          <w:rFonts w:hint="eastAsia"/>
        </w:rPr>
      </w:pPr>
      <w:r>
        <w:rPr>
          <w:rFonts w:hint="eastAsia"/>
          <w:kern w:val="0"/>
        </w:rPr>
        <w:t>憲法上有效權利救濟之要求，應該是要求國家提供一個完善而無缺漏的保障體系。在德國陞遷制度上，由於「最佳選擇原則」具有相當的法拘束力，所以以透過課予義務訴訟實現權利救濟最為直接有效。當然此刻還有聲請假處分或定暫時狀態的暫時性權利保障輔助。但是我國法上，公務人員直接請求法院命行政機關給予自己陞遷的實體請求權，在現行法解釋下，相對保守。所以針對他人陞遷決定提起撤銷訴訟，可能性還是比較高。</w:t>
      </w:r>
    </w:p>
    <w:p w:rsidR="007D6688" w:rsidRDefault="007D6688">
      <w:pPr>
        <w:pStyle w:val="22"/>
        <w:numPr>
          <w:ilvl w:val="0"/>
          <w:numId w:val="23"/>
        </w:numPr>
        <w:spacing w:line="480" w:lineRule="auto"/>
        <w:ind w:firstLineChars="0"/>
        <w:rPr>
          <w:rFonts w:hint="eastAsia"/>
        </w:rPr>
      </w:pPr>
      <w:r>
        <w:rPr>
          <w:rFonts w:hint="eastAsia"/>
          <w:kern w:val="0"/>
        </w:rPr>
        <w:t>在暫時性的權利保障制度未被活用之前，仍有為數不少的爭訟案件在提起救濟時（或提起救濟中），因為陞遷任命程序的完成，導致救濟的實益喪失。同時已完成的陞遷任命又未必有無效的事由。職務安定原則在信賴保護原則或者公務體系穩定之公益原則支撐下，應該予以尊重。保訓會在「劉慶蜀案」中，適用</w:t>
      </w:r>
      <w:r>
        <w:rPr>
          <w:rFonts w:hint="eastAsia"/>
        </w:rPr>
        <w:t>保障法第</w:t>
      </w:r>
      <w:r>
        <w:rPr>
          <w:rFonts w:hint="eastAsia"/>
        </w:rPr>
        <w:t>67</w:t>
      </w:r>
      <w:r>
        <w:rPr>
          <w:rFonts w:hint="eastAsia"/>
        </w:rPr>
        <w:t>條規定，於</w:t>
      </w:r>
      <w:r>
        <w:t>保訓會發現原行政處分雖屬違法或顯然不當，但其撤銷或變更於公益有重大損害，經斟酌復審人所受損害、賠償程度、防止方法及其他一切情事，認原行政處分之撤銷或變更顯與公益相違背時，得駁回其復審。前項情形，應於決定主文中載明原行政處分違法或顯然不當。</w:t>
      </w:r>
      <w:r>
        <w:rPr>
          <w:rFonts w:hint="eastAsia"/>
        </w:rPr>
        <w:t>據此作成一般行政爭訟中罕見的情況決定，誠屬目前制度下尊重職務安定原則不得不然的處理方式，應給予肯定。</w:t>
      </w:r>
    </w:p>
    <w:p w:rsidR="007D6688" w:rsidRDefault="007D6688">
      <w:pPr>
        <w:pStyle w:val="22"/>
        <w:numPr>
          <w:ilvl w:val="0"/>
          <w:numId w:val="23"/>
        </w:numPr>
        <w:spacing w:line="480" w:lineRule="auto"/>
        <w:ind w:firstLineChars="0"/>
        <w:rPr>
          <w:rFonts w:hint="eastAsia"/>
        </w:rPr>
      </w:pPr>
      <w:r>
        <w:rPr>
          <w:rFonts w:hint="eastAsia"/>
        </w:rPr>
        <w:t>在德國，經過職務安定原則與基本權保障的權衡，若為了避免造成行政功能運作的危險，經考量可能因素，在無其他更加選擇時，自服公職基本權，並基於憲法保障的最佳選擇義務違反而進一步導出損害賠償之訴，或者僅容許公務人員請求損害賠償或訴請確認陞遷任命行為具違法性也是一種適當的考量，同時也不會抵觸憲法上有效權利救濟的要求。</w:t>
      </w:r>
    </w:p>
    <w:p w:rsidR="007D6688" w:rsidRDefault="007D6688">
      <w:pPr>
        <w:rPr>
          <w:rFonts w:eastAsia="標楷體"/>
          <w:sz w:val="32"/>
          <w:lang w:val="de-DE"/>
        </w:rPr>
      </w:pPr>
      <w:r>
        <w:rPr>
          <w:lang w:val="de-DE"/>
        </w:rPr>
        <w:br w:type="page"/>
      </w:r>
      <w:bookmarkStart w:id="172" w:name="_Toc121199247"/>
      <w:r>
        <w:rPr>
          <w:rFonts w:eastAsia="標楷體" w:hint="eastAsia"/>
          <w:sz w:val="32"/>
          <w:lang w:val="de-DE"/>
        </w:rPr>
        <w:t>附論（一）</w:t>
      </w:r>
      <w:bookmarkEnd w:id="172"/>
    </w:p>
    <w:p w:rsidR="007D6688" w:rsidRDefault="007D6688">
      <w:pPr>
        <w:spacing w:line="480" w:lineRule="auto"/>
        <w:jc w:val="center"/>
        <w:rPr>
          <w:sz w:val="36"/>
          <w:szCs w:val="36"/>
        </w:rPr>
      </w:pPr>
      <w:r>
        <w:rPr>
          <w:sz w:val="36"/>
          <w:szCs w:val="36"/>
        </w:rPr>
        <w:t>德國公務員法上之競爭訴訟</w:t>
      </w:r>
      <w:r>
        <w:rPr>
          <w:sz w:val="36"/>
          <w:szCs w:val="36"/>
        </w:rPr>
        <w:t xml:space="preserve"> </w:t>
      </w:r>
    </w:p>
    <w:p w:rsidR="007D6688" w:rsidRDefault="007D6688">
      <w:pPr>
        <w:spacing w:line="480" w:lineRule="auto"/>
        <w:jc w:val="center"/>
        <w:rPr>
          <w:rFonts w:hint="eastAsia"/>
          <w:sz w:val="32"/>
          <w:szCs w:val="32"/>
        </w:rPr>
      </w:pPr>
      <w:r>
        <w:rPr>
          <w:sz w:val="32"/>
          <w:szCs w:val="32"/>
        </w:rPr>
        <w:t xml:space="preserve">– </w:t>
      </w:r>
      <w:r>
        <w:rPr>
          <w:sz w:val="32"/>
          <w:szCs w:val="32"/>
        </w:rPr>
        <w:t>職務安定原則與有效權利救濟間之權衡</w:t>
      </w:r>
    </w:p>
    <w:p w:rsidR="007D6688" w:rsidRDefault="007D6688">
      <w:pPr>
        <w:spacing w:line="480" w:lineRule="auto"/>
        <w:jc w:val="center"/>
        <w:rPr>
          <w:rFonts w:hint="eastAsia"/>
        </w:rPr>
      </w:pPr>
      <w:r>
        <w:rPr>
          <w:rFonts w:hint="eastAsia"/>
        </w:rPr>
        <w:t>（程明修</w:t>
      </w:r>
      <w:r>
        <w:rPr>
          <w:rFonts w:hint="eastAsia"/>
        </w:rPr>
        <w:t xml:space="preserve"> </w:t>
      </w:r>
      <w:r>
        <w:rPr>
          <w:rFonts w:hint="eastAsia"/>
        </w:rPr>
        <w:t>執筆）</w:t>
      </w:r>
    </w:p>
    <w:p w:rsidR="007D6688" w:rsidRDefault="007D6688">
      <w:pPr>
        <w:snapToGrid w:val="0"/>
        <w:spacing w:beforeLines="50" w:before="180" w:afterLines="50" w:after="180" w:line="480" w:lineRule="auto"/>
        <w:jc w:val="both"/>
        <w:outlineLvl w:val="0"/>
        <w:rPr>
          <w:b/>
          <w:sz w:val="28"/>
          <w:szCs w:val="28"/>
        </w:rPr>
      </w:pPr>
      <w:r>
        <w:rPr>
          <w:b/>
          <w:sz w:val="28"/>
          <w:szCs w:val="28"/>
        </w:rPr>
        <w:t>一、前言</w:t>
      </w:r>
    </w:p>
    <w:p w:rsidR="007D6688" w:rsidRDefault="007D6688">
      <w:pPr>
        <w:snapToGrid w:val="0"/>
        <w:spacing w:beforeLines="50" w:before="180" w:afterLines="50" w:after="180" w:line="480" w:lineRule="auto"/>
        <w:ind w:firstLineChars="225" w:firstLine="540"/>
        <w:jc w:val="both"/>
        <w:rPr>
          <w:kern w:val="0"/>
        </w:rPr>
      </w:pPr>
      <w:r>
        <w:t>德國聯邦行政法院對於公務員法上之競爭訴訟之裁判其實相當盤根錯節。早期的見解多認為，如果陞遷任命決定已經完成，未獲任命者所提起的權利救濟往往是會被拒絕的。因為這個申請的職位已經不再是空缺的職位，同時也不可能再透過競爭者所提起的撤銷訴訟，讓這個已經任命其他公務員在上的職缺再空出來</w:t>
      </w:r>
      <w:r>
        <w:rPr>
          <w:rStyle w:val="ae"/>
        </w:rPr>
        <w:footnoteReference w:id="170"/>
      </w:r>
      <w:r>
        <w:t>。不過</w:t>
      </w:r>
      <w:r>
        <w:rPr>
          <w:kern w:val="0"/>
        </w:rPr>
        <w:t>德國聯邦行政法院在</w:t>
      </w:r>
      <w:smartTag w:uri="urn:schemas-microsoft-com:office:smarttags" w:element="chsdate">
        <w:smartTagPr>
          <w:attr w:name="Year" w:val="2001"/>
          <w:attr w:name="Month" w:val="9"/>
          <w:attr w:name="Day" w:val="13"/>
          <w:attr w:name="IsLunarDate" w:val="False"/>
          <w:attr w:name="IsROCDate" w:val="False"/>
        </w:smartTagPr>
        <w:r>
          <w:rPr>
            <w:kern w:val="0"/>
          </w:rPr>
          <w:t>2001</w:t>
        </w:r>
        <w:r>
          <w:rPr>
            <w:kern w:val="0"/>
          </w:rPr>
          <w:t>年</w:t>
        </w:r>
        <w:r>
          <w:rPr>
            <w:kern w:val="0"/>
          </w:rPr>
          <w:t>9</w:t>
        </w:r>
        <w:r>
          <w:rPr>
            <w:kern w:val="0"/>
          </w:rPr>
          <w:t>月</w:t>
        </w:r>
        <w:r>
          <w:rPr>
            <w:kern w:val="0"/>
          </w:rPr>
          <w:t>13</w:t>
        </w:r>
        <w:r>
          <w:rPr>
            <w:kern w:val="0"/>
          </w:rPr>
          <w:t>日</w:t>
        </w:r>
      </w:smartTag>
      <w:r>
        <w:rPr>
          <w:kern w:val="0"/>
        </w:rPr>
        <w:t>判決傍論（</w:t>
      </w:r>
      <w:r>
        <w:rPr>
          <w:kern w:val="0"/>
        </w:rPr>
        <w:t>obiter dictum</w:t>
      </w:r>
      <w:r>
        <w:rPr>
          <w:kern w:val="0"/>
        </w:rPr>
        <w:t>）中則自己提出質疑，這種傳統排除競爭者提起撤銷訴訟的見解似乎很難跟憲法（基本法）第</w:t>
      </w:r>
      <w:r>
        <w:rPr>
          <w:kern w:val="0"/>
        </w:rPr>
        <w:t>19</w:t>
      </w:r>
      <w:r>
        <w:rPr>
          <w:kern w:val="0"/>
        </w:rPr>
        <w:t>條第</w:t>
      </w:r>
      <w:r>
        <w:rPr>
          <w:kern w:val="0"/>
        </w:rPr>
        <w:t>4</w:t>
      </w:r>
      <w:r>
        <w:rPr>
          <w:kern w:val="0"/>
        </w:rPr>
        <w:t>項「實效性權利保障之要求（</w:t>
      </w:r>
      <w:r>
        <w:rPr>
          <w:kern w:val="0"/>
        </w:rPr>
        <w:t>Gebot effektiven rectsschutzes</w:t>
      </w:r>
      <w:r>
        <w:rPr>
          <w:kern w:val="0"/>
        </w:rPr>
        <w:t>）」彼此相容</w:t>
      </w:r>
      <w:r>
        <w:rPr>
          <w:rStyle w:val="ae"/>
          <w:kern w:val="0"/>
        </w:rPr>
        <w:footnoteReference w:id="171"/>
      </w:r>
      <w:r>
        <w:rPr>
          <w:kern w:val="0"/>
        </w:rPr>
        <w:t>。到了</w:t>
      </w:r>
      <w:r>
        <w:rPr>
          <w:kern w:val="0"/>
        </w:rPr>
        <w:t>2003</w:t>
      </w:r>
      <w:r>
        <w:rPr>
          <w:kern w:val="0"/>
        </w:rPr>
        <w:t>年，聯邦行政法院則於判決中指出，競爭者主張撤銷任命，重新空出職缺的撤銷訴訟，在一些特定的情況中其實並無必要。但是當機關首長「不法（</w:t>
      </w:r>
      <w:r>
        <w:rPr>
          <w:kern w:val="0"/>
        </w:rPr>
        <w:t>zu Unrecht</w:t>
      </w:r>
      <w:r>
        <w:rPr>
          <w:kern w:val="0"/>
        </w:rPr>
        <w:t>）」忽視原告公務人員之權益時，機關首長在必要的情況下則可能需要另外提供新的職缺出來</w:t>
      </w:r>
      <w:r>
        <w:rPr>
          <w:rStyle w:val="ae"/>
          <w:kern w:val="0"/>
        </w:rPr>
        <w:footnoteReference w:id="172"/>
      </w:r>
      <w:r>
        <w:rPr>
          <w:kern w:val="0"/>
        </w:rPr>
        <w:t>。</w:t>
      </w:r>
    </w:p>
    <w:p w:rsidR="007D6688" w:rsidRDefault="007D6688">
      <w:pPr>
        <w:snapToGrid w:val="0"/>
        <w:spacing w:beforeLines="50" w:before="180" w:afterLines="50" w:after="180" w:line="480" w:lineRule="auto"/>
        <w:ind w:firstLineChars="225" w:firstLine="540"/>
        <w:jc w:val="both"/>
        <w:rPr>
          <w:kern w:val="0"/>
        </w:rPr>
      </w:pPr>
      <w:r>
        <w:rPr>
          <w:kern w:val="0"/>
        </w:rPr>
        <w:t>行政法院的傳統立場認為競爭者於任命完成後所提出的競爭訴訟（課予義務訴訟）均屬已經終結（</w:t>
      </w:r>
      <w:r>
        <w:rPr>
          <w:kern w:val="0"/>
        </w:rPr>
        <w:t>erledigt</w:t>
      </w:r>
      <w:r>
        <w:rPr>
          <w:kern w:val="0"/>
        </w:rPr>
        <w:t>）的案件。裁判的理由大多基於所謂「職務安定原則（</w:t>
      </w:r>
      <w:r>
        <w:rPr>
          <w:kern w:val="0"/>
        </w:rPr>
        <w:t>Prinzip der Ämterstabilität</w:t>
      </w:r>
      <w:r>
        <w:rPr>
          <w:kern w:val="0"/>
        </w:rPr>
        <w:t>）」或者信賴保護原則。因為已經完成的任命往往無法再加以回溯撤銷。未獲任命的原告即因欠缺訴訟權能而無法請求撤銷對他人之任命。欠缺撤銷訴訟這個權利救濟的開路先鋒，之後的課予義務訴訟也就不會有結果。</w:t>
      </w:r>
    </w:p>
    <w:p w:rsidR="007D6688" w:rsidRDefault="007D6688">
      <w:pPr>
        <w:snapToGrid w:val="0"/>
        <w:spacing w:beforeLines="50" w:before="180" w:afterLines="50" w:after="180" w:line="480" w:lineRule="auto"/>
        <w:ind w:firstLineChars="225" w:firstLine="540"/>
        <w:jc w:val="both"/>
        <w:rPr>
          <w:kern w:val="0"/>
        </w:rPr>
      </w:pPr>
      <w:r>
        <w:rPr>
          <w:kern w:val="0"/>
        </w:rPr>
        <w:t>德國聯邦行政法院在</w:t>
      </w:r>
      <w:smartTag w:uri="urn:schemas-microsoft-com:office:smarttags" w:element="chsdate">
        <w:smartTagPr>
          <w:attr w:name="Year" w:val="2001"/>
          <w:attr w:name="Month" w:val="9"/>
          <w:attr w:name="Day" w:val="13"/>
          <w:attr w:name="IsLunarDate" w:val="False"/>
          <w:attr w:name="IsROCDate" w:val="False"/>
        </w:smartTagPr>
        <w:r>
          <w:rPr>
            <w:kern w:val="0"/>
          </w:rPr>
          <w:t>2001</w:t>
        </w:r>
        <w:r>
          <w:rPr>
            <w:kern w:val="0"/>
          </w:rPr>
          <w:t>年</w:t>
        </w:r>
        <w:r>
          <w:rPr>
            <w:kern w:val="0"/>
          </w:rPr>
          <w:t>9</w:t>
        </w:r>
        <w:r>
          <w:rPr>
            <w:kern w:val="0"/>
          </w:rPr>
          <w:t>月</w:t>
        </w:r>
        <w:r>
          <w:rPr>
            <w:kern w:val="0"/>
          </w:rPr>
          <w:t>13</w:t>
        </w:r>
        <w:r>
          <w:rPr>
            <w:kern w:val="0"/>
          </w:rPr>
          <w:t>日</w:t>
        </w:r>
      </w:smartTag>
      <w:r>
        <w:rPr>
          <w:kern w:val="0"/>
        </w:rPr>
        <w:t>判決傍論中所提出的質疑，被學界譽為是對於「職務安定優於競爭者權利保護」學理（</w:t>
      </w:r>
      <w:r>
        <w:rPr>
          <w:kern w:val="0"/>
        </w:rPr>
        <w:t>Dogmas vom Vorrang der Ämterstabilität vor dem Rechtsschutz des Konkurrenten</w:t>
      </w:r>
      <w:r>
        <w:rPr>
          <w:kern w:val="0"/>
        </w:rPr>
        <w:t>）的重大突破</w:t>
      </w:r>
      <w:r>
        <w:rPr>
          <w:rStyle w:val="ae"/>
          <w:kern w:val="0"/>
        </w:rPr>
        <w:footnoteReference w:id="173"/>
      </w:r>
      <w:r>
        <w:rPr>
          <w:kern w:val="0"/>
        </w:rPr>
        <w:t>。聯邦行政法院可說撼動了公務員法與行政訴訟法上傳統一慣的見解。即使這只在判決傍論中提及，我們也可以視為學理上的一大轉變。同時也可能導致行政法院不再走回「職務安定絕對優於競爭者權利保護」的老路</w:t>
      </w:r>
      <w:r>
        <w:rPr>
          <w:rStyle w:val="ae"/>
          <w:kern w:val="0"/>
        </w:rPr>
        <w:footnoteReference w:id="174"/>
      </w:r>
      <w:r>
        <w:rPr>
          <w:kern w:val="0"/>
        </w:rPr>
        <w:t>。不過這還值得進一步觀察。因為除了行政法院這個特殊的見解外，下級審法院似乎毫無所動。而聯邦憲法法院也還持觀望的態度。</w:t>
      </w:r>
    </w:p>
    <w:p w:rsidR="007D6688" w:rsidRDefault="007D6688">
      <w:pPr>
        <w:snapToGrid w:val="0"/>
        <w:spacing w:beforeLines="50" w:before="180" w:afterLines="50" w:after="180" w:line="480" w:lineRule="auto"/>
        <w:ind w:firstLineChars="225" w:firstLine="540"/>
        <w:jc w:val="both"/>
        <w:rPr>
          <w:kern w:val="0"/>
        </w:rPr>
      </w:pPr>
      <w:r>
        <w:rPr>
          <w:kern w:val="0"/>
        </w:rPr>
        <w:t>聯邦行政法院</w:t>
      </w:r>
      <w:smartTag w:uri="urn:schemas-microsoft-com:office:smarttags" w:element="chsdate">
        <w:smartTagPr>
          <w:attr w:name="Year" w:val="2001"/>
          <w:attr w:name="Month" w:val="9"/>
          <w:attr w:name="Day" w:val="13"/>
          <w:attr w:name="IsLunarDate" w:val="False"/>
          <w:attr w:name="IsROCDate" w:val="False"/>
        </w:smartTagPr>
        <w:r>
          <w:rPr>
            <w:kern w:val="0"/>
          </w:rPr>
          <w:t>2001</w:t>
        </w:r>
        <w:r>
          <w:rPr>
            <w:kern w:val="0"/>
          </w:rPr>
          <w:t>年</w:t>
        </w:r>
        <w:r>
          <w:rPr>
            <w:kern w:val="0"/>
          </w:rPr>
          <w:t>9</w:t>
        </w:r>
        <w:r>
          <w:rPr>
            <w:kern w:val="0"/>
          </w:rPr>
          <w:t>月</w:t>
        </w:r>
        <w:r>
          <w:rPr>
            <w:kern w:val="0"/>
          </w:rPr>
          <w:t>13</w:t>
        </w:r>
        <w:r>
          <w:rPr>
            <w:kern w:val="0"/>
          </w:rPr>
          <w:t>日</w:t>
        </w:r>
      </w:smartTag>
      <w:r>
        <w:rPr>
          <w:kern w:val="0"/>
        </w:rPr>
        <w:t>判決中原告乃是終生職公務員。最後是任職於布萊梅邦議會，而薪資職級屬於</w:t>
      </w:r>
      <w:r>
        <w:rPr>
          <w:kern w:val="0"/>
        </w:rPr>
        <w:t>B7</w:t>
      </w:r>
      <w:r>
        <w:rPr>
          <w:kern w:val="0"/>
        </w:rPr>
        <w:t>級。</w:t>
      </w:r>
      <w:smartTag w:uri="urn:schemas-microsoft-com:office:smarttags" w:element="chsdate">
        <w:smartTagPr>
          <w:attr w:name="Year" w:val="1995"/>
          <w:attr w:name="Month" w:val="10"/>
          <w:attr w:name="Day" w:val="31"/>
          <w:attr w:name="IsLunarDate" w:val="False"/>
          <w:attr w:name="IsROCDate" w:val="False"/>
        </w:smartTagPr>
        <w:r>
          <w:rPr>
            <w:kern w:val="0"/>
          </w:rPr>
          <w:t>1995</w:t>
        </w:r>
        <w:r>
          <w:rPr>
            <w:kern w:val="0"/>
          </w:rPr>
          <w:t>年</w:t>
        </w:r>
        <w:r>
          <w:rPr>
            <w:kern w:val="0"/>
          </w:rPr>
          <w:t>10</w:t>
        </w:r>
        <w:r>
          <w:rPr>
            <w:kern w:val="0"/>
          </w:rPr>
          <w:t>月</w:t>
        </w:r>
        <w:r>
          <w:rPr>
            <w:kern w:val="0"/>
          </w:rPr>
          <w:t>31</w:t>
        </w:r>
        <w:r>
          <w:rPr>
            <w:kern w:val="0"/>
          </w:rPr>
          <w:t>日</w:t>
        </w:r>
      </w:smartTag>
      <w:r>
        <w:rPr>
          <w:kern w:val="0"/>
        </w:rPr>
        <w:t>他被調為暫時退休狀態的政務官。而其原先職位則於</w:t>
      </w:r>
      <w:smartTag w:uri="urn:schemas-microsoft-com:office:smarttags" w:element="chsdate">
        <w:smartTagPr>
          <w:attr w:name="Year" w:val="1995"/>
          <w:attr w:name="Month" w:val="11"/>
          <w:attr w:name="Day" w:val="1"/>
          <w:attr w:name="IsLunarDate" w:val="False"/>
          <w:attr w:name="IsROCDate" w:val="False"/>
        </w:smartTagPr>
        <w:r>
          <w:rPr>
            <w:kern w:val="0"/>
          </w:rPr>
          <w:t>1995</w:t>
        </w:r>
        <w:r>
          <w:rPr>
            <w:kern w:val="0"/>
          </w:rPr>
          <w:t>年</w:t>
        </w:r>
        <w:r>
          <w:rPr>
            <w:kern w:val="0"/>
          </w:rPr>
          <w:t>11</w:t>
        </w:r>
        <w:r>
          <w:rPr>
            <w:kern w:val="0"/>
          </w:rPr>
          <w:t>月</w:t>
        </w:r>
        <w:r>
          <w:rPr>
            <w:kern w:val="0"/>
          </w:rPr>
          <w:t>1</w:t>
        </w:r>
        <w:r>
          <w:rPr>
            <w:kern w:val="0"/>
          </w:rPr>
          <w:t>日</w:t>
        </w:r>
      </w:smartTag>
      <w:r>
        <w:rPr>
          <w:kern w:val="0"/>
        </w:rPr>
        <w:t>已經新任命其他公務員擔任。原告不服調任決定而提起行政訴訟。初等與高等行政法院均已訴訟無理由駁回原告之訴。因為在職位從新派任後，原告訴訟希望這個職位從新騰出而提出的訴訟目的已經不可能再加以實現。不過最高行政法院並不同意這個理由。反而進一步審查調職決定的合法性。不過最終還是判定此一調職決定並不違法。判決原告之訴無理由。</w:t>
      </w:r>
    </w:p>
    <w:p w:rsidR="007D6688" w:rsidRDefault="007D6688">
      <w:pPr>
        <w:snapToGrid w:val="0"/>
        <w:spacing w:beforeLines="50" w:before="180" w:afterLines="50" w:after="180" w:line="480" w:lineRule="auto"/>
        <w:jc w:val="both"/>
        <w:outlineLvl w:val="0"/>
        <w:rPr>
          <w:b/>
          <w:sz w:val="28"/>
          <w:szCs w:val="28"/>
        </w:rPr>
      </w:pPr>
      <w:r>
        <w:rPr>
          <w:b/>
          <w:sz w:val="28"/>
          <w:szCs w:val="28"/>
        </w:rPr>
        <w:t>二、本案訴訟的主要救濟目的</w:t>
      </w:r>
    </w:p>
    <w:p w:rsidR="007D6688" w:rsidRDefault="007D6688">
      <w:pPr>
        <w:snapToGrid w:val="0"/>
        <w:spacing w:beforeLines="50" w:before="180" w:afterLines="50" w:after="180" w:line="480" w:lineRule="auto"/>
        <w:jc w:val="both"/>
        <w:rPr>
          <w:b/>
        </w:rPr>
      </w:pPr>
      <w:r>
        <w:rPr>
          <w:b/>
        </w:rPr>
        <w:t>（一）要求勿任命他人以及要求任命競爭者自己</w:t>
      </w:r>
    </w:p>
    <w:p w:rsidR="007D6688" w:rsidRDefault="007D6688">
      <w:pPr>
        <w:snapToGrid w:val="0"/>
        <w:spacing w:beforeLines="50" w:before="180" w:afterLines="50" w:after="180" w:line="480" w:lineRule="auto"/>
        <w:ind w:firstLineChars="225" w:firstLine="540"/>
        <w:jc w:val="both"/>
      </w:pPr>
      <w:r>
        <w:t>未獲陞遷任命之公務人員提起行政訴訟的目的首先在於透過課予義務之訴（或重新決定之訴（</w:t>
      </w:r>
      <w:r>
        <w:t>Neubescheidungsklage</w:t>
      </w:r>
      <w:r>
        <w:t>）），要求行政法院命行政機關作出對自己的陞遷決定。但是這個訴訟要有結果的前提是他希望陞遷的職位仍屬空缺。假如行政機關已經任命其他競爭關係下的第三人時，此時原告必須先考慮提起撤銷訴訟或不作為之訴，讓這個職位重新騰空出來。這在競爭關係訴訟中，被稱為所謂的排除或排擠競爭者之訴（</w:t>
      </w:r>
      <w:r>
        <w:t>sog. Ausschließemde od. verdrängende Konkurrentenklage</w:t>
      </w:r>
      <w:r>
        <w:t>），因為原告希望獲得第三人不能獲得的利益</w:t>
      </w:r>
      <w:r>
        <w:rPr>
          <w:rStyle w:val="ae"/>
        </w:rPr>
        <w:footnoteReference w:id="175"/>
      </w:r>
      <w:r>
        <w:t>。所以訴訟的目的不是只為自己能獲得陞遷，同時也希望已經任命第三人的陞遷被撤銷，職位重新騰出。</w:t>
      </w:r>
    </w:p>
    <w:p w:rsidR="007D6688" w:rsidRDefault="007D6688">
      <w:pPr>
        <w:snapToGrid w:val="0"/>
        <w:spacing w:beforeLines="50" w:before="180" w:afterLines="50" w:after="180" w:line="480" w:lineRule="auto"/>
        <w:jc w:val="both"/>
        <w:rPr>
          <w:b/>
        </w:rPr>
      </w:pPr>
      <w:r>
        <w:rPr>
          <w:b/>
        </w:rPr>
        <w:t>（二）自己地位的提升（陞遷任命）</w:t>
      </w:r>
    </w:p>
    <w:p w:rsidR="007D6688" w:rsidRDefault="007D6688">
      <w:pPr>
        <w:snapToGrid w:val="0"/>
        <w:spacing w:beforeLines="50" w:before="180" w:afterLines="50" w:after="180" w:line="480" w:lineRule="auto"/>
        <w:ind w:firstLineChars="225" w:firstLine="540"/>
        <w:jc w:val="both"/>
      </w:pPr>
      <w:r>
        <w:t>原告提起課予義務訴訟的主要理由在於，行政機關在最後選擇陞遷人員時違反了「最佳選擇原則（</w:t>
      </w:r>
      <w:r>
        <w:t>Grundsatz der Bestenauslese, Art. 33. Abs. 2 GG</w:t>
      </w:r>
      <w:r>
        <w:t>）」。同時原告有應該具有訴訟權能，因為競爭關係下競爭者源自於基本法第</w:t>
      </w:r>
      <w:r>
        <w:t>33</w:t>
      </w:r>
      <w:r>
        <w:t>條第</w:t>
      </w:r>
      <w:r>
        <w:t>2</w:t>
      </w:r>
      <w:r>
        <w:t>項的（主觀）公法上權利</w:t>
      </w:r>
      <w:r>
        <w:rPr>
          <w:rStyle w:val="ae"/>
        </w:rPr>
        <w:footnoteReference w:id="176"/>
      </w:r>
      <w:r>
        <w:t>可能因此受侵害。</w:t>
      </w:r>
    </w:p>
    <w:p w:rsidR="007D6688" w:rsidRDefault="007D6688">
      <w:pPr>
        <w:snapToGrid w:val="0"/>
        <w:spacing w:beforeLines="50" w:before="180" w:afterLines="50" w:after="180" w:line="480" w:lineRule="auto"/>
        <w:ind w:firstLineChars="225" w:firstLine="540"/>
        <w:jc w:val="both"/>
      </w:pPr>
      <w:r>
        <w:t>不過通說的見解認為，因為原本空缺的職位因為已經完成陞遷任命，所以這個陞遷任命程序已經「終結（</w:t>
      </w:r>
      <w:r>
        <w:t>Erledigung</w:t>
      </w:r>
      <w:r>
        <w:t>）」</w:t>
      </w:r>
      <w:r>
        <w:rPr>
          <w:rStyle w:val="ae"/>
        </w:rPr>
        <w:footnoteReference w:id="177"/>
      </w:r>
      <w:r>
        <w:t>。因此若是陞遷任命已經完畢，此時提起的課予義務訴訟應屬不合法</w:t>
      </w:r>
      <w:r>
        <w:rPr>
          <w:rStyle w:val="ae"/>
        </w:rPr>
        <w:footnoteReference w:id="178"/>
      </w:r>
      <w:r>
        <w:t>。適當的訴訟類型應該是所謂的「續行確認訴訟（</w:t>
      </w:r>
      <w:r>
        <w:t>Fortsetzungsfeststellungsklage</w:t>
      </w:r>
      <w:r>
        <w:t>）」。競爭者要求提供其所欲陞遷的職位事實上已經不可能，即使在先前的陞遷程序中，他的權利未受到適當的重視</w:t>
      </w:r>
      <w:r>
        <w:rPr>
          <w:rStyle w:val="ae"/>
        </w:rPr>
        <w:footnoteReference w:id="179"/>
      </w:r>
      <w:r>
        <w:t>。通常的情況下，已經完成的陞遷任命並無法加以回溯撤銷，除非有公務員法上相關嚴格限制的例外條件發生（</w:t>
      </w:r>
      <w:r>
        <w:t>§§ 9 BRRG, 12 BBG</w:t>
      </w:r>
      <w:r>
        <w:t>）</w:t>
      </w:r>
      <w:r>
        <w:rPr>
          <w:rStyle w:val="ae"/>
        </w:rPr>
        <w:footnoteReference w:id="180"/>
      </w:r>
      <w:r>
        <w:t>。至於未獲陞遷任命者自己的陞遷要求則更不可能。</w:t>
      </w:r>
    </w:p>
    <w:p w:rsidR="007D6688" w:rsidRDefault="007D6688">
      <w:pPr>
        <w:snapToGrid w:val="0"/>
        <w:spacing w:beforeLines="50" w:before="180" w:afterLines="50" w:after="180" w:line="480" w:lineRule="auto"/>
        <w:jc w:val="both"/>
        <w:rPr>
          <w:b/>
        </w:rPr>
      </w:pPr>
      <w:r>
        <w:rPr>
          <w:b/>
        </w:rPr>
        <w:t>（三）阻止競爭者地位的提升</w:t>
      </w:r>
    </w:p>
    <w:p w:rsidR="007D6688" w:rsidRDefault="007D6688">
      <w:pPr>
        <w:snapToGrid w:val="0"/>
        <w:spacing w:beforeLines="50" w:before="180" w:afterLines="50" w:after="180" w:line="480" w:lineRule="auto"/>
        <w:ind w:firstLineChars="225" w:firstLine="540"/>
        <w:jc w:val="both"/>
      </w:pPr>
      <w:r>
        <w:t>由於通說認為課予義務訴訟已經終結，原本的職缺已經陞遷完成而有其他公務人員佔用，未獲陞遷任命者唯一可能的權利救濟應該只剩下去阻止競爭者已經完成的陞遷任用。我們可以想像的方式是以提起撤銷訴訟來實現這個目的。甚至於是提起一般給付訴訟下，所謂的「預防性的不作為之訴（</w:t>
      </w:r>
      <w:r>
        <w:t>die vorbeugende Unterlassungsklage</w:t>
      </w:r>
      <w:r>
        <w:t>）」，事前去阻止行政機關對於競爭者的陞遷任命。</w:t>
      </w:r>
    </w:p>
    <w:p w:rsidR="007D6688" w:rsidRDefault="007D6688">
      <w:pPr>
        <w:snapToGrid w:val="0"/>
        <w:spacing w:beforeLines="50" w:before="180" w:afterLines="50" w:after="180" w:line="480" w:lineRule="auto"/>
        <w:ind w:firstLineChars="225" w:firstLine="540"/>
        <w:jc w:val="both"/>
      </w:pPr>
      <w:r>
        <w:t>不過學者指出，預防性的不作為之訴因為仍屬一般給付訴訟的一種子類型，所以相較於撤銷訴訟仍具有所謂的補充性或備位性（</w:t>
      </w:r>
      <w:r>
        <w:t>subsidär</w:t>
      </w:r>
      <w:r>
        <w:t>）。同時提起此類訴訟所要具備的「權利保護必要性（</w:t>
      </w:r>
      <w:r>
        <w:t>Rechtsschutzbedürfnis</w:t>
      </w:r>
      <w:r>
        <w:t>）」也比較高</w:t>
      </w:r>
      <w:r>
        <w:rPr>
          <w:rStyle w:val="ae"/>
        </w:rPr>
        <w:footnoteReference w:id="181"/>
      </w:r>
      <w:r>
        <w:t>。因為人民對於行政機關的決定有所質疑時，可以針對這個已經存在的決定提起撤銷訴訟。而且原則上不能在這個決定尚未作出之前，即提起（預防性）不作為之訴來阻止行政機關作成該決定。這不僅在雙邊法律關係，同時也在多邊法律關係（例如本案中的競爭關係）中有其適用。</w:t>
      </w:r>
    </w:p>
    <w:p w:rsidR="007D6688" w:rsidRDefault="007D6688">
      <w:pPr>
        <w:snapToGrid w:val="0"/>
        <w:spacing w:beforeLines="50" w:before="180" w:afterLines="50" w:after="180" w:line="480" w:lineRule="auto"/>
        <w:jc w:val="both"/>
        <w:rPr>
          <w:b/>
        </w:rPr>
      </w:pPr>
      <w:r>
        <w:rPr>
          <w:b/>
        </w:rPr>
        <w:t>（</w:t>
      </w:r>
      <w:r>
        <w:rPr>
          <w:b/>
        </w:rPr>
        <w:t>1</w:t>
      </w:r>
      <w:r>
        <w:rPr>
          <w:b/>
        </w:rPr>
        <w:t>）提起撤銷訴訟請求撤銷競爭者之陞遷任命</w:t>
      </w:r>
    </w:p>
    <w:p w:rsidR="007D6688" w:rsidRDefault="007D6688">
      <w:pPr>
        <w:snapToGrid w:val="0"/>
        <w:spacing w:beforeLines="50" w:before="180" w:afterLines="50" w:after="180" w:line="480" w:lineRule="auto"/>
        <w:ind w:firstLineChars="225" w:firstLine="540"/>
        <w:jc w:val="both"/>
        <w:rPr>
          <w:rFonts w:hint="eastAsia"/>
        </w:rPr>
      </w:pPr>
      <w:r>
        <w:t>目前實務上對於公務員法上之競爭訴訟所持之見解大體上是認為，若是從欲陞遷的競爭者間選出特定之公務人員加以陞遷完成，通常想再提起撤銷訴訟即屬不可能。雖然未獲陞遷的公務員針對他人的陞遷提起撤銷訴訟，理論上其提起的訴訟是合法的。但是最後卻還是無法將已經任用的陞遷加以撤銷，因為撤銷與否與未獲陞遷者的權利救濟有和相關，並不明確。聯邦行政法院對於競爭者已經執行完畢的任命而提起的撤銷訴訟並不同意此時具備行政法院法第</w:t>
      </w:r>
      <w:r>
        <w:t>42</w:t>
      </w:r>
      <w:r>
        <w:t>條第</w:t>
      </w:r>
      <w:r>
        <w:t>2</w:t>
      </w:r>
      <w:r>
        <w:t>項撤銷訴訟所應必備的訴訟權能（</w:t>
      </w:r>
      <w:r>
        <w:t>Klagebefugnis</w:t>
      </w:r>
      <w:r>
        <w:t>）。</w:t>
      </w:r>
      <w:r>
        <w:rPr>
          <w:rFonts w:hint="eastAsia"/>
        </w:rPr>
        <w:t>因為聯邦行政法院並不同意這種任命是一種對特定人有利，但卻對第三人不利之「附第三人效力之行政處分」，而應該是一個與未獲陞遷任命者無關的單純行政處分</w:t>
      </w:r>
      <w:r>
        <w:rPr>
          <w:rStyle w:val="ae"/>
        </w:rPr>
        <w:footnoteReference w:id="182"/>
      </w:r>
      <w:r>
        <w:rPr>
          <w:rFonts w:hint="eastAsia"/>
        </w:rPr>
        <w:t>。</w:t>
      </w:r>
    </w:p>
    <w:p w:rsidR="007D6688" w:rsidRDefault="007D6688">
      <w:pPr>
        <w:snapToGrid w:val="0"/>
        <w:spacing w:beforeLines="50" w:before="180" w:afterLines="50" w:after="180" w:line="480" w:lineRule="auto"/>
        <w:ind w:firstLineChars="225" w:firstLine="540"/>
        <w:jc w:val="both"/>
        <w:rPr>
          <w:rFonts w:hint="eastAsia"/>
        </w:rPr>
      </w:pPr>
      <w:r>
        <w:rPr>
          <w:rFonts w:hint="eastAsia"/>
        </w:rPr>
        <w:t>在這裡必須先確定，究竟提起撤銷訴訟到底是否合法？如果不合法，我們其實也不用再討論訴訟是否有理由（即行政處分違法侵害原告權利）。反之，如果未獲任命之競爭者提起的撤銷訴訟合法，行政法院原則上就必須進一步審查究竟這個任命是否違法，同時侵害原告之權利。有學者即認為這項陞遷任命違反了憲法上「</w:t>
      </w:r>
      <w:r>
        <w:t>最佳選擇原則</w:t>
      </w:r>
      <w:r>
        <w:rPr>
          <w:rFonts w:hint="eastAsia"/>
        </w:rPr>
        <w:t>」，這項陞遷任命即屬違法並侵害原告的權利。行政機關是否可以將已經完成的陞遷任命加以撤銷，不應該是訴訟有無理由的主因。重要的是「行政法院」可否將這項陞遷任命加以撤銷，同時也僅根據行政法院法第</w:t>
      </w:r>
      <w:r>
        <w:rPr>
          <w:rFonts w:hint="eastAsia"/>
        </w:rPr>
        <w:t>113</w:t>
      </w:r>
      <w:r>
        <w:rPr>
          <w:rFonts w:hint="eastAsia"/>
        </w:rPr>
        <w:t>條第</w:t>
      </w:r>
      <w:r>
        <w:rPr>
          <w:rFonts w:hint="eastAsia"/>
        </w:rPr>
        <w:t>1</w:t>
      </w:r>
      <w:r>
        <w:rPr>
          <w:rFonts w:hint="eastAsia"/>
        </w:rPr>
        <w:t>項（即行政處分有無違法，並侵害原告權利）加以判斷</w:t>
      </w:r>
      <w:r>
        <w:rPr>
          <w:rStyle w:val="ae"/>
        </w:rPr>
        <w:footnoteReference w:id="183"/>
      </w:r>
      <w:r>
        <w:rPr>
          <w:rFonts w:hint="eastAsia"/>
        </w:rPr>
        <w:t>。</w:t>
      </w:r>
    </w:p>
    <w:p w:rsidR="007D6688" w:rsidRDefault="007D6688">
      <w:pPr>
        <w:snapToGrid w:val="0"/>
        <w:spacing w:beforeLines="50" w:before="180" w:afterLines="50" w:after="180" w:line="480" w:lineRule="auto"/>
        <w:ind w:firstLineChars="225" w:firstLine="540"/>
        <w:jc w:val="both"/>
        <w:rPr>
          <w:rFonts w:hint="eastAsia"/>
        </w:rPr>
      </w:pPr>
      <w:r>
        <w:rPr>
          <w:rFonts w:hint="eastAsia"/>
        </w:rPr>
        <w:t>相反地，聯邦行政法院則認為此時提起撤銷訴訟應屬不合法。法院無法再進一步審查此一任命是否違法並侵害原告之權利。所以未獲陞遷任命之競爭者的請求權如何實現，乃取決於已任命的職位是否可以例外地重新空出（因為該陞遷任命自始無效！）或者「行政機關」可以重新騰出該職缺（行政機關依職權將原先的陞遷任命撤銷）。</w:t>
      </w:r>
    </w:p>
    <w:p w:rsidR="007D6688" w:rsidRDefault="007D6688">
      <w:pPr>
        <w:snapToGrid w:val="0"/>
        <w:spacing w:beforeLines="50" w:before="180" w:afterLines="50" w:after="180" w:line="480" w:lineRule="auto"/>
        <w:jc w:val="both"/>
        <w:rPr>
          <w:b/>
        </w:rPr>
      </w:pPr>
      <w:r>
        <w:rPr>
          <w:b/>
        </w:rPr>
        <w:t>（</w:t>
      </w:r>
      <w:r>
        <w:rPr>
          <w:rFonts w:hint="eastAsia"/>
          <w:b/>
        </w:rPr>
        <w:t>2</w:t>
      </w:r>
      <w:r>
        <w:rPr>
          <w:b/>
        </w:rPr>
        <w:t>）提起</w:t>
      </w:r>
      <w:r>
        <w:rPr>
          <w:rFonts w:hint="eastAsia"/>
          <w:b/>
        </w:rPr>
        <w:t>預防性之不作為</w:t>
      </w:r>
      <w:r>
        <w:rPr>
          <w:b/>
        </w:rPr>
        <w:t>訴訟請求</w:t>
      </w:r>
      <w:r>
        <w:rPr>
          <w:rFonts w:hint="eastAsia"/>
          <w:b/>
        </w:rPr>
        <w:t>勿對</w:t>
      </w:r>
      <w:r>
        <w:rPr>
          <w:b/>
        </w:rPr>
        <w:t>競爭者</w:t>
      </w:r>
      <w:r>
        <w:rPr>
          <w:rFonts w:hint="eastAsia"/>
          <w:b/>
        </w:rPr>
        <w:t>加以</w:t>
      </w:r>
      <w:r>
        <w:rPr>
          <w:b/>
        </w:rPr>
        <w:t>陞遷任命</w:t>
      </w:r>
    </w:p>
    <w:p w:rsidR="007D6688" w:rsidRDefault="007D6688">
      <w:pPr>
        <w:snapToGrid w:val="0"/>
        <w:spacing w:beforeLines="50" w:before="180" w:afterLines="50" w:after="180" w:line="480" w:lineRule="auto"/>
        <w:ind w:firstLineChars="225" w:firstLine="540"/>
        <w:jc w:val="both"/>
        <w:rPr>
          <w:rFonts w:hint="eastAsia"/>
        </w:rPr>
      </w:pPr>
      <w:r>
        <w:rPr>
          <w:rFonts w:hint="eastAsia"/>
        </w:rPr>
        <w:t>由於一般認為，提起課予義務訴訟要求法院命行政機關重新作成陞遷任命之決定已不可能（本案屬於已終結之案件！）。而撤銷訴訟是否合法，聯邦行政法院的態度又傾向消極認定，行政機關依職權撤銷先前陞遷任命的機會，因公務員法上嚴苛的條件限制亦屬少數。所以此時未獲陞遷任命者所能考慮的本案訴訟類型可能僅剩下一般給付訴訟下的預防性不作為之訴。原告此時可以要求法院暫時禁止行政機關陞遷任命其他的公務人員。不過值得注意的是，本案訴訟往往耗日費時，即使是預防性的不作為之訴亦然。往往本案勝訴也已經為時已晚，所以還不如考慮在暫時性權利救濟制度中尋求保障。</w:t>
      </w:r>
    </w:p>
    <w:p w:rsidR="007D6688" w:rsidRDefault="007D6688">
      <w:pPr>
        <w:snapToGrid w:val="0"/>
        <w:spacing w:beforeLines="50" w:before="180" w:afterLines="50" w:after="180" w:line="480" w:lineRule="auto"/>
        <w:jc w:val="both"/>
        <w:rPr>
          <w:rFonts w:hint="eastAsia"/>
          <w:b/>
        </w:rPr>
      </w:pPr>
      <w:r>
        <w:rPr>
          <w:b/>
        </w:rPr>
        <w:t>（</w:t>
      </w:r>
      <w:r>
        <w:rPr>
          <w:rFonts w:hint="eastAsia"/>
          <w:b/>
        </w:rPr>
        <w:t>3</w:t>
      </w:r>
      <w:r>
        <w:rPr>
          <w:b/>
        </w:rPr>
        <w:t>）</w:t>
      </w:r>
      <w:r>
        <w:rPr>
          <w:rFonts w:hint="eastAsia"/>
          <w:b/>
        </w:rPr>
        <w:t>尋求暫時性權利救濟</w:t>
      </w:r>
    </w:p>
    <w:p w:rsidR="007D6688" w:rsidRDefault="007D6688">
      <w:pPr>
        <w:snapToGrid w:val="0"/>
        <w:spacing w:beforeLines="50" w:before="180" w:afterLines="50" w:after="180" w:line="480" w:lineRule="auto"/>
        <w:ind w:firstLineChars="225" w:firstLine="540"/>
        <w:jc w:val="both"/>
        <w:rPr>
          <w:kern w:val="0"/>
        </w:rPr>
      </w:pPr>
      <w:r>
        <w:rPr>
          <w:rFonts w:hAnsi="Arial"/>
          <w:kern w:val="0"/>
        </w:rPr>
        <w:t>暫時權利保護作為訴訟法上傳統的制度，依傳統的見解，其主要只是具有「保全功能（</w:t>
      </w:r>
      <w:r>
        <w:rPr>
          <w:kern w:val="0"/>
        </w:rPr>
        <w:t>Sicherungsfunktion</w:t>
      </w:r>
      <w:r>
        <w:rPr>
          <w:rFonts w:hAnsi="Arial"/>
          <w:kern w:val="0"/>
        </w:rPr>
        <w:t>）」，以保障訴訟原告之權利在勝訴後不因無從執行而終局落空</w:t>
      </w:r>
      <w:r>
        <w:rPr>
          <w:rStyle w:val="ae"/>
          <w:kern w:val="0"/>
        </w:rPr>
        <w:footnoteReference w:id="184"/>
      </w:r>
      <w:r>
        <w:rPr>
          <w:rFonts w:hAnsi="Arial"/>
          <w:kern w:val="0"/>
        </w:rPr>
        <w:t>。但是隨著訴訟程序在實務上往往曠日廢時，目前在訴訟實務上，當事人多習於在本案訴訟外，另行聲請暫時權利保護，以避免權利不因過長的訴訟程序而致嗣後無法實際獲得所需救濟。一般的本案訴訟程序，為了追求終局正義，往往適用各種傳統的程序原則以及複雜的訴訟制度。但是相對地在程序上會造成延宕。而暫時權利保護程序，適用所謂略式審查（</w:t>
      </w:r>
      <w:r>
        <w:rPr>
          <w:kern w:val="0"/>
        </w:rPr>
        <w:t>summarische Prüfung</w:t>
      </w:r>
      <w:r>
        <w:rPr>
          <w:rFonts w:hAnsi="Arial"/>
          <w:kern w:val="0"/>
        </w:rPr>
        <w:t>），可以謀求訴訟上之本案爭議，至少在終局裁判前迅速暫時獲得解決。所以暫時權利保護程序，亦常被稱為「快速程序（</w:t>
      </w:r>
      <w:r>
        <w:rPr>
          <w:kern w:val="0"/>
        </w:rPr>
        <w:t>Eilverfahren</w:t>
      </w:r>
      <w:r>
        <w:rPr>
          <w:rFonts w:hAnsi="Arial"/>
          <w:kern w:val="0"/>
        </w:rPr>
        <w:t>）」，其更具有所謂「暫時滿足之功能（</w:t>
      </w:r>
      <w:r>
        <w:rPr>
          <w:kern w:val="0"/>
        </w:rPr>
        <w:t>interimistische Befriedungsfunktion</w:t>
      </w:r>
      <w:r>
        <w:rPr>
          <w:rFonts w:hAnsi="Arial"/>
          <w:kern w:val="0"/>
        </w:rPr>
        <w:t>）」</w:t>
      </w:r>
      <w:r>
        <w:rPr>
          <w:rStyle w:val="ae"/>
          <w:kern w:val="0"/>
        </w:rPr>
        <w:footnoteReference w:id="185"/>
      </w:r>
      <w:r>
        <w:rPr>
          <w:rFonts w:hAnsi="Arial"/>
          <w:kern w:val="0"/>
        </w:rPr>
        <w:t>。</w:t>
      </w:r>
    </w:p>
    <w:p w:rsidR="007D6688" w:rsidRDefault="007D6688">
      <w:pPr>
        <w:snapToGrid w:val="0"/>
        <w:spacing w:beforeLines="50" w:before="180" w:afterLines="50" w:after="180" w:line="480" w:lineRule="auto"/>
        <w:ind w:firstLineChars="225" w:firstLine="540"/>
        <w:jc w:val="both"/>
      </w:pPr>
      <w:r>
        <w:rPr>
          <w:rFonts w:hint="eastAsia"/>
        </w:rPr>
        <w:t>如果原告提起的本案訴訟是撤銷訴訟時，此時可以考慮的暫時性權利保護制度乃是請求「暫時停止執行」（德國行政法院法第</w:t>
      </w:r>
      <w:r>
        <w:rPr>
          <w:rFonts w:hint="eastAsia"/>
        </w:rPr>
        <w:t>80</w:t>
      </w:r>
      <w:r>
        <w:rPr>
          <w:rFonts w:hint="eastAsia"/>
        </w:rPr>
        <w:t>條與第</w:t>
      </w:r>
      <w:smartTag w:uri="urn:schemas-microsoft-com:office:smarttags" w:element="chmetcnv">
        <w:smartTagPr>
          <w:attr w:name="UnitName" w:val="a"/>
          <w:attr w:name="SourceValue" w:val="80"/>
          <w:attr w:name="HasSpace" w:val="False"/>
          <w:attr w:name="Negative" w:val="False"/>
          <w:attr w:name="NumberType" w:val="1"/>
          <w:attr w:name="TCSC" w:val="0"/>
        </w:smartTagPr>
        <w:r>
          <w:rPr>
            <w:rFonts w:hint="eastAsia"/>
          </w:rPr>
          <w:t>80a</w:t>
        </w:r>
      </w:smartTag>
      <w:r>
        <w:rPr>
          <w:rFonts w:hint="eastAsia"/>
        </w:rPr>
        <w:t>條，我國行政訴訟法第</w:t>
      </w:r>
      <w:r>
        <w:t>116</w:t>
      </w:r>
      <w:r>
        <w:rPr>
          <w:rFonts w:hint="eastAsia"/>
        </w:rPr>
        <w:t>與</w:t>
      </w:r>
      <w:r>
        <w:rPr>
          <w:rFonts w:hint="eastAsia"/>
        </w:rPr>
        <w:t>117</w:t>
      </w:r>
      <w:r>
        <w:rPr>
          <w:rFonts w:hint="eastAsia"/>
        </w:rPr>
        <w:t>條）。但是如前所述，德國實務的見解一貫地認為此時撤銷訴訟並不合法，因此暫時停止執行的要求亦不可能。我們可以考慮的應該是行政法院法第</w:t>
      </w:r>
      <w:r>
        <w:rPr>
          <w:rFonts w:hint="eastAsia"/>
        </w:rPr>
        <w:t>123</w:t>
      </w:r>
      <w:r>
        <w:rPr>
          <w:rFonts w:hint="eastAsia"/>
        </w:rPr>
        <w:t>條以下規定的假處分制度。在我國則為第</w:t>
      </w:r>
      <w:r>
        <w:t>298</w:t>
      </w:r>
      <w:r>
        <w:rPr>
          <w:rFonts w:hint="eastAsia"/>
        </w:rPr>
        <w:t>條第</w:t>
      </w:r>
      <w:r>
        <w:rPr>
          <w:rFonts w:hint="eastAsia"/>
        </w:rPr>
        <w:t>1</w:t>
      </w:r>
      <w:r>
        <w:rPr>
          <w:rFonts w:hint="eastAsia"/>
        </w:rPr>
        <w:t>項，要求法院發保全命令（</w:t>
      </w:r>
      <w:r>
        <w:t>Sicherungsordnung</w:t>
      </w:r>
      <w:r>
        <w:rPr>
          <w:rFonts w:hint="eastAsia"/>
        </w:rPr>
        <w:t>）以保全日後實施強制執行，以及第</w:t>
      </w:r>
      <w:r>
        <w:t>298</w:t>
      </w:r>
      <w:r>
        <w:rPr>
          <w:rFonts w:hint="eastAsia"/>
        </w:rPr>
        <w:t>條第</w:t>
      </w:r>
      <w:r>
        <w:rPr>
          <w:rFonts w:hint="eastAsia"/>
        </w:rPr>
        <w:t>2</w:t>
      </w:r>
      <w:r>
        <w:rPr>
          <w:rFonts w:hint="eastAsia"/>
        </w:rPr>
        <w:t>項要求法院發定暫時狀態命令（</w:t>
      </w:r>
      <w:r>
        <w:t>Regelungsordnung</w:t>
      </w:r>
      <w:r>
        <w:rPr>
          <w:rFonts w:hint="eastAsia"/>
        </w:rPr>
        <w:t>）以採取必要措施，維護暫時狀態之制度。</w:t>
      </w:r>
    </w:p>
    <w:p w:rsidR="007D6688" w:rsidRDefault="007D6688">
      <w:pPr>
        <w:snapToGrid w:val="0"/>
        <w:spacing w:beforeLines="50" w:before="180" w:afterLines="50" w:after="180" w:line="480" w:lineRule="auto"/>
        <w:ind w:firstLineChars="225" w:firstLine="540"/>
        <w:jc w:val="both"/>
        <w:rPr>
          <w:rFonts w:ascii="MS Mincho" w:hAnsi="MS Mincho" w:cs="MS Mincho" w:hint="eastAsia"/>
        </w:rPr>
      </w:pPr>
      <w:r>
        <w:t>未獲陞遷任命者提起訴訟的目的無非是希望原本空缺出來的職位能夠保持，甚至於由自己來獲得。由於原告可以主張基本法第</w:t>
      </w:r>
      <w:r>
        <w:t>33</w:t>
      </w:r>
      <w:r>
        <w:rPr>
          <w:rFonts w:hAnsi="MS Mincho"/>
        </w:rPr>
        <w:t>條第</w:t>
      </w:r>
      <w:r>
        <w:t>2</w:t>
      </w:r>
      <w:r>
        <w:rPr>
          <w:rFonts w:hAnsi="MS Mincho"/>
        </w:rPr>
        <w:t>項保障他於陞遷時有應被尊重的（主觀）公法權利（至少有應徵的程序請求權！），所以他有請求受暫時性權利保護的資格。假如原告對於暫時命令的請求以及請求暫時命令的原因顯而可信（</w:t>
      </w:r>
      <w:r>
        <w:t>glaubhaft</w:t>
      </w:r>
      <w:r>
        <w:rPr>
          <w:rFonts w:hAnsi="MS Mincho"/>
        </w:rPr>
        <w:t>）</w:t>
      </w:r>
      <w:r>
        <w:rPr>
          <w:rFonts w:hAnsi="MS Mincho" w:hint="eastAsia"/>
        </w:rPr>
        <w:t>，其請求</w:t>
      </w:r>
      <w:r>
        <w:rPr>
          <w:rFonts w:hint="eastAsia"/>
        </w:rPr>
        <w:t>發保全命令或定暫時狀態即屬有理由。</w:t>
      </w:r>
      <w:r>
        <w:rPr>
          <w:rFonts w:hAnsi="MS Mincho"/>
        </w:rPr>
        <w:t>原告對於暫時命令的請求</w:t>
      </w:r>
      <w:r>
        <w:rPr>
          <w:rFonts w:hAnsi="MS Mincho" w:hint="eastAsia"/>
        </w:rPr>
        <w:t>權</w:t>
      </w:r>
      <w:r>
        <w:rPr>
          <w:rFonts w:hAnsi="MS Mincho"/>
        </w:rPr>
        <w:t>顯而可信</w:t>
      </w:r>
      <w:r>
        <w:rPr>
          <w:rFonts w:hAnsi="MS Mincho" w:hint="eastAsia"/>
        </w:rPr>
        <w:t>，</w:t>
      </w:r>
      <w:r>
        <w:rPr>
          <w:rFonts w:hint="eastAsia"/>
        </w:rPr>
        <w:t>是指原告所提供的事實足堪證明其所主張「極具可能性（</w:t>
      </w:r>
      <w:r>
        <w:t>überwiegend wahrscheinlich</w:t>
      </w:r>
      <w:r>
        <w:rPr>
          <w:rFonts w:hint="eastAsia"/>
        </w:rPr>
        <w:t>）」</w:t>
      </w:r>
      <w:r>
        <w:rPr>
          <w:rStyle w:val="ae"/>
        </w:rPr>
        <w:footnoteReference w:id="186"/>
      </w:r>
      <w:r>
        <w:rPr>
          <w:rFonts w:hint="eastAsia"/>
        </w:rPr>
        <w:t>。而並不需要真的確定原告是根據基本法第</w:t>
      </w:r>
      <w:r>
        <w:t>33</w:t>
      </w:r>
      <w:r>
        <w:rPr>
          <w:rFonts w:hAnsi="MS Mincho"/>
        </w:rPr>
        <w:t>條第</w:t>
      </w:r>
      <w:r>
        <w:t>2</w:t>
      </w:r>
      <w:r>
        <w:rPr>
          <w:rFonts w:ascii="MS Mincho" w:hAnsi="MS Mincho" w:cs="MS Mincho" w:hint="eastAsia"/>
        </w:rPr>
        <w:t>項事實上最適於被陞遷任命者</w:t>
      </w:r>
      <w:r>
        <w:rPr>
          <w:rStyle w:val="ae"/>
          <w:rFonts w:ascii="MS Mincho" w:hAnsi="MS Mincho" w:cs="MS Mincho"/>
        </w:rPr>
        <w:footnoteReference w:id="187"/>
      </w:r>
      <w:r>
        <w:rPr>
          <w:rFonts w:ascii="MS Mincho" w:hAnsi="MS Mincho" w:cs="MS Mincho" w:hint="eastAsia"/>
        </w:rPr>
        <w:t>。</w:t>
      </w:r>
    </w:p>
    <w:p w:rsidR="007D6688" w:rsidRDefault="007D6688">
      <w:pPr>
        <w:snapToGrid w:val="0"/>
        <w:spacing w:beforeLines="50" w:before="180" w:afterLines="50" w:after="180" w:line="480" w:lineRule="auto"/>
        <w:ind w:firstLineChars="225" w:firstLine="540"/>
        <w:jc w:val="both"/>
        <w:rPr>
          <w:rFonts w:hAnsi="Batang" w:hint="eastAsia"/>
        </w:rPr>
      </w:pPr>
      <w:r>
        <w:t>原告請求暫時命令的原因顯而可信則是指，若是既有狀態已經改變，存有權利的實現會被嚴重削弱或阻礙的危險。例如原本空缺之職位已經有其他人被任命後，原告的權利之實現即有嚴重弱化的危險。基本法第</w:t>
      </w:r>
      <w:r>
        <w:t>19</w:t>
      </w:r>
      <w:r>
        <w:rPr>
          <w:rFonts w:hAnsi="Batang"/>
        </w:rPr>
        <w:t>條第</w:t>
      </w:r>
      <w:r>
        <w:t>4</w:t>
      </w:r>
      <w:r>
        <w:rPr>
          <w:rFonts w:hAnsi="Batang"/>
        </w:rPr>
        <w:t>項所保障的有效權利救濟體系</w:t>
      </w:r>
      <w:r>
        <w:rPr>
          <w:rFonts w:hAnsi="Batang" w:hint="eastAsia"/>
        </w:rPr>
        <w:t>無論如何都應該包括暫時性的權利救濟。而自</w:t>
      </w:r>
      <w:r>
        <w:t>基本法第</w:t>
      </w:r>
      <w:r>
        <w:t>19</w:t>
      </w:r>
      <w:r>
        <w:rPr>
          <w:rFonts w:hAnsi="Batang"/>
        </w:rPr>
        <w:t>條第</w:t>
      </w:r>
      <w:r>
        <w:t>4</w:t>
      </w:r>
      <w:r>
        <w:rPr>
          <w:rFonts w:hAnsi="Batang"/>
        </w:rPr>
        <w:t>項</w:t>
      </w:r>
      <w:r>
        <w:rPr>
          <w:rFonts w:hAnsi="Batang" w:hint="eastAsia"/>
        </w:rPr>
        <w:t>可以導出，未獲陞遷任命之原告至少擁有程序上的請求權。因此機關首長在陞遷任命決定前，應該有通知其他競爭者進行選拔程序的義務，這些競爭者也才有透過行政法院法第</w:t>
      </w:r>
      <w:r>
        <w:rPr>
          <w:rFonts w:hAnsi="Batang" w:hint="eastAsia"/>
        </w:rPr>
        <w:t>123</w:t>
      </w:r>
      <w:r>
        <w:rPr>
          <w:rFonts w:hAnsi="Batang" w:hint="eastAsia"/>
        </w:rPr>
        <w:t>條暫時權利保護的途徑保護自己權利的機會。</w:t>
      </w:r>
    </w:p>
    <w:p w:rsidR="007D6688" w:rsidRDefault="007D6688">
      <w:pPr>
        <w:snapToGrid w:val="0"/>
        <w:spacing w:beforeLines="50" w:before="180" w:afterLines="50" w:after="180" w:line="480" w:lineRule="auto"/>
        <w:jc w:val="both"/>
        <w:outlineLvl w:val="0"/>
        <w:rPr>
          <w:rFonts w:hint="eastAsia"/>
          <w:b/>
          <w:sz w:val="28"/>
          <w:szCs w:val="28"/>
        </w:rPr>
      </w:pPr>
      <w:r>
        <w:rPr>
          <w:rFonts w:hint="eastAsia"/>
          <w:b/>
          <w:sz w:val="28"/>
          <w:szCs w:val="28"/>
        </w:rPr>
        <w:t>三</w:t>
      </w:r>
      <w:r>
        <w:rPr>
          <w:b/>
          <w:sz w:val="28"/>
          <w:szCs w:val="28"/>
        </w:rPr>
        <w:t>、</w:t>
      </w:r>
      <w:r>
        <w:rPr>
          <w:rFonts w:hint="eastAsia"/>
          <w:b/>
          <w:sz w:val="28"/>
          <w:szCs w:val="28"/>
        </w:rPr>
        <w:t>告別職務安定原則？</w:t>
      </w:r>
    </w:p>
    <w:p w:rsidR="007D6688" w:rsidRDefault="007D6688">
      <w:pPr>
        <w:snapToGrid w:val="0"/>
        <w:spacing w:beforeLines="50" w:before="180" w:afterLines="50" w:after="180" w:line="480" w:lineRule="auto"/>
        <w:ind w:firstLineChars="225" w:firstLine="540"/>
        <w:jc w:val="both"/>
        <w:rPr>
          <w:rFonts w:hint="eastAsia"/>
        </w:rPr>
      </w:pPr>
      <w:r>
        <w:rPr>
          <w:rFonts w:hint="eastAsia"/>
        </w:rPr>
        <w:t>於前述訴訟問題爭點中，仍有待釐清的是，是否在競爭關係下，機關首長完成陞遷任命其中一人之後本案爭訟即屬已經「終結（</w:t>
      </w:r>
      <w:r>
        <w:t>Erledigung</w:t>
      </w:r>
      <w:r>
        <w:rPr>
          <w:rFonts w:hint="eastAsia"/>
        </w:rPr>
        <w:t>）」？特別是在課予義務訴訟中，原告的請求是否已經無法或者仍有可能加以實現？其前提當然是，原告所希望被陞遷任命的職位仍有空缺出來的可能性？這也是撤銷訴訟關注的重點。</w:t>
      </w:r>
    </w:p>
    <w:p w:rsidR="007D6688" w:rsidRDefault="007D6688">
      <w:pPr>
        <w:snapToGrid w:val="0"/>
        <w:spacing w:beforeLines="50" w:before="180" w:afterLines="50" w:after="180" w:line="480" w:lineRule="auto"/>
        <w:jc w:val="both"/>
        <w:rPr>
          <w:b/>
        </w:rPr>
      </w:pPr>
      <w:r>
        <w:rPr>
          <w:b/>
        </w:rPr>
        <w:t>（</w:t>
      </w:r>
      <w:r>
        <w:rPr>
          <w:rFonts w:hint="eastAsia"/>
          <w:b/>
        </w:rPr>
        <w:t>一</w:t>
      </w:r>
      <w:r>
        <w:rPr>
          <w:b/>
        </w:rPr>
        <w:t>）</w:t>
      </w:r>
      <w:r>
        <w:rPr>
          <w:rFonts w:hint="eastAsia"/>
          <w:b/>
        </w:rPr>
        <w:t>提起撤銷訴訟之訴訟權能</w:t>
      </w:r>
    </w:p>
    <w:p w:rsidR="007D6688" w:rsidRDefault="007D6688">
      <w:pPr>
        <w:snapToGrid w:val="0"/>
        <w:spacing w:beforeLines="50" w:before="180" w:afterLines="50" w:after="180" w:line="480" w:lineRule="auto"/>
        <w:ind w:firstLineChars="225" w:firstLine="540"/>
        <w:jc w:val="both"/>
        <w:rPr>
          <w:rFonts w:hint="eastAsia"/>
        </w:rPr>
      </w:pPr>
      <w:r>
        <w:rPr>
          <w:rFonts w:hint="eastAsia"/>
        </w:rPr>
        <w:t>聯邦行政法院雖然認為此時因為其他競爭者之任命與自己無關，所以原告之訴訟權能不具備。不過仍有許多學者持反對見解</w:t>
      </w:r>
      <w:r>
        <w:rPr>
          <w:rStyle w:val="ae"/>
        </w:rPr>
        <w:footnoteReference w:id="188"/>
      </w:r>
      <w:r>
        <w:rPr>
          <w:rFonts w:hint="eastAsia"/>
        </w:rPr>
        <w:t>。由於預算以及人事法規之限制，每一個空缺的職位由誰陞遷或被任命，並非僅僅是一種雙邊法律關係。對於每一個競爭者而言，他人獲得陞遷任命，也就等於自己源自於基本法第</w:t>
      </w:r>
      <w:r>
        <w:rPr>
          <w:rFonts w:hint="eastAsia"/>
        </w:rPr>
        <w:t>33</w:t>
      </w:r>
      <w:r>
        <w:rPr>
          <w:rFonts w:hint="eastAsia"/>
        </w:rPr>
        <w:t>條第</w:t>
      </w:r>
      <w:r>
        <w:rPr>
          <w:rFonts w:hint="eastAsia"/>
        </w:rPr>
        <w:t>2</w:t>
      </w:r>
      <w:r>
        <w:rPr>
          <w:rFonts w:hint="eastAsia"/>
        </w:rPr>
        <w:t>項之請求權（是一種主觀公法權利！）已經無法實現。如果競爭者主張陞遷違反憲法上最佳選擇的要求，自己的權益受侵害之外，他人的任命也應屬違法。雖然聯邦行政法院反對，但這個陞遷任命卻是一種不折不扣的附第三人效力之行政處分，亦即對獲陞遷者有利，但對未獲陞遷者卻是侵益的行政處分。未獲陞遷者得提起撤銷訴訟也就因此是順理成章之事</w:t>
      </w:r>
      <w:r>
        <w:rPr>
          <w:rStyle w:val="ae"/>
        </w:rPr>
        <w:footnoteReference w:id="189"/>
      </w:r>
      <w:r>
        <w:rPr>
          <w:rFonts w:hint="eastAsia"/>
        </w:rPr>
        <w:t>。德國聯邦憲法法院在</w:t>
      </w:r>
      <w:smartTag w:uri="urn:schemas-microsoft-com:office:smarttags" w:element="chsdate">
        <w:smartTagPr>
          <w:attr w:name="Year" w:val="2004"/>
          <w:attr w:name="Month" w:val="1"/>
          <w:attr w:name="Day" w:val="14"/>
          <w:attr w:name="IsLunarDate" w:val="False"/>
          <w:attr w:name="IsROCDate" w:val="False"/>
        </w:smartTagPr>
        <w:r>
          <w:rPr>
            <w:rFonts w:hint="eastAsia"/>
          </w:rPr>
          <w:t>2004</w:t>
        </w:r>
        <w:r>
          <w:rPr>
            <w:rFonts w:hint="eastAsia"/>
          </w:rPr>
          <w:t>年</w:t>
        </w:r>
        <w:r>
          <w:rPr>
            <w:rFonts w:hint="eastAsia"/>
          </w:rPr>
          <w:t>1</w:t>
        </w:r>
        <w:r>
          <w:rPr>
            <w:rFonts w:hint="eastAsia"/>
          </w:rPr>
          <w:t>月</w:t>
        </w:r>
        <w:r>
          <w:rPr>
            <w:rFonts w:hint="eastAsia"/>
          </w:rPr>
          <w:t>14</w:t>
        </w:r>
        <w:r>
          <w:rPr>
            <w:rFonts w:hint="eastAsia"/>
          </w:rPr>
          <w:t>日</w:t>
        </w:r>
      </w:smartTag>
      <w:r>
        <w:rPr>
          <w:rFonts w:hint="eastAsia"/>
        </w:rPr>
        <w:t>的裁定中也支持這種主張</w:t>
      </w:r>
      <w:r>
        <w:rPr>
          <w:rStyle w:val="ae"/>
        </w:rPr>
        <w:footnoteReference w:id="190"/>
      </w:r>
      <w:r>
        <w:rPr>
          <w:rFonts w:hint="eastAsia"/>
        </w:rPr>
        <w:t>。如果不能承認第三人提起撤銷訴訟之可能性，那麼一經陞遷任命完成，未獲陞遷任命者即因事實上不可回逆的權利狀態改變，而毫無救濟可能，與基本法第</w:t>
      </w:r>
      <w:r>
        <w:rPr>
          <w:rFonts w:hint="eastAsia"/>
        </w:rPr>
        <w:t>19</w:t>
      </w:r>
      <w:r>
        <w:rPr>
          <w:rFonts w:hint="eastAsia"/>
        </w:rPr>
        <w:t>條第</w:t>
      </w:r>
      <w:r>
        <w:rPr>
          <w:rFonts w:hint="eastAsia"/>
        </w:rPr>
        <w:t>4</w:t>
      </w:r>
      <w:r>
        <w:rPr>
          <w:rFonts w:hint="eastAsia"/>
        </w:rPr>
        <w:t>項所保障的實效性權利救濟的要求並不相符。</w:t>
      </w:r>
    </w:p>
    <w:p w:rsidR="007D6688" w:rsidRDefault="007D6688">
      <w:pPr>
        <w:snapToGrid w:val="0"/>
        <w:spacing w:beforeLines="50" w:before="180" w:afterLines="50" w:after="180" w:line="480" w:lineRule="auto"/>
        <w:jc w:val="both"/>
        <w:rPr>
          <w:rFonts w:hint="eastAsia"/>
        </w:rPr>
      </w:pPr>
      <w:r>
        <w:rPr>
          <w:b/>
        </w:rPr>
        <w:t>（</w:t>
      </w:r>
      <w:r>
        <w:rPr>
          <w:rFonts w:hint="eastAsia"/>
          <w:b/>
        </w:rPr>
        <w:t>二</w:t>
      </w:r>
      <w:r>
        <w:rPr>
          <w:b/>
        </w:rPr>
        <w:t>）</w:t>
      </w:r>
      <w:r>
        <w:rPr>
          <w:rFonts w:hint="eastAsia"/>
          <w:b/>
        </w:rPr>
        <w:t>行政法院撤銷對於第三人之陞遷任命之可能性</w:t>
      </w:r>
    </w:p>
    <w:p w:rsidR="007D6688" w:rsidRDefault="007D6688">
      <w:pPr>
        <w:snapToGrid w:val="0"/>
        <w:spacing w:beforeLines="50" w:before="180" w:afterLines="50" w:after="180" w:line="480" w:lineRule="auto"/>
        <w:ind w:firstLineChars="225" w:firstLine="540"/>
        <w:jc w:val="both"/>
        <w:rPr>
          <w:rFonts w:hint="eastAsia"/>
        </w:rPr>
      </w:pPr>
      <w:r>
        <w:rPr>
          <w:rFonts w:hint="eastAsia"/>
        </w:rPr>
        <w:t>必須確認的是，如果承認提起撤銷訴訟的訴訟權能，在訴之合法性外，緊接者要探討訴訟有無理由。根據行政法院法第</w:t>
      </w:r>
      <w:r>
        <w:rPr>
          <w:rFonts w:hint="eastAsia"/>
        </w:rPr>
        <w:t>113</w:t>
      </w:r>
      <w:r>
        <w:rPr>
          <w:rFonts w:hint="eastAsia"/>
        </w:rPr>
        <w:t>條第</w:t>
      </w:r>
      <w:r>
        <w:rPr>
          <w:rFonts w:hint="eastAsia"/>
        </w:rPr>
        <w:t>1</w:t>
      </w:r>
      <w:r>
        <w:rPr>
          <w:rFonts w:hint="eastAsia"/>
        </w:rPr>
        <w:t>項，訴訟有無理由要判斷的只有兩個要素，其一是行政處分確定違法，其二則是原告權利受侵害。從前面的論證，如果該任命違反基本法第</w:t>
      </w:r>
      <w:r>
        <w:rPr>
          <w:rFonts w:hint="eastAsia"/>
        </w:rPr>
        <w:t>33</w:t>
      </w:r>
      <w:r>
        <w:rPr>
          <w:rFonts w:hint="eastAsia"/>
        </w:rPr>
        <w:t>條第</w:t>
      </w:r>
      <w:r>
        <w:rPr>
          <w:rFonts w:hint="eastAsia"/>
        </w:rPr>
        <w:t>2</w:t>
      </w:r>
      <w:r>
        <w:rPr>
          <w:rFonts w:hint="eastAsia"/>
        </w:rPr>
        <w:t>項，即屬一違法行政處分。同時這個違法的陞遷任命也侵害了憲法保障第三人的公權利。此刻理論上行政法院即應該將行政處分撤銷。公務員法或行政程序法上有關授益行政處分撤銷的衡量因素在此並不需要考慮，因為這是法院透過一個形成判決直接撤銷違法行政處分，而非透過給付判決命令行政機關去撤銷違法行政處分</w:t>
      </w:r>
      <w:r>
        <w:rPr>
          <w:rStyle w:val="ae"/>
        </w:rPr>
        <w:footnoteReference w:id="191"/>
      </w:r>
      <w:r>
        <w:rPr>
          <w:rFonts w:hint="eastAsia"/>
        </w:rPr>
        <w:t>。</w:t>
      </w:r>
    </w:p>
    <w:p w:rsidR="007D6688" w:rsidRDefault="007D6688">
      <w:pPr>
        <w:snapToGrid w:val="0"/>
        <w:spacing w:beforeLines="50" w:before="180" w:afterLines="50" w:after="180" w:line="480" w:lineRule="auto"/>
        <w:ind w:firstLineChars="225" w:firstLine="540"/>
        <w:jc w:val="both"/>
        <w:rPr>
          <w:rFonts w:hint="eastAsia"/>
        </w:rPr>
      </w:pPr>
      <w:r>
        <w:rPr>
          <w:rFonts w:hint="eastAsia"/>
        </w:rPr>
        <w:t>不過有學者從整體體系觀察，認為此時應該要限縮行政法院法第</w:t>
      </w:r>
      <w:r>
        <w:rPr>
          <w:rFonts w:hint="eastAsia"/>
        </w:rPr>
        <w:t>113</w:t>
      </w:r>
      <w:r>
        <w:rPr>
          <w:rFonts w:hint="eastAsia"/>
        </w:rPr>
        <w:t>條第</w:t>
      </w:r>
      <w:r>
        <w:rPr>
          <w:rFonts w:hint="eastAsia"/>
        </w:rPr>
        <w:t>1</w:t>
      </w:r>
      <w:r>
        <w:rPr>
          <w:rFonts w:hint="eastAsia"/>
        </w:rPr>
        <w:t>項之適用。因為程序法理論上是在輔助實體法上權利之實現。如果在實體法上基於權利存續性（</w:t>
      </w:r>
      <w:r>
        <w:t>Rechtbeständigkeit</w:t>
      </w:r>
      <w:r>
        <w:rPr>
          <w:rFonts w:hint="eastAsia"/>
        </w:rPr>
        <w:t>）之保障都可以支持讓一個違法行政處分存在（例如行政程序法上都有給違法行政處分補正的機會，而不必然加以撤銷），程序法（訴訟法）上便沒有必要如此過於寬泛地加以適用</w:t>
      </w:r>
      <w:r>
        <w:rPr>
          <w:rStyle w:val="ae"/>
        </w:rPr>
        <w:footnoteReference w:id="192"/>
      </w:r>
      <w:r>
        <w:rPr>
          <w:rFonts w:hint="eastAsia"/>
        </w:rPr>
        <w:t>。換言之，即使陞遷任命的行政處分確實違法且侵害人民權利，行政法院也不必然要將該行政處分加以撤銷</w:t>
      </w:r>
      <w:r>
        <w:rPr>
          <w:rStyle w:val="ae"/>
        </w:rPr>
        <w:footnoteReference w:id="193"/>
      </w:r>
      <w:r>
        <w:rPr>
          <w:rFonts w:hint="eastAsia"/>
        </w:rPr>
        <w:t>。</w:t>
      </w:r>
    </w:p>
    <w:p w:rsidR="007D6688" w:rsidRDefault="007D6688">
      <w:pPr>
        <w:snapToGrid w:val="0"/>
        <w:spacing w:beforeLines="50" w:before="180" w:afterLines="50" w:after="180" w:line="480" w:lineRule="auto"/>
        <w:jc w:val="both"/>
        <w:rPr>
          <w:rFonts w:hint="eastAsia"/>
          <w:b/>
        </w:rPr>
      </w:pPr>
      <w:r>
        <w:rPr>
          <w:b/>
        </w:rPr>
        <w:t>（</w:t>
      </w:r>
      <w:r>
        <w:rPr>
          <w:rFonts w:hint="eastAsia"/>
          <w:b/>
        </w:rPr>
        <w:t>1</w:t>
      </w:r>
      <w:r>
        <w:rPr>
          <w:b/>
        </w:rPr>
        <w:t>）</w:t>
      </w:r>
      <w:r>
        <w:rPr>
          <w:rFonts w:hint="eastAsia"/>
          <w:b/>
        </w:rPr>
        <w:t>職務安定原則與有效權利保護的影響</w:t>
      </w:r>
    </w:p>
    <w:p w:rsidR="007D6688" w:rsidRDefault="007D6688">
      <w:pPr>
        <w:snapToGrid w:val="0"/>
        <w:spacing w:beforeLines="50" w:before="180" w:afterLines="50" w:after="180" w:line="480" w:lineRule="auto"/>
        <w:ind w:firstLineChars="225" w:firstLine="540"/>
        <w:jc w:val="both"/>
        <w:rPr>
          <w:kern w:val="0"/>
        </w:rPr>
      </w:pPr>
      <w:r>
        <w:rPr>
          <w:rFonts w:hAnsi="Arial"/>
          <w:kern w:val="0"/>
        </w:rPr>
        <w:t>德國基本法第</w:t>
      </w:r>
      <w:r>
        <w:rPr>
          <w:kern w:val="0"/>
        </w:rPr>
        <w:t>33</w:t>
      </w:r>
      <w:r>
        <w:rPr>
          <w:rFonts w:hAnsi="Arial"/>
          <w:kern w:val="0"/>
        </w:rPr>
        <w:t>條第</w:t>
      </w:r>
      <w:r>
        <w:rPr>
          <w:kern w:val="0"/>
        </w:rPr>
        <w:t>5</w:t>
      </w:r>
      <w:r>
        <w:rPr>
          <w:rFonts w:hAnsi="Arial"/>
          <w:kern w:val="0"/>
        </w:rPr>
        <w:t>項規定「有關公務員的法律必須顧及公務員制度的傳統基本原則加以制訂」。一般也將職務安定原則理解成為公務員制度的傳統基本原則</w:t>
      </w:r>
      <w:r>
        <w:rPr>
          <w:rStyle w:val="ae"/>
          <w:kern w:val="0"/>
        </w:rPr>
        <w:footnoteReference w:id="194"/>
      </w:r>
      <w:r>
        <w:rPr>
          <w:rFonts w:hAnsi="Arial"/>
          <w:kern w:val="0"/>
        </w:rPr>
        <w:t>之一。承認職務安定原則的理由無非是基於法律安定性原則（</w:t>
      </w:r>
      <w:r>
        <w:rPr>
          <w:kern w:val="0"/>
        </w:rPr>
        <w:t>Grundsatz der Rechtssicherheit</w:t>
      </w:r>
      <w:r>
        <w:rPr>
          <w:rFonts w:hAnsi="Arial"/>
          <w:kern w:val="0"/>
        </w:rPr>
        <w:t>）、公眾對於公務員特質的信賴（</w:t>
      </w:r>
      <w:r>
        <w:rPr>
          <w:kern w:val="0"/>
        </w:rPr>
        <w:t>Vertrauen der Öffentlichkeit auf die Beamteneigenschaft</w:t>
      </w:r>
      <w:r>
        <w:rPr>
          <w:rFonts w:hAnsi="Arial"/>
          <w:kern w:val="0"/>
        </w:rPr>
        <w:t>）以及受任命公務員值得保障的信賴。假如公務員的任命存在有撤銷的危險時，受任命公務員自己的個人利益將與先前未受任命競爭者的權利保護利益處於無法解決的衝突。因此它保障已經完成的陞遷任命在一定的條件下可以維持其存續效力。特別是針對一些終身職的公務員。聯邦憲法法院因此演繹出「身分法上職務</w:t>
      </w:r>
      <w:r>
        <w:rPr>
          <w:rStyle w:val="ae"/>
          <w:kern w:val="0"/>
        </w:rPr>
        <w:footnoteReference w:id="195"/>
      </w:r>
      <w:r>
        <w:rPr>
          <w:rFonts w:hAnsi="Arial"/>
          <w:kern w:val="0"/>
        </w:rPr>
        <w:t>不可剝奪原則（</w:t>
      </w:r>
      <w:r>
        <w:rPr>
          <w:kern w:val="0"/>
        </w:rPr>
        <w:t>Grundsatz der Unentziehbarkeit des statusrechtkichen Amtes</w:t>
      </w:r>
      <w:r>
        <w:rPr>
          <w:rFonts w:hAnsi="Arial"/>
          <w:kern w:val="0"/>
        </w:rPr>
        <w:t>）</w:t>
      </w:r>
      <w:r>
        <w:rPr>
          <w:rStyle w:val="ae"/>
          <w:kern w:val="0"/>
        </w:rPr>
        <w:footnoteReference w:id="196"/>
      </w:r>
      <w:r>
        <w:rPr>
          <w:rFonts w:hAnsi="Arial"/>
          <w:kern w:val="0"/>
        </w:rPr>
        <w:t>。」這項原則甚至可以對抗已經任命數年之後的法院裁判</w:t>
      </w:r>
      <w:r>
        <w:rPr>
          <w:rStyle w:val="ae"/>
          <w:kern w:val="0"/>
        </w:rPr>
        <w:footnoteReference w:id="197"/>
      </w:r>
      <w:r>
        <w:rPr>
          <w:rFonts w:hAnsi="Arial"/>
          <w:kern w:val="0"/>
        </w:rPr>
        <w:t>。因為若是於陞遷任命之後數年仍容許藉由訴訟使得公務員的職位發生變動，或者讓已經發生陞遷連鎖效應的公務員法律關係再一次受到質疑，恐怕會嚴重影響到行政的運作能力以及公務員地位的穩定保障（</w:t>
      </w:r>
      <w:r>
        <w:rPr>
          <w:rFonts w:eastAsia="MS Mincho"/>
          <w:kern w:val="0"/>
        </w:rPr>
        <w:t>Stabilitätsgarantie</w:t>
      </w:r>
      <w:r>
        <w:rPr>
          <w:rFonts w:hAnsi="Arial"/>
          <w:kern w:val="0"/>
        </w:rPr>
        <w:t>）。所以基於職務安定原則與有效權利保障之折衷，我們所承認的陞遷任命救濟，應該將重心放在陞遷任命前的階段。換言之，應該考量的是行政救濟中的暫時性權利保護制度。</w:t>
      </w:r>
    </w:p>
    <w:p w:rsidR="007D6688" w:rsidRDefault="007D6688">
      <w:pPr>
        <w:snapToGrid w:val="0"/>
        <w:spacing w:beforeLines="50" w:before="180" w:afterLines="50" w:after="180" w:line="480" w:lineRule="auto"/>
        <w:jc w:val="both"/>
        <w:rPr>
          <w:rFonts w:hint="eastAsia"/>
          <w:b/>
        </w:rPr>
      </w:pPr>
      <w:r>
        <w:rPr>
          <w:b/>
        </w:rPr>
        <w:t>（</w:t>
      </w:r>
      <w:r>
        <w:rPr>
          <w:rFonts w:hint="eastAsia"/>
          <w:b/>
        </w:rPr>
        <w:t>2</w:t>
      </w:r>
      <w:r>
        <w:rPr>
          <w:b/>
        </w:rPr>
        <w:t>）</w:t>
      </w:r>
      <w:r>
        <w:rPr>
          <w:rFonts w:hint="eastAsia"/>
          <w:b/>
        </w:rPr>
        <w:t>職務安定原則與有效權利保護原則的衝突（原則與原則之衝突！）</w:t>
      </w:r>
    </w:p>
    <w:p w:rsidR="007D6688" w:rsidRDefault="007D6688">
      <w:pPr>
        <w:snapToGrid w:val="0"/>
        <w:spacing w:beforeLines="50" w:before="180" w:afterLines="50" w:after="180" w:line="480" w:lineRule="auto"/>
        <w:ind w:firstLineChars="225" w:firstLine="540"/>
        <w:jc w:val="both"/>
        <w:rPr>
          <w:rFonts w:hint="eastAsia"/>
        </w:rPr>
      </w:pPr>
      <w:r>
        <w:rPr>
          <w:rFonts w:hint="eastAsia"/>
        </w:rPr>
        <w:t>在公務人員的陞遷任命救濟上，憲法所保障的職務安定原則與有效權利保護原則往往會發生衝突，這是一種典型的原則與原則之間的衝突！</w:t>
      </w:r>
    </w:p>
    <w:p w:rsidR="007D6688" w:rsidRDefault="007D6688">
      <w:pPr>
        <w:snapToGrid w:val="0"/>
        <w:spacing w:beforeLines="50" w:before="180" w:afterLines="50" w:after="180" w:line="480" w:lineRule="auto"/>
        <w:ind w:firstLineChars="225" w:firstLine="540"/>
        <w:jc w:val="both"/>
        <w:rPr>
          <w:rFonts w:hint="eastAsia"/>
        </w:rPr>
      </w:pPr>
      <w:r>
        <w:rPr>
          <w:rFonts w:hint="eastAsia"/>
        </w:rPr>
        <w:t>根據阿雷西（</w:t>
      </w:r>
      <w:r>
        <w:rPr>
          <w:rFonts w:hint="eastAsia"/>
        </w:rPr>
        <w:t>R. Alexy</w:t>
      </w:r>
      <w:r>
        <w:rPr>
          <w:rFonts w:hint="eastAsia"/>
        </w:rPr>
        <w:t>）所提出關於規則（</w:t>
      </w:r>
      <w:r>
        <w:rPr>
          <w:rFonts w:hint="eastAsia"/>
        </w:rPr>
        <w:t>Regeln</w:t>
      </w:r>
      <w:r>
        <w:rPr>
          <w:rFonts w:hint="eastAsia"/>
        </w:rPr>
        <w:t>）與原則（</w:t>
      </w:r>
      <w:r>
        <w:t>Prinzipien</w:t>
      </w:r>
      <w:r>
        <w:rPr>
          <w:rFonts w:hint="eastAsia"/>
        </w:rPr>
        <w:t>）之區別說法，原則是一種</w:t>
      </w:r>
      <w:r>
        <w:rPr>
          <w:rFonts w:hint="eastAsia"/>
          <w:b/>
        </w:rPr>
        <w:t>最適當化的要求</w:t>
      </w:r>
      <w:r>
        <w:rPr>
          <w:rFonts w:hint="eastAsia"/>
        </w:rPr>
        <w:t>（</w:t>
      </w:r>
      <w:r>
        <w:t>Optimierungsgebote</w:t>
      </w:r>
      <w:r>
        <w:rPr>
          <w:rFonts w:hint="eastAsia"/>
        </w:rPr>
        <w:t>）。「也就是</w:t>
      </w:r>
      <w:r>
        <w:rPr>
          <w:rFonts w:hint="eastAsia"/>
          <w:b/>
        </w:rPr>
        <w:t>要求在事實與法律上可能性的範圍內盡可能被實現的規範</w:t>
      </w:r>
      <w:r>
        <w:rPr>
          <w:rStyle w:val="ae"/>
        </w:rPr>
        <w:footnoteReference w:id="198"/>
      </w:r>
      <w:r>
        <w:rPr>
          <w:rFonts w:hint="eastAsia"/>
        </w:rPr>
        <w:t>。」因此，原則具有在不同程度上被滿足的特徵</w:t>
      </w:r>
      <w:r>
        <w:rPr>
          <w:rStyle w:val="ae"/>
        </w:rPr>
        <w:footnoteReference w:id="199"/>
      </w:r>
      <w:r>
        <w:rPr>
          <w:rFonts w:hint="eastAsia"/>
        </w:rPr>
        <w:t>。透過彼此對立的規則與原則，滿足原則的法律上可能性範圍便被決定下來</w:t>
      </w:r>
      <w:r>
        <w:rPr>
          <w:rStyle w:val="ae"/>
        </w:rPr>
        <w:footnoteReference w:id="200"/>
      </w:r>
      <w:r>
        <w:rPr>
          <w:rFonts w:hint="eastAsia"/>
        </w:rPr>
        <w:t>。相反地，規則</w:t>
      </w:r>
      <w:r>
        <w:t>「</w:t>
      </w:r>
      <w:r>
        <w:rPr>
          <w:rFonts w:hint="eastAsia"/>
        </w:rPr>
        <w:t>則總是一種要不就是被滿足，要不就是不被滿足的規範」，它包含了基於事實與法律上可能性的確定（</w:t>
      </w:r>
      <w:r>
        <w:t>Fesetsetzungen</w:t>
      </w:r>
      <w:r>
        <w:rPr>
          <w:rFonts w:hint="eastAsia"/>
        </w:rPr>
        <w:t>）</w:t>
      </w:r>
      <w:r>
        <w:rPr>
          <w:rStyle w:val="ae"/>
        </w:rPr>
        <w:footnoteReference w:id="201"/>
      </w:r>
      <w:r>
        <w:rPr>
          <w:rFonts w:hint="eastAsia"/>
        </w:rPr>
        <w:t>。因此規則與原則之間的區別是一種「質」上的形式區別，因此：每一種規範不是規則就是原則</w:t>
      </w:r>
      <w:r>
        <w:rPr>
          <w:rStyle w:val="ae"/>
        </w:rPr>
        <w:footnoteReference w:id="202"/>
      </w:r>
      <w:r>
        <w:rPr>
          <w:rFonts w:hint="eastAsia"/>
        </w:rPr>
        <w:t>。</w:t>
      </w:r>
    </w:p>
    <w:p w:rsidR="007D6688" w:rsidRDefault="007D6688">
      <w:pPr>
        <w:snapToGrid w:val="0"/>
        <w:spacing w:beforeLines="50" w:before="180" w:afterLines="50" w:after="180" w:line="480" w:lineRule="auto"/>
        <w:ind w:firstLineChars="225" w:firstLine="540"/>
        <w:jc w:val="both"/>
        <w:rPr>
          <w:rFonts w:hint="eastAsia"/>
        </w:rPr>
      </w:pPr>
      <w:r>
        <w:rPr>
          <w:rFonts w:hint="eastAsia"/>
        </w:rPr>
        <w:t>當原則與原則發生衝突時，阿雷西發展出衝突法則（</w:t>
      </w:r>
      <w:r>
        <w:t>Kollisionsgesetz</w:t>
      </w:r>
      <w:r>
        <w:rPr>
          <w:rFonts w:hint="eastAsia"/>
        </w:rPr>
        <w:t>）</w:t>
      </w:r>
      <w:r>
        <w:rPr>
          <w:rStyle w:val="ae"/>
        </w:rPr>
        <w:footnoteReference w:id="203"/>
      </w:r>
      <w:r>
        <w:rPr>
          <w:rFonts w:hint="eastAsia"/>
        </w:rPr>
        <w:t>加以解決。阿雷西透過衝突法則認識了解決原則衝突的結構</w:t>
      </w:r>
      <w:r>
        <w:rPr>
          <w:rStyle w:val="ae"/>
        </w:rPr>
        <w:footnoteReference w:id="204"/>
      </w:r>
      <w:r>
        <w:rPr>
          <w:rFonts w:hint="eastAsia"/>
        </w:rPr>
        <w:t>。當兩種同位階的抽象利益在具體案例中發生衝突時，所涉及的問題是如何透過衡量去確定那一種抽象利益在具體案例中具較高的位階</w:t>
      </w:r>
      <w:r>
        <w:rPr>
          <w:rStyle w:val="ae"/>
        </w:rPr>
        <w:footnoteReference w:id="205"/>
      </w:r>
      <w:r>
        <w:rPr>
          <w:rFonts w:hint="eastAsia"/>
        </w:rPr>
        <w:t>。即「根據案例情況，確定一個諸原則間附條件的高階關係」</w:t>
      </w:r>
      <w:r>
        <w:rPr>
          <w:rStyle w:val="ae"/>
        </w:rPr>
        <w:footnoteReference w:id="206"/>
      </w:r>
      <w:r>
        <w:rPr>
          <w:rFonts w:hint="eastAsia"/>
        </w:rPr>
        <w:t>，而衝突最後也透過它而獲得解決。所謂附條件的高階關係是指，一個原則在滿足具體個案中的條件時，優於其他的原則。這種優先性必須被充分說理</w:t>
      </w:r>
      <w:r>
        <w:rPr>
          <w:rStyle w:val="ae"/>
        </w:rPr>
        <w:footnoteReference w:id="207"/>
      </w:r>
      <w:r>
        <w:rPr>
          <w:rFonts w:hint="eastAsia"/>
        </w:rPr>
        <w:t>。此一優先條件在衡量的案例中應該由法院加以闡述</w:t>
      </w:r>
      <w:r>
        <w:rPr>
          <w:rStyle w:val="ae"/>
        </w:rPr>
        <w:footnoteReference w:id="208"/>
      </w:r>
      <w:r>
        <w:rPr>
          <w:rFonts w:hint="eastAsia"/>
        </w:rPr>
        <w:t>。</w:t>
      </w:r>
    </w:p>
    <w:p w:rsidR="007D6688" w:rsidRDefault="007D6688">
      <w:pPr>
        <w:snapToGrid w:val="0"/>
        <w:spacing w:beforeLines="50" w:before="180" w:afterLines="50" w:after="180" w:line="480" w:lineRule="auto"/>
        <w:ind w:firstLineChars="225" w:firstLine="540"/>
        <w:jc w:val="both"/>
        <w:rPr>
          <w:rFonts w:hint="eastAsia"/>
        </w:rPr>
      </w:pPr>
      <w:r>
        <w:rPr>
          <w:rFonts w:hint="eastAsia"/>
        </w:rPr>
        <w:t xml:space="preserve"> </w:t>
      </w:r>
      <w:r>
        <w:rPr>
          <w:rFonts w:hint="eastAsia"/>
        </w:rPr>
        <w:t>在具體的案件中，我們可能找出的優先條件是，當未獲陞遷的公務員仍有根據行政法院法第</w:t>
      </w:r>
      <w:r>
        <w:rPr>
          <w:rFonts w:hint="eastAsia"/>
        </w:rPr>
        <w:t>123</w:t>
      </w:r>
      <w:r>
        <w:rPr>
          <w:rFonts w:hint="eastAsia"/>
        </w:rPr>
        <w:t>條第</w:t>
      </w:r>
      <w:r>
        <w:rPr>
          <w:rFonts w:hint="eastAsia"/>
        </w:rPr>
        <w:t>1</w:t>
      </w:r>
      <w:r>
        <w:rPr>
          <w:rFonts w:hint="eastAsia"/>
        </w:rPr>
        <w:t>項要求假處分時，他就沒有撤銷他人陞遷任命處分之請求權。在這種情況下，職務安定原則在充分說理的前提下，優先有效權利救濟原則。若是已陞遷任命完畢，暫時性權利救濟未即時提出，此時單獨提起的撤銷訴訟並無理由（無撤銷對於競爭者有利處分之請求權）。</w:t>
      </w:r>
    </w:p>
    <w:p w:rsidR="007D6688" w:rsidRDefault="007D6688">
      <w:pPr>
        <w:snapToGrid w:val="0"/>
        <w:spacing w:beforeLines="50" w:before="180" w:afterLines="50" w:after="180" w:line="480" w:lineRule="auto"/>
        <w:ind w:firstLineChars="225" w:firstLine="540"/>
        <w:jc w:val="both"/>
      </w:pPr>
      <w:r>
        <w:rPr>
          <w:rFonts w:hint="eastAsia"/>
        </w:rPr>
        <w:t>相對地，在陞遷任命決定作成後，但仍未完成任命程序之前，為了防止終局結果發生，仍有要求法院作成假處分的可能（注意，假處分非附隨在撤銷訴訟的制度）。此時若反而還是提起撤銷訴訟，則屬欠缺權利保護之必要性（</w:t>
      </w:r>
      <w:r>
        <w:rPr>
          <w:rFonts w:eastAsia="MS Mincho"/>
        </w:rPr>
        <w:t>Rechtsschutzbedürfnis</w:t>
      </w:r>
      <w:r>
        <w:rPr>
          <w:rFonts w:hint="eastAsia"/>
        </w:rPr>
        <w:t>）。因為當提起訴訟者原本可以透過其他更簡便</w:t>
      </w:r>
      <w:r>
        <w:rPr>
          <w:rFonts w:ascii="新細明體" w:hAnsi="新細明體" w:hint="eastAsia"/>
        </w:rPr>
        <w:t>、</w:t>
      </w:r>
      <w:r>
        <w:rPr>
          <w:rFonts w:hint="eastAsia"/>
        </w:rPr>
        <w:t>更廣泛</w:t>
      </w:r>
      <w:r>
        <w:rPr>
          <w:rFonts w:ascii="新細明體" w:hAnsi="新細明體" w:hint="eastAsia"/>
        </w:rPr>
        <w:t>、</w:t>
      </w:r>
      <w:r>
        <w:rPr>
          <w:rFonts w:hint="eastAsia"/>
        </w:rPr>
        <w:t>更快速及更適當的救濟途徑以實現他的救濟目的，但卻捨此不為時，即欠缺權利保護之必要性</w:t>
      </w:r>
      <w:r>
        <w:rPr>
          <w:rStyle w:val="ae"/>
        </w:rPr>
        <w:footnoteReference w:id="209"/>
      </w:r>
      <w:r>
        <w:rPr>
          <w:rFonts w:hint="eastAsia"/>
        </w:rPr>
        <w:t>。</w:t>
      </w:r>
    </w:p>
    <w:p w:rsidR="007D6688" w:rsidRDefault="007D6688">
      <w:pPr>
        <w:snapToGrid w:val="0"/>
        <w:spacing w:beforeLines="50" w:before="180" w:afterLines="50" w:after="180" w:line="480" w:lineRule="auto"/>
        <w:jc w:val="both"/>
        <w:rPr>
          <w:rFonts w:hint="eastAsia"/>
          <w:b/>
        </w:rPr>
      </w:pPr>
      <w:r>
        <w:rPr>
          <w:b/>
        </w:rPr>
        <w:t>（</w:t>
      </w:r>
      <w:r>
        <w:rPr>
          <w:b/>
        </w:rPr>
        <w:t>3</w:t>
      </w:r>
      <w:r>
        <w:rPr>
          <w:b/>
        </w:rPr>
        <w:t>）</w:t>
      </w:r>
      <w:r>
        <w:rPr>
          <w:rFonts w:hint="eastAsia"/>
          <w:b/>
        </w:rPr>
        <w:t>在暫時性權利保護程序中撤銷陞遷任命</w:t>
      </w:r>
    </w:p>
    <w:p w:rsidR="007D6688" w:rsidRDefault="007D6688">
      <w:pPr>
        <w:snapToGrid w:val="0"/>
        <w:spacing w:beforeLines="50" w:before="180" w:afterLines="50" w:after="180" w:line="480" w:lineRule="auto"/>
        <w:ind w:firstLineChars="225" w:firstLine="540"/>
        <w:jc w:val="both"/>
        <w:rPr>
          <w:rFonts w:hint="eastAsia"/>
        </w:rPr>
      </w:pPr>
      <w:r>
        <w:rPr>
          <w:rFonts w:hint="eastAsia"/>
        </w:rPr>
        <w:t>假如在整個陞遷任命程序中，主管機關完全沒有通知競爭者，致使他連尋求暫時性權利保護之機會均喪失時，或者在暫時性救濟程序中，主管機關逕自完成陞遷任命程序時，又該如何處理？德國過去實務通說原本也都認為此時無救濟可能</w:t>
      </w:r>
      <w:r>
        <w:rPr>
          <w:rStyle w:val="ae"/>
        </w:rPr>
        <w:footnoteReference w:id="210"/>
      </w:r>
      <w:r>
        <w:rPr>
          <w:rFonts w:hint="eastAsia"/>
        </w:rPr>
        <w:t>。</w:t>
      </w:r>
    </w:p>
    <w:p w:rsidR="007D6688" w:rsidRDefault="007D6688">
      <w:pPr>
        <w:snapToGrid w:val="0"/>
        <w:spacing w:beforeLines="50" w:before="180" w:afterLines="50" w:after="180" w:line="480" w:lineRule="auto"/>
        <w:ind w:firstLineChars="225" w:firstLine="540"/>
        <w:jc w:val="both"/>
      </w:pPr>
      <w:r>
        <w:rPr>
          <w:rFonts w:hint="eastAsia"/>
        </w:rPr>
        <w:t>在這種情形下，學者認為暫時性權利保護完全未獲尊重，所以必須採取「有效權利救濟保障優先職務安定原則」的立場。否則的話，權利救濟的可能性將被行政機關的恣意完全削弱甚至封閉，同時也可以自己取巧地規避法院對行政行為的控制</w:t>
      </w:r>
      <w:r>
        <w:rPr>
          <w:rStyle w:val="ae"/>
        </w:rPr>
        <w:footnoteReference w:id="211"/>
      </w:r>
      <w:r>
        <w:rPr>
          <w:rFonts w:hint="eastAsia"/>
        </w:rPr>
        <w:t>。此時只是單純地確認陞遷任命行為違法，或者同意損害賠償之請求並不足為訓</w:t>
      </w:r>
      <w:r>
        <w:rPr>
          <w:rStyle w:val="ae"/>
        </w:rPr>
        <w:footnoteReference w:id="212"/>
      </w:r>
      <w:r>
        <w:rPr>
          <w:rFonts w:hint="eastAsia"/>
        </w:rPr>
        <w:t>。</w:t>
      </w:r>
    </w:p>
    <w:p w:rsidR="007D6688" w:rsidRDefault="007D6688">
      <w:pPr>
        <w:snapToGrid w:val="0"/>
        <w:spacing w:beforeLines="50" w:before="180" w:afterLines="50" w:after="180" w:line="480" w:lineRule="auto"/>
        <w:ind w:firstLineChars="225" w:firstLine="540"/>
        <w:jc w:val="both"/>
      </w:pPr>
      <w:r>
        <w:rPr>
          <w:rFonts w:hint="eastAsia"/>
        </w:rPr>
        <w:t>在這種情形下，針對競爭者的陞遷任命所提起的訴願或行政訴訟（撤銷訴訟）即具有權利保護之必要性。因為提起訴訟者已經無法再透過其他更簡便</w:t>
      </w:r>
      <w:r>
        <w:rPr>
          <w:rFonts w:ascii="新細明體" w:hAnsi="新細明體" w:hint="eastAsia"/>
        </w:rPr>
        <w:t>、</w:t>
      </w:r>
      <w:r>
        <w:rPr>
          <w:rFonts w:hint="eastAsia"/>
        </w:rPr>
        <w:t>更廣泛</w:t>
      </w:r>
      <w:r>
        <w:rPr>
          <w:rFonts w:ascii="新細明體" w:hAnsi="新細明體" w:hint="eastAsia"/>
        </w:rPr>
        <w:t>、</w:t>
      </w:r>
      <w:r>
        <w:rPr>
          <w:rFonts w:hint="eastAsia"/>
        </w:rPr>
        <w:t>更快速及更適當的救濟途徑以實現他的救濟目的。所以他的撤銷請求權應該予以承認。同時行政法院法第</w:t>
      </w:r>
      <w:r>
        <w:rPr>
          <w:rFonts w:hint="eastAsia"/>
        </w:rPr>
        <w:t>113</w:t>
      </w:r>
      <w:r>
        <w:rPr>
          <w:rFonts w:hint="eastAsia"/>
        </w:rPr>
        <w:t>條第</w:t>
      </w:r>
      <w:r>
        <w:rPr>
          <w:rFonts w:hint="eastAsia"/>
        </w:rPr>
        <w:t>1</w:t>
      </w:r>
      <w:r>
        <w:rPr>
          <w:rFonts w:hint="eastAsia"/>
        </w:rPr>
        <w:t>項的限縮解釋在此也不適用。我們更應該重視的是基本法第</w:t>
      </w:r>
      <w:r>
        <w:rPr>
          <w:rFonts w:hint="eastAsia"/>
        </w:rPr>
        <w:t>19</w:t>
      </w:r>
      <w:r>
        <w:rPr>
          <w:rFonts w:hint="eastAsia"/>
        </w:rPr>
        <w:t>條第</w:t>
      </w:r>
      <w:r>
        <w:rPr>
          <w:rFonts w:hint="eastAsia"/>
        </w:rPr>
        <w:t>4</w:t>
      </w:r>
      <w:r>
        <w:rPr>
          <w:rFonts w:hint="eastAsia"/>
        </w:rPr>
        <w:t>項的權利保障</w:t>
      </w:r>
      <w:r>
        <w:rPr>
          <w:rStyle w:val="ae"/>
        </w:rPr>
        <w:footnoteReference w:id="213"/>
      </w:r>
      <w:r>
        <w:rPr>
          <w:rFonts w:hint="eastAsia"/>
        </w:rPr>
        <w:t>。</w:t>
      </w:r>
    </w:p>
    <w:p w:rsidR="007D6688" w:rsidRDefault="007D6688">
      <w:pPr>
        <w:rPr>
          <w:rFonts w:eastAsia="標楷體"/>
          <w:sz w:val="32"/>
          <w:lang w:val="de-DE"/>
        </w:rPr>
      </w:pPr>
      <w:r>
        <w:br w:type="page"/>
      </w:r>
      <w:bookmarkStart w:id="173" w:name="_Toc121199248"/>
      <w:r>
        <w:rPr>
          <w:rFonts w:eastAsia="標楷體" w:hint="eastAsia"/>
          <w:sz w:val="32"/>
          <w:lang w:val="de-DE"/>
        </w:rPr>
        <w:t>附論（二）</w:t>
      </w:r>
      <w:bookmarkEnd w:id="173"/>
    </w:p>
    <w:p w:rsidR="007D6688" w:rsidRDefault="007D6688">
      <w:pPr>
        <w:spacing w:line="480" w:lineRule="auto"/>
        <w:jc w:val="center"/>
        <w:rPr>
          <w:rFonts w:ascii="細明體" w:eastAsia="細明體" w:hAnsi="細明體" w:hint="eastAsia"/>
          <w:sz w:val="40"/>
          <w:szCs w:val="40"/>
        </w:rPr>
      </w:pPr>
      <w:r>
        <w:rPr>
          <w:rFonts w:ascii="細明體" w:eastAsia="細明體" w:hAnsi="細明體" w:hint="eastAsia"/>
          <w:sz w:val="40"/>
          <w:szCs w:val="40"/>
        </w:rPr>
        <w:t>日本行政事件訴訟法中</w:t>
      </w:r>
    </w:p>
    <w:p w:rsidR="007D6688" w:rsidRDefault="007D6688">
      <w:pPr>
        <w:spacing w:line="480" w:lineRule="auto"/>
        <w:jc w:val="center"/>
        <w:rPr>
          <w:rFonts w:ascii="細明體" w:eastAsia="細明體" w:hAnsi="細明體" w:hint="eastAsia"/>
          <w:sz w:val="40"/>
          <w:szCs w:val="40"/>
        </w:rPr>
      </w:pPr>
      <w:r>
        <w:rPr>
          <w:rFonts w:ascii="細明體" w:eastAsia="細明體" w:hAnsi="細明體" w:hint="eastAsia"/>
          <w:sz w:val="40"/>
          <w:szCs w:val="40"/>
        </w:rPr>
        <w:t>有關暫時權利保護</w:t>
      </w:r>
      <w:r>
        <w:rPr>
          <w:rFonts w:ascii="細明體" w:eastAsia="細明體" w:hAnsi="細明體" w:hint="eastAsia"/>
          <w:sz w:val="40"/>
          <w:szCs w:val="40"/>
          <w:lang w:val="de-DE"/>
        </w:rPr>
        <w:t>新</w:t>
      </w:r>
      <w:r>
        <w:rPr>
          <w:rFonts w:ascii="細明體" w:eastAsia="細明體" w:hAnsi="細明體" w:hint="eastAsia"/>
          <w:sz w:val="40"/>
          <w:szCs w:val="40"/>
        </w:rPr>
        <w:t>規定之介紹</w:t>
      </w:r>
    </w:p>
    <w:p w:rsidR="007D6688" w:rsidRDefault="007D6688">
      <w:pPr>
        <w:spacing w:line="480" w:lineRule="auto"/>
        <w:jc w:val="center"/>
        <w:rPr>
          <w:rFonts w:ascii="細明體" w:eastAsia="細明體" w:hAnsi="細明體" w:hint="eastAsia"/>
        </w:rPr>
      </w:pPr>
      <w:r>
        <w:rPr>
          <w:rFonts w:ascii="細明體" w:eastAsia="細明體" w:hAnsi="細明體" w:hint="eastAsia"/>
        </w:rPr>
        <w:t>（賴宇松 執筆）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D6688">
        <w:tc>
          <w:tcPr>
            <w:tcW w:w="9288" w:type="dxa"/>
          </w:tcPr>
          <w:p w:rsidR="007D6688" w:rsidRDefault="007D6688">
            <w:pPr>
              <w:snapToGrid w:val="0"/>
              <w:rPr>
                <w:rFonts w:hint="eastAsia"/>
              </w:rPr>
            </w:pPr>
            <w:r>
              <w:rPr>
                <w:rFonts w:hint="eastAsia"/>
              </w:rPr>
              <w:t>行政事件訴訟法</w:t>
            </w:r>
          </w:p>
          <w:p w:rsidR="007D6688" w:rsidRDefault="007D6688">
            <w:pPr>
              <w:snapToGrid w:val="0"/>
              <w:rPr>
                <w:rFonts w:hint="eastAsia"/>
              </w:rPr>
            </w:pPr>
            <w:r>
              <w:rPr>
                <w:rFonts w:hint="eastAsia"/>
              </w:rPr>
              <w:t>（暫時權利保護）</w:t>
            </w:r>
          </w:p>
          <w:p w:rsidR="007D6688" w:rsidRDefault="007D6688">
            <w:pPr>
              <w:snapToGrid w:val="0"/>
              <w:rPr>
                <w:rFonts w:hint="eastAsia"/>
              </w:rPr>
            </w:pPr>
            <w:r>
              <w:rPr>
                <w:rFonts w:hint="eastAsia"/>
              </w:rPr>
              <w:t>第三條第七項</w:t>
            </w:r>
            <w:r>
              <w:rPr>
                <w:rFonts w:hint="eastAsia"/>
              </w:rPr>
              <w:t xml:space="preserve"> </w:t>
            </w:r>
            <w:r>
              <w:rPr>
                <w:rFonts w:hint="eastAsia"/>
              </w:rPr>
              <w:t>第三十七條之四</w:t>
            </w:r>
          </w:p>
          <w:p w:rsidR="007D6688" w:rsidRDefault="007D6688">
            <w:pPr>
              <w:snapToGrid w:val="0"/>
              <w:rPr>
                <w:rFonts w:hint="eastAsia"/>
              </w:rPr>
            </w:pPr>
            <w:r>
              <w:rPr>
                <w:rFonts w:hint="eastAsia"/>
              </w:rPr>
              <w:t>第三條</w:t>
            </w:r>
            <w:r>
              <w:rPr>
                <w:rFonts w:hint="eastAsia"/>
              </w:rPr>
              <w:t xml:space="preserve"> </w:t>
            </w:r>
          </w:p>
          <w:p w:rsidR="007D6688" w:rsidRDefault="007D6688">
            <w:pPr>
              <w:snapToGrid w:val="0"/>
              <w:rPr>
                <w:rFonts w:hint="eastAsia"/>
              </w:rPr>
            </w:pPr>
            <w:r>
              <w:rPr>
                <w:rFonts w:hint="eastAsia"/>
              </w:rPr>
              <w:t xml:space="preserve">VII </w:t>
            </w:r>
            <w:r>
              <w:rPr>
                <w:rFonts w:hint="eastAsia"/>
              </w:rPr>
              <w:t>本法中之要求不作為訴訟為行政機關不應為特定之處分或裁決而為之時，要求法院向行政機關命其不得為該特定處分或裁決之訴訟。</w:t>
            </w:r>
          </w:p>
          <w:p w:rsidR="007D6688" w:rsidRDefault="007D6688">
            <w:pPr>
              <w:snapToGrid w:val="0"/>
              <w:rPr>
                <w:rFonts w:hint="eastAsia"/>
              </w:rPr>
            </w:pPr>
          </w:p>
          <w:p w:rsidR="007D6688" w:rsidRDefault="007D6688">
            <w:pPr>
              <w:snapToGrid w:val="0"/>
              <w:rPr>
                <w:rFonts w:hint="eastAsia"/>
              </w:rPr>
            </w:pPr>
            <w:r>
              <w:rPr>
                <w:rFonts w:hint="eastAsia"/>
              </w:rPr>
              <w:t>第三十七條之四</w:t>
            </w:r>
            <w:r>
              <w:rPr>
                <w:rFonts w:hint="eastAsia"/>
              </w:rPr>
              <w:t xml:space="preserve"> </w:t>
            </w:r>
            <w:r>
              <w:rPr>
                <w:rFonts w:hint="eastAsia"/>
              </w:rPr>
              <w:t>要求不作為訴訟之要件</w:t>
            </w:r>
          </w:p>
          <w:p w:rsidR="007D6688" w:rsidRDefault="007D6688">
            <w:pPr>
              <w:snapToGrid w:val="0"/>
              <w:rPr>
                <w:rFonts w:hint="eastAsia"/>
              </w:rPr>
            </w:pPr>
            <w:r>
              <w:rPr>
                <w:rFonts w:hint="eastAsia"/>
              </w:rPr>
              <w:t>I.</w:t>
            </w:r>
            <w:r>
              <w:rPr>
                <w:rFonts w:hint="eastAsia"/>
              </w:rPr>
              <w:t>要求不作為訴訟僅限於因特定之處分或裁決將產生重大損害之虞始可提起，但為避免該損害之適當方法存在時不在此限。</w:t>
            </w:r>
          </w:p>
          <w:p w:rsidR="007D6688" w:rsidRDefault="007D6688">
            <w:pPr>
              <w:snapToGrid w:val="0"/>
              <w:rPr>
                <w:rFonts w:hint="eastAsia"/>
              </w:rPr>
            </w:pPr>
            <w:r>
              <w:rPr>
                <w:rFonts w:hint="eastAsia"/>
              </w:rPr>
              <w:t>II.</w:t>
            </w:r>
            <w:r>
              <w:rPr>
                <w:rFonts w:hint="eastAsia"/>
              </w:rPr>
              <w:t>法院於判斷是否會產生前項規定之重大損害之際，應考慮損害恢復困難度、此外並應考量損害之性質程度及處分或裁決之內容或性質。</w:t>
            </w:r>
          </w:p>
          <w:p w:rsidR="007D6688" w:rsidRDefault="007D6688">
            <w:pPr>
              <w:snapToGrid w:val="0"/>
              <w:rPr>
                <w:rFonts w:hint="eastAsia"/>
              </w:rPr>
            </w:pPr>
            <w:r>
              <w:rPr>
                <w:rFonts w:hint="eastAsia"/>
              </w:rPr>
              <w:t>III.</w:t>
            </w:r>
            <w:r>
              <w:rPr>
                <w:rFonts w:hint="eastAsia"/>
              </w:rPr>
              <w:t>要求不作為訴訟僅限於對於要求法院向行政機關命其不得為該特定處分或裁決有法律上利益者</w:t>
            </w:r>
            <w:r>
              <w:rPr>
                <w:rFonts w:hint="eastAsia"/>
              </w:rPr>
              <w:t xml:space="preserve"> </w:t>
            </w:r>
            <w:r>
              <w:rPr>
                <w:rFonts w:hint="eastAsia"/>
              </w:rPr>
              <w:t>始可為之。</w:t>
            </w:r>
          </w:p>
          <w:p w:rsidR="007D6688" w:rsidRDefault="007D6688">
            <w:pPr>
              <w:snapToGrid w:val="0"/>
              <w:rPr>
                <w:rFonts w:hint="eastAsia"/>
              </w:rPr>
            </w:pPr>
            <w:r>
              <w:rPr>
                <w:rFonts w:hint="eastAsia"/>
              </w:rPr>
              <w:t>IV.</w:t>
            </w:r>
            <w:r>
              <w:rPr>
                <w:rFonts w:hint="eastAsia"/>
              </w:rPr>
              <w:t>前項規定中有關否有法律上利益者之判斷，準用第九條第二項</w:t>
            </w:r>
            <w:r>
              <w:rPr>
                <w:rStyle w:val="ae"/>
              </w:rPr>
              <w:footnoteReference w:id="214"/>
            </w:r>
            <w:r>
              <w:rPr>
                <w:rFonts w:hint="eastAsia"/>
              </w:rPr>
              <w:t>規定。</w:t>
            </w:r>
          </w:p>
          <w:p w:rsidR="007D6688" w:rsidRDefault="007D6688">
            <w:pPr>
              <w:snapToGrid w:val="0"/>
              <w:rPr>
                <w:rFonts w:hint="eastAsia"/>
              </w:rPr>
            </w:pPr>
            <w:r>
              <w:rPr>
                <w:rFonts w:hint="eastAsia"/>
              </w:rPr>
              <w:t>V.</w:t>
            </w:r>
            <w:r>
              <w:rPr>
                <w:rFonts w:hint="eastAsia"/>
              </w:rPr>
              <w:t>要求不作為訴訟</w:t>
            </w:r>
            <w:r>
              <w:rPr>
                <w:rFonts w:hint="eastAsia"/>
              </w:rPr>
              <w:t xml:space="preserve"> </w:t>
            </w:r>
            <w:r>
              <w:rPr>
                <w:rFonts w:hint="eastAsia"/>
              </w:rPr>
              <w:t>若該當於第一項及第三項規定要件時，關於該要求不作為訴訟之處分或裁決若從該處分或裁決之依據法令可明確認定行政機關不應為該處分或裁決；或行政機關為該處分或裁決乃逾越其裁量權範圍或濫用裁量權時，法院可以判決命行政機關必須為該處分或裁決。</w:t>
            </w:r>
          </w:p>
        </w:tc>
      </w:tr>
    </w:tbl>
    <w:p w:rsidR="007D6688" w:rsidRDefault="007D6688">
      <w:pPr>
        <w:spacing w:before="100" w:beforeAutospacing="1" w:after="100" w:afterAutospacing="1" w:line="480" w:lineRule="auto"/>
        <w:ind w:firstLineChars="225" w:firstLine="540"/>
        <w:jc w:val="both"/>
        <w:rPr>
          <w:rFonts w:hint="eastAsia"/>
          <w:lang w:val="de-DE"/>
        </w:rPr>
      </w:pPr>
      <w:r>
        <w:rPr>
          <w:rFonts w:hint="eastAsia"/>
          <w:lang w:val="de-DE"/>
        </w:rPr>
        <w:t>由於本研究案初步研究成果將置重於公務人員競爭訴訟中暫時性權利保護制度之運用，日本法上有關暫時性權利保護至度的新設計，可提供本研究重要參考，故介紹如下。</w:t>
      </w:r>
    </w:p>
    <w:p w:rsidR="007D6688" w:rsidRDefault="007D6688">
      <w:pPr>
        <w:spacing w:before="100" w:beforeAutospacing="1" w:after="100" w:afterAutospacing="1" w:line="480" w:lineRule="auto"/>
        <w:jc w:val="both"/>
        <w:rPr>
          <w:rFonts w:hint="eastAsia"/>
          <w:b/>
          <w:sz w:val="28"/>
          <w:szCs w:val="28"/>
        </w:rPr>
      </w:pPr>
      <w:r>
        <w:rPr>
          <w:rFonts w:hint="eastAsia"/>
          <w:b/>
          <w:sz w:val="28"/>
          <w:szCs w:val="28"/>
        </w:rPr>
        <w:t>壹</w:t>
      </w:r>
      <w:r>
        <w:rPr>
          <w:rFonts w:ascii="新細明體" w:hAnsi="新細明體" w:hint="eastAsia"/>
          <w:b/>
          <w:sz w:val="28"/>
          <w:szCs w:val="28"/>
        </w:rPr>
        <w:t>、</w:t>
      </w:r>
      <w:r>
        <w:rPr>
          <w:rFonts w:hint="eastAsia"/>
          <w:b/>
          <w:sz w:val="28"/>
          <w:szCs w:val="28"/>
        </w:rPr>
        <w:t>修正行政訴訟法三條七項之解說</w:t>
      </w:r>
    </w:p>
    <w:p w:rsidR="007D6688" w:rsidRDefault="007D6688">
      <w:pPr>
        <w:spacing w:before="100" w:beforeAutospacing="1" w:after="100" w:afterAutospacing="1" w:line="480" w:lineRule="auto"/>
        <w:ind w:firstLineChars="200" w:firstLine="480"/>
        <w:jc w:val="both"/>
        <w:rPr>
          <w:rFonts w:hint="eastAsia"/>
        </w:rPr>
      </w:pPr>
      <w:r>
        <w:rPr>
          <w:rFonts w:hint="eastAsia"/>
        </w:rPr>
        <w:t>首先先簡單說明要求不作為訴訟之性質之後，再區別要求不作為訴訟與其他訴訟類型並說明其關係。</w:t>
      </w:r>
    </w:p>
    <w:p w:rsidR="007D6688" w:rsidRDefault="007D6688">
      <w:pPr>
        <w:numPr>
          <w:ilvl w:val="0"/>
          <w:numId w:val="19"/>
        </w:numPr>
        <w:spacing w:before="100" w:beforeAutospacing="1" w:after="100" w:afterAutospacing="1" w:line="480" w:lineRule="auto"/>
        <w:ind w:firstLineChars="200" w:firstLine="480"/>
        <w:jc w:val="both"/>
        <w:rPr>
          <w:rFonts w:hint="eastAsia"/>
        </w:rPr>
      </w:pPr>
      <w:r>
        <w:rPr>
          <w:rFonts w:hint="eastAsia"/>
        </w:rPr>
        <w:t>訴訟之性質</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修正行政訴訟法三條七項要求不作為訴訟究竟該當於給付之訴、確認之訴、形成之訴？若將要求不作為之訴認定為排除行政機關第一次判斷權或公定力之訴訟的話，將無法將其解釋成改變法律關係之形成之訴。再者從「請求法院命行政機關不得為一定之處分或裁決」之請求內容來看</w:t>
      </w:r>
      <w:r>
        <w:t>，</w:t>
      </w:r>
      <w:r>
        <w:rPr>
          <w:rFonts w:hint="eastAsia"/>
        </w:rPr>
        <w:t>修正行政訴訟法三條七項之訴訟應該不是確認之訴而應為給付之訴。但於日本法中關於公權力行使並未設計有強制執行之制度，修正行政訴訟法三條七項之請求肯認判決與民事訴訟不同並無執行力，因此將修正行政訴訟法三條七項歸類為給付之訴或確認之訴並無太大實益</w:t>
      </w:r>
      <w:r>
        <w:rPr>
          <w:rStyle w:val="ae"/>
        </w:rPr>
        <w:footnoteReference w:id="215"/>
      </w:r>
      <w:r>
        <w:rPr>
          <w:rFonts w:hint="eastAsia"/>
        </w:rPr>
        <w:t>。</w:t>
      </w:r>
    </w:p>
    <w:p w:rsidR="007D6688" w:rsidRDefault="007D6688">
      <w:pPr>
        <w:numPr>
          <w:ilvl w:val="0"/>
          <w:numId w:val="19"/>
        </w:numPr>
        <w:spacing w:before="100" w:beforeAutospacing="1" w:after="100" w:afterAutospacing="1" w:line="480" w:lineRule="auto"/>
        <w:ind w:firstLineChars="200" w:firstLine="480"/>
        <w:jc w:val="both"/>
        <w:rPr>
          <w:rFonts w:hint="eastAsia"/>
        </w:rPr>
      </w:pPr>
      <w:r>
        <w:rPr>
          <w:rFonts w:hint="eastAsia"/>
        </w:rPr>
        <w:t>作為要求不作為訴訟對象之處分</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要求不作為訴訟以處分或裁決為對象。關於處分到目前為止一般認定為行政處分及公權力之事實行為</w:t>
      </w:r>
      <w:r>
        <w:rPr>
          <w:rStyle w:val="ae"/>
        </w:rPr>
        <w:footnoteReference w:id="216"/>
      </w:r>
      <w:r>
        <w:rPr>
          <w:rFonts w:hint="eastAsia"/>
        </w:rPr>
        <w:t>。新法基本上也無必要將其範圍加以擴張。</w:t>
      </w:r>
    </w:p>
    <w:p w:rsidR="007D6688" w:rsidRDefault="007D6688">
      <w:pPr>
        <w:spacing w:before="100" w:beforeAutospacing="1" w:after="100" w:afterAutospacing="1" w:line="480" w:lineRule="auto"/>
        <w:ind w:firstLineChars="200" w:firstLine="480"/>
        <w:jc w:val="both"/>
        <w:rPr>
          <w:rFonts w:hint="eastAsia"/>
        </w:rPr>
      </w:pPr>
      <w:r>
        <w:rPr>
          <w:rFonts w:hint="eastAsia"/>
        </w:rPr>
        <w:t>但以下仍有三點要注意之處：</w:t>
      </w:r>
    </w:p>
    <w:p w:rsidR="007D6688" w:rsidRDefault="007D6688">
      <w:pPr>
        <w:spacing w:before="100" w:beforeAutospacing="1" w:after="100" w:afterAutospacing="1" w:line="480" w:lineRule="auto"/>
        <w:ind w:firstLineChars="200" w:firstLine="480"/>
        <w:jc w:val="both"/>
        <w:rPr>
          <w:rFonts w:hint="eastAsia"/>
        </w:rPr>
      </w:pPr>
      <w:r>
        <w:rPr>
          <w:rFonts w:hint="eastAsia"/>
        </w:rPr>
        <w:t>ㄅ</w:t>
      </w:r>
      <w:r>
        <w:rPr>
          <w:rFonts w:hint="eastAsia"/>
        </w:rPr>
        <w:t xml:space="preserve"> </w:t>
      </w:r>
      <w:r>
        <w:rPr>
          <w:rFonts w:hint="eastAsia"/>
        </w:rPr>
        <w:t>從處分之構成轉變為預防性訴訟</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第一點</w:t>
      </w:r>
      <w:r>
        <w:rPr>
          <w:rFonts w:hint="eastAsia"/>
        </w:rPr>
        <w:t xml:space="preserve"> </w:t>
      </w:r>
      <w:r>
        <w:rPr>
          <w:rFonts w:hint="eastAsia"/>
        </w:rPr>
        <w:t>到目前為止，針對行政機關之行政解釋〈通達〉起訴之案例中，其中有些案例倒不如說是有關於法律關係之訴訟。因此此種訴訟應以「處分之重複型或者法律關係處分並行型」之預防型訴訟較為適當。相對地，到目前為止可推測法院因意識到行政機關之第一次判斷權以及事後訴訟中心主義，將難以被定位為處分之行為，而無法特地以取消訴訟方式加以處理。但於此次修法下可透過預防性訴訟達到權利保護目的。於最高法院昭和</w:t>
      </w:r>
      <w:r>
        <w:rPr>
          <w:rFonts w:hint="eastAsia"/>
        </w:rPr>
        <w:t>43.12.23</w:t>
      </w:r>
      <w:r>
        <w:rPr>
          <w:rFonts w:hint="eastAsia"/>
        </w:rPr>
        <w:t>民集</w:t>
      </w:r>
      <w:r>
        <w:rPr>
          <w:rFonts w:hint="eastAsia"/>
        </w:rPr>
        <w:t>22</w:t>
      </w:r>
      <w:r>
        <w:rPr>
          <w:rFonts w:hint="eastAsia"/>
        </w:rPr>
        <w:t>卷</w:t>
      </w:r>
      <w:r>
        <w:rPr>
          <w:rFonts w:hint="eastAsia"/>
        </w:rPr>
        <w:t>13</w:t>
      </w:r>
      <w:r>
        <w:rPr>
          <w:rFonts w:hint="eastAsia"/>
        </w:rPr>
        <w:t>號</w:t>
      </w:r>
      <w:r>
        <w:rPr>
          <w:rFonts w:hint="eastAsia"/>
        </w:rPr>
        <w:t>3147</w:t>
      </w:r>
      <w:r>
        <w:rPr>
          <w:rFonts w:hint="eastAsia"/>
        </w:rPr>
        <w:t>頁中，即是否定墓地埋葬法行政解釋之處分性而且駁回針對該當行政解釋所提之取消訴訟。但在新法中倒不如說原告可以對其他宗教團體之信徒提起拒絕埋葬之確認之訴，今後應可被認定有其合法性</w:t>
      </w:r>
      <w:r>
        <w:rPr>
          <w:rStyle w:val="ae"/>
        </w:rPr>
        <w:footnoteReference w:id="217"/>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ㄆ</w:t>
      </w:r>
      <w:r>
        <w:rPr>
          <w:rFonts w:hint="eastAsia"/>
        </w:rPr>
        <w:t xml:space="preserve"> </w:t>
      </w:r>
      <w:r>
        <w:rPr>
          <w:rFonts w:hint="eastAsia"/>
        </w:rPr>
        <w:t>公權力之事實行為之要求不作為</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第二點</w:t>
      </w:r>
      <w:r>
        <w:rPr>
          <w:rFonts w:hint="eastAsia"/>
        </w:rPr>
        <w:t xml:space="preserve"> </w:t>
      </w:r>
      <w:r>
        <w:rPr>
          <w:rFonts w:hint="eastAsia"/>
        </w:rPr>
        <w:t>關於即時強制等公權力之事實行為，行政事件訴訟法之立法階段以及到目前為止之學說，皆對於將其當作取消訴訟之對象以及限制其起訴期間等提出相當強烈之質疑</w:t>
      </w:r>
      <w:r>
        <w:rPr>
          <w:rStyle w:val="ae"/>
        </w:rPr>
        <w:footnoteReference w:id="218"/>
      </w:r>
      <w:r>
        <w:rPr>
          <w:rFonts w:hint="eastAsia"/>
        </w:rPr>
        <w:t>。但在現行法解釋論下將所謂公權力之事實行為認定不該當於抗告訴訟之對象之「公權力之行使」，而將其從行政訴訟事件法</w:t>
      </w:r>
      <w:r>
        <w:rPr>
          <w:rFonts w:hint="eastAsia"/>
        </w:rPr>
        <w:t>44</w:t>
      </w:r>
      <w:r>
        <w:rPr>
          <w:rFonts w:hint="eastAsia"/>
        </w:rPr>
        <w:t>條有關假處分規定</w:t>
      </w:r>
      <w:r>
        <w:rPr>
          <w:rStyle w:val="ae"/>
        </w:rPr>
        <w:footnoteReference w:id="219"/>
      </w:r>
      <w:r>
        <w:rPr>
          <w:rFonts w:hint="eastAsia"/>
        </w:rPr>
        <w:t>加以除外，並非完全沒理由。關於此點於新法中將要求不作為訴訟與取消訴訟並列並將要求不作為訴訟加以法定。因此若公權力之事實行為只要持續進行下或許可認為「行政機關不應為特定之處分或裁決而為之」狀態持續，而依修正行政訴訟法三條七項即可。但此情形下行政機關因為已經著手進行，所以不需要第三十七條之四第一項第二項之要件。因為暫時權利保護沒有理由課予如三十七條之五第二項般嚴格要件（「無法補償之損害」），再者暫時之要求不作為應和執行停止同樣依二十五條</w:t>
      </w:r>
      <w:r>
        <w:rPr>
          <w:rStyle w:val="ae"/>
        </w:rPr>
        <w:footnoteReference w:id="220"/>
      </w:r>
      <w:r>
        <w:rPr>
          <w:rFonts w:hint="eastAsia"/>
        </w:rPr>
        <w:t>要件認定。</w:t>
      </w:r>
    </w:p>
    <w:p w:rsidR="007D6688" w:rsidRDefault="007D6688">
      <w:pPr>
        <w:spacing w:before="100" w:beforeAutospacing="1" w:after="100" w:afterAutospacing="1" w:line="480" w:lineRule="auto"/>
        <w:ind w:firstLineChars="200" w:firstLine="480"/>
        <w:jc w:val="both"/>
        <w:rPr>
          <w:rFonts w:hint="eastAsia"/>
        </w:rPr>
      </w:pPr>
      <w:r>
        <w:rPr>
          <w:rFonts w:hint="eastAsia"/>
        </w:rPr>
        <w:t>ㄇ</w:t>
      </w:r>
      <w:r>
        <w:rPr>
          <w:rFonts w:hint="eastAsia"/>
        </w:rPr>
        <w:t xml:space="preserve"> </w:t>
      </w:r>
      <w:r>
        <w:rPr>
          <w:rFonts w:hint="eastAsia"/>
        </w:rPr>
        <w:t>公共設施之設置營運之要求不作為</w:t>
      </w:r>
    </w:p>
    <w:p w:rsidR="007D6688" w:rsidRDefault="007D6688">
      <w:pPr>
        <w:spacing w:before="100" w:beforeAutospacing="1" w:after="100" w:afterAutospacing="1" w:line="480" w:lineRule="auto"/>
        <w:ind w:firstLineChars="200" w:firstLine="480"/>
        <w:jc w:val="both"/>
        <w:rPr>
          <w:rFonts w:hint="eastAsia"/>
        </w:rPr>
      </w:pPr>
      <w:r>
        <w:rPr>
          <w:rFonts w:hint="eastAsia"/>
        </w:rPr>
        <w:t>第三</w:t>
      </w:r>
      <w:r>
        <w:rPr>
          <w:rFonts w:hint="eastAsia"/>
        </w:rPr>
        <w:t xml:space="preserve"> </w:t>
      </w:r>
      <w:r>
        <w:rPr>
          <w:rFonts w:hint="eastAsia"/>
        </w:rPr>
        <w:t>針對公共設施之設置營運要求不作為，行政訴訟事件法起草時雖經討論，結果認為若無設定特別之法制度即不算該當於「有關於公權力行使不服之訴訟」。另外判例也基本上認為其不該當於抗告訴訟之對象（最判昭</w:t>
      </w:r>
      <w:r>
        <w:rPr>
          <w:rFonts w:hint="eastAsia"/>
        </w:rPr>
        <w:t>39.10.29</w:t>
      </w:r>
      <w:r>
        <w:rPr>
          <w:rFonts w:hint="eastAsia"/>
        </w:rPr>
        <w:t>民集</w:t>
      </w:r>
      <w:r>
        <w:rPr>
          <w:rFonts w:hint="eastAsia"/>
        </w:rPr>
        <w:t>18</w:t>
      </w:r>
      <w:r>
        <w:rPr>
          <w:rFonts w:hint="eastAsia"/>
        </w:rPr>
        <w:t>卷</w:t>
      </w:r>
      <w:r>
        <w:rPr>
          <w:rFonts w:hint="eastAsia"/>
        </w:rPr>
        <w:t>8</w:t>
      </w:r>
      <w:r>
        <w:rPr>
          <w:rFonts w:hint="eastAsia"/>
        </w:rPr>
        <w:t>號</w:t>
      </w:r>
      <w:r>
        <w:rPr>
          <w:rFonts w:hint="eastAsia"/>
        </w:rPr>
        <w:t>1089</w:t>
      </w:r>
      <w:r>
        <w:rPr>
          <w:rFonts w:hint="eastAsia"/>
        </w:rPr>
        <w:t>頁）。</w:t>
      </w:r>
      <w:r>
        <w:rPr>
          <w:rFonts w:hint="eastAsia"/>
        </w:rPr>
        <w:t xml:space="preserve"> </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但是最大判昭和</w:t>
      </w:r>
      <w:r>
        <w:rPr>
          <w:rFonts w:hint="eastAsia"/>
        </w:rPr>
        <w:t>56.12.16</w:t>
      </w:r>
      <w:r>
        <w:rPr>
          <w:rFonts w:hint="eastAsia"/>
        </w:rPr>
        <w:t>民集</w:t>
      </w:r>
      <w:r>
        <w:rPr>
          <w:rFonts w:hint="eastAsia"/>
        </w:rPr>
        <w:t>35</w:t>
      </w:r>
      <w:r>
        <w:rPr>
          <w:rFonts w:hint="eastAsia"/>
        </w:rPr>
        <w:t>卷</w:t>
      </w:r>
      <w:r>
        <w:rPr>
          <w:rFonts w:hint="eastAsia"/>
        </w:rPr>
        <w:t>10</w:t>
      </w:r>
      <w:r>
        <w:rPr>
          <w:rFonts w:hint="eastAsia"/>
        </w:rPr>
        <w:t>號</w:t>
      </w:r>
      <w:r>
        <w:rPr>
          <w:rFonts w:hint="eastAsia"/>
        </w:rPr>
        <w:t>1369</w:t>
      </w:r>
      <w:r>
        <w:rPr>
          <w:rFonts w:hint="eastAsia"/>
        </w:rPr>
        <w:t>頁將要求國營機場之使用要求不作為之民事訴訟以公權力行使為理由認定訴之不合法。但是以公權力行使來調整機場之使用及噪音公害之法制度及手續並未完備時，將作為公權力行使之「航空行政權」歸屬於同一行政機關為理由排除有關機場管理權之所謂民事訴訟之「一體性構成」論理，實欠缺說服力並引起學界之強烈批判</w:t>
      </w:r>
      <w:r>
        <w:rPr>
          <w:rStyle w:val="ae"/>
        </w:rPr>
        <w:footnoteReference w:id="221"/>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但有見解認為若不得已必須以此大法庭判決為前提的話，只好認定作為法定外抗告訴訟之權利性妨礙排除訴訟</w:t>
      </w:r>
      <w:r>
        <w:rPr>
          <w:rStyle w:val="ae"/>
        </w:rPr>
        <w:footnoteReference w:id="222"/>
      </w:r>
      <w:r>
        <w:rPr>
          <w:rFonts w:hint="eastAsia"/>
        </w:rPr>
        <w:t>。依此見解依照修正行政訴訟法之三條七項將變成請求「航空行政權」與「不可分之一體」之國營機場之營運使用要求不作為。但此次行政訴訟法修正並未對於如航空法般特別法之大法庭之特異見解作特別考量，因此必須強調本次修正法並非積極支持大法庭之見解積極地將三條七項作為解決該問題之設計。再者最判平成</w:t>
      </w:r>
      <w:smartTag w:uri="urn:schemas-microsoft-com:office:smarttags" w:element="chsdate">
        <w:smartTagPr>
          <w:attr w:name="Year" w:val="1899"/>
          <w:attr w:name="Month" w:val="12"/>
          <w:attr w:name="Day" w:val="30"/>
          <w:attr w:name="IsLunarDate" w:val="False"/>
          <w:attr w:name="IsROCDate" w:val="False"/>
        </w:smartTagPr>
        <w:r>
          <w:rPr>
            <w:rFonts w:hint="eastAsia"/>
          </w:rPr>
          <w:t>5.2.25</w:t>
        </w:r>
      </w:smartTag>
      <w:r>
        <w:rPr>
          <w:rFonts w:hint="eastAsia"/>
        </w:rPr>
        <w:t>民集</w:t>
      </w:r>
      <w:r>
        <w:rPr>
          <w:rFonts w:hint="eastAsia"/>
        </w:rPr>
        <w:t>47</w:t>
      </w:r>
      <w:r>
        <w:rPr>
          <w:rFonts w:hint="eastAsia"/>
        </w:rPr>
        <w:t>卷</w:t>
      </w:r>
      <w:r>
        <w:rPr>
          <w:rFonts w:hint="eastAsia"/>
        </w:rPr>
        <w:t>2</w:t>
      </w:r>
      <w:r>
        <w:rPr>
          <w:rFonts w:hint="eastAsia"/>
        </w:rPr>
        <w:t>號</w:t>
      </w:r>
      <w:r>
        <w:rPr>
          <w:rFonts w:hint="eastAsia"/>
        </w:rPr>
        <w:t>643</w:t>
      </w:r>
      <w:r>
        <w:rPr>
          <w:rFonts w:hint="eastAsia"/>
        </w:rPr>
        <w:t>頁雖然同樣對於基地週遭居民請求自衛隊之起飛降落之要求不作為之民事訴訟認為不合法，但此案中究竟何種行為被認定為公權力行使從判決中無法判別。</w:t>
      </w:r>
    </w:p>
    <w:p w:rsidR="007D6688" w:rsidRDefault="007D6688">
      <w:pPr>
        <w:numPr>
          <w:ilvl w:val="0"/>
          <w:numId w:val="19"/>
        </w:numPr>
        <w:spacing w:before="100" w:beforeAutospacing="1" w:after="100" w:afterAutospacing="1" w:line="480" w:lineRule="auto"/>
        <w:ind w:firstLineChars="200" w:firstLine="480"/>
        <w:jc w:val="both"/>
        <w:rPr>
          <w:rFonts w:hint="eastAsia"/>
        </w:rPr>
      </w:pPr>
      <w:r>
        <w:rPr>
          <w:rFonts w:hint="eastAsia"/>
        </w:rPr>
        <w:t>與公法上當事者訴訟之關係</w:t>
      </w:r>
      <w:r>
        <w:rPr>
          <w:rFonts w:hint="eastAsia"/>
        </w:rPr>
        <w:t xml:space="preserve"> </w:t>
      </w:r>
    </w:p>
    <w:p w:rsidR="007D6688" w:rsidRDefault="007D6688">
      <w:pPr>
        <w:spacing w:before="100" w:beforeAutospacing="1" w:after="100" w:afterAutospacing="1" w:line="480" w:lineRule="auto"/>
        <w:ind w:firstLineChars="200" w:firstLine="480"/>
        <w:jc w:val="both"/>
        <w:rPr>
          <w:rFonts w:hint="eastAsia"/>
        </w:rPr>
      </w:pPr>
      <w:r>
        <w:rPr>
          <w:rFonts w:hint="eastAsia"/>
        </w:rPr>
        <w:t>抗告訴訟之定型化、特殊化及當事者訴訟之概括化</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到目前為止廣義上關於處分之預防性訴訟究竟該當於無名抗告訴訟或公法上當事人訴訟未必明確。依照修正行政事件訴訟法似乎將三條七項之訴訟作為公法上當事人訴訟。首先一方面三條七項中將請求內容及訴之利益之要件明確地制式化，再加上三十七條之五第二項以下將三條七項之訴被提起時之暫時要求不作為加以制度化。另一方面四條</w:t>
      </w:r>
      <w:r>
        <w:rPr>
          <w:rStyle w:val="ae"/>
        </w:rPr>
        <w:footnoteReference w:id="223"/>
      </w:r>
      <w:r>
        <w:rPr>
          <w:rFonts w:hint="eastAsia"/>
        </w:rPr>
        <w:t>將作為公法上當事者訴訟之「關於公法上法律關係確認之訴」加以列舉規定。其結果要求不作為訴訟等法定抗告訴訟關於行政訴訟之一部分，為了於必要範圍內關於暫時權利保護等以特例規定而設計了特定類型。相對於其他的行政訴訟則被認定為公法上當事者訴訟，其結果所謂傳統之「法定外抗告訴訟」之可能性將極度縮小</w:t>
      </w:r>
      <w:r>
        <w:rPr>
          <w:rStyle w:val="ae"/>
        </w:rPr>
        <w:footnoteReference w:id="224"/>
      </w:r>
      <w:r>
        <w:rPr>
          <w:rFonts w:hint="eastAsia"/>
        </w:rPr>
        <w:t>。因此在一方面若適當地運用作為暫時權利保護之三十七條之五之第二項以下之暫時要求不作為的話今後將主要以三條七項之訴訟為主，如此一來另一方面也不須擴充解釋三條之七、三十七條之五作為其他的公法上訴訟之公法上當事人訴訟之確認之訴，也符合新法之架構</w:t>
      </w:r>
      <w:r>
        <w:rPr>
          <w:rStyle w:val="ae"/>
        </w:rPr>
        <w:footnoteReference w:id="225"/>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具體而言「法關係處分重複型」預防訴訟為三條七項之訴訟，「法關係處分並行型」預防訴訟則為私人義務不存在確認訴訟等公法上當事者訴訟。關於後者之訴訟中之暫時權利保護，於申請之時或許根本無法確定究竟何種處分將被提出、再者該當處分將對原告會產生何種損害，因此無法直接適用三十七條之五第二項規定。此時倒不如依據民事保全法二十三條二項認定其有暫時權利之假處分。當然若依照此方式將與行政事件訴訟法四十四條規定有衝突，但依據修正行政訴訟法三十七條之五將處分直接暫時承認其要求不作為之後，於法關係處分並行型預防訴訟中因處分之要求不作為並非其目的，其結果不過處分被阻卻而已，因此只要承認假處分即可</w:t>
      </w:r>
      <w:r>
        <w:rPr>
          <w:rStyle w:val="ae"/>
        </w:rPr>
        <w:footnoteReference w:id="226"/>
      </w:r>
      <w:r>
        <w:rPr>
          <w:rFonts w:hint="eastAsia"/>
        </w:rPr>
        <w:t>。再者有關保全之必要性以將要被課與之現在義務所生之不利益為基準判斷之。暫時權利保護被認定與否因個別案件內容有很大之差異，因此不可認為依據三十七條之五之暫時要求不作為將比依民事保全法進行之假處分容易認定。</w:t>
      </w:r>
    </w:p>
    <w:p w:rsidR="007D6688" w:rsidRDefault="007D6688">
      <w:pPr>
        <w:spacing w:before="100" w:beforeAutospacing="1" w:after="100" w:afterAutospacing="1" w:line="480" w:lineRule="auto"/>
        <w:jc w:val="both"/>
        <w:rPr>
          <w:rFonts w:hint="eastAsia"/>
        </w:rPr>
      </w:pPr>
      <w:r>
        <w:rPr>
          <w:rFonts w:hint="eastAsia"/>
          <w:b/>
          <w:sz w:val="28"/>
          <w:szCs w:val="28"/>
        </w:rPr>
        <w:t>貳</w:t>
      </w:r>
      <w:r>
        <w:rPr>
          <w:rFonts w:ascii="新細明體" w:hAnsi="新細明體" w:hint="eastAsia"/>
          <w:b/>
          <w:sz w:val="28"/>
          <w:szCs w:val="28"/>
        </w:rPr>
        <w:t>、</w:t>
      </w:r>
      <w:r>
        <w:rPr>
          <w:rFonts w:hint="eastAsia"/>
          <w:b/>
          <w:sz w:val="28"/>
          <w:szCs w:val="28"/>
        </w:rPr>
        <w:t>行政事件訴訟法三十七條之四之解說</w:t>
      </w:r>
      <w:r>
        <w:rPr>
          <w:rStyle w:val="ae"/>
        </w:rPr>
        <w:footnoteReference w:id="227"/>
      </w:r>
    </w:p>
    <w:p w:rsidR="007D6688" w:rsidRDefault="007D6688">
      <w:pPr>
        <w:spacing w:before="100" w:beforeAutospacing="1" w:after="100" w:afterAutospacing="1" w:line="480" w:lineRule="auto"/>
        <w:ind w:firstLineChars="200" w:firstLine="480"/>
        <w:jc w:val="both"/>
        <w:rPr>
          <w:rFonts w:hint="eastAsia"/>
        </w:rPr>
      </w:pPr>
      <w:r>
        <w:rPr>
          <w:rFonts w:hint="eastAsia"/>
        </w:rPr>
        <w:t>到三十七條之四為止主要關於要求不作為訴訟之合法要件。換言之，規定即時確定利益之存在、否定即時確定利益不存在、請求對象確定且適當、被承認有原告適格等要件，以上要件若缺任何一項即被認為不合法，再者第五項則規定要求不作為訴訟本案勝訴要件與判決。</w:t>
      </w:r>
    </w:p>
    <w:p w:rsidR="007D6688" w:rsidRDefault="007D6688">
      <w:pPr>
        <w:spacing w:before="100" w:beforeAutospacing="1" w:after="100" w:afterAutospacing="1" w:line="480" w:lineRule="auto"/>
        <w:ind w:firstLineChars="200" w:firstLine="480"/>
        <w:jc w:val="both"/>
        <w:rPr>
          <w:rFonts w:hint="eastAsia"/>
        </w:rPr>
      </w:pPr>
      <w:r>
        <w:rPr>
          <w:rFonts w:hint="eastAsia"/>
        </w:rPr>
        <w:t>一</w:t>
      </w:r>
      <w:r>
        <w:rPr>
          <w:rFonts w:hint="eastAsia"/>
        </w:rPr>
        <w:t xml:space="preserve"> </w:t>
      </w:r>
      <w:r>
        <w:rPr>
          <w:rFonts w:hint="eastAsia"/>
        </w:rPr>
        <w:t>即時確定之利益〈一項本文</w:t>
      </w:r>
      <w:r>
        <w:t>、</w:t>
      </w:r>
      <w:r>
        <w:rPr>
          <w:rFonts w:hint="eastAsia"/>
        </w:rPr>
        <w:t>二項〉</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規定容許要求不作為訴訟之積極要件三十七條之四第一項本文及第二項，乃以最高法院長野勤評判決為例所作定性之規定。長野勤評判決對於訴之利益，特別關於即時確定利益之判斷架構採用「行政機關之第一次判斷權」以及「事後訴訟中心主義」。雖然本次修法與長野勤評判決同樣呈現訴之利益之判斷架構，但並未採用行政機關之第一次判斷權以及事後訴訟中心主義，而是要求需考慮行政作用、行政過程之特性與多樣性。再者於本法中也對要求不作為訴訟三條之七之一部分即為認定即時確定利益所須之要件加以定義，也就是所謂「行政機關不應為特定之處分或裁決而為之時」之部分。</w:t>
      </w:r>
    </w:p>
    <w:p w:rsidR="007D6688" w:rsidRDefault="007D6688">
      <w:pPr>
        <w:spacing w:before="100" w:beforeAutospacing="1" w:after="100" w:afterAutospacing="1" w:line="480" w:lineRule="auto"/>
        <w:ind w:firstLineChars="200" w:firstLine="480"/>
        <w:jc w:val="both"/>
        <w:rPr>
          <w:rFonts w:hint="eastAsia"/>
        </w:rPr>
      </w:pPr>
      <w:r>
        <w:rPr>
          <w:rFonts w:hint="eastAsia"/>
        </w:rPr>
        <w:t>ㄅ</w:t>
      </w:r>
      <w:r>
        <w:rPr>
          <w:rFonts w:hint="eastAsia"/>
        </w:rPr>
        <w:t xml:space="preserve"> </w:t>
      </w:r>
      <w:r>
        <w:rPr>
          <w:rFonts w:hint="eastAsia"/>
        </w:rPr>
        <w:t>作為準執行停止之要求不作為訴訟</w:t>
      </w:r>
      <w:r>
        <w:rPr>
          <w:rStyle w:val="ae"/>
        </w:rPr>
        <w:footnoteReference w:id="228"/>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於解釋三十七條之四第一項本文、二項之際，首先可發現其規定與二十五條二項三項</w:t>
      </w:r>
      <w:r>
        <w:rPr>
          <w:rStyle w:val="ae"/>
        </w:rPr>
        <w:footnoteReference w:id="229"/>
      </w:r>
      <w:r>
        <w:rPr>
          <w:rFonts w:hint="eastAsia"/>
        </w:rPr>
        <w:t>相同格式。從此點而言將解決不同問題之兩個條文作同一解釋是飛躍性聯想。但兩條文間或許有平行式規範部分。首先要求不作為訴訟可認為準備或者代替執行停止之設計。換言之假使要適時申請執行停止時必須要符合「為避免重大損害」之執行停止必要性要件。但實際上於接受行政機關之處分後提起取消訴訟、申請執行停止到執行停止決定下來為止過程中，若有發生「重大損害」之可能性時應該可認定要求不作為訴訟之提起。或者要件加重之暫時要求不作為即使不被承認〈無法賠償之損害之要件須成立〉，若有處分存在時應立即將訴訟改為取消訴訟，使其獲得執行停止決定〈當然實際上是否申請暫時要求不作為及執行停止為原告任意之行為〉。適用三十七條之四第一項本文、二項考慮損害回復困難程度，探討損害之性質及程度以及處分或裁決之內容及性質時①首先如同判斷執行停止之必要性般，判斷是否有要求不作為之必要性</w:t>
      </w:r>
      <w:r>
        <w:rPr>
          <w:rFonts w:hint="eastAsia"/>
        </w:rPr>
        <w:t xml:space="preserve"> </w:t>
      </w:r>
      <w:r>
        <w:rPr>
          <w:rFonts w:hint="eastAsia"/>
        </w:rPr>
        <w:t>②再者探討損害之性質及程度。換言之必須判斷是否處分後於得到執行停止決定為止是否無足夠時間以預防損害發生。①②兩方之條件具備之際才可認定「處分或裁決將產生重大損害之虞」。總而言之，取消訴訟與執行停止訴訟之制度皆有事前防止處分之執行之機能，因此於在更先前之階段為了要獲得要求不作為訴訟的話，必須保持取消訴訟、執行停止制度之整合性。再者於取消訴訟執行停止部分尚須不得有欠缺權利保護事由。</w:t>
      </w:r>
    </w:p>
    <w:p w:rsidR="007D6688" w:rsidRDefault="007D6688">
      <w:pPr>
        <w:spacing w:before="100" w:beforeAutospacing="1" w:after="100" w:afterAutospacing="1" w:line="480" w:lineRule="auto"/>
        <w:ind w:firstLineChars="200" w:firstLine="480"/>
        <w:jc w:val="both"/>
        <w:rPr>
          <w:rFonts w:hint="eastAsia"/>
        </w:rPr>
      </w:pPr>
      <w:r>
        <w:rPr>
          <w:rFonts w:hint="eastAsia"/>
        </w:rPr>
        <w:t>另外關於公權力事實行為，在此所述之替代取消訴訟以及執行停止設定條文為適用無三十七條之四第一項、二項要件之要求不作為訴訟，以及依據二十五條要件之暫時要求不作為。具體而言若執行為立即完了之行政處分即符合②之條件。另外基於管制監督權所為之行政處分若進行並公佈時將對於名譽及信用產生重大損害，即符合②之條件。再者即時強制等公權力事實行為之情形，於現行法上並未確保行政機關為該當行為之前必須向私人為意思表示，並賦予私人依照自己判斷並確保所要行動之時間，因此一般而言只要②</w:t>
      </w:r>
      <w:r>
        <w:rPr>
          <w:rFonts w:hint="eastAsia"/>
        </w:rPr>
        <w:t xml:space="preserve">  </w:t>
      </w:r>
      <w:r>
        <w:rPr>
          <w:rFonts w:hint="eastAsia"/>
        </w:rPr>
        <w:t>之要件即可，關於①</w:t>
      </w:r>
      <w:r>
        <w:rPr>
          <w:rFonts w:hint="eastAsia"/>
        </w:rPr>
        <w:t xml:space="preserve">  </w:t>
      </w:r>
      <w:r>
        <w:rPr>
          <w:rFonts w:hint="eastAsia"/>
        </w:rPr>
        <w:t>之要件則有爭議</w:t>
      </w:r>
      <w:r>
        <w:t>。</w:t>
      </w:r>
      <w:r>
        <w:rPr>
          <w:rFonts w:hint="eastAsia"/>
        </w:rPr>
        <w:t>例如強制剃髮以及懲戒之執行往往侵害人格權時該當①之要件。但相對地如移動不法棄置船舶般之輕微財產權之侵害之案例很難說符合①</w:t>
      </w:r>
      <w:r>
        <w:rPr>
          <w:rFonts w:hint="eastAsia"/>
        </w:rPr>
        <w:t xml:space="preserve">  </w:t>
      </w:r>
      <w:r>
        <w:rPr>
          <w:rFonts w:hint="eastAsia"/>
        </w:rPr>
        <w:t>之要件。再者若制度上規定有於即時強制前須事先進行勸告或指導時，接受指導或勸告之私人便可依據自己的判斷確保行動時間，因此若有勸告或指導的話應可解為不須三十七條之四要件，私人可逕行提起訴訟。</w:t>
      </w:r>
    </w:p>
    <w:p w:rsidR="007D6688" w:rsidRDefault="007D6688">
      <w:pPr>
        <w:spacing w:before="100" w:beforeAutospacing="1" w:after="100" w:afterAutospacing="1" w:line="480" w:lineRule="auto"/>
        <w:ind w:firstLineChars="200" w:firstLine="480"/>
        <w:jc w:val="both"/>
        <w:rPr>
          <w:rFonts w:hint="eastAsia"/>
        </w:rPr>
      </w:pPr>
      <w:r>
        <w:rPr>
          <w:rFonts w:hint="eastAsia"/>
        </w:rPr>
        <w:t>ㄆ</w:t>
      </w:r>
      <w:r>
        <w:rPr>
          <w:rFonts w:hint="eastAsia"/>
        </w:rPr>
        <w:t xml:space="preserve"> </w:t>
      </w:r>
      <w:r>
        <w:rPr>
          <w:rFonts w:hint="eastAsia"/>
        </w:rPr>
        <w:t>因處分過程行為處分代替行為所引起之損害以及風險</w:t>
      </w:r>
      <w:r>
        <w:rPr>
          <w:rStyle w:val="ae"/>
        </w:rPr>
        <w:footnoteReference w:id="230"/>
      </w:r>
    </w:p>
    <w:p w:rsidR="007D6688" w:rsidRDefault="007D6688">
      <w:pPr>
        <w:spacing w:before="100" w:beforeAutospacing="1" w:after="100" w:afterAutospacing="1" w:line="480" w:lineRule="auto"/>
        <w:ind w:firstLineChars="200" w:firstLine="480"/>
        <w:jc w:val="both"/>
        <w:rPr>
          <w:rFonts w:hint="eastAsia"/>
        </w:rPr>
      </w:pPr>
      <w:r>
        <w:rPr>
          <w:rFonts w:hint="eastAsia"/>
        </w:rPr>
        <w:t>於ㄅ敘述因處分之法效果以及執行所生損害之防止為根據，認定要求不作為訴訟之訴之利益。但構成訴之利益之「損害」，主要為到處分為止過程中行政主體之行為以及例如種種行政立法及行政指導所引起之損害等具有代替機能之行政機關之行為。若採此見解則要求不作為訴訟被承認之範圍將明顯地比到目前為止較為廣泛。</w:t>
      </w:r>
    </w:p>
    <w:p w:rsidR="007D6688" w:rsidRDefault="007D6688">
      <w:pPr>
        <w:numPr>
          <w:ilvl w:val="0"/>
          <w:numId w:val="20"/>
        </w:numPr>
        <w:spacing w:before="100" w:beforeAutospacing="1" w:after="100" w:afterAutospacing="1" w:line="480" w:lineRule="auto"/>
        <w:ind w:firstLineChars="200" w:firstLine="480"/>
        <w:jc w:val="both"/>
        <w:rPr>
          <w:rFonts w:hint="eastAsia"/>
        </w:rPr>
      </w:pPr>
      <w:r>
        <w:rPr>
          <w:rFonts w:hint="eastAsia"/>
        </w:rPr>
        <w:t>現實之損害</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首先行政主體之行為特別因及於第三人，並讓其現實地產生損害之情形，如銀行稅條例事件一審判決中認定因條例制定導致銀行信用之低下，請求營業上之損失之國家賠償案件，在此情形下為預防損害發生之持續，應肯認預防性訴訟。另外東京地判昭和</w:t>
      </w:r>
      <w:r>
        <w:rPr>
          <w:rFonts w:hint="eastAsia"/>
        </w:rPr>
        <w:t>46.11.8</w:t>
      </w:r>
      <w:r>
        <w:rPr>
          <w:rFonts w:hint="eastAsia"/>
        </w:rPr>
        <w:t>行裁判例集</w:t>
      </w:r>
      <w:r>
        <w:rPr>
          <w:rFonts w:hint="eastAsia"/>
        </w:rPr>
        <w:t>22</w:t>
      </w:r>
      <w:r>
        <w:rPr>
          <w:rFonts w:hint="eastAsia"/>
        </w:rPr>
        <w:t>卷</w:t>
      </w:r>
      <w:r>
        <w:rPr>
          <w:rFonts w:hint="eastAsia"/>
        </w:rPr>
        <w:t>11</w:t>
      </w:r>
      <w:r>
        <w:rPr>
          <w:rFonts w:hint="eastAsia"/>
        </w:rPr>
        <w:t>＝</w:t>
      </w:r>
      <w:r>
        <w:rPr>
          <w:rFonts w:hint="eastAsia"/>
        </w:rPr>
        <w:t xml:space="preserve">12 </w:t>
      </w:r>
      <w:r>
        <w:rPr>
          <w:rFonts w:hint="eastAsia"/>
        </w:rPr>
        <w:t>號</w:t>
      </w:r>
      <w:r>
        <w:rPr>
          <w:rFonts w:hint="eastAsia"/>
        </w:rPr>
        <w:t>1785</w:t>
      </w:r>
      <w:r>
        <w:rPr>
          <w:rFonts w:hint="eastAsia"/>
        </w:rPr>
        <w:t>頁通商產業省工業局長對都道府縣知事發佈原告所製造之函數尺違反度量法並要求為一定事務處理之行政解釋，相關行政機關對於度量器販賣業者針對該函數尺為中止販賣之勸告案件中，認定行政機關解釋之取消訴訟合法，此案例為對於原告所為之行政機關處分權並未法定之案件，因此不能稱為「預防」訴訟，但可作為參考。</w:t>
      </w:r>
    </w:p>
    <w:p w:rsidR="007D6688" w:rsidRDefault="007D6688">
      <w:pPr>
        <w:numPr>
          <w:ilvl w:val="0"/>
          <w:numId w:val="20"/>
        </w:numPr>
        <w:spacing w:before="100" w:beforeAutospacing="1" w:after="100" w:afterAutospacing="1" w:line="480" w:lineRule="auto"/>
        <w:ind w:firstLineChars="200" w:firstLine="480"/>
        <w:jc w:val="both"/>
        <w:rPr>
          <w:rFonts w:hint="eastAsia"/>
        </w:rPr>
      </w:pPr>
      <w:r>
        <w:rPr>
          <w:rFonts w:hint="eastAsia"/>
        </w:rPr>
        <w:t>現實之風險</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另外雖未發生明顯之損害，但行政機關之處分權限、或者私人之權利義務之有無之法律狀態不明確導致私人須負擔經濟上風險之例。例如關於民事訴訟「某種製作方法計畫生產工廠建設之公司遭受來至其他公司主張侵害該公司之專利權時，或許可承認特許權侵害不存在確認之訴」之見解</w:t>
      </w:r>
      <w:r>
        <w:rPr>
          <w:rStyle w:val="ae"/>
        </w:rPr>
        <w:footnoteReference w:id="231"/>
      </w:r>
      <w:r>
        <w:rPr>
          <w:rFonts w:hint="eastAsia"/>
        </w:rPr>
        <w:t>，依此類推若行政機關認定公司所欲使用之製作方法違反行政法規時，於工廠建設計畫之階段因無法進行改善命令，應可允許於警告該公司製作方法違反行政法規時，提起改善命令之要求不作為訴訟。</w:t>
      </w:r>
      <w:r>
        <w:rPr>
          <w:rFonts w:hint="eastAsia"/>
        </w:rPr>
        <w:t xml:space="preserve"> </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另外將被課與刑事罰明顯之風險也屬於重大之損害。一般而言行政法規中若對於義務違反行為除改善命令等行政處分之外，尚規定有不帶有處分之刑事罰之直接處罰制度。於此情形對主張行政法規所定之構成要件之違憲性，或行政機關所表示行政機關之解釋錯誤者，不應強求該人故意違反法規或行政機關之解釋，而於行動後遭刑事追訴後以增加其風險。倒不如此時應承認該人可提起預防性訴訟。當然此種明顯之風險若不存在時，只因單純想測試某種行為是否該當於構成要件而提起之預防性訴訟，基本上不被允許。</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再者行政機關故意迴避不利益處分，雖然私人表明反對意思行政機關仍持續進行行政指導時，原本行政機關應進行明確之判斷，停止對私人進行之行為，或應依行政程序法規定採行不利益處分程序。不應讓私人處於不知何時將被處分之不明確狀態，於此種情形下應不管損害本身是否該當於回復困難之要件，認定該個人有提起處分要求不作為訴訟之權。</w:t>
      </w:r>
    </w:p>
    <w:p w:rsidR="007D6688" w:rsidRDefault="007D6688">
      <w:pPr>
        <w:spacing w:before="100" w:beforeAutospacing="1" w:after="100" w:afterAutospacing="1" w:line="480" w:lineRule="auto"/>
        <w:ind w:firstLineChars="200" w:firstLine="480"/>
        <w:jc w:val="both"/>
        <w:rPr>
          <w:rFonts w:hint="eastAsia"/>
        </w:rPr>
      </w:pPr>
      <w:r>
        <w:rPr>
          <w:rFonts w:hint="eastAsia"/>
        </w:rPr>
        <w:t>二</w:t>
      </w:r>
      <w:r>
        <w:rPr>
          <w:rFonts w:hint="eastAsia"/>
        </w:rPr>
        <w:t xml:space="preserve"> </w:t>
      </w:r>
      <w:r>
        <w:rPr>
          <w:rFonts w:hint="eastAsia"/>
        </w:rPr>
        <w:t>請求對象之特定及是否合適</w:t>
      </w:r>
    </w:p>
    <w:p w:rsidR="007D6688" w:rsidRDefault="007D6688">
      <w:pPr>
        <w:spacing w:before="100" w:beforeAutospacing="1" w:after="100" w:afterAutospacing="1" w:line="480" w:lineRule="auto"/>
        <w:ind w:firstLineChars="200" w:firstLine="480"/>
        <w:jc w:val="both"/>
        <w:rPr>
          <w:rFonts w:hint="eastAsia"/>
        </w:rPr>
      </w:pPr>
      <w:r>
        <w:rPr>
          <w:rFonts w:hint="eastAsia"/>
        </w:rPr>
        <w:t>ㄅ</w:t>
      </w:r>
      <w:r>
        <w:rPr>
          <w:rFonts w:hint="eastAsia"/>
        </w:rPr>
        <w:t xml:space="preserve"> </w:t>
      </w:r>
      <w:r>
        <w:rPr>
          <w:rFonts w:hint="eastAsia"/>
        </w:rPr>
        <w:t>特定性</w:t>
      </w:r>
      <w:r>
        <w:rPr>
          <w:rFonts w:hint="eastAsia"/>
        </w:rPr>
        <w:t xml:space="preserve"> </w:t>
      </w:r>
      <w:r>
        <w:rPr>
          <w:rFonts w:hint="eastAsia"/>
        </w:rPr>
        <w:t>特定處分要求不作為訴訟</w:t>
      </w:r>
      <w:r>
        <w:rPr>
          <w:rFonts w:hint="eastAsia"/>
        </w:rPr>
        <w:t xml:space="preserve"> </w:t>
      </w:r>
      <w:r>
        <w:rPr>
          <w:rFonts w:hint="eastAsia"/>
        </w:rPr>
        <w:t>處分概括要求不作為訴訟</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對於私人之民事要求不作為請求之際，為避免過分限制該當私人行為必須限定要求不作為之要件及對象。但行政機關不同於私人，並不享有作為人權之行為自由，同時負有適用以及實踐法律之責，因此於行政訴訟中不需要有特別之限制</w:t>
      </w:r>
      <w:r>
        <w:rPr>
          <w:rStyle w:val="ae"/>
        </w:rPr>
        <w:footnoteReference w:id="232"/>
      </w:r>
      <w:r>
        <w:rPr>
          <w:rFonts w:hint="eastAsia"/>
        </w:rPr>
        <w:t>。於三條七項三十七條之四之要求不作為訴訟，若確認有即時確定之利益，再者若能統括地認定其違法性時，允許無法完全特定處分之內容但將一定範圍之處分作為要求不作為之對象。同條項所謂「特定之」處分並不限於內容完全特定之處分，而是能統括地判斷違法性以及即時確定利益之處分。以下將可特定內容之處分為對象稱為「特定處分要求不作為訴訟」，將處分統括為對象之處分稱為「特定概括要求不作為訴訟」。</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這些論點於地方自治法</w:t>
      </w:r>
      <w:r>
        <w:rPr>
          <w:rFonts w:hint="eastAsia"/>
        </w:rPr>
        <w:t>242</w:t>
      </w:r>
      <w:r>
        <w:rPr>
          <w:rFonts w:hint="eastAsia"/>
        </w:rPr>
        <w:t>之</w:t>
      </w:r>
      <w:r>
        <w:rPr>
          <w:rFonts w:hint="eastAsia"/>
        </w:rPr>
        <w:t>2</w:t>
      </w:r>
      <w:r>
        <w:rPr>
          <w:rFonts w:hint="eastAsia"/>
        </w:rPr>
        <w:t>條</w:t>
      </w:r>
      <w:r>
        <w:rPr>
          <w:rFonts w:hint="eastAsia"/>
        </w:rPr>
        <w:t>1</w:t>
      </w:r>
      <w:r>
        <w:rPr>
          <w:rFonts w:hint="eastAsia"/>
        </w:rPr>
        <w:t>項</w:t>
      </w:r>
      <w:r>
        <w:rPr>
          <w:rFonts w:hint="eastAsia"/>
        </w:rPr>
        <w:t>1</w:t>
      </w:r>
      <w:r>
        <w:rPr>
          <w:rFonts w:hint="eastAsia"/>
        </w:rPr>
        <w:t>號之住民訴訟雖與特別法所定之民眾訴訟之性格有別。但考慮與私人性質不同之行政機關對應之要求不作為訴訟之可能性時值得參考。過去之自治法</w:t>
      </w:r>
      <w:r>
        <w:rPr>
          <w:rFonts w:hint="eastAsia"/>
        </w:rPr>
        <w:t>242</w:t>
      </w:r>
      <w:r>
        <w:rPr>
          <w:rFonts w:hint="eastAsia"/>
        </w:rPr>
        <w:t>之</w:t>
      </w:r>
      <w:r>
        <w:rPr>
          <w:rFonts w:hint="eastAsia"/>
        </w:rPr>
        <w:t>2</w:t>
      </w:r>
      <w:r>
        <w:rPr>
          <w:rFonts w:hint="eastAsia"/>
        </w:rPr>
        <w:t>條</w:t>
      </w:r>
      <w:r>
        <w:rPr>
          <w:rFonts w:hint="eastAsia"/>
        </w:rPr>
        <w:t>1</w:t>
      </w:r>
      <w:r>
        <w:rPr>
          <w:rFonts w:hint="eastAsia"/>
        </w:rPr>
        <w:t>項「</w:t>
      </w:r>
      <w:r>
        <w:rPr>
          <w:rFonts w:hint="eastAsia"/>
        </w:rPr>
        <w:t>1</w:t>
      </w:r>
      <w:r>
        <w:rPr>
          <w:rFonts w:hint="eastAsia"/>
        </w:rPr>
        <w:t>號請求限於依該當行為對普通地方自治團體產生回復困難之損害之虞之情形」，但</w:t>
      </w:r>
      <w:r>
        <w:rPr>
          <w:rFonts w:hint="eastAsia"/>
        </w:rPr>
        <w:t>2002</w:t>
      </w:r>
      <w:r>
        <w:rPr>
          <w:rFonts w:hint="eastAsia"/>
        </w:rPr>
        <w:t>年修法此規定被刪除，關於要求不作為訴訟之容許性基本上依照訴之利益來判斷</w:t>
      </w:r>
      <w:r>
        <w:rPr>
          <w:rStyle w:val="ae"/>
        </w:rPr>
        <w:footnoteReference w:id="233"/>
      </w:r>
      <w:r>
        <w:rPr>
          <w:rFonts w:hint="eastAsia"/>
        </w:rPr>
        <w:t>。另外關於</w:t>
      </w:r>
      <w:r>
        <w:rPr>
          <w:rFonts w:hint="eastAsia"/>
        </w:rPr>
        <w:t>1</w:t>
      </w:r>
      <w:r>
        <w:rPr>
          <w:rFonts w:hint="eastAsia"/>
        </w:rPr>
        <w:t>號請求住民訴訟對象之特定，最高裁作了以下判斷：「於事前之要求不作為請求，除判斷該行為之適當與否之外，更進一步若必須依相當之確信該當行為將被進行與否為判斷時，對於相關之判斷必須於可能之程度內，判斷對象之行為之範圍必須要加以確定，才可認為該當」</w:t>
      </w:r>
      <w:r>
        <w:rPr>
          <w:rStyle w:val="ae"/>
        </w:rPr>
        <w:footnoteReference w:id="234"/>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如上所述若認定將處分統括為對象之預防訴訟，主要爭點與其說是個別案件事實認定，倒不如為立法基準等之違憲性、違法性及解釋。因此行政事件訴訟法於起草過程中，關於法令效力之訴訟以及預防訴訟宣言性訴訟之制度，即使將其判決效果限定於當事人間也被認為可能不該當於法律上之訴訟。但會產生上述問題，主要因行政機關與私人不同，以執行法律之方式或自行事先設定基準，對於私人將其判斷過程以階段性說明並採取相關行動。預防訴訟倒不如說可對應此種行政過程之特性並根本地解決紛爭，因此只要確定即時確定之利益與請求對象之特定性的話即可防止預防訴訟超出法律爭訟之問題產生。</w:t>
      </w:r>
    </w:p>
    <w:p w:rsidR="007D6688" w:rsidRDefault="007D6688">
      <w:pPr>
        <w:spacing w:before="100" w:beforeAutospacing="1" w:after="100" w:afterAutospacing="1" w:line="480" w:lineRule="auto"/>
        <w:ind w:firstLineChars="200" w:firstLine="480"/>
        <w:jc w:val="both"/>
        <w:rPr>
          <w:rFonts w:hint="eastAsia"/>
        </w:rPr>
      </w:pPr>
      <w:r>
        <w:rPr>
          <w:rFonts w:hint="eastAsia"/>
        </w:rPr>
        <w:t>ㄆ</w:t>
      </w:r>
      <w:r>
        <w:rPr>
          <w:rFonts w:hint="eastAsia"/>
        </w:rPr>
        <w:t xml:space="preserve"> </w:t>
      </w:r>
      <w:r>
        <w:rPr>
          <w:rFonts w:hint="eastAsia"/>
        </w:rPr>
        <w:t>適性</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如上所述將請求對象以統括方式掌握，相反地所謂限定請求對象之妥當性，於民事訴訟以確認對象之選擇妥當與否為問題之重點</w:t>
      </w:r>
      <w:r>
        <w:rPr>
          <w:rStyle w:val="ae"/>
        </w:rPr>
        <w:footnoteReference w:id="235"/>
      </w:r>
      <w:r>
        <w:rPr>
          <w:rFonts w:hint="eastAsia"/>
        </w:rPr>
        <w:t>。關於三十七條之四要求不作為訴訟實際上應不會產生問題。但如同以東京都收用委員會之權限不存在為由要求收用裁決之要求不作為訴訟般，僅以處分之形式乃至於手續之瑕疵為由所提起之要求不作為訴訟，今後仍有討論之空間。</w:t>
      </w:r>
    </w:p>
    <w:p w:rsidR="007D6688" w:rsidRDefault="007D6688">
      <w:pPr>
        <w:spacing w:before="100" w:beforeAutospacing="1" w:after="100" w:afterAutospacing="1" w:line="480" w:lineRule="auto"/>
        <w:ind w:firstLineChars="200" w:firstLine="480"/>
        <w:jc w:val="both"/>
        <w:rPr>
          <w:rFonts w:hint="eastAsia"/>
        </w:rPr>
      </w:pPr>
      <w:r>
        <w:rPr>
          <w:rFonts w:hint="eastAsia"/>
        </w:rPr>
        <w:t>三</w:t>
      </w:r>
      <w:r>
        <w:rPr>
          <w:rFonts w:hint="eastAsia"/>
        </w:rPr>
        <w:t xml:space="preserve"> </w:t>
      </w:r>
      <w:r>
        <w:rPr>
          <w:rFonts w:hint="eastAsia"/>
        </w:rPr>
        <w:t>特別消極要件〈一項但書規定〉</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三十七條之四第一項但書於關於即時確定之利益規定之後緊接者規定「若有其他為避免損害之方法存在時」不能提起要求不作為訴訟。在此所謂其他方法，首先可想到公法上當事人訴訟，但因公法上訴訟與要求不作為訴訟實質上可互換，因此若如此認定的話要求不作為訴訟被承認之範疇將極度縮小。其次考慮到的是取消訴訟，但是要求不作為訴訟原本因取消訴訟無法足夠有效地保護權利情形，也就是取消訴訟不適用之局面要求不作為訴訟才有其存在意義。因此三十七條之四第一項本文第二項之規定為將取消訴訟無法足夠有效地保護權利情形以個別具體判別之規定。因為若以較簡略方式於第一項但書中將消極要件作為例外規定，再重新檢討取消訴訟之適當與否，將不符合條文結構</w:t>
      </w:r>
      <w:r>
        <w:rPr>
          <w:rStyle w:val="ae"/>
        </w:rPr>
        <w:footnoteReference w:id="236"/>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因此三十七條之四第一項但書中所謂其他適當方法應限於以法律特別規定權利保護制度之範疇；例如取消訴訟之起訴期間及取消訴訟係屬中，不讓行政處分生效（國家公務員法</w:t>
      </w:r>
      <w:r>
        <w:rPr>
          <w:rFonts w:hint="eastAsia"/>
        </w:rPr>
        <w:t>108</w:t>
      </w:r>
      <w:r>
        <w:rPr>
          <w:rFonts w:hint="eastAsia"/>
        </w:rPr>
        <w:t>之</w:t>
      </w:r>
      <w:r>
        <w:rPr>
          <w:rFonts w:hint="eastAsia"/>
        </w:rPr>
        <w:t>3</w:t>
      </w:r>
      <w:r>
        <w:rPr>
          <w:rFonts w:hint="eastAsia"/>
        </w:rPr>
        <w:t>⑧）或停止其執行（自治法</w:t>
      </w:r>
      <w:r>
        <w:rPr>
          <w:rFonts w:hint="eastAsia"/>
        </w:rPr>
        <w:t>231</w:t>
      </w:r>
      <w:r>
        <w:rPr>
          <w:rFonts w:hint="eastAsia"/>
        </w:rPr>
        <w:t>之</w:t>
      </w:r>
      <w:r>
        <w:rPr>
          <w:rFonts w:hint="eastAsia"/>
        </w:rPr>
        <w:t>3</w:t>
      </w:r>
      <w:r>
        <w:rPr>
          <w:rFonts w:hint="eastAsia"/>
        </w:rPr>
        <w:t>⑩），或因訴訟之提起而停止執行者</w:t>
      </w:r>
      <w:r>
        <w:rPr>
          <w:rFonts w:hint="eastAsia"/>
        </w:rPr>
        <w:t>(</w:t>
      </w:r>
      <w:r>
        <w:rPr>
          <w:rFonts w:hint="eastAsia"/>
        </w:rPr>
        <w:t>國稅徵收法</w:t>
      </w:r>
      <w:r>
        <w:rPr>
          <w:rFonts w:hint="eastAsia"/>
        </w:rPr>
        <w:t>90</w:t>
      </w:r>
      <w:r>
        <w:rPr>
          <w:rFonts w:hint="eastAsia"/>
        </w:rPr>
        <w:t>③</w:t>
      </w:r>
      <w:r>
        <w:rPr>
          <w:rFonts w:hint="eastAsia"/>
        </w:rPr>
        <w:t>)</w:t>
      </w:r>
      <w:r>
        <w:rPr>
          <w:rFonts w:hint="eastAsia"/>
        </w:rPr>
        <w:t>等行政事件訴訟法第二十五條之例外，也就是所謂絕對停止制度。此制度於特定情況作為準執行停止之要求不作為訴訟之利益當然否定三十七條之四第一項但書之意旨。但行政事件訴訟法二十五條例外規定因仍屬少數，關於行政處分若允許作為執行停止之要求不作為訴訟之情況下，即使依照三十七條之四第一項本文第二項之規定因原本是例外情形，所以一項但書規定否定訴之利益之意義不是很大。</w:t>
      </w:r>
    </w:p>
    <w:p w:rsidR="007D6688" w:rsidRDefault="007D6688">
      <w:pPr>
        <w:spacing w:before="100" w:beforeAutospacing="1" w:after="100" w:afterAutospacing="1" w:line="480" w:lineRule="auto"/>
        <w:ind w:firstLineChars="200" w:firstLine="480"/>
        <w:jc w:val="both"/>
        <w:rPr>
          <w:rFonts w:hint="eastAsia"/>
        </w:rPr>
      </w:pPr>
      <w:r>
        <w:rPr>
          <w:rFonts w:hint="eastAsia"/>
        </w:rPr>
        <w:t>四</w:t>
      </w:r>
      <w:r>
        <w:rPr>
          <w:rFonts w:hint="eastAsia"/>
        </w:rPr>
        <w:t xml:space="preserve"> </w:t>
      </w:r>
      <w:r>
        <w:rPr>
          <w:rFonts w:hint="eastAsia"/>
        </w:rPr>
        <w:t>原告適格三項四項〈訴之利益效滅〉</w:t>
      </w:r>
    </w:p>
    <w:p w:rsidR="007D6688" w:rsidRDefault="007D6688">
      <w:pPr>
        <w:spacing w:before="100" w:beforeAutospacing="1" w:after="100" w:afterAutospacing="1" w:line="480" w:lineRule="auto"/>
        <w:ind w:firstLineChars="200" w:firstLine="480"/>
        <w:jc w:val="both"/>
        <w:rPr>
          <w:rFonts w:hint="eastAsia"/>
        </w:rPr>
      </w:pPr>
      <w:r>
        <w:rPr>
          <w:rFonts w:hint="eastAsia"/>
        </w:rPr>
        <w:t>ㄅ</w:t>
      </w:r>
      <w:r>
        <w:rPr>
          <w:rFonts w:hint="eastAsia"/>
        </w:rPr>
        <w:t xml:space="preserve"> </w:t>
      </w:r>
      <w:r>
        <w:rPr>
          <w:rFonts w:hint="eastAsia"/>
        </w:rPr>
        <w:t>原告適格與主張限制</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三十七條三項四項如同取消訴訟九條一項、二項般為有關要求不作為訴訟之原告適格規定（括弧但書除外）。因此與九條一項、二項並無特別做不同解釋之必要。關於九條規定經常討論的是處分之第三人之原告適格，此次雖新增設第二項但關於要求不作為訴訟對於第三者承認其即時確定利益之情形不多，因此第三人之原告適格如同取消訴訟般並不構成太大問題。即使如此關於九條之十條一項不能準用要求不作為訴訟（行政事件訴訟法</w:t>
      </w:r>
      <w:r>
        <w:rPr>
          <w:rFonts w:hint="eastAsia"/>
        </w:rPr>
        <w:t>38</w:t>
      </w:r>
      <w:r>
        <w:rPr>
          <w:rFonts w:hint="eastAsia"/>
        </w:rPr>
        <w:t>条），其原因主要在於與取消訴訟間欠缺均衡。</w:t>
      </w:r>
    </w:p>
    <w:p w:rsidR="007D6688" w:rsidRDefault="007D6688">
      <w:pPr>
        <w:spacing w:before="100" w:beforeAutospacing="1" w:after="100" w:afterAutospacing="1" w:line="480" w:lineRule="auto"/>
        <w:ind w:firstLineChars="200" w:firstLine="480"/>
        <w:jc w:val="both"/>
        <w:rPr>
          <w:rFonts w:hint="eastAsia"/>
        </w:rPr>
      </w:pPr>
      <w:r>
        <w:rPr>
          <w:rFonts w:hint="eastAsia"/>
        </w:rPr>
        <w:t>ㄆ</w:t>
      </w:r>
      <w:r>
        <w:rPr>
          <w:rFonts w:hint="eastAsia"/>
        </w:rPr>
        <w:t xml:space="preserve"> </w:t>
      </w:r>
      <w:r>
        <w:rPr>
          <w:rFonts w:hint="eastAsia"/>
        </w:rPr>
        <w:t>訴之利益之消滅</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另外關於取消訴訟九條括號問題，關於請求要求不作為之訴之利益之消滅之問題，若以公權力事實行為為對象之訴訟時，則訴之利益之消滅為該當事實行為完了之時。其他關於「特定處分要求不作為訴訟」之情況，則訴之利益之消滅為該當行政處分完了時。相對地於「處分統括要求不作為訴訟」之情況，訴之利益之消滅則為該當處分將被進行之蓋然性消滅之時。</w:t>
      </w:r>
      <w:r>
        <w:rPr>
          <w:rFonts w:hint="eastAsia"/>
        </w:rPr>
        <w:t xml:space="preserve"> </w:t>
      </w:r>
    </w:p>
    <w:p w:rsidR="007D6688" w:rsidRDefault="007D6688">
      <w:pPr>
        <w:spacing w:before="100" w:beforeAutospacing="1" w:after="100" w:afterAutospacing="1" w:line="480" w:lineRule="auto"/>
        <w:ind w:firstLineChars="200" w:firstLine="480"/>
        <w:jc w:val="both"/>
        <w:rPr>
          <w:rFonts w:hint="eastAsia"/>
        </w:rPr>
      </w:pPr>
      <w:r>
        <w:rPr>
          <w:rFonts w:hint="eastAsia"/>
        </w:rPr>
        <w:t>「特定處分要求不作為訴訟」於處分後可將訴訟變更為取消訴訟，相對地「處分統括要求不作為訴訟」之係屬中若個別處分被進行時，若無提起取消訴訟將無法否定個別處分之效力。</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再者相反地，處分取消訴訟之訴之利益消滅後，為防止以共通根據法所為之處分重複地進行，應可允許將訴訟變更為「處分統括要求不作為訴訟」或公法上當事者訴訟。例如依據河川法上監督處分被命除去工作物之人，其主張設置工作物自己之土地並非河川區域而提起取消訴訟，但訴訟係屬中若因行政代執行導致訴之利益消滅時，應可允許該人請求變更訴訟為確認自己之土地並非河川區域之公法上當事者訴訟。此時為了承認後訴之訴之利益，再次需要私人為同種行為，行政機關為同種處分之蓋然性存在，但為了不要浪費前訴手續之經費基於訴訟經濟考量應該緩和蓋然性之程度</w:t>
      </w:r>
      <w:r>
        <w:rPr>
          <w:rStyle w:val="ae"/>
        </w:rPr>
        <w:footnoteReference w:id="237"/>
      </w:r>
      <w:r>
        <w:rPr>
          <w:rFonts w:hint="eastAsia"/>
        </w:rPr>
        <w:t>。</w:t>
      </w:r>
    </w:p>
    <w:p w:rsidR="007D6688" w:rsidRDefault="007D6688">
      <w:pPr>
        <w:spacing w:before="100" w:beforeAutospacing="1" w:after="100" w:afterAutospacing="1" w:line="480" w:lineRule="auto"/>
        <w:ind w:firstLineChars="200" w:firstLine="480"/>
        <w:jc w:val="both"/>
        <w:rPr>
          <w:rFonts w:hint="eastAsia"/>
        </w:rPr>
      </w:pPr>
      <w:r>
        <w:rPr>
          <w:rFonts w:hint="eastAsia"/>
        </w:rPr>
        <w:t>五</w:t>
      </w:r>
      <w:r>
        <w:rPr>
          <w:rFonts w:hint="eastAsia"/>
        </w:rPr>
        <w:t xml:space="preserve"> </w:t>
      </w:r>
      <w:r>
        <w:rPr>
          <w:rFonts w:hint="eastAsia"/>
        </w:rPr>
        <w:t>本案勝訴要件判決</w:t>
      </w:r>
      <w:r>
        <w:rPr>
          <w:rStyle w:val="ae"/>
        </w:rPr>
        <w:footnoteReference w:id="238"/>
      </w:r>
    </w:p>
    <w:p w:rsidR="007D6688" w:rsidRDefault="007D6688">
      <w:pPr>
        <w:spacing w:before="100" w:beforeAutospacing="1" w:after="100" w:afterAutospacing="1" w:line="480" w:lineRule="auto"/>
        <w:ind w:firstLineChars="200" w:firstLine="480"/>
        <w:jc w:val="both"/>
        <w:rPr>
          <w:rFonts w:hint="eastAsia"/>
        </w:rPr>
      </w:pPr>
      <w:r>
        <w:rPr>
          <w:rFonts w:hint="eastAsia"/>
        </w:rPr>
        <w:t>三十七條之四第五項</w:t>
      </w:r>
      <w:r>
        <w:rPr>
          <w:rFonts w:hint="eastAsia"/>
        </w:rPr>
        <w:t xml:space="preserve"> </w:t>
      </w:r>
      <w:r>
        <w:rPr>
          <w:rFonts w:hint="eastAsia"/>
        </w:rPr>
        <w:t>〈主要規定本案勝訴要件以及判決〉</w:t>
      </w:r>
    </w:p>
    <w:p w:rsidR="007D6688" w:rsidRDefault="007D6688">
      <w:pPr>
        <w:spacing w:before="100" w:beforeAutospacing="1" w:after="100" w:afterAutospacing="1" w:line="480" w:lineRule="auto"/>
        <w:ind w:firstLineChars="200" w:firstLine="480"/>
        <w:jc w:val="both"/>
        <w:rPr>
          <w:rFonts w:hint="eastAsia"/>
        </w:rPr>
      </w:pPr>
      <w:r>
        <w:rPr>
          <w:rFonts w:hint="eastAsia"/>
        </w:rPr>
        <w:t>ㄅ</w:t>
      </w:r>
      <w:r>
        <w:rPr>
          <w:rFonts w:hint="eastAsia"/>
        </w:rPr>
        <w:t xml:space="preserve"> </w:t>
      </w:r>
      <w:r>
        <w:rPr>
          <w:rFonts w:hint="eastAsia"/>
        </w:rPr>
        <w:t>本案勝訴要件</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本案勝訴要件為①若從該處分或裁決之依據法令可明確認定行政機關不應為該處分或裁決②或行政機關為該處分或裁決乃逾越其裁量權範圍或濫用裁量權時。</w:t>
      </w:r>
    </w:p>
    <w:p w:rsidR="007D6688" w:rsidRDefault="007D6688">
      <w:pPr>
        <w:spacing w:before="100" w:beforeAutospacing="1" w:after="100" w:afterAutospacing="1" w:line="480" w:lineRule="auto"/>
        <w:ind w:firstLineChars="200" w:firstLine="480"/>
        <w:jc w:val="both"/>
        <w:rPr>
          <w:rFonts w:hint="eastAsia"/>
        </w:rPr>
      </w:pPr>
      <w:r>
        <w:rPr>
          <w:rFonts w:hint="eastAsia"/>
        </w:rPr>
        <w:t>①之要件過去於下級審雖被作為法定外抗告訴訟之容許要件，但與意義不明白之明白性要件不同，其性質為本案勝訴要件。再者新法中與②之要件作並列規定，因此①之要件中所謂「從依據法令可明確」乃指法規命令不承認行政機關有裁量，並拘束對於不進行處分之行政機關之意含。①②之規定將要求不作為訴訟與公法上當事者訴訟作區隔之訴訟類型，為了於條文上完整地表現因此只要是行政訴訟當然應本案審理之要件加以訂定而已，換言之此規定並非特別限制本案勝訴要件，例如處分之根據法若為違憲時或根據條例牴觸法律時，依照條文文字敘述雖不該當於①②之要件但並非否定要求不作為之可能。</w:t>
      </w:r>
    </w:p>
    <w:p w:rsidR="007D6688" w:rsidRDefault="007D6688">
      <w:pPr>
        <w:spacing w:before="100" w:beforeAutospacing="1" w:after="100" w:afterAutospacing="1" w:line="480" w:lineRule="auto"/>
        <w:ind w:firstLineChars="200" w:firstLine="480"/>
        <w:jc w:val="both"/>
        <w:rPr>
          <w:rFonts w:hint="eastAsia"/>
        </w:rPr>
      </w:pPr>
      <w:r>
        <w:rPr>
          <w:rFonts w:hint="eastAsia"/>
        </w:rPr>
        <w:t>ㄆ</w:t>
      </w:r>
      <w:r>
        <w:rPr>
          <w:rFonts w:hint="eastAsia"/>
        </w:rPr>
        <w:t xml:space="preserve"> </w:t>
      </w:r>
      <w:r>
        <w:rPr>
          <w:rFonts w:hint="eastAsia"/>
        </w:rPr>
        <w:t>請求容許判決</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要求不作為訴訟之請求容許判決為「命行政機關須為……之處分或裁決」之形式。形式上為給付判決。其後行政機關之行動將受到要求不作為判決之既判力所拘束。相對地關於行政處分取消判決，依通說見解，行政機關爾後被禁止對同一處分之反覆進行，並非因判決之既判力而是作為特殊效力之拘束力所賦予。但若考慮要求不作為訴訟可變更為取消訴訟之可能性，今後為考慮整合兩者之既判力及範圍，學說理論上須重新檢討。再者要求不作為判決之拘束力其固有之機能為何，也須再檢討。</w:t>
      </w:r>
    </w:p>
    <w:p w:rsidR="007D6688" w:rsidRDefault="007D6688">
      <w:pPr>
        <w:spacing w:before="100" w:beforeAutospacing="1" w:after="100" w:afterAutospacing="1" w:line="480" w:lineRule="auto"/>
        <w:ind w:firstLineChars="200" w:firstLine="480"/>
        <w:jc w:val="both"/>
        <w:rPr>
          <w:rFonts w:hint="eastAsia"/>
        </w:rPr>
      </w:pPr>
      <w:r>
        <w:rPr>
          <w:rFonts w:hint="eastAsia"/>
        </w:rPr>
        <w:t xml:space="preserve">  </w:t>
      </w:r>
      <w:r>
        <w:rPr>
          <w:rFonts w:hint="eastAsia"/>
        </w:rPr>
        <w:t>再者因要求不作為訴訟並沒有對世效，因此由第三人所為要求不作為之訴中</w:t>
      </w:r>
      <w:r>
        <w:rPr>
          <w:rFonts w:hint="eastAsia"/>
        </w:rPr>
        <w:t xml:space="preserve"> </w:t>
      </w:r>
      <w:r>
        <w:rPr>
          <w:rFonts w:hint="eastAsia"/>
        </w:rPr>
        <w:t>若非依照行政事件訴訟法三十八條準用二十二條，讓處分接受人参與訴訟並於判決中承認參加之效力的話，即使是要求不作為訴訟有無法禁止對於處分接受人提起要求其為特定處分之課與義務之訴可能性。</w:t>
      </w:r>
    </w:p>
    <w:p w:rsidR="007D6688" w:rsidRDefault="007D6688">
      <w:pPr>
        <w:spacing w:before="100" w:beforeAutospacing="1" w:after="100" w:afterAutospacing="1" w:line="480" w:lineRule="auto"/>
        <w:ind w:firstLineChars="200" w:firstLine="480"/>
        <w:jc w:val="both"/>
        <w:rPr>
          <w:rFonts w:hint="eastAsia"/>
        </w:rPr>
      </w:pPr>
      <w:r>
        <w:rPr>
          <w:rFonts w:hint="eastAsia"/>
        </w:rPr>
        <w:t>ㄇ</w:t>
      </w:r>
      <w:r>
        <w:rPr>
          <w:rFonts w:hint="eastAsia"/>
        </w:rPr>
        <w:t xml:space="preserve"> </w:t>
      </w:r>
      <w:r>
        <w:rPr>
          <w:rFonts w:hint="eastAsia"/>
        </w:rPr>
        <w:t>請求棄卻判決</w:t>
      </w:r>
    </w:p>
    <w:p w:rsidR="007D6688" w:rsidRDefault="007D6688">
      <w:pPr>
        <w:spacing w:before="100" w:beforeAutospacing="1" w:after="100" w:afterAutospacing="1" w:line="480" w:lineRule="auto"/>
        <w:ind w:firstLineChars="200" w:firstLine="480"/>
        <w:jc w:val="both"/>
        <w:rPr>
          <w:rFonts w:eastAsia="標楷體"/>
          <w:b/>
          <w:snapToGrid w:val="0"/>
          <w:kern w:val="0"/>
          <w:sz w:val="32"/>
          <w:szCs w:val="32"/>
        </w:rPr>
      </w:pPr>
      <w:r>
        <w:rPr>
          <w:rFonts w:hint="eastAsia"/>
        </w:rPr>
        <w:t>關於處分統括要求不作為訴訟之請求棄卻判決，要注意以下幾點：處分統括要求不作為訴訟之審理對象</w:t>
      </w:r>
      <w:r>
        <w:rPr>
          <w:rFonts w:hint="eastAsia"/>
        </w:rPr>
        <w:t xml:space="preserve"> </w:t>
      </w:r>
      <w:r>
        <w:rPr>
          <w:rFonts w:hint="eastAsia"/>
        </w:rPr>
        <w:t>限於能概括判斷之違法事由，因此請求棄卻判決也僅限於以概括判斷處分之違法性為理由以遮斷事後原告向法院主張處分之取消，而法院將處分加以取消之情形。相對地概括無法判斷、個別處分中固有之違法性為理由，於伺後原告對於處分加以爭訟，法院加以取消處分等事由處分統括要求不作為訴訟請求判決之既判力所不能遮斷的。</w:t>
      </w:r>
      <w:r>
        <w:rPr>
          <w:rFonts w:eastAsia="標楷體"/>
          <w:b/>
          <w:sz w:val="32"/>
          <w:szCs w:val="32"/>
          <w:lang w:val="de-DE"/>
        </w:rPr>
        <w:br w:type="page"/>
      </w:r>
      <w:r>
        <w:rPr>
          <w:rFonts w:eastAsia="標楷體"/>
          <w:b/>
          <w:snapToGrid w:val="0"/>
          <w:kern w:val="0"/>
          <w:sz w:val="32"/>
          <w:szCs w:val="32"/>
        </w:rPr>
        <w:t>參考文獻</w:t>
      </w:r>
    </w:p>
    <w:p w:rsidR="007D6688" w:rsidRDefault="007D6688">
      <w:pPr>
        <w:widowControl/>
        <w:jc w:val="both"/>
        <w:rPr>
          <w:rFonts w:eastAsia="標楷體" w:hint="eastAsia"/>
          <w:b/>
          <w:bCs/>
          <w:sz w:val="28"/>
          <w:lang w:val="de-DE"/>
        </w:rPr>
      </w:pPr>
      <w:r>
        <w:rPr>
          <w:rFonts w:eastAsia="標楷體"/>
          <w:b/>
          <w:bCs/>
          <w:sz w:val="28"/>
          <w:lang w:val="de-DE"/>
        </w:rPr>
        <w:t>中文部分</w:t>
      </w:r>
    </w:p>
    <w:p w:rsidR="007D6688" w:rsidRDefault="007D6688">
      <w:pPr>
        <w:widowControl/>
        <w:jc w:val="both"/>
        <w:rPr>
          <w:rFonts w:eastAsia="標楷體" w:hint="eastAsia"/>
          <w:b/>
          <w:bCs/>
          <w:sz w:val="28"/>
          <w:lang w:val="de-DE"/>
        </w:rPr>
      </w:pPr>
      <w:r>
        <w:rPr>
          <w:rFonts w:eastAsia="標楷體" w:hint="eastAsia"/>
          <w:b/>
          <w:bCs/>
          <w:sz w:val="28"/>
          <w:lang w:val="de-DE"/>
        </w:rPr>
        <w:t>(</w:t>
      </w:r>
      <w:r>
        <w:rPr>
          <w:rFonts w:eastAsia="標楷體" w:hint="eastAsia"/>
          <w:b/>
          <w:bCs/>
          <w:sz w:val="28"/>
          <w:lang w:val="de-DE"/>
        </w:rPr>
        <w:t>一</w:t>
      </w:r>
      <w:r>
        <w:rPr>
          <w:rFonts w:eastAsia="標楷體" w:hint="eastAsia"/>
          <w:b/>
          <w:bCs/>
          <w:sz w:val="28"/>
          <w:lang w:val="de-DE"/>
        </w:rPr>
        <w:t xml:space="preserve">) </w:t>
      </w:r>
      <w:r>
        <w:rPr>
          <w:rFonts w:eastAsia="標楷體" w:hint="eastAsia"/>
          <w:b/>
          <w:bCs/>
          <w:sz w:val="28"/>
          <w:lang w:val="de-DE"/>
        </w:rPr>
        <w:t>書籍</w:t>
      </w:r>
    </w:p>
    <w:p w:rsidR="00597F52" w:rsidRPr="00597F52" w:rsidRDefault="00597F52">
      <w:pPr>
        <w:widowControl/>
        <w:numPr>
          <w:ilvl w:val="0"/>
          <w:numId w:val="16"/>
        </w:numPr>
        <w:spacing w:afterLines="50" w:after="180" w:line="360" w:lineRule="auto"/>
        <w:jc w:val="both"/>
        <w:rPr>
          <w:rFonts w:hint="eastAsia"/>
          <w:lang w:val="de-DE"/>
        </w:rPr>
      </w:pPr>
      <w:r>
        <w:t>李惠宗</w:t>
      </w:r>
      <w:r>
        <w:rPr>
          <w:rFonts w:hint="eastAsia"/>
        </w:rPr>
        <w:t>，</w:t>
      </w:r>
      <w:r>
        <w:t>權利分立與基本權保障</w:t>
      </w:r>
      <w:r>
        <w:rPr>
          <w:rFonts w:hint="eastAsia"/>
        </w:rPr>
        <w:t>，</w:t>
      </w:r>
      <w:r>
        <w:rPr>
          <w:rFonts w:hint="eastAsia"/>
        </w:rPr>
        <w:t>1999</w:t>
      </w:r>
      <w:r>
        <w:rPr>
          <w:rFonts w:hint="eastAsia"/>
        </w:rPr>
        <w:t>。</w:t>
      </w:r>
    </w:p>
    <w:p w:rsidR="00597F52" w:rsidRPr="00597F52" w:rsidRDefault="007D6688" w:rsidP="00597F52">
      <w:pPr>
        <w:widowControl/>
        <w:numPr>
          <w:ilvl w:val="0"/>
          <w:numId w:val="16"/>
        </w:numPr>
        <w:spacing w:afterLines="50" w:after="180" w:line="360" w:lineRule="auto"/>
        <w:jc w:val="both"/>
        <w:rPr>
          <w:rFonts w:hint="eastAsia"/>
        </w:rPr>
      </w:pPr>
      <w:r>
        <w:rPr>
          <w:lang w:val="de-DE"/>
        </w:rPr>
        <w:t>林騰鷂，行政訴訟法，民國</w:t>
      </w:r>
      <w:r>
        <w:rPr>
          <w:lang w:val="de-DE"/>
        </w:rPr>
        <w:t>93</w:t>
      </w:r>
      <w:r>
        <w:rPr>
          <w:lang w:val="de-DE"/>
        </w:rPr>
        <w:t>年</w:t>
      </w:r>
      <w:r>
        <w:rPr>
          <w:rFonts w:hint="eastAsia"/>
          <w:lang w:val="de-DE"/>
        </w:rPr>
        <w:t>。</w:t>
      </w:r>
    </w:p>
    <w:p w:rsidR="007D6688" w:rsidRDefault="007D6688" w:rsidP="00597F52">
      <w:pPr>
        <w:widowControl/>
        <w:numPr>
          <w:ilvl w:val="0"/>
          <w:numId w:val="16"/>
        </w:numPr>
        <w:spacing w:afterLines="50" w:after="180" w:line="360" w:lineRule="auto"/>
        <w:jc w:val="both"/>
        <w:rPr>
          <w:rFonts w:hint="eastAsia"/>
        </w:rPr>
      </w:pPr>
      <w:r>
        <w:t>林明鏘</w:t>
      </w:r>
      <w:r>
        <w:rPr>
          <w:rFonts w:hint="eastAsia"/>
        </w:rPr>
        <w:t>，</w:t>
      </w:r>
      <w:r>
        <w:t>公務員法研究（一），</w:t>
      </w:r>
      <w:r>
        <w:t>2000.3</w:t>
      </w:r>
      <w:r>
        <w:rPr>
          <w:rFonts w:hint="eastAsia"/>
        </w:rPr>
        <w:t>。</w:t>
      </w:r>
    </w:p>
    <w:p w:rsidR="00597F52" w:rsidRPr="00597F52" w:rsidRDefault="007D6688" w:rsidP="00597F52">
      <w:pPr>
        <w:widowControl/>
        <w:numPr>
          <w:ilvl w:val="0"/>
          <w:numId w:val="16"/>
        </w:numPr>
        <w:spacing w:afterLines="50" w:after="180" w:line="360" w:lineRule="auto"/>
        <w:jc w:val="both"/>
        <w:rPr>
          <w:rFonts w:hint="eastAsia"/>
          <w:color w:val="000000"/>
        </w:rPr>
      </w:pPr>
      <w:r>
        <w:rPr>
          <w:lang w:val="de-DE"/>
        </w:rPr>
        <w:t>陳計男，行政訴訟法釋論，</w:t>
      </w:r>
      <w:r>
        <w:rPr>
          <w:lang w:val="de-DE"/>
        </w:rPr>
        <w:t>2000</w:t>
      </w:r>
      <w:r>
        <w:rPr>
          <w:lang w:val="de-DE"/>
        </w:rPr>
        <w:t>年</w:t>
      </w:r>
      <w:r>
        <w:rPr>
          <w:rFonts w:hint="eastAsia"/>
          <w:lang w:val="de-DE"/>
        </w:rPr>
        <w:t>。</w:t>
      </w:r>
    </w:p>
    <w:p w:rsidR="00597F52" w:rsidRDefault="007D6688" w:rsidP="00597F52">
      <w:pPr>
        <w:widowControl/>
        <w:numPr>
          <w:ilvl w:val="0"/>
          <w:numId w:val="16"/>
        </w:numPr>
        <w:spacing w:afterLines="50" w:after="180" w:line="360" w:lineRule="auto"/>
        <w:jc w:val="both"/>
        <w:rPr>
          <w:rFonts w:hint="eastAsia"/>
          <w:color w:val="000000"/>
        </w:rPr>
      </w:pPr>
      <w:r>
        <w:rPr>
          <w:color w:val="000000"/>
        </w:rPr>
        <w:t>翁岳生編，行政訴訟法逐條釋義，</w:t>
      </w:r>
      <w:r>
        <w:rPr>
          <w:color w:val="000000"/>
        </w:rPr>
        <w:t>2002</w:t>
      </w:r>
      <w:r w:rsidR="00597F52">
        <w:rPr>
          <w:rFonts w:hint="eastAsia"/>
          <w:color w:val="000000"/>
        </w:rPr>
        <w:t>。</w:t>
      </w:r>
    </w:p>
    <w:p w:rsidR="00597F52" w:rsidRPr="00597F52" w:rsidRDefault="007D6688" w:rsidP="00597F52">
      <w:pPr>
        <w:widowControl/>
        <w:numPr>
          <w:ilvl w:val="0"/>
          <w:numId w:val="16"/>
        </w:numPr>
        <w:spacing w:afterLines="50" w:after="180" w:line="360" w:lineRule="auto"/>
        <w:jc w:val="both"/>
        <w:rPr>
          <w:rFonts w:hint="eastAsia"/>
          <w:szCs w:val="22"/>
        </w:rPr>
      </w:pPr>
      <w:r>
        <w:rPr>
          <w:szCs w:val="22"/>
          <w:lang w:val="de-DE"/>
        </w:rPr>
        <w:t>翁岳生編，行政法　上、下冊，</w:t>
      </w:r>
      <w:r>
        <w:rPr>
          <w:szCs w:val="22"/>
          <w:lang w:val="de-DE"/>
        </w:rPr>
        <w:t>2000</w:t>
      </w:r>
      <w:r>
        <w:rPr>
          <w:szCs w:val="22"/>
          <w:lang w:val="de-DE"/>
        </w:rPr>
        <w:t>年</w:t>
      </w:r>
      <w:r>
        <w:rPr>
          <w:szCs w:val="22"/>
          <w:lang w:val="de-DE"/>
        </w:rPr>
        <w:t>2</w:t>
      </w:r>
      <w:r>
        <w:rPr>
          <w:szCs w:val="22"/>
          <w:lang w:val="de-DE"/>
        </w:rPr>
        <w:t>版</w:t>
      </w:r>
      <w:r w:rsidR="00597F52">
        <w:rPr>
          <w:rFonts w:hint="eastAsia"/>
          <w:szCs w:val="22"/>
          <w:lang w:val="de-DE"/>
        </w:rPr>
        <w:t>。</w:t>
      </w:r>
    </w:p>
    <w:p w:rsidR="007D6688" w:rsidRDefault="007D6688" w:rsidP="00597F52">
      <w:pPr>
        <w:widowControl/>
        <w:numPr>
          <w:ilvl w:val="0"/>
          <w:numId w:val="16"/>
        </w:numPr>
        <w:spacing w:afterLines="50" w:after="180" w:line="360" w:lineRule="auto"/>
        <w:jc w:val="both"/>
        <w:rPr>
          <w:rFonts w:hint="eastAsia"/>
          <w:szCs w:val="22"/>
        </w:rPr>
      </w:pPr>
      <w:r>
        <w:t>翁岳生，法治國家之行政法與司法，</w:t>
      </w:r>
      <w:r>
        <w:t>1994</w:t>
      </w:r>
      <w:r>
        <w:rPr>
          <w:rFonts w:hint="eastAsia"/>
        </w:rPr>
        <w:t>。</w:t>
      </w:r>
    </w:p>
    <w:p w:rsidR="007D6688" w:rsidRDefault="007D6688">
      <w:pPr>
        <w:widowControl/>
        <w:numPr>
          <w:ilvl w:val="0"/>
          <w:numId w:val="16"/>
        </w:numPr>
        <w:spacing w:afterLines="50" w:after="180" w:line="360" w:lineRule="auto"/>
        <w:jc w:val="both"/>
        <w:rPr>
          <w:szCs w:val="22"/>
          <w:lang w:val="de-DE"/>
        </w:rPr>
      </w:pPr>
      <w:r>
        <w:rPr>
          <w:szCs w:val="22"/>
          <w:lang w:val="de-DE"/>
        </w:rPr>
        <w:t>吳　庚，行政法之理論與實用，民國</w:t>
      </w:r>
      <w:r>
        <w:rPr>
          <w:szCs w:val="22"/>
          <w:lang w:val="de-DE"/>
        </w:rPr>
        <w:t>92</w:t>
      </w:r>
      <w:r>
        <w:rPr>
          <w:szCs w:val="22"/>
          <w:lang w:val="de-DE"/>
        </w:rPr>
        <w:t>年</w:t>
      </w:r>
      <w:r>
        <w:rPr>
          <w:szCs w:val="22"/>
          <w:lang w:val="de-DE"/>
        </w:rPr>
        <w:t>8</w:t>
      </w:r>
      <w:r>
        <w:rPr>
          <w:szCs w:val="22"/>
          <w:lang w:val="de-DE"/>
        </w:rPr>
        <w:t>版</w:t>
      </w:r>
      <w:r w:rsidR="00597F52">
        <w:rPr>
          <w:rFonts w:hint="eastAsia"/>
          <w:szCs w:val="22"/>
          <w:lang w:val="de-DE"/>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lang w:val="de-DE"/>
        </w:rPr>
        <w:t>吳　庚，行政爭訟法論，民國88年修訂版</w:t>
      </w:r>
      <w:r w:rsidR="00597F52">
        <w:rPr>
          <w:rFonts w:ascii="新細明體" w:hAnsi="新細明體" w:hint="eastAsia"/>
          <w:lang w:val="de-DE"/>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rPr>
        <w:t>陳敏，行政法總論，2004.11，4版</w:t>
      </w:r>
      <w:r w:rsidR="00597F52">
        <w:rPr>
          <w:rFonts w:ascii="新細明體" w:hAnsi="新細明體" w:hint="eastAsia"/>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rPr>
        <w:t>陳秀美</w:t>
      </w:r>
      <w:r>
        <w:rPr>
          <w:rFonts w:ascii="新細明體" w:hAnsi="新細明體" w:hint="eastAsia"/>
        </w:rPr>
        <w:t>，</w:t>
      </w:r>
      <w:r>
        <w:rPr>
          <w:rFonts w:ascii="新細明體" w:hAnsi="新細明體"/>
        </w:rPr>
        <w:t>行政訴訟上有關行政處分之研究，1991，再版</w:t>
      </w:r>
      <w:r w:rsidR="00597F52">
        <w:rPr>
          <w:rFonts w:ascii="新細明體" w:hAnsi="新細明體" w:hint="eastAsia"/>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rPr>
        <w:t>陳清秀</w:t>
      </w:r>
      <w:r>
        <w:rPr>
          <w:rFonts w:ascii="新細明體" w:hAnsi="新細明體"/>
          <w:lang w:val="de-DE"/>
        </w:rPr>
        <w:t>，</w:t>
      </w:r>
      <w:r>
        <w:rPr>
          <w:rFonts w:ascii="新細明體" w:hAnsi="新細明體"/>
        </w:rPr>
        <w:t>行政訴訟法</w:t>
      </w:r>
      <w:r>
        <w:rPr>
          <w:rFonts w:ascii="新細明體" w:hAnsi="新細明體"/>
          <w:lang w:val="de-DE"/>
        </w:rPr>
        <w:t>，1999.6</w:t>
      </w:r>
      <w:r w:rsidR="00597F52">
        <w:rPr>
          <w:rFonts w:ascii="新細明體" w:hAnsi="新細明體" w:hint="eastAsia"/>
          <w:lang w:val="de-DE"/>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rPr>
        <w:t>湯德宗</w:t>
      </w:r>
      <w:r>
        <w:rPr>
          <w:rFonts w:ascii="新細明體" w:hAnsi="新細明體" w:hint="eastAsia"/>
        </w:rPr>
        <w:t>，</w:t>
      </w:r>
      <w:r>
        <w:rPr>
          <w:rFonts w:ascii="新細明體" w:hAnsi="新細明體"/>
        </w:rPr>
        <w:t>行政程序法論，2003，2版</w:t>
      </w:r>
      <w:r w:rsidR="00597F52">
        <w:rPr>
          <w:rFonts w:ascii="新細明體" w:hAnsi="新細明體" w:hint="eastAsia"/>
        </w:rPr>
        <w:t>。</w:t>
      </w:r>
    </w:p>
    <w:p w:rsidR="007D6688" w:rsidRDefault="007D6688">
      <w:pPr>
        <w:widowControl/>
        <w:numPr>
          <w:ilvl w:val="0"/>
          <w:numId w:val="16"/>
        </w:numPr>
        <w:spacing w:afterLines="50" w:after="180" w:line="240" w:lineRule="atLeast"/>
        <w:jc w:val="both"/>
        <w:rPr>
          <w:rFonts w:ascii="新細明體" w:hAnsi="新細明體" w:hint="eastAsia"/>
        </w:rPr>
      </w:pPr>
      <w:r>
        <w:rPr>
          <w:rFonts w:ascii="新細明體" w:hAnsi="新細明體"/>
        </w:rPr>
        <w:t>程明修</w:t>
      </w:r>
      <w:r>
        <w:rPr>
          <w:rFonts w:ascii="新細明體" w:hAnsi="新細明體" w:hint="eastAsia"/>
        </w:rPr>
        <w:t>，</w:t>
      </w:r>
      <w:r>
        <w:rPr>
          <w:rFonts w:ascii="新細明體" w:hAnsi="新細明體"/>
          <w:color w:val="000000"/>
        </w:rPr>
        <w:t>行政法之行為與法律關係理論，2005.2</w:t>
      </w:r>
      <w:r w:rsidR="00597F52">
        <w:rPr>
          <w:rFonts w:ascii="新細明體" w:hAnsi="新細明體" w:hint="eastAsia"/>
          <w:color w:val="000000"/>
        </w:rPr>
        <w:t>。</w:t>
      </w:r>
    </w:p>
    <w:p w:rsidR="007D6688" w:rsidRDefault="007D6688">
      <w:pPr>
        <w:widowControl/>
        <w:numPr>
          <w:ilvl w:val="0"/>
          <w:numId w:val="16"/>
        </w:numPr>
        <w:spacing w:afterLines="50" w:after="180" w:line="240" w:lineRule="atLeast"/>
        <w:jc w:val="both"/>
        <w:rPr>
          <w:rFonts w:ascii="新細明體" w:hAnsi="新細明體" w:hint="eastAsia"/>
          <w:szCs w:val="22"/>
          <w:lang w:val="de-DE"/>
        </w:rPr>
      </w:pPr>
      <w:r>
        <w:rPr>
          <w:rFonts w:ascii="新細明體" w:hAnsi="新細明體"/>
        </w:rPr>
        <w:t>蔡志方</w:t>
      </w:r>
      <w:r>
        <w:rPr>
          <w:rFonts w:ascii="新細明體" w:hAnsi="新細明體"/>
          <w:lang w:val="de-DE"/>
        </w:rPr>
        <w:t>，</w:t>
      </w:r>
      <w:r>
        <w:rPr>
          <w:rFonts w:ascii="新細明體" w:hAnsi="新細明體"/>
        </w:rPr>
        <w:t>行政法三十六講</w:t>
      </w:r>
      <w:r>
        <w:rPr>
          <w:rFonts w:ascii="新細明體" w:hAnsi="新細明體"/>
          <w:lang w:val="de-DE"/>
        </w:rPr>
        <w:t>，1997</w:t>
      </w:r>
      <w:r w:rsidR="00597F52">
        <w:rPr>
          <w:rFonts w:ascii="新細明體" w:hAnsi="新細明體" w:hint="eastAsia"/>
          <w:lang w:val="de-DE"/>
        </w:rPr>
        <w:t>。</w:t>
      </w:r>
    </w:p>
    <w:p w:rsidR="007D6688" w:rsidRDefault="007D6688">
      <w:pPr>
        <w:widowControl/>
        <w:spacing w:afterLines="50" w:after="180" w:line="240" w:lineRule="atLeast"/>
        <w:jc w:val="both"/>
        <w:rPr>
          <w:rFonts w:hint="eastAsia"/>
          <w:szCs w:val="22"/>
          <w:lang w:val="de-DE"/>
        </w:rPr>
      </w:pPr>
    </w:p>
    <w:p w:rsidR="007D6688" w:rsidRDefault="007D6688">
      <w:pPr>
        <w:widowControl/>
        <w:spacing w:afterLines="50" w:after="180" w:line="240" w:lineRule="atLeast"/>
        <w:jc w:val="both"/>
        <w:rPr>
          <w:rFonts w:ascii="標楷體" w:eastAsia="標楷體" w:hAnsi="標楷體"/>
          <w:b/>
          <w:bCs/>
          <w:szCs w:val="22"/>
          <w:lang w:val="de-DE"/>
        </w:rPr>
      </w:pPr>
      <w:r>
        <w:rPr>
          <w:rFonts w:ascii="標楷體" w:eastAsia="標楷體" w:hAnsi="標楷體" w:hint="eastAsia"/>
          <w:b/>
          <w:bCs/>
          <w:szCs w:val="22"/>
          <w:lang w:val="de-DE"/>
        </w:rPr>
        <w:t>(</w:t>
      </w:r>
      <w:r>
        <w:rPr>
          <w:rFonts w:ascii="標楷體" w:eastAsia="標楷體" w:hAnsi="標楷體" w:hint="eastAsia"/>
          <w:b/>
          <w:bCs/>
          <w:szCs w:val="22"/>
        </w:rPr>
        <w:t>二</w:t>
      </w:r>
      <w:r>
        <w:rPr>
          <w:rFonts w:ascii="標楷體" w:eastAsia="標楷體" w:hAnsi="標楷體" w:hint="eastAsia"/>
          <w:b/>
          <w:bCs/>
          <w:szCs w:val="22"/>
          <w:lang w:val="de-DE"/>
        </w:rPr>
        <w:t>) 期刊、論文</w:t>
      </w:r>
    </w:p>
    <w:p w:rsidR="007D6688" w:rsidRDefault="007D6688">
      <w:pPr>
        <w:widowControl/>
        <w:spacing w:afterLines="50" w:after="180" w:line="240" w:lineRule="atLeast"/>
        <w:jc w:val="both"/>
        <w:rPr>
          <w:rFonts w:ascii="標楷體" w:eastAsia="標楷體" w:hAnsi="標楷體"/>
          <w:b/>
          <w:bCs/>
          <w:szCs w:val="22"/>
        </w:rPr>
      </w:pPr>
      <w:r>
        <w:rPr>
          <w:rFonts w:ascii="標楷體" w:eastAsia="標楷體" w:hAnsi="標楷體"/>
          <w:b/>
          <w:bCs/>
          <w:szCs w:val="22"/>
          <w:lang w:val="de-DE"/>
        </w:rPr>
        <w:t>1.</w:t>
      </w:r>
      <w:r>
        <w:rPr>
          <w:rFonts w:ascii="標楷體" w:eastAsia="標楷體" w:hAnsi="標楷體" w:hint="eastAsia"/>
          <w:b/>
          <w:bCs/>
          <w:szCs w:val="22"/>
          <w:lang w:val="de-DE"/>
        </w:rPr>
        <w:t>期刊</w:t>
      </w:r>
    </w:p>
    <w:p w:rsidR="007D6688" w:rsidRDefault="007D6688">
      <w:pPr>
        <w:widowControl/>
        <w:spacing w:afterLines="50" w:after="180" w:line="360" w:lineRule="auto"/>
        <w:ind w:left="480" w:hangingChars="200" w:hanging="480"/>
        <w:jc w:val="both"/>
        <w:rPr>
          <w:rFonts w:ascii="新細明體" w:hAnsi="新細明體"/>
          <w:b/>
          <w:bCs/>
          <w:szCs w:val="22"/>
        </w:rPr>
      </w:pPr>
      <w:r>
        <w:rPr>
          <w:szCs w:val="22"/>
        </w:rPr>
        <w:t>λ</w:t>
      </w:r>
      <w:r>
        <w:rPr>
          <w:rFonts w:ascii="新細明體" w:hAnsi="新細明體" w:hint="eastAsia"/>
          <w:b/>
          <w:bCs/>
          <w:szCs w:val="22"/>
        </w:rPr>
        <w:t xml:space="preserve">   </w:t>
      </w:r>
      <w:r>
        <w:rPr>
          <w:rFonts w:ascii="新細明體" w:hAnsi="新細明體"/>
        </w:rPr>
        <w:t>李建良，「公務人員保障法及申訴標的之探討」，月旦法學雜誌第90期，2002.11</w:t>
      </w:r>
      <w:r>
        <w:rPr>
          <w:rFonts w:ascii="新細明體" w:hAnsi="新細明體" w:hint="eastAsia"/>
        </w:rPr>
        <w:t>。</w:t>
      </w:r>
    </w:p>
    <w:p w:rsidR="007D6688" w:rsidRDefault="007D6688">
      <w:pPr>
        <w:widowControl/>
        <w:spacing w:afterLines="50" w:after="180" w:line="360" w:lineRule="auto"/>
        <w:ind w:left="480" w:hangingChars="200" w:hanging="480"/>
        <w:jc w:val="both"/>
        <w:rPr>
          <w:rFonts w:ascii="新細明體" w:hAnsi="新細明體"/>
        </w:rPr>
      </w:pPr>
      <w:r>
        <w:rPr>
          <w:szCs w:val="22"/>
        </w:rPr>
        <w:t>λ</w:t>
      </w:r>
      <w:r>
        <w:rPr>
          <w:rFonts w:hint="eastAsia"/>
          <w:szCs w:val="22"/>
        </w:rPr>
        <w:t xml:space="preserve"> </w:t>
      </w:r>
      <w:r>
        <w:rPr>
          <w:rFonts w:hint="eastAsia"/>
          <w:b/>
          <w:bCs/>
          <w:szCs w:val="22"/>
        </w:rPr>
        <w:t xml:space="preserve">  </w:t>
      </w:r>
      <w:r>
        <w:rPr>
          <w:rFonts w:ascii="新細明體" w:hAnsi="新細明體"/>
        </w:rPr>
        <w:t>陳愛娥，「古蹟指定、『召開古蹟指定公聽會』之程序要求的性質」，台灣本土法學雜誌第66期，2005.1</w:t>
      </w:r>
      <w:r>
        <w:rPr>
          <w:rFonts w:ascii="新細明體" w:hAnsi="新細明體" w:hint="eastAsia"/>
        </w:rPr>
        <w:t>。</w:t>
      </w:r>
    </w:p>
    <w:p w:rsidR="007D6688" w:rsidRDefault="007D6688">
      <w:pPr>
        <w:spacing w:after="50" w:line="360" w:lineRule="auto"/>
        <w:ind w:left="480" w:hangingChars="200" w:hanging="480"/>
        <w:rPr>
          <w:rFonts w:ascii="新細明體" w:hAnsi="新細明體" w:hint="eastAsia"/>
        </w:rPr>
      </w:pPr>
      <w:r>
        <w:t>λ</w:t>
      </w:r>
      <w:r>
        <w:rPr>
          <w:rFonts w:hint="eastAsia"/>
        </w:rPr>
        <w:t xml:space="preserve">   </w:t>
      </w:r>
      <w:r>
        <w:rPr>
          <w:rFonts w:ascii="新細明體" w:hAnsi="新細明體"/>
        </w:rPr>
        <w:t>陳愛娥，「行政處分存否的認定標準與行政法院『適用』大法官解釋的方法 - 行政法院八十九年度判字第一六五八號判決評釋 -」，法令月刊第51卷10期。</w:t>
      </w:r>
    </w:p>
    <w:p w:rsidR="007D6688" w:rsidRDefault="007D6688">
      <w:pPr>
        <w:widowControl/>
        <w:spacing w:afterLines="50" w:after="180" w:line="360" w:lineRule="auto"/>
        <w:jc w:val="both"/>
      </w:pPr>
      <w:r>
        <w:rPr>
          <w:rFonts w:hint="eastAsia"/>
        </w:rPr>
        <w:t>λ</w:t>
      </w:r>
      <w:r>
        <w:rPr>
          <w:rFonts w:hint="eastAsia"/>
        </w:rPr>
        <w:t xml:space="preserve">  </w:t>
      </w:r>
      <w:r>
        <w:t>許宗力，「基本權的功能」，月旦法學教室第</w:t>
      </w:r>
      <w:r>
        <w:t>2</w:t>
      </w:r>
      <w:r>
        <w:t>期</w:t>
      </w:r>
      <w:r>
        <w:rPr>
          <w:rFonts w:hint="eastAsia"/>
        </w:rPr>
        <w:t>，。</w:t>
      </w:r>
    </w:p>
    <w:p w:rsidR="007D6688" w:rsidRDefault="007D6688">
      <w:pPr>
        <w:widowControl/>
        <w:spacing w:afterLines="50" w:after="180" w:line="360" w:lineRule="auto"/>
        <w:ind w:left="480" w:hangingChars="200" w:hanging="480"/>
        <w:jc w:val="both"/>
        <w:rPr>
          <w:rFonts w:ascii="新細明體" w:hAnsi="新細明體"/>
          <w:b/>
          <w:bCs/>
          <w:szCs w:val="22"/>
        </w:rPr>
      </w:pPr>
      <w:r>
        <w:rPr>
          <w:rFonts w:hint="eastAsia"/>
          <w:szCs w:val="22"/>
        </w:rPr>
        <w:t>λ</w:t>
      </w:r>
      <w:r>
        <w:rPr>
          <w:rFonts w:hint="eastAsia"/>
          <w:szCs w:val="22"/>
        </w:rPr>
        <w:t xml:space="preserve"> </w:t>
      </w:r>
      <w:r>
        <w:rPr>
          <w:rFonts w:hint="eastAsia"/>
          <w:b/>
          <w:bCs/>
          <w:szCs w:val="22"/>
        </w:rPr>
        <w:t xml:space="preserve"> </w:t>
      </w:r>
      <w:r>
        <w:rPr>
          <w:rFonts w:ascii="新細明體" w:hAnsi="新細明體"/>
          <w:color w:val="000000"/>
        </w:rPr>
        <w:t>程明修，「撤銷訴訟的合法性（二） - 隔離的撤銷訴訟?」，法學講座第10期，2002.10</w:t>
      </w:r>
      <w:r>
        <w:rPr>
          <w:rFonts w:ascii="新細明體" w:hAnsi="新細明體" w:hint="eastAsia"/>
          <w:color w:val="000000"/>
        </w:rPr>
        <w:t>。</w:t>
      </w:r>
    </w:p>
    <w:p w:rsidR="007D6688" w:rsidRDefault="007D6688">
      <w:pPr>
        <w:widowControl/>
        <w:spacing w:afterLines="50" w:after="180" w:line="360" w:lineRule="auto"/>
        <w:jc w:val="both"/>
        <w:rPr>
          <w:rFonts w:ascii="新細明體" w:hAnsi="新細明體"/>
          <w:szCs w:val="22"/>
          <w:lang w:val="de-DE"/>
        </w:rPr>
      </w:pPr>
      <w:r>
        <w:rPr>
          <w:rFonts w:hint="eastAsia"/>
          <w:szCs w:val="22"/>
        </w:rPr>
        <w:t>λ</w:t>
      </w:r>
      <w:r>
        <w:rPr>
          <w:rFonts w:hint="eastAsia"/>
          <w:szCs w:val="22"/>
        </w:rPr>
        <w:t xml:space="preserve">  </w:t>
      </w:r>
      <w:smartTag w:uri="urn:schemas-microsoft-com:office:smarttags" w:element="PersonName">
        <w:smartTagPr>
          <w:attr w:name="ProductID" w:val="邱華"/>
        </w:smartTagPr>
        <w:r>
          <w:rPr>
            <w:rFonts w:ascii="新細明體" w:hAnsi="新細明體"/>
            <w:szCs w:val="22"/>
            <w:lang w:val="de-DE"/>
          </w:rPr>
          <w:t>邱華</w:t>
        </w:r>
      </w:smartTag>
      <w:r>
        <w:rPr>
          <w:rFonts w:ascii="新細明體" w:hAnsi="新細明體"/>
          <w:szCs w:val="22"/>
          <w:lang w:val="de-DE"/>
        </w:rPr>
        <w:t>君，〈公務人員升遷制度之研究〉，人事月刊第21卷第6期，頁56以下。</w:t>
      </w:r>
    </w:p>
    <w:p w:rsidR="007D6688" w:rsidRDefault="007D6688">
      <w:pPr>
        <w:widowControl/>
        <w:spacing w:afterLines="50" w:after="180" w:line="360" w:lineRule="auto"/>
        <w:jc w:val="both"/>
        <w:rPr>
          <w:rFonts w:ascii="新細明體" w:hAnsi="新細明體"/>
          <w:szCs w:val="22"/>
          <w:lang w:val="de-DE"/>
        </w:rPr>
      </w:pPr>
      <w:r>
        <w:rPr>
          <w:rFonts w:ascii="新細明體" w:hAnsi="新細明體" w:hint="eastAsia"/>
          <w:szCs w:val="22"/>
          <w:lang w:val="de-DE"/>
        </w:rPr>
        <w:t xml:space="preserve">λ  </w:t>
      </w:r>
      <w:smartTag w:uri="urn:schemas-microsoft-com:office:smarttags" w:element="PersonName">
        <w:smartTagPr>
          <w:attr w:name="ProductID" w:val="邱華"/>
        </w:smartTagPr>
        <w:r>
          <w:rPr>
            <w:rFonts w:ascii="新細明體" w:hAnsi="新細明體"/>
            <w:szCs w:val="22"/>
            <w:lang w:val="de-DE"/>
          </w:rPr>
          <w:t>邱華</w:t>
        </w:r>
      </w:smartTag>
      <w:r>
        <w:rPr>
          <w:rFonts w:ascii="新細明體" w:hAnsi="新細明體"/>
          <w:szCs w:val="22"/>
          <w:lang w:val="de-DE"/>
        </w:rPr>
        <w:t>君，〈公務人員升遷意義與依據〉，公務人員月刊第2期，頁56以下。</w:t>
      </w:r>
    </w:p>
    <w:p w:rsidR="007D6688" w:rsidRDefault="007D6688">
      <w:pPr>
        <w:widowControl/>
        <w:spacing w:afterLines="50" w:after="180" w:line="360" w:lineRule="auto"/>
        <w:jc w:val="both"/>
        <w:rPr>
          <w:rFonts w:ascii="新細明體" w:hAnsi="新細明體" w:hint="eastAsia"/>
          <w:szCs w:val="22"/>
          <w:lang w:val="de-DE"/>
        </w:rPr>
      </w:pPr>
      <w:r>
        <w:rPr>
          <w:rFonts w:ascii="新細明體" w:hAnsi="新細明體" w:hint="eastAsia"/>
          <w:szCs w:val="22"/>
          <w:lang w:val="de-DE"/>
        </w:rPr>
        <w:t xml:space="preserve">λ  </w:t>
      </w:r>
      <w:r>
        <w:rPr>
          <w:rFonts w:ascii="新細明體" w:hAnsi="新細明體"/>
          <w:szCs w:val="22"/>
          <w:lang w:val="de-DE"/>
        </w:rPr>
        <w:t>范祥偉，〈公務人員陞遷法執行問題之探討〉，人事行政第36期，頁7以下。</w:t>
      </w:r>
    </w:p>
    <w:p w:rsidR="007D6688" w:rsidRDefault="007D6688">
      <w:pPr>
        <w:widowControl/>
        <w:spacing w:afterLines="50" w:after="180" w:line="360" w:lineRule="auto"/>
        <w:jc w:val="both"/>
        <w:rPr>
          <w:rFonts w:ascii="新細明體" w:hAnsi="新細明體" w:hint="eastAsia"/>
          <w:b/>
          <w:bCs/>
          <w:szCs w:val="22"/>
          <w:lang w:val="de-DE"/>
        </w:rPr>
      </w:pPr>
    </w:p>
    <w:p w:rsidR="007D6688" w:rsidRDefault="007D6688">
      <w:pPr>
        <w:widowControl/>
        <w:spacing w:afterLines="50" w:after="180" w:line="240" w:lineRule="atLeast"/>
        <w:jc w:val="both"/>
        <w:rPr>
          <w:rFonts w:ascii="標楷體" w:eastAsia="標楷體" w:hAnsi="標楷體" w:hint="eastAsia"/>
          <w:b/>
          <w:bCs/>
          <w:szCs w:val="22"/>
          <w:lang w:val="de-DE"/>
        </w:rPr>
      </w:pPr>
      <w:r>
        <w:rPr>
          <w:rFonts w:ascii="標楷體" w:eastAsia="標楷體" w:hAnsi="標楷體"/>
          <w:b/>
          <w:bCs/>
          <w:szCs w:val="22"/>
          <w:lang w:val="de-DE"/>
        </w:rPr>
        <w:t>2.</w:t>
      </w:r>
      <w:r>
        <w:rPr>
          <w:rFonts w:ascii="標楷體" w:eastAsia="標楷體" w:hAnsi="標楷體" w:hint="eastAsia"/>
          <w:b/>
          <w:bCs/>
          <w:szCs w:val="22"/>
          <w:lang w:val="de-DE"/>
        </w:rPr>
        <w:t>論文</w:t>
      </w:r>
    </w:p>
    <w:p w:rsidR="007D6688" w:rsidRDefault="007D6688">
      <w:pPr>
        <w:spacing w:line="360" w:lineRule="auto"/>
        <w:ind w:left="480" w:hangingChars="200" w:hanging="480"/>
        <w:rPr>
          <w:rFonts w:hint="eastAsia"/>
          <w:b/>
          <w:bCs/>
          <w:szCs w:val="22"/>
          <w:lang w:val="de-DE"/>
        </w:rPr>
      </w:pPr>
      <w:r>
        <w:rPr>
          <w:szCs w:val="22"/>
        </w:rPr>
        <w:t>λ</w:t>
      </w:r>
      <w:r>
        <w:rPr>
          <w:rFonts w:hint="eastAsia"/>
          <w:szCs w:val="22"/>
        </w:rPr>
        <w:t xml:space="preserve">   </w:t>
      </w:r>
      <w:r>
        <w:t>林明昕</w:t>
      </w:r>
      <w:r>
        <w:rPr>
          <w:lang w:val="de-DE"/>
        </w:rPr>
        <w:t>，</w:t>
      </w:r>
      <w:r>
        <w:t>「論大法官釋憲程序之改革</w:t>
      </w:r>
      <w:r>
        <w:rPr>
          <w:lang w:val="de-DE"/>
        </w:rPr>
        <w:t xml:space="preserve"> — </w:t>
      </w:r>
      <w:r>
        <w:t>兼評司法院大法官審理案件法修正草案」</w:t>
      </w:r>
      <w:r>
        <w:rPr>
          <w:lang w:val="de-DE"/>
        </w:rPr>
        <w:t>，</w:t>
      </w:r>
      <w:r>
        <w:t>中央研究院中山人文社會科學研究所主辦，第四屆「憲法</w:t>
      </w:r>
      <w:r>
        <w:rPr>
          <w:rFonts w:hint="eastAsia"/>
        </w:rPr>
        <w:t>解釋之理論與實務」學術研討會論文，</w:t>
      </w:r>
      <w:r>
        <w:rPr>
          <w:rFonts w:hint="eastAsia"/>
        </w:rPr>
        <w:t>2003.9.26/27</w:t>
      </w:r>
      <w:r>
        <w:rPr>
          <w:rFonts w:hint="eastAsia"/>
        </w:rPr>
        <w:t>。</w:t>
      </w:r>
    </w:p>
    <w:p w:rsidR="007D6688" w:rsidRDefault="007D6688">
      <w:pPr>
        <w:spacing w:line="360" w:lineRule="auto"/>
        <w:ind w:left="720" w:hangingChars="300" w:hanging="720"/>
        <w:rPr>
          <w:rFonts w:hint="eastAsia"/>
        </w:rPr>
      </w:pPr>
      <w:r>
        <w:rPr>
          <w:rFonts w:hint="eastAsia"/>
        </w:rPr>
        <w:t>λ</w:t>
      </w:r>
      <w:r>
        <w:rPr>
          <w:rFonts w:hint="eastAsia"/>
        </w:rPr>
        <w:t xml:space="preserve">  </w:t>
      </w:r>
      <w:r>
        <w:t>林明昕，「一般形成訴訟」，當代公法新論（下），</w:t>
      </w:r>
      <w:smartTag w:uri="urn:schemas-microsoft-com:office:smarttags" w:element="PersonName">
        <w:smartTagPr>
          <w:attr w:name="ProductID" w:val="翁岳生"/>
        </w:smartTagPr>
        <w:r>
          <w:t>翁岳生</w:t>
        </w:r>
      </w:smartTag>
      <w:r>
        <w:t>教授七秩誕辰祝壽</w:t>
      </w:r>
    </w:p>
    <w:p w:rsidR="007D6688" w:rsidRDefault="007D6688">
      <w:pPr>
        <w:spacing w:line="360" w:lineRule="auto"/>
        <w:ind w:leftChars="200" w:left="720" w:hangingChars="100" w:hanging="240"/>
        <w:rPr>
          <w:rFonts w:hint="eastAsia"/>
          <w:b/>
          <w:bCs/>
          <w:szCs w:val="22"/>
        </w:rPr>
      </w:pPr>
      <w:r>
        <w:t>論文集，</w:t>
      </w:r>
      <w:r>
        <w:t>2002</w:t>
      </w:r>
      <w:r>
        <w:rPr>
          <w:rFonts w:hint="eastAsia"/>
        </w:rPr>
        <w:t>。</w:t>
      </w:r>
    </w:p>
    <w:p w:rsidR="007D6688" w:rsidRDefault="007D6688">
      <w:pPr>
        <w:spacing w:line="360" w:lineRule="auto"/>
        <w:ind w:left="720" w:hangingChars="300" w:hanging="720"/>
        <w:rPr>
          <w:rFonts w:hint="eastAsia"/>
          <w:szCs w:val="22"/>
          <w:lang w:val="de-DE"/>
        </w:rPr>
      </w:pPr>
      <w:r>
        <w:rPr>
          <w:rFonts w:hint="eastAsia"/>
        </w:rPr>
        <w:t>λ</w:t>
      </w:r>
      <w:r>
        <w:rPr>
          <w:rFonts w:hint="eastAsia"/>
        </w:rPr>
        <w:t xml:space="preserve">  </w:t>
      </w:r>
      <w:r>
        <w:rPr>
          <w:szCs w:val="22"/>
          <w:lang w:val="de-DE"/>
        </w:rPr>
        <w:t>周世珍，公務人員保障制度之理論與實際，台北大學法律學研究所博士論</w:t>
      </w:r>
    </w:p>
    <w:p w:rsidR="007D6688" w:rsidRDefault="007D6688">
      <w:pPr>
        <w:spacing w:line="360" w:lineRule="auto"/>
        <w:ind w:leftChars="200" w:left="720" w:hangingChars="100" w:hanging="240"/>
        <w:rPr>
          <w:rFonts w:hint="eastAsia"/>
          <w:szCs w:val="22"/>
          <w:lang w:val="de-DE"/>
        </w:rPr>
      </w:pPr>
      <w:r>
        <w:rPr>
          <w:szCs w:val="22"/>
          <w:lang w:val="de-DE"/>
        </w:rPr>
        <w:t>文，</w:t>
      </w:r>
      <w:r>
        <w:rPr>
          <w:rFonts w:hint="eastAsia"/>
          <w:szCs w:val="22"/>
          <w:lang w:val="de-DE"/>
        </w:rPr>
        <w:t>2000</w:t>
      </w:r>
      <w:r>
        <w:rPr>
          <w:rFonts w:hint="eastAsia"/>
          <w:szCs w:val="22"/>
          <w:lang w:val="de-DE"/>
        </w:rPr>
        <w:t>。</w:t>
      </w:r>
    </w:p>
    <w:p w:rsidR="007D6688" w:rsidRDefault="007D6688">
      <w:pPr>
        <w:spacing w:line="360" w:lineRule="auto"/>
        <w:ind w:left="480" w:hangingChars="200" w:hanging="480"/>
        <w:rPr>
          <w:rFonts w:hint="eastAsia"/>
          <w:b/>
          <w:bCs/>
          <w:szCs w:val="22"/>
          <w:lang w:val="de-DE"/>
        </w:rPr>
      </w:pPr>
      <w:r>
        <w:rPr>
          <w:rFonts w:hint="eastAsia"/>
        </w:rPr>
        <w:t>λ</w:t>
      </w:r>
      <w:r>
        <w:rPr>
          <w:rFonts w:hint="eastAsia"/>
        </w:rPr>
        <w:t xml:space="preserve">  </w:t>
      </w:r>
      <w:r>
        <w:t>蔡正村，我國現行公務人員任用制度之研究，中山大學政研所碩士論文，</w:t>
      </w:r>
      <w:r>
        <w:t>2003.12</w:t>
      </w:r>
      <w:r>
        <w:t>。</w:t>
      </w:r>
    </w:p>
    <w:p w:rsidR="007D6688" w:rsidRDefault="007D6688">
      <w:pPr>
        <w:spacing w:line="360" w:lineRule="auto"/>
        <w:rPr>
          <w:szCs w:val="22"/>
          <w:lang w:val="de-DE"/>
        </w:rPr>
      </w:pPr>
      <w:r>
        <w:rPr>
          <w:szCs w:val="22"/>
          <w:lang w:val="de-DE"/>
        </w:rPr>
        <w:t>λ</w:t>
      </w:r>
      <w:r>
        <w:rPr>
          <w:rFonts w:hint="eastAsia"/>
          <w:szCs w:val="22"/>
          <w:lang w:val="de-DE"/>
        </w:rPr>
        <w:t xml:space="preserve"> </w:t>
      </w:r>
      <w:r>
        <w:rPr>
          <w:rFonts w:hint="eastAsia"/>
          <w:b/>
          <w:bCs/>
          <w:szCs w:val="22"/>
          <w:lang w:val="de-DE"/>
        </w:rPr>
        <w:t xml:space="preserve">  </w:t>
      </w:r>
      <w:r>
        <w:t>賴富源，我國公務人員陞遷制度之研究，文化政研所碩士論文，</w:t>
      </w:r>
      <w:r>
        <w:t>2002</w:t>
      </w:r>
      <w:r>
        <w:t>。</w:t>
      </w:r>
    </w:p>
    <w:p w:rsidR="007D6688" w:rsidRDefault="00597F52" w:rsidP="00597F52">
      <w:pPr>
        <w:widowControl/>
        <w:spacing w:afterLines="50" w:after="180" w:line="360" w:lineRule="auto"/>
        <w:ind w:left="540" w:hangingChars="225" w:hanging="540"/>
        <w:jc w:val="both"/>
        <w:rPr>
          <w:szCs w:val="22"/>
          <w:lang w:val="de-DE"/>
        </w:rPr>
      </w:pPr>
      <w:r>
        <w:rPr>
          <w:szCs w:val="22"/>
          <w:lang w:val="de-DE"/>
        </w:rPr>
        <w:t>λ</w:t>
      </w:r>
      <w:r>
        <w:rPr>
          <w:rFonts w:hint="eastAsia"/>
          <w:szCs w:val="22"/>
          <w:lang w:val="de-DE"/>
        </w:rPr>
        <w:t xml:space="preserve"> </w:t>
      </w:r>
      <w:r>
        <w:rPr>
          <w:rFonts w:hint="eastAsia"/>
          <w:b/>
          <w:bCs/>
          <w:szCs w:val="22"/>
          <w:lang w:val="de-DE"/>
        </w:rPr>
        <w:t xml:space="preserve">  </w:t>
      </w:r>
      <w:r w:rsidR="007D6688">
        <w:rPr>
          <w:szCs w:val="22"/>
          <w:lang w:val="de-DE"/>
        </w:rPr>
        <w:t>台北大學公行系，行政院人行局委託研究，公務人員升遷制度之研究，</w:t>
      </w:r>
      <w:r w:rsidR="007D6688">
        <w:rPr>
          <w:szCs w:val="22"/>
          <w:lang w:val="de-DE"/>
        </w:rPr>
        <w:t>2003.12</w:t>
      </w:r>
      <w:r w:rsidR="007D6688">
        <w:rPr>
          <w:szCs w:val="22"/>
          <w:lang w:val="de-DE"/>
        </w:rPr>
        <w:t>。</w:t>
      </w:r>
    </w:p>
    <w:p w:rsidR="007D6688" w:rsidRDefault="00597F52" w:rsidP="00597F52">
      <w:pPr>
        <w:widowControl/>
        <w:spacing w:afterLines="50" w:after="180"/>
        <w:ind w:left="540" w:hangingChars="225" w:hanging="540"/>
        <w:jc w:val="both"/>
        <w:rPr>
          <w:rFonts w:hint="eastAsia"/>
          <w:szCs w:val="22"/>
          <w:lang w:val="de-DE"/>
        </w:rPr>
      </w:pPr>
      <w:r>
        <w:rPr>
          <w:szCs w:val="22"/>
          <w:lang w:val="de-DE"/>
        </w:rPr>
        <w:t>λ</w:t>
      </w:r>
      <w:r>
        <w:rPr>
          <w:rFonts w:hint="eastAsia"/>
          <w:szCs w:val="22"/>
          <w:lang w:val="de-DE"/>
        </w:rPr>
        <w:t xml:space="preserve"> </w:t>
      </w:r>
      <w:r>
        <w:rPr>
          <w:rFonts w:hint="eastAsia"/>
          <w:b/>
          <w:bCs/>
          <w:szCs w:val="22"/>
          <w:lang w:val="de-DE"/>
        </w:rPr>
        <w:t xml:space="preserve">  </w:t>
      </w:r>
      <w:r w:rsidR="007D6688">
        <w:rPr>
          <w:szCs w:val="22"/>
          <w:lang w:val="de-DE"/>
        </w:rPr>
        <w:t>周世珍，〈公務人員保障制度之理論與實際〉，台北大學法律學研究所博士論文，</w:t>
      </w:r>
      <w:r w:rsidR="007D6688">
        <w:rPr>
          <w:rFonts w:hint="eastAsia"/>
          <w:szCs w:val="22"/>
          <w:lang w:val="de-DE"/>
        </w:rPr>
        <w:t>2000</w:t>
      </w:r>
      <w:r w:rsidR="007D6688">
        <w:rPr>
          <w:rFonts w:hint="eastAsia"/>
          <w:szCs w:val="22"/>
          <w:lang w:val="de-DE"/>
        </w:rPr>
        <w:t>。</w:t>
      </w:r>
    </w:p>
    <w:p w:rsidR="007D6688" w:rsidRDefault="007D6688">
      <w:pPr>
        <w:widowControl/>
        <w:spacing w:afterLines="50" w:after="180"/>
        <w:jc w:val="both"/>
        <w:rPr>
          <w:rFonts w:hint="eastAsia"/>
          <w:szCs w:val="22"/>
        </w:rPr>
      </w:pPr>
    </w:p>
    <w:p w:rsidR="007D6688" w:rsidRDefault="007D6688">
      <w:pPr>
        <w:widowControl/>
        <w:spacing w:afterLines="50" w:after="180"/>
        <w:jc w:val="both"/>
        <w:rPr>
          <w:rFonts w:ascii="標楷體" w:eastAsia="標楷體" w:hAnsi="標楷體" w:hint="eastAsia"/>
          <w:b/>
          <w:bCs/>
          <w:szCs w:val="22"/>
          <w:lang w:val="de-DE"/>
        </w:rPr>
      </w:pPr>
      <w:r>
        <w:rPr>
          <w:rFonts w:ascii="標楷體" w:eastAsia="標楷體" w:hAnsi="標楷體" w:hint="eastAsia"/>
          <w:b/>
          <w:bCs/>
          <w:szCs w:val="22"/>
          <w:lang w:val="de-DE"/>
        </w:rPr>
        <w:t>(</w:t>
      </w:r>
      <w:r>
        <w:rPr>
          <w:rFonts w:ascii="標楷體" w:eastAsia="標楷體" w:hAnsi="標楷體" w:hint="eastAsia"/>
          <w:b/>
          <w:bCs/>
          <w:szCs w:val="22"/>
        </w:rPr>
        <w:t>三</w:t>
      </w:r>
      <w:r>
        <w:rPr>
          <w:rFonts w:ascii="標楷體" w:eastAsia="標楷體" w:hAnsi="標楷體" w:hint="eastAsia"/>
          <w:b/>
          <w:bCs/>
          <w:szCs w:val="22"/>
          <w:lang w:val="de-DE"/>
        </w:rPr>
        <w:t>) 政府出版品</w:t>
      </w:r>
    </w:p>
    <w:p w:rsidR="007D6688" w:rsidRDefault="007D6688">
      <w:pPr>
        <w:spacing w:line="360" w:lineRule="auto"/>
        <w:ind w:left="480" w:hangingChars="200" w:hanging="480"/>
        <w:rPr>
          <w:rFonts w:hint="eastAsia"/>
          <w:b/>
          <w:bCs/>
          <w:szCs w:val="22"/>
          <w:lang w:val="de-DE"/>
        </w:rPr>
      </w:pPr>
      <w:r>
        <w:rPr>
          <w:rFonts w:eastAsia="標楷體" w:hint="eastAsia"/>
          <w:noProof/>
          <w:spacing w:val="20"/>
          <w:kern w:val="0"/>
          <w:sz w:val="20"/>
          <w:szCs w:val="20"/>
        </w:rPr>
        <w:t>λ</w:t>
      </w:r>
      <w:r>
        <w:rPr>
          <w:rFonts w:eastAsia="標楷體" w:hint="eastAsia"/>
          <w:noProof/>
          <w:spacing w:val="20"/>
          <w:kern w:val="0"/>
          <w:sz w:val="20"/>
          <w:szCs w:val="20"/>
        </w:rPr>
        <w:t xml:space="preserve"> </w:t>
      </w:r>
      <w:r>
        <w:rPr>
          <w:lang w:val="de-DE"/>
        </w:rPr>
        <w:t>李建良，保障制度復審範圍之研究，公務人員保障暨培訓委員會委託研究計畫，</w:t>
      </w:r>
      <w:r>
        <w:rPr>
          <w:lang w:val="de-DE"/>
        </w:rPr>
        <w:t>2003.12</w:t>
      </w:r>
      <w:r>
        <w:rPr>
          <w:rFonts w:hint="eastAsia"/>
          <w:lang w:val="de-DE"/>
        </w:rPr>
        <w:t>。</w:t>
      </w:r>
    </w:p>
    <w:p w:rsidR="007D6688" w:rsidRDefault="007D6688">
      <w:pPr>
        <w:widowControl/>
        <w:spacing w:afterLines="50" w:after="180" w:line="360" w:lineRule="auto"/>
        <w:ind w:left="480" w:hangingChars="200" w:hanging="480"/>
        <w:jc w:val="both"/>
        <w:rPr>
          <w:rFonts w:ascii="新細明體" w:hAnsi="新細明體" w:hint="eastAsia"/>
        </w:rPr>
      </w:pPr>
      <w:r>
        <w:rPr>
          <w:rFonts w:hint="eastAsia"/>
          <w:szCs w:val="22"/>
          <w:lang w:val="de-DE"/>
        </w:rPr>
        <w:t>λ</w:t>
      </w:r>
      <w:r>
        <w:rPr>
          <w:rFonts w:hint="eastAsia"/>
          <w:szCs w:val="22"/>
          <w:lang w:val="de-DE"/>
        </w:rPr>
        <w:t xml:space="preserve"> </w:t>
      </w:r>
      <w:r>
        <w:rPr>
          <w:rFonts w:hint="eastAsia"/>
          <w:b/>
          <w:bCs/>
          <w:szCs w:val="22"/>
          <w:lang w:val="de-DE"/>
        </w:rPr>
        <w:t xml:space="preserve"> </w:t>
      </w:r>
      <w:r>
        <w:rPr>
          <w:rFonts w:ascii="新細明體" w:hAnsi="新細明體"/>
        </w:rPr>
        <w:t>陳愛娥，「行政處分」，訴願程序與行政程序相關專論暨法令選輯，台北市政府訴願審議委員會，</w:t>
      </w:r>
      <w:r>
        <w:t>2000.7</w:t>
      </w:r>
      <w:r>
        <w:rPr>
          <w:rFonts w:ascii="新細明體" w:hAnsi="新細明體"/>
        </w:rPr>
        <w:t>，增訂版。</w:t>
      </w:r>
    </w:p>
    <w:p w:rsidR="007D6688" w:rsidRDefault="007D6688">
      <w:pPr>
        <w:spacing w:after="50" w:line="360" w:lineRule="auto"/>
        <w:ind w:left="480" w:hangingChars="200" w:hanging="480"/>
        <w:rPr>
          <w:rFonts w:ascii="新細明體" w:hAnsi="新細明體" w:hint="eastAsia"/>
          <w:lang w:val="de-DE"/>
        </w:rPr>
      </w:pPr>
      <w:r>
        <w:rPr>
          <w:rFonts w:hint="eastAsia"/>
        </w:rPr>
        <w:t>λ</w:t>
      </w:r>
      <w:r>
        <w:rPr>
          <w:rFonts w:hint="eastAsia"/>
        </w:rPr>
        <w:t xml:space="preserve">  </w:t>
      </w:r>
      <w:r>
        <w:rPr>
          <w:rFonts w:ascii="新細明體" w:hAnsi="新細明體"/>
        </w:rPr>
        <w:t>廖義男</w:t>
      </w:r>
      <w:r>
        <w:rPr>
          <w:rFonts w:ascii="新細明體" w:hAnsi="新細明體"/>
          <w:lang w:val="de-DE"/>
        </w:rPr>
        <w:t>，</w:t>
      </w:r>
      <w:r>
        <w:rPr>
          <w:rFonts w:ascii="新細明體" w:hAnsi="新細明體"/>
        </w:rPr>
        <w:t>「行政程序法草案之重要內容</w:t>
      </w:r>
      <w:r>
        <w:rPr>
          <w:rFonts w:ascii="新細明體" w:hAnsi="新細明體"/>
          <w:lang w:val="de-DE"/>
        </w:rPr>
        <w:t>（</w:t>
      </w:r>
      <w:r>
        <w:rPr>
          <w:rFonts w:ascii="新細明體" w:hAnsi="新細明體"/>
        </w:rPr>
        <w:t>一</w:t>
      </w:r>
      <w:r>
        <w:rPr>
          <w:rFonts w:ascii="新細明體" w:hAnsi="新細明體"/>
          <w:lang w:val="de-DE"/>
        </w:rPr>
        <w:t xml:space="preserve">） - </w:t>
      </w:r>
      <w:r>
        <w:rPr>
          <w:rFonts w:ascii="新細明體" w:hAnsi="新細明體"/>
        </w:rPr>
        <w:t>適用範圍、行政處分與法規命令」</w:t>
      </w:r>
      <w:r>
        <w:rPr>
          <w:rFonts w:ascii="新細明體" w:hAnsi="新細明體"/>
          <w:lang w:val="de-DE"/>
        </w:rPr>
        <w:t>，</w:t>
      </w:r>
      <w:r>
        <w:rPr>
          <w:rFonts w:ascii="新細明體" w:hAnsi="新細明體"/>
        </w:rPr>
        <w:t>行政程序法草案研討會會議資料</w:t>
      </w:r>
      <w:r>
        <w:rPr>
          <w:rFonts w:ascii="新細明體" w:hAnsi="新細明體"/>
          <w:lang w:val="de-DE"/>
        </w:rPr>
        <w:t>，</w:t>
      </w:r>
      <w:r>
        <w:rPr>
          <w:lang w:val="de-DE"/>
        </w:rPr>
        <w:t>1998.12.19</w:t>
      </w:r>
      <w:r>
        <w:rPr>
          <w:rFonts w:ascii="新細明體" w:hAnsi="新細明體" w:hint="eastAsia"/>
          <w:lang w:val="de-DE"/>
        </w:rPr>
        <w:t>。</w:t>
      </w:r>
    </w:p>
    <w:p w:rsidR="007D6688" w:rsidRDefault="007D6688">
      <w:pPr>
        <w:spacing w:after="50" w:line="360" w:lineRule="auto"/>
        <w:ind w:left="480" w:hangingChars="200" w:hanging="480"/>
        <w:rPr>
          <w:rFonts w:ascii="新細明體" w:hAnsi="新細明體" w:hint="eastAsia"/>
        </w:rPr>
      </w:pPr>
      <w:r>
        <w:rPr>
          <w:rFonts w:hint="eastAsia"/>
        </w:rPr>
        <w:t>λ</w:t>
      </w:r>
      <w:r>
        <w:rPr>
          <w:rFonts w:hint="eastAsia"/>
        </w:rPr>
        <w:t xml:space="preserve">  </w:t>
      </w:r>
      <w:r>
        <w:rPr>
          <w:rFonts w:ascii="新細明體" w:hAnsi="新細明體"/>
        </w:rPr>
        <w:t>程明修，「對公務人員職務調動處分的行政訴訟」，司法院，行政訴訟論文彙編 - 人事行政爭訟，</w:t>
      </w:r>
      <w:r>
        <w:t>2002.11</w:t>
      </w:r>
      <w:r>
        <w:rPr>
          <w:rFonts w:ascii="新細明體" w:hAnsi="新細明體" w:hint="eastAsia"/>
        </w:rPr>
        <w:t>。</w:t>
      </w:r>
    </w:p>
    <w:p w:rsidR="007D6688" w:rsidRDefault="007D6688">
      <w:pPr>
        <w:widowControl/>
        <w:spacing w:afterLines="50" w:after="180" w:line="360" w:lineRule="auto"/>
        <w:ind w:left="480" w:hangingChars="200" w:hanging="480"/>
        <w:jc w:val="both"/>
        <w:rPr>
          <w:rFonts w:ascii="新細明體" w:hAnsi="新細明體" w:hint="eastAsia"/>
        </w:rPr>
      </w:pPr>
      <w:r>
        <w:t>λ</w:t>
      </w:r>
      <w:r>
        <w:rPr>
          <w:rFonts w:hint="eastAsia"/>
        </w:rPr>
        <w:t xml:space="preserve">   </w:t>
      </w:r>
      <w:r>
        <w:rPr>
          <w:rFonts w:ascii="新細明體" w:hAnsi="新細明體"/>
        </w:rPr>
        <w:t>盛子龍，「公務員權利調整之權利救濟 – 行政訴訟法新制下新展望」，司法院，行政訴訟論文彙編 - 人事行政爭訟，</w:t>
      </w:r>
      <w:r>
        <w:t>2002.11</w:t>
      </w:r>
      <w:r>
        <w:rPr>
          <w:rFonts w:ascii="新細明體" w:hAnsi="新細明體" w:hint="eastAsia"/>
        </w:rPr>
        <w:t>。</w:t>
      </w:r>
    </w:p>
    <w:p w:rsidR="007D6688" w:rsidRDefault="007D6688">
      <w:pPr>
        <w:widowControl/>
        <w:spacing w:afterLines="50" w:after="180" w:line="360" w:lineRule="auto"/>
        <w:ind w:left="480" w:hangingChars="200" w:hanging="480"/>
        <w:jc w:val="both"/>
        <w:rPr>
          <w:rFonts w:ascii="新細明體" w:hAnsi="新細明體" w:hint="eastAsia"/>
        </w:rPr>
      </w:pPr>
      <w:r>
        <w:rPr>
          <w:rFonts w:hint="eastAsia"/>
        </w:rPr>
        <w:t>λ</w:t>
      </w:r>
      <w:r>
        <w:rPr>
          <w:rFonts w:hint="eastAsia"/>
        </w:rPr>
        <w:t xml:space="preserve">  </w:t>
      </w:r>
      <w:r>
        <w:rPr>
          <w:rFonts w:ascii="新細明體" w:hAnsi="新細明體" w:hint="eastAsia"/>
        </w:rPr>
        <w:t>汪渡村/陳世民/林素鳳，行政訴訟法修正後諸原則之探討，台灣省訴願會委託研究，</w:t>
      </w:r>
      <w:r>
        <w:rPr>
          <w:rFonts w:hint="eastAsia"/>
        </w:rPr>
        <w:t>1999.5.31</w:t>
      </w:r>
      <w:r>
        <w:rPr>
          <w:rFonts w:ascii="新細明體" w:hAnsi="新細明體" w:hint="eastAsia"/>
        </w:rPr>
        <w:t>。</w:t>
      </w:r>
    </w:p>
    <w:p w:rsidR="007D6688" w:rsidRDefault="007D6688">
      <w:pPr>
        <w:spacing w:after="50" w:line="360" w:lineRule="auto"/>
        <w:ind w:left="480" w:hangingChars="200" w:hanging="480"/>
        <w:rPr>
          <w:rFonts w:ascii="新細明體" w:hAnsi="新細明體" w:hint="eastAsia"/>
        </w:rPr>
      </w:pPr>
      <w:r>
        <w:rPr>
          <w:rFonts w:ascii="新細明體" w:hAnsi="新細明體" w:hint="eastAsia"/>
        </w:rPr>
        <w:t xml:space="preserve">λ  </w:t>
      </w:r>
      <w:r>
        <w:rPr>
          <w:rFonts w:ascii="新細明體" w:hAnsi="新細明體"/>
        </w:rPr>
        <w:t>行政院人事行政局委託，國立台北大學公共行政暨政策學系，公務人員陞遷制度之研究</w:t>
      </w:r>
    </w:p>
    <w:p w:rsidR="007D6688" w:rsidRDefault="007D6688">
      <w:pPr>
        <w:widowControl/>
        <w:spacing w:afterLines="50" w:after="180" w:line="360" w:lineRule="auto"/>
        <w:jc w:val="both"/>
        <w:rPr>
          <w:rFonts w:ascii="新細明體" w:hAnsi="新細明體" w:hint="eastAsia"/>
        </w:rPr>
      </w:pPr>
      <w:r>
        <w:t>λ</w:t>
      </w:r>
      <w:r>
        <w:rPr>
          <w:rFonts w:hint="eastAsia"/>
        </w:rPr>
        <w:t xml:space="preserve">   </w:t>
      </w:r>
      <w:r>
        <w:rPr>
          <w:rFonts w:ascii="新細明體" w:hAnsi="新細明體"/>
        </w:rPr>
        <w:t>立法院公報，第</w:t>
      </w:r>
      <w:r>
        <w:t>92</w:t>
      </w:r>
      <w:r>
        <w:rPr>
          <w:rFonts w:ascii="新細明體" w:hAnsi="新細明體"/>
        </w:rPr>
        <w:t>卷第</w:t>
      </w:r>
      <w:r>
        <w:t>59</w:t>
      </w:r>
      <w:r>
        <w:rPr>
          <w:rFonts w:ascii="新細明體" w:hAnsi="新細明體"/>
        </w:rPr>
        <w:t>期</w:t>
      </w:r>
    </w:p>
    <w:p w:rsidR="007D6688" w:rsidRDefault="007D6688">
      <w:pPr>
        <w:widowControl/>
        <w:spacing w:afterLines="50" w:after="180" w:line="360" w:lineRule="auto"/>
        <w:jc w:val="both"/>
        <w:rPr>
          <w:rFonts w:ascii="新細明體" w:hAnsi="新細明體" w:hint="eastAsia"/>
          <w:lang w:val="de-DE"/>
        </w:rPr>
      </w:pPr>
      <w:r>
        <w:rPr>
          <w:rFonts w:hint="eastAsia"/>
        </w:rPr>
        <w:t>λ</w:t>
      </w:r>
      <w:r>
        <w:rPr>
          <w:rFonts w:hint="eastAsia"/>
        </w:rPr>
        <w:t xml:space="preserve">  </w:t>
      </w:r>
      <w:r>
        <w:rPr>
          <w:rFonts w:ascii="新細明體" w:hAnsi="新細明體"/>
          <w:lang w:val="de-DE"/>
        </w:rPr>
        <w:t>保訓會，公務人員保障暨培訓委員會八十七年度赴澳大利亞考察報告</w:t>
      </w:r>
    </w:p>
    <w:p w:rsidR="007D6688" w:rsidRDefault="007D6688">
      <w:pPr>
        <w:widowControl/>
        <w:spacing w:afterLines="50" w:after="180" w:line="360" w:lineRule="auto"/>
        <w:jc w:val="both"/>
        <w:rPr>
          <w:rFonts w:ascii="新細明體" w:hAnsi="新細明體" w:hint="eastAsia"/>
          <w:lang w:val="de-DE"/>
        </w:rPr>
      </w:pPr>
      <w:r>
        <w:rPr>
          <w:rFonts w:hint="eastAsia"/>
          <w:szCs w:val="22"/>
        </w:rPr>
        <w:t>λ</w:t>
      </w:r>
      <w:r>
        <w:rPr>
          <w:rFonts w:hint="eastAsia"/>
          <w:b/>
          <w:bCs/>
          <w:szCs w:val="22"/>
        </w:rPr>
        <w:t xml:space="preserve">  </w:t>
      </w:r>
      <w:r>
        <w:rPr>
          <w:rFonts w:ascii="新細明體" w:hAnsi="新細明體"/>
          <w:lang w:val="de-DE"/>
        </w:rPr>
        <w:t>法務部，行政程序法解釋及諮詢小組會議記錄彙編，</w:t>
      </w:r>
      <w:r>
        <w:rPr>
          <w:lang w:val="de-DE"/>
        </w:rPr>
        <w:t>2001</w:t>
      </w:r>
      <w:r>
        <w:rPr>
          <w:rFonts w:ascii="新細明體" w:hAnsi="新細明體"/>
          <w:lang w:val="de-DE"/>
        </w:rPr>
        <w:t>年</w:t>
      </w:r>
      <w:r>
        <w:rPr>
          <w:lang w:val="de-DE"/>
        </w:rPr>
        <w:t>12</w:t>
      </w:r>
      <w:r>
        <w:rPr>
          <w:rFonts w:ascii="新細明體" w:hAnsi="新細明體"/>
          <w:lang w:val="de-DE"/>
        </w:rPr>
        <w:t>月</w:t>
      </w:r>
    </w:p>
    <w:p w:rsidR="007D6688" w:rsidRDefault="007D6688">
      <w:pPr>
        <w:spacing w:after="50" w:line="360" w:lineRule="auto"/>
        <w:rPr>
          <w:rFonts w:ascii="新細明體" w:hAnsi="新細明體" w:hint="eastAsia"/>
        </w:rPr>
      </w:pPr>
      <w:r>
        <w:rPr>
          <w:rFonts w:ascii="新細明體" w:hAnsi="新細明體" w:hint="eastAsia"/>
          <w:lang w:val="de-DE"/>
        </w:rPr>
        <w:t xml:space="preserve">λ  </w:t>
      </w:r>
      <w:r>
        <w:rPr>
          <w:rFonts w:ascii="新細明體" w:hAnsi="新細明體"/>
        </w:rPr>
        <w:t>法務部，行政程序法裁判要旨彙編，</w:t>
      </w:r>
      <w:r>
        <w:t>2004.7</w:t>
      </w:r>
      <w:r>
        <w:rPr>
          <w:rFonts w:hint="eastAsia"/>
        </w:rPr>
        <w:t>。</w:t>
      </w:r>
    </w:p>
    <w:p w:rsidR="007D6688" w:rsidRDefault="007D6688">
      <w:pPr>
        <w:spacing w:after="50" w:line="360" w:lineRule="auto"/>
        <w:rPr>
          <w:rFonts w:ascii="新細明體" w:hAnsi="新細明體" w:hint="eastAsia"/>
        </w:rPr>
      </w:pPr>
      <w:r>
        <w:rPr>
          <w:rFonts w:ascii="新細明體" w:hAnsi="新細明體" w:hint="eastAsia"/>
          <w:szCs w:val="22"/>
        </w:rPr>
        <w:t>λ</w:t>
      </w:r>
      <w:r>
        <w:rPr>
          <w:rFonts w:ascii="新細明體" w:hAnsi="新細明體" w:hint="eastAsia"/>
          <w:b/>
          <w:bCs/>
          <w:szCs w:val="22"/>
        </w:rPr>
        <w:t xml:space="preserve">  </w:t>
      </w:r>
      <w:r>
        <w:rPr>
          <w:rFonts w:ascii="新細明體" w:hAnsi="新細明體"/>
        </w:rPr>
        <w:t>司法院，行政訴訟論文彙編 - 人事行政爭訟，</w:t>
      </w:r>
      <w:r>
        <w:rPr>
          <w:rFonts w:eastAsia="標楷體"/>
        </w:rPr>
        <w:t>2002.11</w:t>
      </w:r>
      <w:r>
        <w:rPr>
          <w:rFonts w:eastAsia="標楷體" w:hint="eastAsia"/>
        </w:rPr>
        <w:t>。</w:t>
      </w:r>
    </w:p>
    <w:p w:rsidR="007D6688" w:rsidRDefault="007D6688">
      <w:pPr>
        <w:spacing w:after="50" w:line="360" w:lineRule="auto"/>
        <w:rPr>
          <w:rFonts w:ascii="新細明體" w:hAnsi="新細明體" w:hint="eastAsia"/>
          <w:b/>
          <w:bCs/>
          <w:szCs w:val="22"/>
        </w:rPr>
      </w:pPr>
    </w:p>
    <w:p w:rsidR="007D6688" w:rsidRDefault="007D6688">
      <w:pPr>
        <w:widowControl/>
        <w:ind w:left="1121" w:hangingChars="400" w:hanging="1121"/>
        <w:jc w:val="both"/>
        <w:rPr>
          <w:rFonts w:eastAsia="標楷體"/>
          <w:b/>
          <w:bCs/>
          <w:sz w:val="28"/>
          <w:lang w:val="de-DE"/>
        </w:rPr>
      </w:pPr>
      <w:r>
        <w:rPr>
          <w:rFonts w:eastAsia="標楷體"/>
          <w:b/>
          <w:bCs/>
          <w:sz w:val="28"/>
          <w:szCs w:val="22"/>
          <w:lang w:val="de-DE"/>
        </w:rPr>
        <w:t>日文部分</w:t>
      </w:r>
    </w:p>
    <w:p w:rsidR="007D6688" w:rsidRDefault="007D6688">
      <w:pPr>
        <w:numPr>
          <w:ilvl w:val="0"/>
          <w:numId w:val="15"/>
        </w:numPr>
        <w:snapToGrid w:val="0"/>
        <w:spacing w:line="360" w:lineRule="auto"/>
        <w:jc w:val="both"/>
      </w:pPr>
      <w:hyperlink r:id="rId7" w:history="1">
        <w:r>
          <w:rPr>
            <w:rStyle w:val="a8"/>
            <w:rFonts w:hAnsi="新細明體"/>
            <w:color w:val="auto"/>
            <w:u w:val="none"/>
          </w:rPr>
          <w:t>小早川</w:t>
        </w:r>
        <w:r>
          <w:rPr>
            <w:rStyle w:val="a8"/>
            <w:color w:val="auto"/>
            <w:u w:val="none"/>
          </w:rPr>
          <w:t xml:space="preserve"> </w:t>
        </w:r>
        <w:r>
          <w:rPr>
            <w:rStyle w:val="a8"/>
            <w:rFonts w:hAnsi="新細明體"/>
            <w:color w:val="auto"/>
            <w:u w:val="none"/>
          </w:rPr>
          <w:t>光郎</w:t>
        </w:r>
      </w:hyperlink>
      <w:r>
        <w:t xml:space="preserve">, </w:t>
      </w:r>
      <w:hyperlink r:id="rId8" w:history="1">
        <w:r>
          <w:rPr>
            <w:rStyle w:val="a8"/>
            <w:rFonts w:hAnsi="新細明體"/>
            <w:color w:val="auto"/>
            <w:u w:val="none"/>
          </w:rPr>
          <w:t>高橋</w:t>
        </w:r>
        <w:r>
          <w:rPr>
            <w:rStyle w:val="a8"/>
            <w:color w:val="auto"/>
            <w:u w:val="none"/>
          </w:rPr>
          <w:t xml:space="preserve"> </w:t>
        </w:r>
        <w:r>
          <w:rPr>
            <w:rStyle w:val="a8"/>
            <w:rFonts w:hAnsi="新細明體"/>
            <w:color w:val="auto"/>
            <w:u w:val="none"/>
          </w:rPr>
          <w:t>滋</w:t>
        </w:r>
      </w:hyperlink>
      <w:r>
        <w:rPr>
          <w:rFonts w:hAnsi="新細明體"/>
        </w:rPr>
        <w:t>，</w:t>
      </w:r>
      <w:r>
        <w:rPr>
          <w:rStyle w:val="a9"/>
          <w:rFonts w:hAnsi="新細明體"/>
          <w:b w:val="0"/>
        </w:rPr>
        <w:t>詳解改正行政事件訴訟法，</w:t>
      </w:r>
      <w:r>
        <w:rPr>
          <w:rFonts w:hAnsi="新細明體"/>
        </w:rPr>
        <w:t>第一法規</w:t>
      </w:r>
      <w:r>
        <w:t xml:space="preserve"> ; ISBN: 4474018729 </w:t>
      </w:r>
    </w:p>
    <w:p w:rsidR="007D6688" w:rsidRDefault="007D6688">
      <w:pPr>
        <w:numPr>
          <w:ilvl w:val="0"/>
          <w:numId w:val="15"/>
        </w:numPr>
        <w:snapToGrid w:val="0"/>
        <w:spacing w:line="360" w:lineRule="auto"/>
        <w:jc w:val="both"/>
      </w:pPr>
      <w:hyperlink r:id="rId9" w:history="1">
        <w:r>
          <w:rPr>
            <w:rStyle w:val="a8"/>
            <w:rFonts w:hAnsi="新細明體"/>
            <w:color w:val="auto"/>
            <w:u w:val="none"/>
          </w:rPr>
          <w:t>橋本</w:t>
        </w:r>
        <w:r>
          <w:rPr>
            <w:rStyle w:val="a8"/>
            <w:color w:val="auto"/>
            <w:u w:val="none"/>
          </w:rPr>
          <w:t xml:space="preserve"> </w:t>
        </w:r>
        <w:r>
          <w:rPr>
            <w:rStyle w:val="a8"/>
            <w:rFonts w:hAnsi="新細明體"/>
            <w:color w:val="auto"/>
            <w:u w:val="none"/>
          </w:rPr>
          <w:t>博之</w:t>
        </w:r>
      </w:hyperlink>
      <w:r>
        <w:rPr>
          <w:rFonts w:hAnsi="新細明體"/>
        </w:rPr>
        <w:t>，</w:t>
      </w:r>
      <w:r>
        <w:rPr>
          <w:rStyle w:val="a9"/>
          <w:rFonts w:hAnsi="新細明體"/>
          <w:b w:val="0"/>
        </w:rPr>
        <w:t>解説</w:t>
      </w:r>
      <w:r>
        <w:rPr>
          <w:rStyle w:val="a9"/>
          <w:b w:val="0"/>
        </w:rPr>
        <w:t xml:space="preserve"> </w:t>
      </w:r>
      <w:r>
        <w:rPr>
          <w:rStyle w:val="a9"/>
          <w:rFonts w:hAnsi="新細明體"/>
          <w:b w:val="0"/>
        </w:rPr>
        <w:t>改正行政事件訴訟法，</w:t>
      </w:r>
      <w:r>
        <w:rPr>
          <w:rFonts w:hAnsi="新細明體"/>
        </w:rPr>
        <w:t>弘文堂</w:t>
      </w:r>
      <w:r>
        <w:t xml:space="preserve"> ; ISBN: 4335352859 ; (2004/09) </w:t>
      </w:r>
    </w:p>
    <w:p w:rsidR="007D6688" w:rsidRDefault="007D6688">
      <w:pPr>
        <w:numPr>
          <w:ilvl w:val="0"/>
          <w:numId w:val="15"/>
        </w:numPr>
        <w:snapToGrid w:val="0"/>
        <w:spacing w:line="360" w:lineRule="auto"/>
        <w:jc w:val="both"/>
        <w:rPr>
          <w:lang w:eastAsia="ja-JP"/>
        </w:rPr>
      </w:pPr>
      <w:hyperlink r:id="rId10" w:history="1">
        <w:r>
          <w:rPr>
            <w:rStyle w:val="a8"/>
            <w:rFonts w:hAnsi="新細明體"/>
            <w:color w:val="auto"/>
            <w:u w:val="none"/>
            <w:lang w:eastAsia="ja-JP"/>
          </w:rPr>
          <w:t>宇賀</w:t>
        </w:r>
        <w:r>
          <w:rPr>
            <w:rStyle w:val="a8"/>
            <w:color w:val="auto"/>
            <w:u w:val="none"/>
            <w:lang w:eastAsia="ja-JP"/>
          </w:rPr>
          <w:t xml:space="preserve"> </w:t>
        </w:r>
        <w:r>
          <w:rPr>
            <w:rStyle w:val="a8"/>
            <w:rFonts w:hAnsi="新細明體"/>
            <w:color w:val="auto"/>
            <w:u w:val="none"/>
            <w:lang w:eastAsia="ja-JP"/>
          </w:rPr>
          <w:t>克也</w:t>
        </w:r>
      </w:hyperlink>
      <w:r>
        <w:rPr>
          <w:rFonts w:hAnsi="新細明體"/>
          <w:lang w:eastAsia="ja-JP"/>
        </w:rPr>
        <w:t>，</w:t>
      </w:r>
      <w:r>
        <w:rPr>
          <w:rStyle w:val="a9"/>
          <w:rFonts w:hAnsi="新細明體"/>
          <w:b w:val="0"/>
          <w:lang w:eastAsia="ja-JP"/>
        </w:rPr>
        <w:t>改正行政事件訴訟法</w:t>
      </w:r>
      <w:r>
        <w:rPr>
          <w:rStyle w:val="a9"/>
          <w:b w:val="0"/>
          <w:lang w:eastAsia="ja-JP"/>
        </w:rPr>
        <w:t>―</w:t>
      </w:r>
      <w:r>
        <w:rPr>
          <w:rStyle w:val="a9"/>
          <w:rFonts w:hAnsi="新細明體"/>
          <w:b w:val="0"/>
          <w:lang w:eastAsia="ja-JP"/>
        </w:rPr>
        <w:t>改正法の要点と逐条解説，</w:t>
      </w:r>
      <w:r>
        <w:rPr>
          <w:rFonts w:hAnsi="新細明體"/>
          <w:lang w:eastAsia="ja-JP"/>
        </w:rPr>
        <w:t>青林書院</w:t>
      </w:r>
      <w:r>
        <w:rPr>
          <w:lang w:eastAsia="ja-JP"/>
        </w:rPr>
        <w:t xml:space="preserve"> ; ISBN: 4417013640 ; (2004/07) </w:t>
      </w:r>
    </w:p>
    <w:p w:rsidR="007D6688" w:rsidRDefault="007D6688">
      <w:pPr>
        <w:numPr>
          <w:ilvl w:val="0"/>
          <w:numId w:val="15"/>
        </w:numPr>
        <w:snapToGrid w:val="0"/>
        <w:spacing w:line="360" w:lineRule="auto"/>
        <w:jc w:val="both"/>
      </w:pPr>
      <w:hyperlink r:id="rId11" w:history="1">
        <w:r>
          <w:rPr>
            <w:rStyle w:val="a8"/>
            <w:rFonts w:hAnsi="新細明體"/>
            <w:color w:val="auto"/>
            <w:u w:val="none"/>
          </w:rPr>
          <w:t>小林</w:t>
        </w:r>
        <w:r>
          <w:rPr>
            <w:rStyle w:val="a8"/>
            <w:color w:val="auto"/>
            <w:u w:val="none"/>
          </w:rPr>
          <w:t xml:space="preserve"> </w:t>
        </w:r>
        <w:r>
          <w:rPr>
            <w:rStyle w:val="a8"/>
            <w:rFonts w:hAnsi="新細明體"/>
            <w:color w:val="auto"/>
            <w:u w:val="none"/>
          </w:rPr>
          <w:t>久起</w:t>
        </w:r>
      </w:hyperlink>
      <w:r>
        <w:t xml:space="preserve"> (</w:t>
      </w:r>
      <w:r>
        <w:rPr>
          <w:rFonts w:hAnsi="新細明體"/>
        </w:rPr>
        <w:t>著</w:t>
      </w:r>
      <w:r>
        <w:t>)</w:t>
      </w:r>
      <w:r>
        <w:rPr>
          <w:rFonts w:hAnsi="新細明體"/>
        </w:rPr>
        <w:t>，</w:t>
      </w:r>
      <w:r>
        <w:rPr>
          <w:rStyle w:val="a9"/>
          <w:rFonts w:hAnsi="新細明體"/>
          <w:b w:val="0"/>
        </w:rPr>
        <w:t>行政事件訴訟法</w:t>
      </w:r>
      <w:r>
        <w:rPr>
          <w:rStyle w:val="a9"/>
          <w:b w:val="0"/>
        </w:rPr>
        <w:t>    </w:t>
      </w:r>
      <w:r>
        <w:rPr>
          <w:rStyle w:val="a9"/>
          <w:rFonts w:hAnsi="新細明體"/>
          <w:b w:val="0"/>
        </w:rPr>
        <w:t>司法制度改革概説</w:t>
      </w:r>
      <w:r>
        <w:rPr>
          <w:rStyle w:val="a9"/>
          <w:b w:val="0"/>
        </w:rPr>
        <w:t xml:space="preserve"> (3)</w:t>
      </w:r>
      <w:r>
        <w:rPr>
          <w:rFonts w:hAnsi="新細明體"/>
        </w:rPr>
        <w:t>商事法務</w:t>
      </w:r>
      <w:r>
        <w:t xml:space="preserve"> ; ISBN: 4785711981 ; (2004/12) </w:t>
      </w:r>
    </w:p>
    <w:p w:rsidR="007D6688" w:rsidRDefault="007D6688">
      <w:pPr>
        <w:numPr>
          <w:ilvl w:val="0"/>
          <w:numId w:val="15"/>
        </w:numPr>
        <w:snapToGrid w:val="0"/>
        <w:spacing w:line="360" w:lineRule="auto"/>
        <w:jc w:val="both"/>
      </w:pPr>
      <w:hyperlink r:id="rId12" w:history="1">
        <w:r>
          <w:rPr>
            <w:rStyle w:val="a8"/>
            <w:rFonts w:hAnsi="新細明體"/>
            <w:color w:val="auto"/>
            <w:u w:val="none"/>
          </w:rPr>
          <w:t>福井</w:t>
        </w:r>
        <w:r>
          <w:rPr>
            <w:rStyle w:val="a8"/>
            <w:color w:val="auto"/>
            <w:u w:val="none"/>
          </w:rPr>
          <w:t xml:space="preserve"> </w:t>
        </w:r>
        <w:r>
          <w:rPr>
            <w:rStyle w:val="a8"/>
            <w:rFonts w:hAnsi="新細明體"/>
            <w:color w:val="auto"/>
            <w:u w:val="none"/>
          </w:rPr>
          <w:t>秀夫</w:t>
        </w:r>
      </w:hyperlink>
      <w:r>
        <w:t xml:space="preserve">, </w:t>
      </w:r>
      <w:hyperlink r:id="rId13" w:history="1">
        <w:r>
          <w:rPr>
            <w:rStyle w:val="a8"/>
            <w:rFonts w:hAnsi="新細明體"/>
            <w:color w:val="auto"/>
            <w:u w:val="none"/>
          </w:rPr>
          <w:t>村田</w:t>
        </w:r>
        <w:r>
          <w:rPr>
            <w:rStyle w:val="a8"/>
            <w:color w:val="auto"/>
            <w:u w:val="none"/>
          </w:rPr>
          <w:t xml:space="preserve"> </w:t>
        </w:r>
        <w:r>
          <w:rPr>
            <w:rStyle w:val="a8"/>
            <w:rFonts w:hAnsi="新細明體"/>
            <w:color w:val="auto"/>
            <w:u w:val="none"/>
          </w:rPr>
          <w:t>斉志</w:t>
        </w:r>
      </w:hyperlink>
      <w:r>
        <w:t xml:space="preserve">, </w:t>
      </w:r>
      <w:hyperlink r:id="rId14" w:history="1">
        <w:r>
          <w:rPr>
            <w:rStyle w:val="a8"/>
            <w:rFonts w:hAnsi="新細明體"/>
            <w:color w:val="auto"/>
            <w:u w:val="none"/>
          </w:rPr>
          <w:t>越智</w:t>
        </w:r>
        <w:r>
          <w:rPr>
            <w:rStyle w:val="a8"/>
            <w:color w:val="auto"/>
            <w:u w:val="none"/>
          </w:rPr>
          <w:t xml:space="preserve"> </w:t>
        </w:r>
        <w:r>
          <w:rPr>
            <w:rStyle w:val="a8"/>
            <w:rFonts w:hAnsi="新細明體"/>
            <w:color w:val="auto"/>
            <w:u w:val="none"/>
          </w:rPr>
          <w:t>敏裕</w:t>
        </w:r>
      </w:hyperlink>
      <w:r>
        <w:rPr>
          <w:rFonts w:hAnsi="新細明體"/>
        </w:rPr>
        <w:t>，</w:t>
      </w:r>
      <w:r>
        <w:rPr>
          <w:rStyle w:val="a9"/>
          <w:rFonts w:hAnsi="新細明體"/>
          <w:b w:val="0"/>
        </w:rPr>
        <w:t>新行政事件訴訟法</w:t>
      </w:r>
      <w:r>
        <w:rPr>
          <w:rStyle w:val="a9"/>
          <w:b w:val="0"/>
        </w:rPr>
        <w:t>―</w:t>
      </w:r>
      <w:r>
        <w:rPr>
          <w:rStyle w:val="a9"/>
          <w:rFonts w:hAnsi="新細明體"/>
          <w:b w:val="0"/>
        </w:rPr>
        <w:t>逐条解説と</w:t>
      </w:r>
      <w:r>
        <w:rPr>
          <w:rStyle w:val="a9"/>
          <w:b w:val="0"/>
        </w:rPr>
        <w:t>Q&amp;A</w:t>
      </w:r>
      <w:r>
        <w:rPr>
          <w:rStyle w:val="a9"/>
          <w:rFonts w:hAnsi="新細明體"/>
          <w:b w:val="0"/>
        </w:rPr>
        <w:t>，</w:t>
      </w:r>
      <w:r>
        <w:rPr>
          <w:rFonts w:hAnsi="新細明體"/>
        </w:rPr>
        <w:t>新日本法規出版</w:t>
      </w:r>
      <w:r>
        <w:t xml:space="preserve"> ; ISBN: 4788207370 </w:t>
      </w:r>
    </w:p>
    <w:p w:rsidR="007D6688" w:rsidRDefault="007D6688">
      <w:pPr>
        <w:numPr>
          <w:ilvl w:val="0"/>
          <w:numId w:val="15"/>
        </w:numPr>
        <w:snapToGrid w:val="0"/>
        <w:spacing w:line="360" w:lineRule="auto"/>
        <w:jc w:val="both"/>
      </w:pPr>
      <w:hyperlink r:id="rId15" w:history="1">
        <w:r>
          <w:rPr>
            <w:rStyle w:val="a8"/>
            <w:rFonts w:hAnsi="新細明體"/>
            <w:color w:val="auto"/>
            <w:u w:val="none"/>
          </w:rPr>
          <w:t>藤山</w:t>
        </w:r>
        <w:r>
          <w:rPr>
            <w:rStyle w:val="a8"/>
            <w:color w:val="auto"/>
            <w:u w:val="none"/>
          </w:rPr>
          <w:t xml:space="preserve"> </w:t>
        </w:r>
        <w:r>
          <w:rPr>
            <w:rStyle w:val="a8"/>
            <w:rFonts w:hAnsi="新細明體"/>
            <w:color w:val="auto"/>
            <w:u w:val="none"/>
          </w:rPr>
          <w:t>雅行</w:t>
        </w:r>
      </w:hyperlink>
      <w:r>
        <w:rPr>
          <w:rFonts w:hAnsi="新細明體"/>
        </w:rPr>
        <w:t>，</w:t>
      </w:r>
      <w:r>
        <w:rPr>
          <w:rStyle w:val="a9"/>
          <w:rFonts w:hAnsi="新細明體"/>
          <w:b w:val="0"/>
        </w:rPr>
        <w:t>行政争訟</w:t>
      </w:r>
      <w:r>
        <w:rPr>
          <w:rStyle w:val="a9"/>
          <w:b w:val="0"/>
        </w:rPr>
        <w:t>    </w:t>
      </w:r>
      <w:r>
        <w:rPr>
          <w:rStyle w:val="a9"/>
          <w:rFonts w:hAnsi="新細明體"/>
          <w:b w:val="0"/>
        </w:rPr>
        <w:t>新・裁判実務大系，</w:t>
      </w:r>
      <w:r>
        <w:rPr>
          <w:rFonts w:hAnsi="新細明體"/>
        </w:rPr>
        <w:t>青林書院</w:t>
      </w:r>
      <w:r>
        <w:t xml:space="preserve"> ; ISBN: 4417012407 ; 25 </w:t>
      </w:r>
      <w:r>
        <w:rPr>
          <w:rFonts w:hAnsi="新細明體"/>
        </w:rPr>
        <w:t>巻</w:t>
      </w:r>
      <w:r>
        <w:t xml:space="preserve"> (2004/05) </w:t>
      </w:r>
    </w:p>
    <w:p w:rsidR="007D6688" w:rsidRDefault="007D6688">
      <w:pPr>
        <w:numPr>
          <w:ilvl w:val="0"/>
          <w:numId w:val="15"/>
        </w:numPr>
        <w:snapToGrid w:val="0"/>
        <w:spacing w:line="360" w:lineRule="auto"/>
        <w:jc w:val="both"/>
      </w:pPr>
      <w:hyperlink r:id="rId16" w:history="1">
        <w:r>
          <w:rPr>
            <w:rStyle w:val="a8"/>
            <w:rFonts w:hAnsi="新細明體"/>
            <w:color w:val="auto"/>
            <w:u w:val="none"/>
          </w:rPr>
          <w:t>木村</w:t>
        </w:r>
        <w:r>
          <w:rPr>
            <w:rStyle w:val="a8"/>
            <w:color w:val="auto"/>
            <w:u w:val="none"/>
          </w:rPr>
          <w:t xml:space="preserve"> </w:t>
        </w:r>
        <w:r>
          <w:rPr>
            <w:rStyle w:val="a8"/>
            <w:rFonts w:hAnsi="新細明體"/>
            <w:color w:val="auto"/>
            <w:u w:val="none"/>
          </w:rPr>
          <w:t>弘之亮</w:t>
        </w:r>
      </w:hyperlink>
      <w:r>
        <w:rPr>
          <w:rFonts w:hAnsi="新細明體"/>
        </w:rPr>
        <w:t>，</w:t>
      </w:r>
      <w:r>
        <w:rPr>
          <w:rStyle w:val="a9"/>
          <w:b w:val="0"/>
        </w:rPr>
        <w:t>2001</w:t>
      </w:r>
      <w:r>
        <w:rPr>
          <w:rStyle w:val="a9"/>
          <w:rFonts w:hAnsi="新細明體"/>
          <w:b w:val="0"/>
        </w:rPr>
        <w:t>年行政事件訴訟法草案，</w:t>
      </w:r>
      <w:r>
        <w:rPr>
          <w:rFonts w:hAnsi="新細明體"/>
        </w:rPr>
        <w:t>信山社出版</w:t>
      </w:r>
      <w:r>
        <w:t xml:space="preserve"> ; ISBN: 4797230622 ; (2001/07) </w:t>
      </w:r>
    </w:p>
    <w:p w:rsidR="007D6688" w:rsidRDefault="007D6688">
      <w:pPr>
        <w:numPr>
          <w:ilvl w:val="0"/>
          <w:numId w:val="15"/>
        </w:numPr>
        <w:snapToGrid w:val="0"/>
        <w:spacing w:line="360" w:lineRule="auto"/>
        <w:jc w:val="both"/>
      </w:pPr>
      <w:hyperlink r:id="rId17" w:history="1">
        <w:r>
          <w:rPr>
            <w:rStyle w:val="a8"/>
            <w:rFonts w:hAnsi="新細明體"/>
            <w:color w:val="auto"/>
            <w:u w:val="none"/>
          </w:rPr>
          <w:t>塩野</w:t>
        </w:r>
        <w:r>
          <w:rPr>
            <w:rStyle w:val="a8"/>
            <w:color w:val="auto"/>
            <w:u w:val="none"/>
          </w:rPr>
          <w:t xml:space="preserve"> </w:t>
        </w:r>
        <w:r>
          <w:rPr>
            <w:rStyle w:val="a8"/>
            <w:rFonts w:hAnsi="新細明體"/>
            <w:color w:val="auto"/>
            <w:u w:val="none"/>
          </w:rPr>
          <w:t>宏</w:t>
        </w:r>
      </w:hyperlink>
      <w:r>
        <w:rPr>
          <w:rFonts w:hAnsi="新細明體"/>
        </w:rPr>
        <w:t>，</w:t>
      </w:r>
      <w:r>
        <w:rPr>
          <w:rStyle w:val="a9"/>
          <w:rFonts w:hAnsi="新細明體"/>
          <w:b w:val="0"/>
        </w:rPr>
        <w:t>行政法〈</w:t>
      </w:r>
      <w:r>
        <w:rPr>
          <w:rStyle w:val="a9"/>
          <w:b w:val="0"/>
        </w:rPr>
        <w:t>2</w:t>
      </w:r>
      <w:r>
        <w:rPr>
          <w:rStyle w:val="a9"/>
          <w:rFonts w:hAnsi="新細明體"/>
          <w:b w:val="0"/>
        </w:rPr>
        <w:t>〉行政救済法，</w:t>
      </w:r>
      <w:r>
        <w:rPr>
          <w:rFonts w:hAnsi="新細明體"/>
        </w:rPr>
        <w:t>有斐閣</w:t>
      </w:r>
      <w:r>
        <w:t xml:space="preserve"> ; ISBN: 4641129517 ; </w:t>
      </w:r>
      <w:r>
        <w:rPr>
          <w:rFonts w:hAnsi="新細明體"/>
        </w:rPr>
        <w:t>第三版</w:t>
      </w:r>
      <w:r>
        <w:t xml:space="preserve"> </w:t>
      </w:r>
      <w:r>
        <w:rPr>
          <w:rFonts w:hAnsi="新細明體"/>
        </w:rPr>
        <w:t>版</w:t>
      </w:r>
      <w:r>
        <w:t xml:space="preserve"> 2 </w:t>
      </w:r>
      <w:r>
        <w:rPr>
          <w:rFonts w:hAnsi="新細明體"/>
        </w:rPr>
        <w:t>巻</w:t>
      </w:r>
      <w:r>
        <w:t xml:space="preserve"> (2004/03)</w:t>
      </w:r>
    </w:p>
    <w:p w:rsidR="007D6688" w:rsidRDefault="007D6688">
      <w:pPr>
        <w:numPr>
          <w:ilvl w:val="0"/>
          <w:numId w:val="15"/>
        </w:numPr>
        <w:snapToGrid w:val="0"/>
        <w:spacing w:line="360" w:lineRule="auto"/>
        <w:jc w:val="both"/>
      </w:pPr>
      <w:hyperlink r:id="rId18" w:history="1">
        <w:r>
          <w:rPr>
            <w:rStyle w:val="a8"/>
            <w:rFonts w:hAnsi="新細明體"/>
            <w:color w:val="auto"/>
            <w:u w:val="none"/>
          </w:rPr>
          <w:t>芝池</w:t>
        </w:r>
        <w:r>
          <w:rPr>
            <w:rStyle w:val="a8"/>
            <w:color w:val="auto"/>
            <w:u w:val="none"/>
          </w:rPr>
          <w:t xml:space="preserve"> </w:t>
        </w:r>
        <w:r>
          <w:rPr>
            <w:rStyle w:val="a8"/>
            <w:rFonts w:hAnsi="新細明體"/>
            <w:color w:val="auto"/>
            <w:u w:val="none"/>
          </w:rPr>
          <w:t>義一</w:t>
        </w:r>
      </w:hyperlink>
      <w:r>
        <w:rPr>
          <w:rFonts w:hAnsi="新細明體"/>
        </w:rPr>
        <w:t>，</w:t>
      </w:r>
      <w:r>
        <w:rPr>
          <w:rStyle w:val="a9"/>
          <w:rFonts w:hAnsi="新細明體"/>
          <w:b w:val="0"/>
        </w:rPr>
        <w:t>行政救済法講義，</w:t>
      </w:r>
      <w:r>
        <w:rPr>
          <w:rFonts w:hAnsi="新細明體"/>
        </w:rPr>
        <w:t>有斐閣</w:t>
      </w:r>
      <w:r>
        <w:t xml:space="preserve"> ; ISBN: 4641129614 ; </w:t>
      </w:r>
      <w:r>
        <w:rPr>
          <w:rFonts w:hAnsi="新細明體"/>
        </w:rPr>
        <w:t>第</w:t>
      </w:r>
      <w:r>
        <w:t>2</w:t>
      </w:r>
      <w:r>
        <w:rPr>
          <w:rFonts w:hAnsi="新細明體"/>
        </w:rPr>
        <w:t>版補訂増補版</w:t>
      </w:r>
      <w:r>
        <w:t xml:space="preserve"> (2004/10) </w:t>
      </w:r>
    </w:p>
    <w:p w:rsidR="007D6688" w:rsidRDefault="007D6688">
      <w:pPr>
        <w:numPr>
          <w:ilvl w:val="0"/>
          <w:numId w:val="15"/>
        </w:numPr>
        <w:snapToGrid w:val="0"/>
        <w:spacing w:line="360" w:lineRule="auto"/>
        <w:jc w:val="both"/>
      </w:pPr>
      <w:hyperlink r:id="rId19" w:history="1">
        <w:r>
          <w:rPr>
            <w:rStyle w:val="a8"/>
            <w:rFonts w:hAnsi="新細明體"/>
            <w:color w:val="auto"/>
            <w:u w:val="none"/>
          </w:rPr>
          <w:t>南</w:t>
        </w:r>
        <w:r>
          <w:rPr>
            <w:rStyle w:val="a8"/>
            <w:color w:val="auto"/>
            <w:u w:val="none"/>
          </w:rPr>
          <w:t xml:space="preserve"> </w:t>
        </w:r>
        <w:r>
          <w:rPr>
            <w:rStyle w:val="a8"/>
            <w:rFonts w:hAnsi="新細明體"/>
            <w:color w:val="auto"/>
            <w:u w:val="none"/>
          </w:rPr>
          <w:t>博方</w:t>
        </w:r>
      </w:hyperlink>
      <w:r>
        <w:t xml:space="preserve">, </w:t>
      </w:r>
      <w:hyperlink r:id="rId20" w:history="1">
        <w:r>
          <w:rPr>
            <w:rStyle w:val="a8"/>
            <w:rFonts w:hAnsi="新細明體"/>
            <w:color w:val="auto"/>
            <w:u w:val="none"/>
          </w:rPr>
          <w:t>高橋</w:t>
        </w:r>
        <w:r>
          <w:rPr>
            <w:rStyle w:val="a8"/>
            <w:color w:val="auto"/>
            <w:u w:val="none"/>
          </w:rPr>
          <w:t xml:space="preserve"> </w:t>
        </w:r>
        <w:r>
          <w:rPr>
            <w:rStyle w:val="a8"/>
            <w:rFonts w:hAnsi="新細明體"/>
            <w:color w:val="auto"/>
            <w:u w:val="none"/>
          </w:rPr>
          <w:t>滋</w:t>
        </w:r>
      </w:hyperlink>
      <w:r>
        <w:rPr>
          <w:rFonts w:hAnsi="新細明體"/>
        </w:rPr>
        <w:t>，</w:t>
      </w:r>
      <w:r>
        <w:rPr>
          <w:rStyle w:val="a9"/>
          <w:rFonts w:hAnsi="新細明體"/>
          <w:b w:val="0"/>
        </w:rPr>
        <w:t>条解</w:t>
      </w:r>
      <w:r>
        <w:rPr>
          <w:rStyle w:val="a9"/>
          <w:b w:val="0"/>
        </w:rPr>
        <w:t xml:space="preserve"> </w:t>
      </w:r>
      <w:r>
        <w:rPr>
          <w:rStyle w:val="a9"/>
          <w:rFonts w:hAnsi="新細明體"/>
          <w:b w:val="0"/>
        </w:rPr>
        <w:t>行政事件訴訟法，</w:t>
      </w:r>
      <w:r>
        <w:rPr>
          <w:rFonts w:hAnsi="新細明體"/>
        </w:rPr>
        <w:t>弘文堂</w:t>
      </w:r>
      <w:r>
        <w:t xml:space="preserve"> ; ISBN: 4335352581 ; </w:t>
      </w:r>
      <w:r>
        <w:rPr>
          <w:rFonts w:hAnsi="新細明體"/>
        </w:rPr>
        <w:t>第</w:t>
      </w:r>
      <w:r>
        <w:t>2</w:t>
      </w:r>
      <w:r>
        <w:rPr>
          <w:rFonts w:hAnsi="新細明體"/>
        </w:rPr>
        <w:t>版</w:t>
      </w:r>
      <w:r>
        <w:t xml:space="preserve"> </w:t>
      </w:r>
      <w:r>
        <w:rPr>
          <w:rFonts w:hAnsi="新細明體"/>
        </w:rPr>
        <w:t>版</w:t>
      </w:r>
      <w:r>
        <w:t xml:space="preserve"> (2003/12) </w:t>
      </w:r>
    </w:p>
    <w:p w:rsidR="007D6688" w:rsidRDefault="007D6688">
      <w:pPr>
        <w:numPr>
          <w:ilvl w:val="0"/>
          <w:numId w:val="15"/>
        </w:numPr>
        <w:snapToGrid w:val="0"/>
        <w:spacing w:line="360" w:lineRule="auto"/>
        <w:jc w:val="both"/>
        <w:rPr>
          <w:lang w:eastAsia="ja-JP"/>
        </w:rPr>
      </w:pPr>
      <w:hyperlink r:id="rId21" w:history="1">
        <w:r>
          <w:rPr>
            <w:rStyle w:val="a8"/>
            <w:rFonts w:hAnsi="新細明體"/>
            <w:color w:val="auto"/>
            <w:u w:val="none"/>
            <w:lang w:eastAsia="ja-JP"/>
          </w:rPr>
          <w:t>室井</w:t>
        </w:r>
        <w:r>
          <w:rPr>
            <w:rStyle w:val="a8"/>
            <w:color w:val="auto"/>
            <w:u w:val="none"/>
            <w:lang w:eastAsia="ja-JP"/>
          </w:rPr>
          <w:t xml:space="preserve"> </w:t>
        </w:r>
        <w:r>
          <w:rPr>
            <w:rStyle w:val="a8"/>
            <w:rFonts w:hAnsi="新細明體"/>
            <w:color w:val="auto"/>
            <w:u w:val="none"/>
            <w:lang w:eastAsia="ja-JP"/>
          </w:rPr>
          <w:t>力</w:t>
        </w:r>
      </w:hyperlink>
      <w:r>
        <w:rPr>
          <w:lang w:eastAsia="ja-JP"/>
        </w:rPr>
        <w:t xml:space="preserve">, </w:t>
      </w:r>
      <w:hyperlink r:id="rId22" w:history="1">
        <w:r>
          <w:rPr>
            <w:rStyle w:val="a8"/>
            <w:rFonts w:hAnsi="新細明體"/>
            <w:color w:val="auto"/>
            <w:u w:val="none"/>
            <w:lang w:eastAsia="ja-JP"/>
          </w:rPr>
          <w:t>浜川</w:t>
        </w:r>
        <w:r>
          <w:rPr>
            <w:rStyle w:val="a8"/>
            <w:color w:val="auto"/>
            <w:u w:val="none"/>
            <w:lang w:eastAsia="ja-JP"/>
          </w:rPr>
          <w:t xml:space="preserve"> </w:t>
        </w:r>
        <w:r>
          <w:rPr>
            <w:rStyle w:val="a8"/>
            <w:rFonts w:hAnsi="新細明體"/>
            <w:color w:val="auto"/>
            <w:u w:val="none"/>
            <w:lang w:eastAsia="ja-JP"/>
          </w:rPr>
          <w:t>清</w:t>
        </w:r>
      </w:hyperlink>
      <w:r>
        <w:rPr>
          <w:lang w:eastAsia="ja-JP"/>
        </w:rPr>
        <w:t xml:space="preserve">, </w:t>
      </w:r>
      <w:hyperlink r:id="rId23" w:history="1">
        <w:r>
          <w:rPr>
            <w:rStyle w:val="a8"/>
            <w:rFonts w:hAnsi="新細明體"/>
            <w:color w:val="auto"/>
            <w:u w:val="none"/>
            <w:lang w:eastAsia="ja-JP"/>
          </w:rPr>
          <w:t>芝池</w:t>
        </w:r>
        <w:r>
          <w:rPr>
            <w:rStyle w:val="a8"/>
            <w:color w:val="auto"/>
            <w:u w:val="none"/>
            <w:lang w:eastAsia="ja-JP"/>
          </w:rPr>
          <w:t xml:space="preserve"> </w:t>
        </w:r>
        <w:r>
          <w:rPr>
            <w:rStyle w:val="a8"/>
            <w:rFonts w:hAnsi="新細明體"/>
            <w:color w:val="auto"/>
            <w:u w:val="none"/>
            <w:lang w:eastAsia="ja-JP"/>
          </w:rPr>
          <w:t>義一</w:t>
        </w:r>
      </w:hyperlink>
      <w:r>
        <w:rPr>
          <w:rFonts w:hAnsi="新細明體"/>
          <w:lang w:eastAsia="ja-JP"/>
        </w:rPr>
        <w:t>，</w:t>
      </w:r>
      <w:r>
        <w:rPr>
          <w:rStyle w:val="a9"/>
          <w:rFonts w:hAnsi="新細明體"/>
          <w:b w:val="0"/>
          <w:lang w:eastAsia="ja-JP"/>
        </w:rPr>
        <w:t>行政事件訴訟法・国家賠償法</w:t>
      </w:r>
      <w:r>
        <w:rPr>
          <w:rStyle w:val="a9"/>
          <w:b w:val="0"/>
          <w:lang w:eastAsia="ja-JP"/>
        </w:rPr>
        <w:t>    </w:t>
      </w:r>
      <w:r>
        <w:rPr>
          <w:rStyle w:val="a9"/>
          <w:rFonts w:hAnsi="新細明體"/>
          <w:b w:val="0"/>
          <w:lang w:eastAsia="ja-JP"/>
        </w:rPr>
        <w:t>コンメンタール行政法，</w:t>
      </w:r>
      <w:r>
        <w:rPr>
          <w:rFonts w:hAnsi="新細明體"/>
          <w:lang w:eastAsia="ja-JP"/>
        </w:rPr>
        <w:t>日本評論社</w:t>
      </w:r>
      <w:r>
        <w:rPr>
          <w:lang w:eastAsia="ja-JP"/>
        </w:rPr>
        <w:t xml:space="preserve"> ; ISBN: 4535001480 ; 2 </w:t>
      </w:r>
      <w:r>
        <w:rPr>
          <w:rFonts w:hAnsi="新細明體"/>
          <w:lang w:eastAsia="ja-JP"/>
        </w:rPr>
        <w:t>巻</w:t>
      </w:r>
      <w:r>
        <w:rPr>
          <w:lang w:eastAsia="ja-JP"/>
        </w:rPr>
        <w:t xml:space="preserve"> (2004/01) </w:t>
      </w:r>
    </w:p>
    <w:p w:rsidR="007D6688" w:rsidRDefault="007D6688">
      <w:pPr>
        <w:numPr>
          <w:ilvl w:val="0"/>
          <w:numId w:val="15"/>
        </w:numPr>
        <w:snapToGrid w:val="0"/>
        <w:spacing w:line="360" w:lineRule="auto"/>
        <w:jc w:val="both"/>
        <w:rPr>
          <w:lang w:eastAsia="ja-JP"/>
        </w:rPr>
      </w:pPr>
      <w:hyperlink r:id="rId24" w:history="1">
        <w:r>
          <w:rPr>
            <w:rStyle w:val="a8"/>
            <w:rFonts w:hAnsi="新細明體"/>
            <w:color w:val="auto"/>
            <w:u w:val="none"/>
            <w:lang w:eastAsia="ja-JP"/>
          </w:rPr>
          <w:t>阿部</w:t>
        </w:r>
        <w:r>
          <w:rPr>
            <w:rStyle w:val="a8"/>
            <w:color w:val="auto"/>
            <w:u w:val="none"/>
            <w:lang w:eastAsia="ja-JP"/>
          </w:rPr>
          <w:t xml:space="preserve"> </w:t>
        </w:r>
        <w:r>
          <w:rPr>
            <w:rStyle w:val="a8"/>
            <w:rFonts w:hAnsi="新細明體"/>
            <w:color w:val="auto"/>
            <w:u w:val="none"/>
            <w:lang w:eastAsia="ja-JP"/>
          </w:rPr>
          <w:t>泰隆</w:t>
        </w:r>
      </w:hyperlink>
      <w:r>
        <w:rPr>
          <w:rFonts w:hAnsi="新細明體"/>
          <w:lang w:eastAsia="ja-JP"/>
        </w:rPr>
        <w:t>，</w:t>
      </w:r>
      <w:r>
        <w:rPr>
          <w:rStyle w:val="a9"/>
          <w:rFonts w:hAnsi="新細明體"/>
          <w:b w:val="0"/>
          <w:lang w:eastAsia="ja-JP"/>
        </w:rPr>
        <w:t>行政訴訟要件論</w:t>
      </w:r>
      <w:r>
        <w:rPr>
          <w:rStyle w:val="a9"/>
          <w:b w:val="0"/>
          <w:lang w:eastAsia="ja-JP"/>
        </w:rPr>
        <w:t>―</w:t>
      </w:r>
      <w:r>
        <w:rPr>
          <w:rStyle w:val="a9"/>
          <w:rFonts w:hAnsi="新細明體"/>
          <w:b w:val="0"/>
          <w:lang w:eastAsia="ja-JP"/>
        </w:rPr>
        <w:t>包括的・実効的行政救済のための解釈論，</w:t>
      </w:r>
      <w:r>
        <w:rPr>
          <w:rFonts w:hAnsi="新細明體"/>
          <w:lang w:eastAsia="ja-JP"/>
        </w:rPr>
        <w:t>弘文堂</w:t>
      </w:r>
      <w:r>
        <w:rPr>
          <w:lang w:eastAsia="ja-JP"/>
        </w:rPr>
        <w:t xml:space="preserve"> ; ISBN: 4335312040 ; (2003/06) </w:t>
      </w:r>
    </w:p>
    <w:p w:rsidR="007D6688" w:rsidRDefault="007D6688">
      <w:pPr>
        <w:widowControl/>
        <w:ind w:left="1121" w:hangingChars="400" w:hanging="1121"/>
        <w:jc w:val="both"/>
        <w:rPr>
          <w:rFonts w:eastAsia="標楷體"/>
          <w:b/>
          <w:bCs/>
          <w:sz w:val="28"/>
          <w:lang w:val="de-DE"/>
        </w:rPr>
      </w:pPr>
      <w:r>
        <w:rPr>
          <w:rFonts w:eastAsia="標楷體"/>
          <w:b/>
          <w:bCs/>
          <w:sz w:val="28"/>
          <w:szCs w:val="22"/>
          <w:lang w:val="de-DE"/>
        </w:rPr>
        <w:t>德文部分</w:t>
      </w:r>
    </w:p>
    <w:p w:rsidR="007D6688" w:rsidRDefault="007D6688">
      <w:pPr>
        <w:numPr>
          <w:ilvl w:val="0"/>
          <w:numId w:val="34"/>
        </w:numPr>
        <w:spacing w:line="360" w:lineRule="auto"/>
        <w:rPr>
          <w:rFonts w:ascii="標楷體" w:eastAsia="標楷體" w:hAnsi="標楷體" w:hint="eastAsia"/>
          <w:b/>
        </w:rPr>
      </w:pPr>
      <w:r>
        <w:rPr>
          <w:rFonts w:ascii="標楷體" w:eastAsia="標楷體" w:hAnsi="標楷體" w:hint="eastAsia"/>
          <w:b/>
        </w:rPr>
        <w:t>書籍</w:t>
      </w:r>
    </w:p>
    <w:p w:rsidR="007D6688" w:rsidRDefault="007D6688">
      <w:pPr>
        <w:spacing w:line="360" w:lineRule="auto"/>
        <w:rPr>
          <w:rFonts w:ascii="標楷體" w:eastAsia="標楷體" w:hAnsi="標楷體" w:hint="eastAsia"/>
          <w:lang w:val="de-DE"/>
        </w:rPr>
      </w:pPr>
    </w:p>
    <w:p w:rsidR="007D6688" w:rsidRDefault="007D6688">
      <w:pPr>
        <w:spacing w:line="360" w:lineRule="auto"/>
        <w:ind w:left="480" w:hangingChars="200" w:hanging="480"/>
        <w:rPr>
          <w:rFonts w:hint="eastAsia"/>
          <w:lang w:val="de-DE"/>
        </w:rPr>
      </w:pPr>
      <w:r>
        <w:rPr>
          <w:rFonts w:hint="eastAsia"/>
        </w:rPr>
        <w:t>λ</w:t>
      </w:r>
      <w:r>
        <w:rPr>
          <w:lang w:val="de-DE"/>
        </w:rPr>
        <w:t xml:space="preserve"> </w:t>
      </w:r>
      <w:r>
        <w:rPr>
          <w:rFonts w:hint="eastAsia"/>
          <w:lang w:val="de-DE"/>
        </w:rPr>
        <w:t xml:space="preserve"> </w:t>
      </w:r>
      <w:r>
        <w:rPr>
          <w:lang w:val="de-DE"/>
        </w:rPr>
        <w:t xml:space="preserve">Bettina Jung Lundberg-Höwing, Der verwaltungsgerichtliche Rechtsschutz des </w:t>
      </w:r>
    </w:p>
    <w:p w:rsidR="007D6688" w:rsidRDefault="007D6688">
      <w:pPr>
        <w:pStyle w:val="a5"/>
        <w:spacing w:line="360" w:lineRule="auto"/>
        <w:ind w:leftChars="234" w:left="562" w:firstLineChars="0" w:firstLine="0"/>
        <w:rPr>
          <w:rFonts w:hint="eastAsia"/>
          <w:sz w:val="24"/>
          <w:lang w:val="de-DE"/>
        </w:rPr>
      </w:pPr>
      <w:r>
        <w:rPr>
          <w:sz w:val="24"/>
          <w:lang w:val="de-DE"/>
        </w:rPr>
        <w:t>Beamten gegen dienstaufsichtliche und organisatorische Maßnahmen, Diss. Göttingen, 1992, S. 80</w:t>
      </w:r>
      <w:r>
        <w:rPr>
          <w:rFonts w:hint="eastAsia"/>
          <w:sz w:val="24"/>
        </w:rPr>
        <w:t>。</w:t>
      </w:r>
    </w:p>
    <w:p w:rsidR="007D6688" w:rsidRDefault="007D6688">
      <w:pPr>
        <w:pStyle w:val="a5"/>
        <w:spacing w:line="360" w:lineRule="auto"/>
        <w:ind w:left="480" w:hanging="480"/>
        <w:rPr>
          <w:rFonts w:hint="eastAsia"/>
          <w:sz w:val="24"/>
        </w:rPr>
      </w:pPr>
      <w:r>
        <w:rPr>
          <w:rFonts w:hint="eastAsia"/>
          <w:sz w:val="24"/>
        </w:rPr>
        <w:t>λ</w:t>
      </w:r>
      <w:r>
        <w:rPr>
          <w:rFonts w:hint="eastAsia"/>
          <w:sz w:val="24"/>
        </w:rPr>
        <w:t xml:space="preserve">  </w:t>
      </w:r>
      <w:r>
        <w:rPr>
          <w:sz w:val="24"/>
        </w:rPr>
        <w:t>Carl Hermann</w:t>
      </w:r>
      <w:r>
        <w:rPr>
          <w:rFonts w:hint="eastAsia"/>
          <w:sz w:val="24"/>
        </w:rPr>
        <w:t xml:space="preserve"> </w:t>
      </w:r>
      <w:r>
        <w:rPr>
          <w:sz w:val="24"/>
          <w:lang w:eastAsia="ja-JP"/>
        </w:rPr>
        <w:t xml:space="preserve">Ule, Die Grundrechte, Bd. </w:t>
      </w:r>
      <w:r>
        <w:rPr>
          <w:sz w:val="24"/>
        </w:rPr>
        <w:t>IV/2, S. 585.</w:t>
      </w:r>
      <w:r>
        <w:rPr>
          <w:rFonts w:hint="eastAsia"/>
          <w:sz w:val="24"/>
        </w:rPr>
        <w:t>。</w:t>
      </w:r>
    </w:p>
    <w:p w:rsidR="007D6688" w:rsidRDefault="007D6688">
      <w:pPr>
        <w:pStyle w:val="a5"/>
        <w:spacing w:line="360" w:lineRule="auto"/>
        <w:ind w:left="480" w:hanging="480"/>
        <w:rPr>
          <w:rFonts w:hint="eastAsia"/>
          <w:sz w:val="24"/>
        </w:rPr>
      </w:pPr>
      <w:r>
        <w:rPr>
          <w:rFonts w:hint="eastAsia"/>
          <w:sz w:val="24"/>
        </w:rPr>
        <w:t>λ</w:t>
      </w:r>
      <w:r>
        <w:rPr>
          <w:rFonts w:hint="eastAsia"/>
          <w:sz w:val="24"/>
        </w:rPr>
        <w:t xml:space="preserve">  </w:t>
      </w:r>
      <w:r>
        <w:rPr>
          <w:bCs/>
          <w:iCs/>
          <w:color w:val="000000"/>
          <w:sz w:val="24"/>
        </w:rPr>
        <w:t>Christoph</w:t>
      </w:r>
      <w:r>
        <w:rPr>
          <w:color w:val="000000"/>
          <w:sz w:val="24"/>
        </w:rPr>
        <w:t xml:space="preserve"> </w:t>
      </w:r>
      <w:r>
        <w:rPr>
          <w:bCs/>
          <w:iCs/>
          <w:color w:val="000000"/>
          <w:sz w:val="24"/>
        </w:rPr>
        <w:t xml:space="preserve">Druschel, </w:t>
      </w:r>
      <w:r>
        <w:rPr>
          <w:color w:val="000000"/>
          <w:sz w:val="24"/>
        </w:rPr>
        <w:t xml:space="preserve">Die Verwaltungsaktbefugnis, 1999, S. </w:t>
      </w:r>
      <w:smartTag w:uri="urn:schemas-microsoft-com:office:smarttags" w:element="chmetcnv">
        <w:smartTagPr>
          <w:attr w:name="UnitName" w:val="F"/>
          <w:attr w:name="SourceValue" w:val="225"/>
          <w:attr w:name="HasSpace" w:val="True"/>
          <w:attr w:name="Negative" w:val="False"/>
          <w:attr w:name="NumberType" w:val="1"/>
          <w:attr w:name="TCSC" w:val="0"/>
        </w:smartTagPr>
        <w:r>
          <w:rPr>
            <w:color w:val="000000"/>
            <w:sz w:val="24"/>
          </w:rPr>
          <w:t>225 f</w:t>
        </w:r>
      </w:smartTag>
      <w:r>
        <w:rPr>
          <w:color w:val="000000"/>
          <w:sz w:val="24"/>
        </w:rPr>
        <w:t>.</w:t>
      </w:r>
      <w:r>
        <w:rPr>
          <w:rFonts w:hint="eastAsia"/>
          <w:color w:val="000000"/>
          <w:sz w:val="24"/>
        </w:rPr>
        <w:t>。</w:t>
      </w:r>
    </w:p>
    <w:p w:rsidR="007D6688" w:rsidRDefault="007D6688">
      <w:pPr>
        <w:pStyle w:val="a5"/>
        <w:spacing w:line="360" w:lineRule="auto"/>
        <w:ind w:left="480" w:hanging="480"/>
        <w:rPr>
          <w:rFonts w:hint="eastAsia"/>
          <w:sz w:val="24"/>
        </w:rPr>
      </w:pPr>
      <w:r>
        <w:rPr>
          <w:rFonts w:hint="eastAsia"/>
          <w:sz w:val="24"/>
        </w:rPr>
        <w:t>λ</w:t>
      </w:r>
      <w:r>
        <w:rPr>
          <w:rFonts w:hint="eastAsia"/>
          <w:sz w:val="24"/>
        </w:rPr>
        <w:t xml:space="preserve">  </w:t>
      </w:r>
      <w:r>
        <w:rPr>
          <w:sz w:val="24"/>
        </w:rPr>
        <w:t>Dirk Ehlers, Die Aufrechnung im öffentlichen Recht, JuS 1990, 777 ff.</w:t>
      </w:r>
      <w:r>
        <w:rPr>
          <w:rFonts w:hint="eastAsia"/>
          <w:sz w:val="24"/>
        </w:rPr>
        <w:t>。</w:t>
      </w:r>
    </w:p>
    <w:p w:rsidR="007D6688" w:rsidRDefault="007D6688">
      <w:pPr>
        <w:pStyle w:val="ad"/>
        <w:spacing w:line="360" w:lineRule="auto"/>
        <w:ind w:left="480" w:hangingChars="200" w:hanging="480"/>
        <w:jc w:val="both"/>
        <w:rPr>
          <w:rFonts w:hint="eastAsia"/>
          <w:color w:val="000000"/>
          <w:sz w:val="24"/>
          <w:lang w:val="de-DE"/>
        </w:rPr>
      </w:pPr>
      <w:r>
        <w:rPr>
          <w:rFonts w:hint="eastAsia"/>
          <w:color w:val="000000"/>
          <w:sz w:val="24"/>
          <w:szCs w:val="24"/>
          <w:lang w:val="de-DE"/>
        </w:rPr>
        <w:t>λ</w:t>
      </w:r>
      <w:r>
        <w:rPr>
          <w:rFonts w:hint="eastAsia"/>
          <w:color w:val="000000"/>
          <w:sz w:val="24"/>
          <w:szCs w:val="24"/>
          <w:lang w:val="de-DE"/>
        </w:rPr>
        <w:t xml:space="preserve">  </w:t>
      </w:r>
      <w:r>
        <w:rPr>
          <w:bCs/>
          <w:iCs/>
          <w:sz w:val="24"/>
          <w:lang w:val="de-DE"/>
        </w:rPr>
        <w:t xml:space="preserve">Eberhard Schmidt-Aßmann, </w:t>
      </w:r>
      <w:r>
        <w:rPr>
          <w:sz w:val="24"/>
          <w:lang w:val="de-DE"/>
        </w:rPr>
        <w:t>Das allgemeine Verwaltungsrecht als Ordnungsidee, 1998,</w:t>
      </w:r>
      <w:r>
        <w:rPr>
          <w:color w:val="0000FF"/>
          <w:sz w:val="24"/>
          <w:lang w:val="de-DE"/>
        </w:rPr>
        <w:t xml:space="preserve"> </w:t>
      </w:r>
      <w:r>
        <w:rPr>
          <w:color w:val="000000"/>
          <w:sz w:val="24"/>
          <w:lang w:val="de-DE"/>
        </w:rPr>
        <w:t>2/ 60 ff.</w:t>
      </w:r>
      <w:r>
        <w:rPr>
          <w:rFonts w:hint="eastAsia"/>
          <w:color w:val="000000"/>
          <w:sz w:val="24"/>
          <w:lang w:val="de-DE"/>
        </w:rPr>
        <w:t>。</w:t>
      </w:r>
    </w:p>
    <w:p w:rsidR="007D6688" w:rsidRDefault="007D6688">
      <w:pPr>
        <w:pStyle w:val="ad"/>
        <w:spacing w:line="360" w:lineRule="auto"/>
        <w:ind w:left="677" w:hangingChars="282" w:hanging="677"/>
        <w:jc w:val="both"/>
        <w:rPr>
          <w:rFonts w:hint="eastAsia"/>
          <w:bCs/>
          <w:iCs/>
          <w:sz w:val="24"/>
          <w:lang w:val="de-DE"/>
        </w:rPr>
      </w:pPr>
      <w:r>
        <w:rPr>
          <w:rFonts w:hint="eastAsia"/>
          <w:color w:val="000000"/>
          <w:sz w:val="24"/>
          <w:lang w:val="de-DE"/>
        </w:rPr>
        <w:t>λ</w:t>
      </w:r>
      <w:r>
        <w:rPr>
          <w:rFonts w:hint="eastAsia"/>
          <w:color w:val="000000"/>
          <w:sz w:val="24"/>
          <w:lang w:val="de-DE"/>
        </w:rPr>
        <w:t xml:space="preserve">  </w:t>
      </w:r>
      <w:r>
        <w:rPr>
          <w:bCs/>
          <w:iCs/>
          <w:sz w:val="24"/>
          <w:lang w:val="de-DE"/>
        </w:rPr>
        <w:t xml:space="preserve">Eberhard Schmidt-Aßmann, in: Theoder Maunz/ Günter Dürig/ Roman Herzog/ </w:t>
      </w:r>
    </w:p>
    <w:p w:rsidR="007D6688" w:rsidRDefault="007D6688">
      <w:pPr>
        <w:pStyle w:val="ad"/>
        <w:spacing w:line="360" w:lineRule="auto"/>
        <w:ind w:leftChars="200" w:left="677" w:hangingChars="82" w:hanging="197"/>
        <w:jc w:val="both"/>
        <w:rPr>
          <w:rFonts w:hint="eastAsia"/>
          <w:color w:val="000000"/>
          <w:sz w:val="24"/>
          <w:lang w:val="de-DE"/>
        </w:rPr>
      </w:pPr>
      <w:r>
        <w:rPr>
          <w:bCs/>
          <w:iCs/>
          <w:sz w:val="24"/>
          <w:lang w:val="de-DE"/>
        </w:rPr>
        <w:t xml:space="preserve">Rupert Scholz (Hrsg.), </w:t>
      </w:r>
      <w:r>
        <w:rPr>
          <w:sz w:val="24"/>
          <w:lang w:val="de-DE"/>
        </w:rPr>
        <w:t>Grundgesetz, Stand: 1997, Art. 19 IV Rn. 278.</w:t>
      </w:r>
      <w:r>
        <w:rPr>
          <w:rFonts w:hint="eastAsia"/>
          <w:sz w:val="24"/>
          <w:lang w:val="de-DE"/>
        </w:rPr>
        <w:t>。</w:t>
      </w:r>
    </w:p>
    <w:p w:rsidR="007D6688" w:rsidRDefault="007D6688">
      <w:pPr>
        <w:spacing w:line="360" w:lineRule="auto"/>
        <w:ind w:left="480" w:hangingChars="200" w:hanging="480"/>
        <w:rPr>
          <w:rFonts w:hint="eastAsia"/>
          <w:color w:val="000000"/>
          <w:lang w:val="de-DE"/>
        </w:rPr>
      </w:pPr>
      <w:r>
        <w:rPr>
          <w:rFonts w:hint="eastAsia"/>
          <w:color w:val="000000"/>
          <w:lang w:val="de-DE"/>
        </w:rPr>
        <w:t>λ</w:t>
      </w:r>
      <w:r>
        <w:rPr>
          <w:rFonts w:hint="eastAsia"/>
          <w:color w:val="000000"/>
          <w:lang w:val="de-DE"/>
        </w:rPr>
        <w:t xml:space="preserve">  </w:t>
      </w:r>
      <w:r>
        <w:rPr>
          <w:lang w:val="de-DE"/>
        </w:rPr>
        <w:t>Eugen Brandel in: Rudolf Schweickhardt (Hrsg.), Allgemeines Verwaltungsrecht, 7. Aufl</w:t>
      </w:r>
      <w:r>
        <w:rPr>
          <w:rFonts w:hint="eastAsia"/>
          <w:lang w:val="de-DE"/>
        </w:rPr>
        <w:t>。</w:t>
      </w:r>
    </w:p>
    <w:p w:rsidR="007D6688" w:rsidRDefault="007D6688">
      <w:pPr>
        <w:pStyle w:val="ad"/>
        <w:spacing w:line="360" w:lineRule="auto"/>
        <w:ind w:left="480" w:hangingChars="200" w:hanging="480"/>
        <w:jc w:val="both"/>
        <w:rPr>
          <w:rFonts w:hint="eastAsia"/>
          <w:color w:val="000000"/>
          <w:sz w:val="24"/>
          <w:lang w:val="de-DE"/>
        </w:rPr>
      </w:pPr>
      <w:r>
        <w:rPr>
          <w:rFonts w:hint="eastAsia"/>
          <w:color w:val="000000"/>
          <w:sz w:val="24"/>
          <w:lang w:val="de-DE"/>
        </w:rPr>
        <w:t>λ</w:t>
      </w:r>
      <w:r>
        <w:rPr>
          <w:rFonts w:hint="eastAsia"/>
          <w:color w:val="000000"/>
          <w:sz w:val="24"/>
          <w:lang w:val="de-DE"/>
        </w:rPr>
        <w:t xml:space="preserve">  </w:t>
      </w:r>
      <w:r>
        <w:rPr>
          <w:sz w:val="24"/>
          <w:szCs w:val="24"/>
          <w:lang w:val="de-DE"/>
        </w:rPr>
        <w:t xml:space="preserve">Elmar </w:t>
      </w:r>
      <w:r>
        <w:rPr>
          <w:bCs/>
          <w:iCs/>
          <w:sz w:val="24"/>
          <w:szCs w:val="24"/>
          <w:lang w:val="de-DE"/>
        </w:rPr>
        <w:t>Giemulla/ Nikolaus Jaworsky / Rolf Müller-Uri, Verwaltungsrecht, 6. Aufl., 1998, Rn</w:t>
      </w:r>
      <w:r>
        <w:rPr>
          <w:sz w:val="24"/>
          <w:szCs w:val="24"/>
          <w:lang w:val="de-DE"/>
        </w:rPr>
        <w:t>. 192 ff.</w:t>
      </w:r>
      <w:r>
        <w:rPr>
          <w:rFonts w:hint="eastAsia"/>
          <w:sz w:val="24"/>
          <w:szCs w:val="24"/>
          <w:lang w:val="de-DE"/>
        </w:rPr>
        <w:t>。</w:t>
      </w:r>
    </w:p>
    <w:p w:rsidR="007D6688" w:rsidRDefault="007D6688">
      <w:pPr>
        <w:pStyle w:val="ad"/>
        <w:spacing w:line="360" w:lineRule="auto"/>
        <w:ind w:left="480" w:hangingChars="200" w:hanging="480"/>
        <w:jc w:val="both"/>
        <w:rPr>
          <w:rFonts w:hint="eastAsia"/>
          <w:color w:val="000000"/>
          <w:sz w:val="24"/>
          <w:lang w:val="de-DE"/>
        </w:rPr>
      </w:pPr>
      <w:r>
        <w:rPr>
          <w:rFonts w:hint="eastAsia"/>
          <w:color w:val="000000"/>
          <w:sz w:val="24"/>
          <w:lang w:val="de-DE"/>
        </w:rPr>
        <w:t>λ</w:t>
      </w:r>
      <w:r>
        <w:rPr>
          <w:rFonts w:hint="eastAsia"/>
          <w:color w:val="000000"/>
          <w:sz w:val="24"/>
          <w:lang w:val="de-DE"/>
        </w:rPr>
        <w:t xml:space="preserve">  </w:t>
      </w:r>
      <w:r>
        <w:rPr>
          <w:sz w:val="24"/>
          <w:szCs w:val="24"/>
          <w:lang w:val="de-DE"/>
        </w:rPr>
        <w:t>Frank Stollberg (Hrsg.), Beamtrecht in der Fallbearbeitung, 1993, 2. Aufl., S. 118.</w:t>
      </w:r>
      <w:r>
        <w:rPr>
          <w:rFonts w:hint="eastAsia"/>
          <w:sz w:val="24"/>
          <w:szCs w:val="24"/>
          <w:lang w:val="de-DE"/>
        </w:rPr>
        <w:t>。</w:t>
      </w:r>
    </w:p>
    <w:p w:rsidR="007D6688" w:rsidRDefault="007D6688">
      <w:pPr>
        <w:pStyle w:val="ad"/>
        <w:spacing w:line="360" w:lineRule="auto"/>
        <w:ind w:left="480" w:hangingChars="200" w:hanging="480"/>
        <w:jc w:val="both"/>
        <w:rPr>
          <w:rFonts w:hint="eastAsia"/>
          <w:sz w:val="24"/>
          <w:lang w:val="de-DE"/>
        </w:rPr>
      </w:pPr>
      <w:r>
        <w:rPr>
          <w:rFonts w:hint="eastAsia"/>
          <w:color w:val="000000"/>
          <w:sz w:val="24"/>
          <w:lang w:val="de-DE"/>
        </w:rPr>
        <w:t>λ</w:t>
      </w:r>
      <w:r>
        <w:rPr>
          <w:rFonts w:hint="eastAsia"/>
          <w:color w:val="000000"/>
          <w:sz w:val="24"/>
          <w:lang w:val="de-DE"/>
        </w:rPr>
        <w:t xml:space="preserve">  </w:t>
      </w:r>
      <w:r>
        <w:rPr>
          <w:bCs/>
          <w:iCs/>
          <w:sz w:val="24"/>
          <w:lang w:val="fr-FR"/>
        </w:rPr>
        <w:t>Franz-Joseph</w:t>
      </w:r>
      <w:r>
        <w:rPr>
          <w:sz w:val="24"/>
          <w:lang w:val="de-DE"/>
        </w:rPr>
        <w:t xml:space="preserve"> </w:t>
      </w:r>
      <w:r>
        <w:rPr>
          <w:bCs/>
          <w:iCs/>
          <w:sz w:val="24"/>
          <w:lang w:val="fr-FR"/>
        </w:rPr>
        <w:t xml:space="preserve">Peine, </w:t>
      </w:r>
      <w:r>
        <w:rPr>
          <w:sz w:val="24"/>
          <w:lang w:val="de-DE"/>
        </w:rPr>
        <w:t>Allgemeines Verwaltungsrecht, 2000, 5. Aufl., § 2 Rn. 21</w:t>
      </w:r>
      <w:r>
        <w:rPr>
          <w:rFonts w:hint="eastAsia"/>
          <w:sz w:val="24"/>
          <w:lang w:val="de-DE"/>
        </w:rPr>
        <w:t>。</w:t>
      </w:r>
    </w:p>
    <w:p w:rsidR="007D6688" w:rsidRDefault="007D6688">
      <w:pPr>
        <w:spacing w:line="360" w:lineRule="auto"/>
        <w:ind w:left="840" w:hangingChars="350" w:hanging="840"/>
        <w:rPr>
          <w:rFonts w:hint="eastAsia"/>
          <w:lang w:val="de-DE"/>
        </w:rPr>
      </w:pPr>
      <w:r>
        <w:rPr>
          <w:rFonts w:hint="eastAsia"/>
          <w:lang w:val="de-DE"/>
        </w:rPr>
        <w:t>λ</w:t>
      </w:r>
      <w:r>
        <w:rPr>
          <w:rFonts w:hint="eastAsia"/>
          <w:lang w:val="de-DE"/>
        </w:rPr>
        <w:t xml:space="preserve">  </w:t>
      </w:r>
      <w:r>
        <w:rPr>
          <w:lang w:val="de-DE"/>
        </w:rPr>
        <w:t>Ferdinand O.</w:t>
      </w:r>
      <w:r>
        <w:rPr>
          <w:b/>
          <w:i/>
          <w:lang w:val="de-DE"/>
        </w:rPr>
        <w:t xml:space="preserve"> </w:t>
      </w:r>
      <w:r>
        <w:rPr>
          <w:bCs/>
          <w:iCs/>
          <w:lang w:val="de-DE"/>
        </w:rPr>
        <w:t>Kopp/ Ulrich</w:t>
      </w:r>
      <w:r>
        <w:rPr>
          <w:lang w:val="de-DE"/>
        </w:rPr>
        <w:t xml:space="preserve"> </w:t>
      </w:r>
      <w:r>
        <w:rPr>
          <w:bCs/>
          <w:iCs/>
          <w:lang w:val="de-DE"/>
        </w:rPr>
        <w:t xml:space="preserve">Ramsauer, </w:t>
      </w:r>
      <w:r>
        <w:rPr>
          <w:lang w:val="de-DE"/>
        </w:rPr>
        <w:t xml:space="preserve">Verwaltungsverfahrensgesetz, 7. Aufl., </w:t>
      </w:r>
    </w:p>
    <w:p w:rsidR="007D6688" w:rsidRDefault="007D6688">
      <w:pPr>
        <w:spacing w:line="360" w:lineRule="auto"/>
        <w:ind w:leftChars="200" w:left="840" w:hangingChars="150" w:hanging="360"/>
        <w:rPr>
          <w:rFonts w:hint="eastAsia"/>
          <w:lang w:val="de-DE"/>
        </w:rPr>
      </w:pPr>
      <w:r>
        <w:rPr>
          <w:lang w:val="de-DE"/>
        </w:rPr>
        <w:t>2000, § 35 Rn. 32 ff.</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color w:val="000000"/>
          <w:lang w:val="de-DE"/>
        </w:rPr>
        <w:t>Ferdinand O. Kopp/ Ulrich Ramsauer</w:t>
      </w:r>
      <w:r>
        <w:rPr>
          <w:bCs/>
          <w:iCs/>
          <w:color w:val="000000"/>
          <w:lang w:val="de-DE"/>
        </w:rPr>
        <w:t xml:space="preserve">, </w:t>
      </w:r>
      <w:r>
        <w:rPr>
          <w:color w:val="0000FF"/>
          <w:lang w:val="de-DE"/>
        </w:rPr>
        <w:t>VwGO</w:t>
      </w:r>
      <w:r>
        <w:rPr>
          <w:color w:val="000000"/>
          <w:lang w:val="de-DE"/>
        </w:rPr>
        <w:t>, 12. Aufl., 2000, § 42 Rn. 30.</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 xml:space="preserve">Ferdinand O. Kopp/ Ulrich Ramsauer, </w:t>
      </w:r>
      <w:r>
        <w:rPr>
          <w:rFonts w:hint="eastAsia"/>
          <w:lang w:val="de-DE"/>
        </w:rPr>
        <w:t>VwVfG</w:t>
      </w:r>
      <w:r>
        <w:rPr>
          <w:lang w:val="de-DE"/>
        </w:rPr>
        <w:t xml:space="preserve">, </w:t>
      </w:r>
      <w:r>
        <w:rPr>
          <w:rFonts w:hint="eastAsia"/>
          <w:lang w:val="de-DE"/>
        </w:rPr>
        <w:t xml:space="preserve">7. Aufl., 2000, </w:t>
      </w:r>
      <w:r>
        <w:rPr>
          <w:lang w:val="de-DE"/>
        </w:rPr>
        <w:t>§ 35 Rn. 75.</w:t>
      </w:r>
    </w:p>
    <w:p w:rsidR="007D6688" w:rsidRDefault="007D6688">
      <w:pPr>
        <w:spacing w:line="360" w:lineRule="auto"/>
        <w:ind w:left="840" w:hangingChars="350" w:hanging="840"/>
        <w:rPr>
          <w:rFonts w:hint="eastAsia"/>
          <w:lang w:val="de-DE"/>
        </w:rPr>
      </w:pPr>
      <w:r>
        <w:rPr>
          <w:rFonts w:hint="eastAsia"/>
          <w:lang w:val="de-DE"/>
        </w:rPr>
        <w:t>λ</w:t>
      </w:r>
      <w:r>
        <w:rPr>
          <w:rFonts w:hint="eastAsia"/>
          <w:lang w:val="de-DE"/>
        </w:rPr>
        <w:t xml:space="preserve">  </w:t>
      </w:r>
      <w:r>
        <w:rPr>
          <w:lang w:val="de-DE"/>
        </w:rPr>
        <w:t>Friedhelm</w:t>
      </w:r>
      <w:r>
        <w:rPr>
          <w:bCs/>
          <w:iCs/>
          <w:lang w:val="de-DE"/>
        </w:rPr>
        <w:t xml:space="preserve"> Hufen, </w:t>
      </w:r>
      <w:r>
        <w:rPr>
          <w:lang w:val="de-DE"/>
        </w:rPr>
        <w:t>Verwaltungsprozeßrecht, 4. Aufl., 2000, § 14 Rn. 19</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color w:val="0000FF"/>
          <w:lang w:val="de-DE"/>
        </w:rPr>
        <w:t>Friedhelm</w:t>
      </w:r>
      <w:r>
        <w:rPr>
          <w:lang w:val="de-DE"/>
        </w:rPr>
        <w:t xml:space="preserve"> Hufen, VerwPR, 5. Aufl., 2003, § 15 Rn. 7, 26.</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Hartmut</w:t>
      </w:r>
      <w:r>
        <w:rPr>
          <w:b/>
          <w:i/>
          <w:lang w:val="de-DE"/>
        </w:rPr>
        <w:t xml:space="preserve"> </w:t>
      </w:r>
      <w:r>
        <w:rPr>
          <w:bCs/>
          <w:iCs/>
          <w:lang w:val="de-DE"/>
        </w:rPr>
        <w:t>Maurer</w:t>
      </w:r>
      <w:r>
        <w:rPr>
          <w:lang w:val="de-DE"/>
        </w:rPr>
        <w:t>, Allgemeines Verwaltungsrecht, 14. Aufl., 2002, § 9 Rn. 6;</w:t>
      </w:r>
    </w:p>
    <w:p w:rsidR="007D6688" w:rsidRDefault="007D6688">
      <w:pPr>
        <w:spacing w:line="360" w:lineRule="auto"/>
        <w:ind w:left="480" w:hangingChars="200" w:hanging="480"/>
        <w:rPr>
          <w:rFonts w:hint="eastAsia"/>
          <w:lang w:val="de-DE"/>
        </w:rPr>
      </w:pPr>
      <w:r>
        <w:rPr>
          <w:rFonts w:hint="eastAsia"/>
          <w:lang w:val="de-DE"/>
        </w:rPr>
        <w:t>λ</w:t>
      </w:r>
      <w:r>
        <w:rPr>
          <w:rFonts w:hint="eastAsia"/>
          <w:lang w:val="de-DE"/>
        </w:rPr>
        <w:t xml:space="preserve">  </w:t>
      </w:r>
      <w:r>
        <w:rPr>
          <w:lang w:val="de-DE"/>
        </w:rPr>
        <w:t>Hans-Uwe Erichsen, Das Verwaltungshandeln, in: ders./ Dirk Ehlers (Hrsg.), Allgemeines Verwaltungsrecht, 12. Aufl., 2002, § 12 Rn. 25.</w:t>
      </w:r>
    </w:p>
    <w:p w:rsidR="007D6688" w:rsidRDefault="007D6688">
      <w:pPr>
        <w:spacing w:line="360" w:lineRule="auto"/>
        <w:rPr>
          <w:rFonts w:hint="eastAsia"/>
          <w:color w:val="000000"/>
          <w:lang w:val="de-DE"/>
        </w:rPr>
      </w:pPr>
      <w:r>
        <w:rPr>
          <w:rFonts w:hint="eastAsia"/>
          <w:lang w:val="de-DE"/>
        </w:rPr>
        <w:t>λ</w:t>
      </w:r>
      <w:r>
        <w:rPr>
          <w:rFonts w:hint="eastAsia"/>
          <w:lang w:val="de-DE"/>
        </w:rPr>
        <w:t xml:space="preserve">  </w:t>
      </w:r>
      <w:r>
        <w:rPr>
          <w:color w:val="000000"/>
          <w:lang w:val="de-DE"/>
        </w:rPr>
        <w:t>Hans-Werner Laubinger, Die isolierte Anfechtungsklage, in: Festschrift für</w:t>
      </w:r>
      <w:r>
        <w:rPr>
          <w:rFonts w:hint="eastAsia"/>
          <w:color w:val="000000"/>
          <w:lang w:val="de-DE"/>
        </w:rPr>
        <w:t xml:space="preserve"> </w:t>
      </w:r>
    </w:p>
    <w:p w:rsidR="007D6688" w:rsidRDefault="007D6688">
      <w:pPr>
        <w:spacing w:line="360" w:lineRule="auto"/>
        <w:ind w:firstLineChars="200" w:firstLine="480"/>
        <w:rPr>
          <w:rFonts w:hint="eastAsia"/>
          <w:lang w:val="de-DE"/>
        </w:rPr>
      </w:pPr>
      <w:r>
        <w:rPr>
          <w:lang w:val="de-DE"/>
        </w:rPr>
        <w:t>Christian-Friedrich Menger zum 70. Geburtstag, 1985, S, 452 ff</w:t>
      </w:r>
      <w:r>
        <w:rPr>
          <w:rFonts w:hint="eastAsia"/>
          <w:lang w:val="de-DE"/>
        </w:rPr>
        <w:t>.</w:t>
      </w:r>
    </w:p>
    <w:p w:rsidR="007D6688" w:rsidRDefault="007D6688">
      <w:pPr>
        <w:pStyle w:val="ad"/>
        <w:spacing w:line="360" w:lineRule="auto"/>
        <w:jc w:val="both"/>
        <w:rPr>
          <w:kern w:val="0"/>
          <w:sz w:val="24"/>
          <w:lang w:val="de-DE"/>
        </w:rPr>
      </w:pPr>
      <w:r>
        <w:rPr>
          <w:rFonts w:hint="eastAsia"/>
          <w:sz w:val="24"/>
          <w:lang w:val="de-DE"/>
        </w:rPr>
        <w:t>λ</w:t>
      </w:r>
      <w:r>
        <w:rPr>
          <w:rFonts w:hint="eastAsia"/>
          <w:sz w:val="24"/>
          <w:lang w:val="de-DE"/>
        </w:rPr>
        <w:t xml:space="preserve">  </w:t>
      </w:r>
      <w:r>
        <w:rPr>
          <w:kern w:val="0"/>
          <w:sz w:val="24"/>
          <w:lang w:val="de-DE"/>
        </w:rPr>
        <w:t>Hellmuth Günther: Konkurrentenstreit und kein Ende? - Bestandsaufnahme zur</w:t>
      </w:r>
    </w:p>
    <w:p w:rsidR="007D6688" w:rsidRDefault="007D6688">
      <w:pPr>
        <w:pStyle w:val="ad"/>
        <w:spacing w:line="360" w:lineRule="auto"/>
        <w:ind w:firstLineChars="200" w:firstLine="480"/>
        <w:jc w:val="both"/>
        <w:rPr>
          <w:rFonts w:hint="eastAsia"/>
          <w:sz w:val="24"/>
          <w:lang w:val="de-DE"/>
        </w:rPr>
      </w:pPr>
      <w:r>
        <w:rPr>
          <w:rFonts w:hint="eastAsia"/>
          <w:kern w:val="0"/>
          <w:sz w:val="24"/>
          <w:lang w:val="de-DE"/>
        </w:rPr>
        <w:t xml:space="preserve"> </w:t>
      </w:r>
      <w:r>
        <w:rPr>
          <w:kern w:val="0"/>
          <w:sz w:val="24"/>
          <w:lang w:val="de-DE"/>
        </w:rPr>
        <w:t>Personalmaßnahme Beförderung -, in: ZBR 1990, S. 284-295</w:t>
      </w:r>
    </w:p>
    <w:p w:rsidR="007D6688" w:rsidRDefault="007D6688">
      <w:pPr>
        <w:pStyle w:val="ad"/>
        <w:spacing w:line="360" w:lineRule="auto"/>
        <w:rPr>
          <w:rFonts w:hint="eastAsia"/>
          <w:color w:val="000000"/>
          <w:sz w:val="24"/>
          <w:lang w:val="de-DE"/>
        </w:rPr>
      </w:pPr>
      <w:r>
        <w:rPr>
          <w:rFonts w:hint="eastAsia"/>
          <w:sz w:val="24"/>
          <w:lang w:val="de-DE"/>
        </w:rPr>
        <w:t>λ</w:t>
      </w:r>
      <w:r>
        <w:rPr>
          <w:rFonts w:hint="eastAsia"/>
          <w:sz w:val="24"/>
          <w:lang w:val="de-DE"/>
        </w:rPr>
        <w:t xml:space="preserve">  </w:t>
      </w:r>
      <w:r>
        <w:rPr>
          <w:rFonts w:eastAsia="MS Mincho"/>
          <w:sz w:val="24"/>
          <w:lang w:val="de-DE" w:eastAsia="ja-JP"/>
        </w:rPr>
        <w:t>Helmut Schnellenbach, Beamtenrecht in der Praxis, 5. Aufl., 2001, Rn. 69.</w:t>
      </w:r>
    </w:p>
    <w:p w:rsidR="007D6688" w:rsidRDefault="007D6688">
      <w:pPr>
        <w:pStyle w:val="ad"/>
        <w:spacing w:line="360" w:lineRule="auto"/>
        <w:jc w:val="both"/>
        <w:rPr>
          <w:rFonts w:hint="eastAsia"/>
          <w:color w:val="000000"/>
          <w:sz w:val="24"/>
          <w:szCs w:val="24"/>
          <w:lang w:val="de-DE"/>
        </w:rPr>
      </w:pPr>
      <w:r>
        <w:rPr>
          <w:rFonts w:hint="eastAsia"/>
          <w:color w:val="000000"/>
          <w:sz w:val="24"/>
          <w:szCs w:val="24"/>
          <w:lang w:val="de-DE"/>
        </w:rPr>
        <w:t>λ</w:t>
      </w:r>
      <w:r>
        <w:rPr>
          <w:rFonts w:hint="eastAsia"/>
          <w:color w:val="000000"/>
          <w:sz w:val="24"/>
          <w:szCs w:val="24"/>
          <w:lang w:val="de-DE"/>
        </w:rPr>
        <w:t xml:space="preserve">  </w:t>
      </w:r>
      <w:r>
        <w:rPr>
          <w:sz w:val="24"/>
          <w:lang w:val="de-DE"/>
        </w:rPr>
        <w:t>Hufen, VerwPR, 5. Aufl., 2003, § 15 Rn. 7, 26.</w:t>
      </w:r>
    </w:p>
    <w:p w:rsidR="007D6688" w:rsidRDefault="007D6688">
      <w:pPr>
        <w:spacing w:line="360" w:lineRule="auto"/>
        <w:rPr>
          <w:rFonts w:hint="eastAsia"/>
          <w:color w:val="000000"/>
          <w:lang w:val="de-DE"/>
        </w:rPr>
      </w:pPr>
      <w:r>
        <w:rPr>
          <w:rFonts w:hint="eastAsia"/>
          <w:color w:val="000000"/>
          <w:lang w:val="de-DE"/>
        </w:rPr>
        <w:t>λ</w:t>
      </w:r>
      <w:r>
        <w:rPr>
          <w:rFonts w:hint="eastAsia"/>
          <w:color w:val="000000"/>
          <w:lang w:val="de-DE"/>
        </w:rPr>
        <w:t xml:space="preserve">  </w:t>
      </w:r>
      <w:r>
        <w:rPr>
          <w:color w:val="0000FF"/>
          <w:lang w:val="de-DE"/>
        </w:rPr>
        <w:t>Ipsen</w:t>
      </w:r>
      <w:r>
        <w:rPr>
          <w:lang w:val="de-DE"/>
        </w:rPr>
        <w:t>, Die Grundrechte, Bd. 2, S. 193</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Jörn Ipsen, Allgemeines Verwaltungsrecht, 2000, Rn. 336.</w:t>
      </w:r>
    </w:p>
    <w:p w:rsidR="007D6688" w:rsidRDefault="007D6688">
      <w:pPr>
        <w:spacing w:line="360" w:lineRule="auto"/>
        <w:rPr>
          <w:rFonts w:eastAsia="標楷體" w:hint="eastAsia"/>
          <w:lang w:val="de-DE"/>
        </w:rPr>
      </w:pPr>
      <w:r>
        <w:rPr>
          <w:rFonts w:hint="eastAsia"/>
          <w:lang w:val="de-DE"/>
        </w:rPr>
        <w:t>λ</w:t>
      </w:r>
      <w:r>
        <w:rPr>
          <w:rFonts w:hint="eastAsia"/>
          <w:lang w:val="de-DE"/>
        </w:rPr>
        <w:t xml:space="preserve">  </w:t>
      </w:r>
      <w:r>
        <w:rPr>
          <w:rFonts w:eastAsia="標楷體"/>
          <w:lang w:val="de-DE"/>
        </w:rPr>
        <w:t>Johannes Remmel, Die Konkurrentenklage im Beamtenrecht – Der Rechtsschutz</w:t>
      </w:r>
    </w:p>
    <w:p w:rsidR="007D6688" w:rsidRDefault="007D6688">
      <w:pPr>
        <w:spacing w:line="360" w:lineRule="auto"/>
        <w:ind w:firstLineChars="200" w:firstLine="480"/>
        <w:rPr>
          <w:rFonts w:eastAsia="標楷體" w:hint="eastAsia"/>
          <w:lang w:val="de-DE"/>
        </w:rPr>
      </w:pPr>
      <w:r>
        <w:rPr>
          <w:rFonts w:eastAsia="標楷體"/>
          <w:lang w:val="de-DE"/>
        </w:rPr>
        <w:t>des unterlegenen Bewerbers bei beamtenrectlichen Ernennungen, 1982, S.52.</w:t>
      </w:r>
    </w:p>
    <w:p w:rsidR="007D6688" w:rsidRDefault="007D6688">
      <w:pPr>
        <w:spacing w:line="360" w:lineRule="auto"/>
        <w:ind w:left="600" w:hangingChars="250" w:hanging="600"/>
        <w:rPr>
          <w:rFonts w:hint="eastAsia"/>
          <w:lang w:val="de-DE"/>
        </w:rPr>
      </w:pPr>
      <w:r>
        <w:rPr>
          <w:rFonts w:hint="eastAsia"/>
          <w:lang w:val="de-DE"/>
        </w:rPr>
        <w:t>λ</w:t>
      </w:r>
      <w:r>
        <w:rPr>
          <w:rFonts w:hint="eastAsia"/>
          <w:lang w:val="de-DE"/>
        </w:rPr>
        <w:t xml:space="preserve">  </w:t>
      </w:r>
      <w:r>
        <w:rPr>
          <w:lang w:val="de-DE"/>
        </w:rPr>
        <w:t>Jost Pietzcker, in: Friedrich K. Schoch/ Eberhard Schmidt-Aßmann/ Rainer</w:t>
      </w:r>
    </w:p>
    <w:p w:rsidR="007D6688" w:rsidRDefault="007D6688">
      <w:pPr>
        <w:spacing w:line="360" w:lineRule="auto"/>
        <w:rPr>
          <w:rFonts w:hint="eastAsia"/>
          <w:lang w:val="de-DE"/>
        </w:rPr>
      </w:pPr>
      <w:r>
        <w:rPr>
          <w:lang w:val="de-DE"/>
        </w:rPr>
        <w:t xml:space="preserve"> </w:t>
      </w:r>
      <w:r>
        <w:rPr>
          <w:rFonts w:hint="eastAsia"/>
          <w:lang w:val="de-DE"/>
        </w:rPr>
        <w:t xml:space="preserve">   </w:t>
      </w:r>
      <w:r>
        <w:rPr>
          <w:lang w:val="de-DE"/>
        </w:rPr>
        <w:t>Pietzner (Hrsg.), VwGO, Stand: Jar. 2000, § 42 Abs. 1 Rn. 109 (Fn. 413).</w:t>
      </w:r>
    </w:p>
    <w:p w:rsidR="007D6688" w:rsidRDefault="007D6688">
      <w:pPr>
        <w:spacing w:line="360" w:lineRule="auto"/>
        <w:rPr>
          <w:rFonts w:hint="eastAsia"/>
          <w:iCs/>
          <w:kern w:val="0"/>
          <w:lang w:val="de-DE"/>
        </w:rPr>
      </w:pPr>
      <w:r>
        <w:rPr>
          <w:rFonts w:hint="eastAsia"/>
          <w:lang w:val="de-DE"/>
        </w:rPr>
        <w:t>λ</w:t>
      </w:r>
      <w:r>
        <w:rPr>
          <w:rFonts w:hint="eastAsia"/>
          <w:lang w:val="de-DE"/>
        </w:rPr>
        <w:t xml:space="preserve">  </w:t>
      </w:r>
      <w:r>
        <w:rPr>
          <w:kern w:val="0"/>
          <w:lang w:val="de-DE"/>
        </w:rPr>
        <w:t xml:space="preserve">Josef Isensee: </w:t>
      </w:r>
      <w:r>
        <w:rPr>
          <w:iCs/>
          <w:kern w:val="0"/>
          <w:lang w:val="de-DE"/>
        </w:rPr>
        <w:t>Der Zugang zum öffentlichen Dienst, in: Festgabe aus Anlaß des</w:t>
      </w:r>
    </w:p>
    <w:p w:rsidR="007D6688" w:rsidRDefault="007D6688">
      <w:pPr>
        <w:spacing w:line="360" w:lineRule="auto"/>
        <w:ind w:left="720" w:hangingChars="300" w:hanging="720"/>
        <w:rPr>
          <w:rFonts w:hint="eastAsia"/>
          <w:lang w:val="de-DE"/>
        </w:rPr>
      </w:pPr>
      <w:r>
        <w:rPr>
          <w:iCs/>
          <w:kern w:val="0"/>
          <w:lang w:val="de-DE"/>
        </w:rPr>
        <w:t xml:space="preserve"> </w:t>
      </w:r>
      <w:r>
        <w:rPr>
          <w:rFonts w:hint="eastAsia"/>
          <w:iCs/>
          <w:kern w:val="0"/>
          <w:lang w:val="de-DE"/>
        </w:rPr>
        <w:t xml:space="preserve">     </w:t>
      </w:r>
      <w:r>
        <w:rPr>
          <w:iCs/>
          <w:kern w:val="0"/>
          <w:lang w:val="de-DE"/>
        </w:rPr>
        <w:t>25jährigen Bestehens des Bundesverwaltungsgerichts</w:t>
      </w:r>
      <w:r>
        <w:rPr>
          <w:kern w:val="0"/>
          <w:lang w:val="de-DE"/>
        </w:rPr>
        <w:t>, hrsg. von Otto Bachof,Ludwig Heigl, Konrad Redeker, München 1978, S. 337-356</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color w:val="0000FF"/>
          <w:lang w:val="de-DE"/>
        </w:rPr>
        <w:t>Jörg</w:t>
      </w:r>
      <w:r>
        <w:rPr>
          <w:lang w:val="de-DE"/>
        </w:rPr>
        <w:t xml:space="preserve"> von Albedyll, in: Johann Bader/ Michael Funke-Kaiser/ Stefan Kuntze/ Jörg </w:t>
      </w:r>
    </w:p>
    <w:p w:rsidR="007D6688" w:rsidRDefault="007D6688">
      <w:pPr>
        <w:spacing w:line="360" w:lineRule="auto"/>
        <w:ind w:firstLineChars="200" w:firstLine="480"/>
        <w:rPr>
          <w:rFonts w:hint="eastAsia"/>
          <w:lang w:val="de-DE"/>
        </w:rPr>
      </w:pPr>
      <w:r>
        <w:rPr>
          <w:lang w:val="de-DE"/>
        </w:rPr>
        <w:t>von Albedyll, Verwaltungsgerichtsordnung, 3. Auf., 2005, § 65 Rn. 21 ff.</w:t>
      </w:r>
    </w:p>
    <w:p w:rsidR="007D6688" w:rsidRDefault="007D6688">
      <w:pPr>
        <w:spacing w:line="360" w:lineRule="auto"/>
        <w:ind w:left="480" w:hangingChars="200" w:hanging="480"/>
        <w:rPr>
          <w:rFonts w:hint="eastAsia"/>
          <w:lang w:val="de-DE"/>
        </w:rPr>
      </w:pPr>
      <w:r>
        <w:rPr>
          <w:rFonts w:hint="eastAsia"/>
          <w:lang w:val="de-DE"/>
        </w:rPr>
        <w:t>λ</w:t>
      </w:r>
      <w:r>
        <w:rPr>
          <w:rFonts w:hint="eastAsia"/>
          <w:lang w:val="de-DE"/>
        </w:rPr>
        <w:t xml:space="preserve">  </w:t>
      </w:r>
      <w:r>
        <w:rPr>
          <w:lang w:val="de-DE"/>
        </w:rPr>
        <w:t>Judith Schwarplys, Die allgemeine Gestaltungsklage als Rechtsschutzform gegen verwaltungsinterne Regelungen, 1996, S. 34.</w:t>
      </w:r>
    </w:p>
    <w:p w:rsidR="007D6688" w:rsidRDefault="007D6688">
      <w:pPr>
        <w:spacing w:line="360" w:lineRule="auto"/>
        <w:ind w:left="480" w:hangingChars="200" w:hanging="480"/>
        <w:rPr>
          <w:rFonts w:hint="eastAsia"/>
          <w:lang w:val="de-DE"/>
        </w:rPr>
      </w:pPr>
      <w:r>
        <w:rPr>
          <w:rFonts w:hint="eastAsia"/>
          <w:lang w:val="de-DE"/>
        </w:rPr>
        <w:t>λ</w:t>
      </w:r>
      <w:r>
        <w:rPr>
          <w:rFonts w:hint="eastAsia"/>
          <w:lang w:val="de-DE"/>
        </w:rPr>
        <w:t xml:space="preserve">  </w:t>
      </w:r>
      <w:r>
        <w:rPr>
          <w:lang w:val="de-DE"/>
        </w:rPr>
        <w:t>Kunig, in: Schmidt-Aßmann, Besonderes Verwaltungsrecht, 12. Aufl., 2003, 6. Kap, Rn. 91</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rFonts w:eastAsia="MS Mincho"/>
          <w:lang w:val="de-DE" w:eastAsia="ja-JP"/>
        </w:rPr>
        <w:t>Lecheler, Die Personalgewalt, S. 74-95;</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color w:val="0000FF"/>
          <w:lang w:val="de-DE"/>
        </w:rPr>
        <w:t>Menger</w:t>
      </w:r>
      <w:r>
        <w:rPr>
          <w:lang w:val="de-DE"/>
        </w:rPr>
        <w:t>, VerwArch. Bd. 55 (1964), 294.</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color w:val="000000"/>
          <w:lang w:val="de-DE"/>
        </w:rPr>
        <w:t xml:space="preserve">Peter </w:t>
      </w:r>
      <w:r>
        <w:rPr>
          <w:bCs/>
          <w:iCs/>
          <w:color w:val="000000"/>
          <w:lang w:val="de-DE"/>
        </w:rPr>
        <w:t>Krause</w:t>
      </w:r>
      <w:r>
        <w:rPr>
          <w:color w:val="000000"/>
          <w:lang w:val="de-DE"/>
        </w:rPr>
        <w:t>, Rechtsformen des Verwaltungshandelns,1974, S. 200;</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Paul</w:t>
      </w:r>
      <w:r>
        <w:rPr>
          <w:b/>
          <w:i/>
          <w:lang w:val="de-DE"/>
        </w:rPr>
        <w:t xml:space="preserve"> </w:t>
      </w:r>
      <w:r>
        <w:rPr>
          <w:bCs/>
          <w:iCs/>
          <w:lang w:val="de-DE"/>
        </w:rPr>
        <w:t>Stelkens/</w:t>
      </w:r>
      <w:r>
        <w:rPr>
          <w:lang w:val="de-DE"/>
        </w:rPr>
        <w:t xml:space="preserve"> Ulrich </w:t>
      </w:r>
      <w:r>
        <w:rPr>
          <w:bCs/>
          <w:iCs/>
          <w:lang w:val="de-DE"/>
        </w:rPr>
        <w:t>Stelkens, in:</w:t>
      </w:r>
      <w:r>
        <w:rPr>
          <w:lang w:val="de-DE"/>
        </w:rPr>
        <w:t xml:space="preserve"> Paul</w:t>
      </w:r>
      <w:r>
        <w:rPr>
          <w:b/>
          <w:i/>
          <w:lang w:val="de-DE"/>
        </w:rPr>
        <w:t xml:space="preserve"> </w:t>
      </w:r>
      <w:r>
        <w:rPr>
          <w:bCs/>
          <w:iCs/>
          <w:lang w:val="de-DE"/>
        </w:rPr>
        <w:t>Stelkens</w:t>
      </w:r>
      <w:r>
        <w:rPr>
          <w:lang w:val="de-DE"/>
        </w:rPr>
        <w:t>/ Heinz</w:t>
      </w:r>
      <w:r>
        <w:rPr>
          <w:b/>
          <w:i/>
          <w:lang w:val="de-DE"/>
        </w:rPr>
        <w:t xml:space="preserve"> </w:t>
      </w:r>
      <w:r>
        <w:rPr>
          <w:lang w:val="de-DE"/>
        </w:rPr>
        <w:t>Joachim</w:t>
      </w:r>
      <w:r>
        <w:rPr>
          <w:bCs/>
          <w:iCs/>
          <w:lang w:val="de-DE"/>
        </w:rPr>
        <w:t xml:space="preserve"> Bonk</w:t>
      </w:r>
      <w:r>
        <w:rPr>
          <w:lang w:val="de-DE"/>
        </w:rPr>
        <w:t>/ Michael</w:t>
      </w:r>
    </w:p>
    <w:p w:rsidR="007D6688" w:rsidRDefault="007D6688">
      <w:pPr>
        <w:spacing w:line="360" w:lineRule="auto"/>
        <w:rPr>
          <w:rFonts w:hint="eastAsia"/>
          <w:lang w:val="de-DE"/>
        </w:rPr>
      </w:pPr>
      <w:r>
        <w:rPr>
          <w:lang w:val="de-DE"/>
        </w:rPr>
        <w:t xml:space="preserve"> </w:t>
      </w:r>
      <w:r>
        <w:rPr>
          <w:rFonts w:hint="eastAsia"/>
          <w:lang w:val="de-DE"/>
        </w:rPr>
        <w:t xml:space="preserve">   </w:t>
      </w:r>
      <w:r>
        <w:rPr>
          <w:bCs/>
          <w:iCs/>
          <w:lang w:val="de-DE"/>
        </w:rPr>
        <w:t>Sachs</w:t>
      </w:r>
      <w:r>
        <w:rPr>
          <w:lang w:val="de-DE"/>
        </w:rPr>
        <w:t>, Verwaltungsverfahrensgesetz, 6. Aufl., 2001, § 35 Rn. 40.</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rFonts w:hint="eastAsia"/>
          <w:color w:val="0000FF"/>
        </w:rPr>
        <w:t xml:space="preserve">Rainer </w:t>
      </w:r>
      <w:r>
        <w:rPr>
          <w:lang w:val="de-DE"/>
        </w:rPr>
        <w:t>Wernsmann, Die Verwaltung, 2003, 68 ff.</w:t>
      </w:r>
    </w:p>
    <w:p w:rsidR="007D6688" w:rsidRDefault="007D6688">
      <w:pPr>
        <w:spacing w:line="360" w:lineRule="auto"/>
        <w:rPr>
          <w:rFonts w:hint="eastAsia"/>
          <w:kern w:val="0"/>
          <w:lang w:val="de-DE"/>
        </w:rPr>
      </w:pPr>
      <w:r>
        <w:rPr>
          <w:rFonts w:hint="eastAsia"/>
          <w:lang w:val="de-DE"/>
        </w:rPr>
        <w:t>λ</w:t>
      </w:r>
      <w:r>
        <w:rPr>
          <w:rFonts w:hint="eastAsia"/>
          <w:lang w:val="de-DE"/>
        </w:rPr>
        <w:t xml:space="preserve">  </w:t>
      </w:r>
      <w:r>
        <w:rPr>
          <w:kern w:val="0"/>
          <w:lang w:val="de-DE"/>
        </w:rPr>
        <w:t>Rainer Wernsmann: Die beamtenrechtliche Konkurrentenklage, in: DVBl. 2005,</w:t>
      </w:r>
    </w:p>
    <w:p w:rsidR="007D6688" w:rsidRDefault="007D6688">
      <w:pPr>
        <w:spacing w:line="360" w:lineRule="auto"/>
        <w:ind w:firstLineChars="200" w:firstLine="480"/>
        <w:rPr>
          <w:rFonts w:hint="eastAsia"/>
          <w:lang w:val="de-DE"/>
        </w:rPr>
      </w:pPr>
      <w:r>
        <w:rPr>
          <w:kern w:val="0"/>
          <w:lang w:val="de-DE"/>
        </w:rPr>
        <w:t xml:space="preserve"> S. 276 ff.</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snapToGrid w:val="0"/>
          <w:color w:val="0000FF"/>
          <w:lang w:val="de-DE" w:eastAsia="de-DE"/>
        </w:rPr>
        <w:t>R</w:t>
      </w:r>
      <w:r>
        <w:rPr>
          <w:rFonts w:hint="eastAsia"/>
          <w:snapToGrid w:val="0"/>
          <w:color w:val="0000FF"/>
          <w:lang w:val="de-DE"/>
        </w:rPr>
        <w:t>obert</w:t>
      </w:r>
      <w:r>
        <w:rPr>
          <w:snapToGrid w:val="0"/>
          <w:lang w:val="de-DE" w:eastAsia="de-DE"/>
        </w:rPr>
        <w:t xml:space="preserve"> Alexy, Theorie der Grundrechte,</w:t>
      </w:r>
      <w:r>
        <w:rPr>
          <w:rFonts w:hint="eastAsia"/>
          <w:snapToGrid w:val="0"/>
          <w:color w:val="0000FF"/>
          <w:lang w:val="de-DE"/>
        </w:rPr>
        <w:t>1985</w:t>
      </w:r>
      <w:r>
        <w:rPr>
          <w:rFonts w:hint="eastAsia"/>
          <w:snapToGrid w:val="0"/>
          <w:color w:val="0000FF"/>
          <w:lang w:val="de-DE" w:eastAsia="de-DE"/>
        </w:rPr>
        <w:t>,</w:t>
      </w:r>
      <w:r>
        <w:rPr>
          <w:snapToGrid w:val="0"/>
          <w:lang w:val="de-DE" w:eastAsia="de-DE"/>
        </w:rPr>
        <w:t xml:space="preserve"> S. 75</w:t>
      </w:r>
      <w:r>
        <w:rPr>
          <w:snapToGrid w:val="0"/>
          <w:lang w:val="de-DE"/>
        </w:rPr>
        <w:t xml:space="preserve"> </w:t>
      </w:r>
      <w:r>
        <w:rPr>
          <w:snapToGrid w:val="0"/>
          <w:lang w:val="de-DE" w:eastAsia="de-DE"/>
        </w:rPr>
        <w:t>f</w:t>
      </w:r>
      <w:r>
        <w:rPr>
          <w:snapToGrid w:val="0"/>
          <w:lang w:val="de-DE"/>
        </w:rPr>
        <w:t>f</w:t>
      </w:r>
      <w:r>
        <w:rPr>
          <w:snapToGrid w:val="0"/>
          <w:lang w:val="de-DE" w:eastAsia="de-DE"/>
        </w:rPr>
        <w:t>.</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bCs/>
          <w:iCs/>
          <w:lang w:val="de-DE"/>
        </w:rPr>
        <w:t>Rudolf Schweickdardt</w:t>
      </w:r>
      <w:r>
        <w:rPr>
          <w:lang w:val="de-DE"/>
        </w:rPr>
        <w:t>, Allgemeines Verwaltungsrecht, 1983, 3. Aufl., Rn. 326</w:t>
      </w:r>
    </w:p>
    <w:p w:rsidR="007D6688" w:rsidRDefault="007D6688">
      <w:pPr>
        <w:spacing w:line="360" w:lineRule="auto"/>
        <w:ind w:left="480" w:hangingChars="200" w:hanging="480"/>
        <w:rPr>
          <w:rFonts w:hint="eastAsia"/>
          <w:lang w:val="de-DE"/>
        </w:rPr>
      </w:pPr>
      <w:r>
        <w:rPr>
          <w:rFonts w:hint="eastAsia"/>
          <w:lang w:val="de-DE"/>
        </w:rPr>
        <w:t>λ</w:t>
      </w:r>
      <w:r>
        <w:rPr>
          <w:rFonts w:hint="eastAsia"/>
          <w:lang w:val="de-DE"/>
        </w:rPr>
        <w:t xml:space="preserve">  </w:t>
      </w:r>
      <w:r>
        <w:rPr>
          <w:lang w:val="de-DE" w:eastAsia="ja-JP"/>
        </w:rPr>
        <w:t>Schmidt-Preuß, Kollodoerende Privatintereessen im Verwaltungsrecht, 1992, S. 475 ff.</w:t>
      </w:r>
    </w:p>
    <w:p w:rsidR="007D6688" w:rsidRDefault="007D6688">
      <w:pPr>
        <w:spacing w:line="360" w:lineRule="auto"/>
        <w:ind w:left="960" w:hangingChars="400" w:hanging="960"/>
        <w:rPr>
          <w:rFonts w:hint="eastAsia"/>
          <w:kern w:val="0"/>
          <w:lang w:val="de-DE"/>
        </w:rPr>
      </w:pPr>
      <w:r>
        <w:rPr>
          <w:rFonts w:hint="eastAsia"/>
          <w:kern w:val="0"/>
          <w:lang w:val="de-DE"/>
        </w:rPr>
        <w:t>λ</w:t>
      </w:r>
      <w:r>
        <w:rPr>
          <w:rFonts w:hint="eastAsia"/>
          <w:kern w:val="0"/>
          <w:lang w:val="de-DE"/>
        </w:rPr>
        <w:t xml:space="preserve">  </w:t>
      </w:r>
      <w:r>
        <w:rPr>
          <w:lang w:val="de-DE"/>
        </w:rPr>
        <w:t>Schoch, Vorl</w:t>
      </w:r>
      <w:r>
        <w:rPr>
          <w:rFonts w:eastAsia="MS Mincho"/>
          <w:lang w:val="de-DE" w:eastAsia="ja-JP"/>
        </w:rPr>
        <w:t>äufiger Rechtsschutz, S. 691</w:t>
      </w:r>
    </w:p>
    <w:p w:rsidR="007D6688" w:rsidRDefault="007D6688">
      <w:pPr>
        <w:spacing w:line="360" w:lineRule="auto"/>
        <w:ind w:left="960" w:hangingChars="400" w:hanging="960"/>
        <w:rPr>
          <w:rFonts w:hint="eastAsia"/>
          <w:lang w:val="de-DE"/>
        </w:rPr>
      </w:pPr>
      <w:r>
        <w:rPr>
          <w:rFonts w:hint="eastAsia"/>
          <w:kern w:val="0"/>
          <w:lang w:val="de-DE"/>
        </w:rPr>
        <w:t>λ</w:t>
      </w:r>
      <w:r>
        <w:rPr>
          <w:rFonts w:hint="eastAsia"/>
          <w:kern w:val="0"/>
          <w:lang w:val="de-DE"/>
        </w:rPr>
        <w:t xml:space="preserve">  </w:t>
      </w:r>
      <w:r>
        <w:rPr>
          <w:lang w:val="de-DE"/>
        </w:rPr>
        <w:t>Schoch, in: S Schoch, Vorläufiger Rechtsschutz und Risikoverteilung im</w:t>
      </w:r>
    </w:p>
    <w:p w:rsidR="007D6688" w:rsidRDefault="007D6688">
      <w:pPr>
        <w:spacing w:line="360" w:lineRule="auto"/>
        <w:ind w:firstLineChars="200" w:firstLine="480"/>
        <w:rPr>
          <w:rFonts w:hint="eastAsia"/>
          <w:kern w:val="0"/>
          <w:lang w:val="de-DE"/>
        </w:rPr>
      </w:pPr>
      <w:r>
        <w:rPr>
          <w:lang w:val="de-DE"/>
        </w:rPr>
        <w:t xml:space="preserve"> Verwaltungsrtecht, 1988, S. </w:t>
      </w:r>
      <w:smartTag w:uri="urn:schemas-microsoft-com:office:smarttags" w:element="chmetcnv">
        <w:smartTagPr>
          <w:attr w:name="UnitName" w:val="F"/>
          <w:attr w:name="SourceValue" w:val="699"/>
          <w:attr w:name="HasSpace" w:val="True"/>
          <w:attr w:name="Negative" w:val="False"/>
          <w:attr w:name="NumberType" w:val="1"/>
          <w:attr w:name="TCSC" w:val="0"/>
        </w:smartTagPr>
        <w:r>
          <w:rPr>
            <w:lang w:val="de-DE"/>
          </w:rPr>
          <w:t>699 f</w:t>
        </w:r>
      </w:smartTag>
      <w:r>
        <w:rPr>
          <w:lang w:val="de-DE"/>
        </w:rPr>
        <w:t>.</w:t>
      </w:r>
    </w:p>
    <w:p w:rsidR="007D6688" w:rsidRDefault="007D6688">
      <w:pPr>
        <w:spacing w:line="360" w:lineRule="auto"/>
        <w:ind w:left="960" w:hangingChars="400" w:hanging="960"/>
        <w:rPr>
          <w:rFonts w:hint="eastAsia"/>
          <w:lang w:val="de-DE"/>
        </w:rPr>
      </w:pPr>
      <w:r>
        <w:rPr>
          <w:rFonts w:hint="eastAsia"/>
          <w:kern w:val="0"/>
          <w:lang w:val="de-DE"/>
        </w:rPr>
        <w:t>λ</w:t>
      </w:r>
      <w:r>
        <w:rPr>
          <w:rFonts w:hint="eastAsia"/>
          <w:kern w:val="0"/>
          <w:lang w:val="de-DE"/>
        </w:rPr>
        <w:t xml:space="preserve">  </w:t>
      </w:r>
      <w:r>
        <w:rPr>
          <w:rFonts w:hint="eastAsia"/>
          <w:lang w:val="de-DE"/>
        </w:rPr>
        <w:t>S</w:t>
      </w:r>
      <w:r>
        <w:rPr>
          <w:lang w:val="de-DE"/>
        </w:rPr>
        <w:t>choch/Schmidt-Aßmann/Pietzner (Hrsg.), Verwaltungsgerichtsord</w:t>
      </w:r>
      <w:r>
        <w:rPr>
          <w:lang w:val="de-DE"/>
        </w:rPr>
        <w:softHyphen/>
      </w:r>
      <w:r>
        <w:rPr>
          <w:rFonts w:hint="eastAsia"/>
          <w:lang w:val="de-DE"/>
        </w:rPr>
        <w:t xml:space="preserve">-  </w:t>
      </w:r>
    </w:p>
    <w:p w:rsidR="007D6688" w:rsidRDefault="007D6688">
      <w:pPr>
        <w:spacing w:line="360" w:lineRule="auto"/>
        <w:ind w:left="960" w:hangingChars="400" w:hanging="960"/>
        <w:rPr>
          <w:rFonts w:hint="eastAsia"/>
          <w:kern w:val="0"/>
          <w:lang w:val="de-DE"/>
        </w:rPr>
      </w:pPr>
      <w:r>
        <w:rPr>
          <w:rFonts w:hint="eastAsia"/>
          <w:lang w:val="de-DE"/>
        </w:rPr>
        <w:t xml:space="preserve">     </w:t>
      </w:r>
      <w:r>
        <w:rPr>
          <w:lang w:val="de-DE"/>
        </w:rPr>
        <w:t>nung Kom</w:t>
      </w:r>
      <w:r>
        <w:rPr>
          <w:lang w:val="de-DE"/>
        </w:rPr>
        <w:softHyphen/>
        <w:t>mentar, Vorb. § 80 Rn. 34 f. (Stand: Jan. 2003).</w:t>
      </w:r>
    </w:p>
    <w:p w:rsidR="007D6688" w:rsidRDefault="007D6688">
      <w:pPr>
        <w:spacing w:line="360" w:lineRule="auto"/>
        <w:rPr>
          <w:rFonts w:hint="eastAsia"/>
          <w:lang w:val="de-DE"/>
        </w:rPr>
      </w:pPr>
      <w:r>
        <w:rPr>
          <w:rFonts w:hint="eastAsia"/>
          <w:kern w:val="0"/>
          <w:lang w:val="de-DE"/>
        </w:rPr>
        <w:t>λ</w:t>
      </w:r>
      <w:r>
        <w:rPr>
          <w:rFonts w:hint="eastAsia"/>
          <w:kern w:val="0"/>
          <w:lang w:val="de-DE"/>
        </w:rPr>
        <w:t xml:space="preserve">  </w:t>
      </w:r>
      <w:r>
        <w:rPr>
          <w:lang w:val="de-DE" w:eastAsia="ja-JP"/>
        </w:rPr>
        <w:t xml:space="preserve">Ulrich Battis, Recht auf öffentlichen Dienstes, in: Achterberg/ Püttner/ </w:t>
      </w:r>
      <w:r>
        <w:rPr>
          <w:rFonts w:hint="eastAsia"/>
          <w:lang w:val="de-DE"/>
        </w:rPr>
        <w:t xml:space="preserve"> </w:t>
      </w:r>
    </w:p>
    <w:p w:rsidR="007D6688" w:rsidRDefault="007D6688">
      <w:pPr>
        <w:spacing w:line="360" w:lineRule="auto"/>
        <w:rPr>
          <w:rFonts w:hint="eastAsia"/>
          <w:lang w:val="de-DE"/>
        </w:rPr>
      </w:pPr>
      <w:r>
        <w:rPr>
          <w:rFonts w:hint="eastAsia"/>
          <w:lang w:val="de-DE"/>
        </w:rPr>
        <w:t xml:space="preserve">    </w:t>
      </w:r>
      <w:r>
        <w:rPr>
          <w:lang w:val="de-DE" w:eastAsia="ja-JP"/>
        </w:rPr>
        <w:t xml:space="preserve">Würtenberg (Hrsg.), Besonderes Verwaltungsrecht, Bd. </w:t>
      </w:r>
      <w:r>
        <w:rPr>
          <w:lang w:val="de-DE"/>
        </w:rPr>
        <w:t>II, 2. Aufl.</w:t>
      </w:r>
      <w:r>
        <w:rPr>
          <w:lang w:val="de-DE" w:eastAsia="ja-JP"/>
        </w:rPr>
        <w:t xml:space="preserve">, 2000, </w:t>
      </w:r>
      <w:r>
        <w:rPr>
          <w:lang w:val="de-DE"/>
        </w:rPr>
        <w:t xml:space="preserve">§ 31 </w:t>
      </w:r>
      <w:r>
        <w:rPr>
          <w:rFonts w:hint="eastAsia"/>
          <w:lang w:val="de-DE"/>
        </w:rPr>
        <w:t xml:space="preserve"> </w:t>
      </w:r>
    </w:p>
    <w:p w:rsidR="007D6688" w:rsidRDefault="007D6688">
      <w:pPr>
        <w:spacing w:line="360" w:lineRule="auto"/>
        <w:rPr>
          <w:rFonts w:hint="eastAsia"/>
          <w:kern w:val="0"/>
          <w:lang w:val="de-DE"/>
        </w:rPr>
      </w:pPr>
      <w:r>
        <w:rPr>
          <w:rFonts w:hint="eastAsia"/>
          <w:lang w:val="de-DE"/>
        </w:rPr>
        <w:t xml:space="preserve">    </w:t>
      </w:r>
      <w:r>
        <w:rPr>
          <w:lang w:val="de-DE"/>
        </w:rPr>
        <w:t>Rn. 27.</w:t>
      </w:r>
    </w:p>
    <w:p w:rsidR="007D6688" w:rsidRDefault="007D6688">
      <w:pPr>
        <w:spacing w:line="360" w:lineRule="auto"/>
        <w:rPr>
          <w:rFonts w:eastAsia="標楷體" w:hint="eastAsia"/>
          <w:lang w:val="de-DE"/>
        </w:rPr>
      </w:pPr>
      <w:r>
        <w:rPr>
          <w:rFonts w:hint="eastAsia"/>
          <w:kern w:val="0"/>
          <w:lang w:val="de-DE"/>
        </w:rPr>
        <w:t>λ</w:t>
      </w:r>
      <w:r>
        <w:rPr>
          <w:rFonts w:hint="eastAsia"/>
          <w:lang w:val="de-DE"/>
        </w:rPr>
        <w:t xml:space="preserve">  </w:t>
      </w:r>
      <w:r>
        <w:rPr>
          <w:rFonts w:eastAsia="標楷體"/>
          <w:lang w:val="de-DE"/>
        </w:rPr>
        <w:t xml:space="preserve">Uwe Kernbach, Die Rechtsschutzmöglichkeiten des unterlegenen Konkurrenten </w:t>
      </w:r>
      <w:r>
        <w:rPr>
          <w:rFonts w:eastAsia="標楷體" w:hint="eastAsia"/>
          <w:lang w:val="de-DE"/>
        </w:rPr>
        <w:t xml:space="preserve"> </w:t>
      </w:r>
    </w:p>
    <w:p w:rsidR="007D6688" w:rsidRDefault="007D6688">
      <w:pPr>
        <w:spacing w:line="360" w:lineRule="auto"/>
        <w:ind w:firstLineChars="100" w:firstLine="240"/>
        <w:rPr>
          <w:rFonts w:hint="eastAsia"/>
          <w:lang w:val="de-DE"/>
        </w:rPr>
      </w:pPr>
      <w:r>
        <w:rPr>
          <w:rFonts w:eastAsia="標楷體" w:hint="eastAsia"/>
          <w:lang w:val="de-DE"/>
        </w:rPr>
        <w:t xml:space="preserve">  </w:t>
      </w:r>
      <w:r>
        <w:rPr>
          <w:rFonts w:eastAsia="標楷體"/>
          <w:lang w:val="de-DE"/>
        </w:rPr>
        <w:t>im beamtenrechtlichen Ernennungsverfahhren,</w:t>
      </w:r>
      <w:r>
        <w:rPr>
          <w:rFonts w:eastAsia="標楷體"/>
          <w:color w:val="0000FF"/>
          <w:lang w:val="de-DE"/>
        </w:rPr>
        <w:t xml:space="preserve"> Diss. Tübingen</w:t>
      </w:r>
      <w:r>
        <w:rPr>
          <w:rFonts w:eastAsia="標楷體"/>
          <w:lang w:val="de-DE"/>
        </w:rPr>
        <w:t>, 1994, S. 114 ff</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Wahl/ Schütz, in:</w:t>
      </w:r>
      <w:r>
        <w:rPr>
          <w:color w:val="000000"/>
        </w:rPr>
        <w:t xml:space="preserve"> </w:t>
      </w:r>
      <w:r>
        <w:rPr>
          <w:color w:val="0000FF"/>
        </w:rPr>
        <w:t>Schoch/Schmidt-Aßmann/Pietzner</w:t>
      </w:r>
      <w:r>
        <w:rPr>
          <w:lang w:val="de-DE"/>
        </w:rPr>
        <w:t>, VwGO, § 42 Rn. 325.</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eastAsia="ja-JP"/>
        </w:rPr>
        <w:t>Wieland, FS Blümel, 1999, S. 655</w:t>
      </w:r>
    </w:p>
    <w:p w:rsidR="007D6688" w:rsidRDefault="007D6688">
      <w:pPr>
        <w:spacing w:line="360" w:lineRule="auto"/>
        <w:ind w:left="720" w:hangingChars="300" w:hanging="720"/>
        <w:rPr>
          <w:rFonts w:hint="eastAsia"/>
          <w:lang w:val="de-DE"/>
        </w:rPr>
      </w:pPr>
      <w:r>
        <w:rPr>
          <w:rFonts w:hint="eastAsia"/>
          <w:lang w:val="de-DE"/>
        </w:rPr>
        <w:t>λ</w:t>
      </w:r>
      <w:r>
        <w:rPr>
          <w:rFonts w:hint="eastAsia"/>
          <w:lang w:val="de-DE"/>
        </w:rPr>
        <w:t xml:space="preserve">  </w:t>
      </w:r>
      <w:r>
        <w:rPr>
          <w:color w:val="000000"/>
          <w:lang w:val="de-DE"/>
        </w:rPr>
        <w:t>Wolfgang Kuhla/ Jost Hüttenbrink, Der Verwaltungsprozess, 3. Aufl., 2002, D Rn. 143.</w:t>
      </w:r>
    </w:p>
    <w:p w:rsidR="007D6688" w:rsidRDefault="007D6688">
      <w:pPr>
        <w:spacing w:line="360" w:lineRule="auto"/>
        <w:rPr>
          <w:rFonts w:hint="eastAsia"/>
          <w:lang w:val="de-DE"/>
        </w:rPr>
      </w:pPr>
      <w:r>
        <w:rPr>
          <w:rFonts w:hint="eastAsia"/>
          <w:lang w:val="de-DE"/>
        </w:rPr>
        <w:t>λ</w:t>
      </w:r>
      <w:r>
        <w:rPr>
          <w:rFonts w:hint="eastAsia"/>
          <w:lang w:val="de-DE"/>
        </w:rPr>
        <w:t xml:space="preserve">  </w:t>
      </w:r>
      <w:r>
        <w:rPr>
          <w:lang w:val="de-DE"/>
        </w:rPr>
        <w:t>Wolfgang Roth, Verwaltungsrechtliche Organstreitigkeiten, 2001, S. 157.</w:t>
      </w:r>
    </w:p>
    <w:p w:rsidR="007D6688" w:rsidRDefault="007D6688">
      <w:pPr>
        <w:spacing w:line="360" w:lineRule="auto"/>
        <w:rPr>
          <w:rFonts w:ascii="標楷體" w:eastAsia="標楷體" w:hAnsi="標楷體" w:hint="eastAsia"/>
          <w:b/>
          <w:bCs/>
          <w:lang w:val="de-DE"/>
        </w:rPr>
      </w:pPr>
      <w:r>
        <w:rPr>
          <w:rFonts w:ascii="標楷體" w:eastAsia="標楷體" w:hAnsi="標楷體"/>
          <w:b/>
          <w:bCs/>
          <w:lang w:val="de-DE"/>
        </w:rPr>
        <w:t>(</w:t>
      </w:r>
      <w:r>
        <w:rPr>
          <w:rFonts w:ascii="標楷體" w:eastAsia="標楷體" w:hAnsi="標楷體" w:hint="eastAsia"/>
          <w:b/>
          <w:bCs/>
          <w:lang w:val="de-DE"/>
        </w:rPr>
        <w:t>二</w:t>
      </w:r>
      <w:r>
        <w:rPr>
          <w:rFonts w:ascii="標楷體" w:eastAsia="標楷體" w:hAnsi="標楷體"/>
          <w:b/>
          <w:bCs/>
          <w:lang w:val="de-DE"/>
        </w:rPr>
        <w:t>)</w:t>
      </w:r>
      <w:r>
        <w:rPr>
          <w:rFonts w:ascii="標楷體" w:eastAsia="標楷體" w:hAnsi="標楷體" w:hint="eastAsia"/>
          <w:b/>
          <w:bCs/>
          <w:lang w:val="de-DE"/>
        </w:rPr>
        <w:t xml:space="preserve"> 期刊</w:t>
      </w:r>
    </w:p>
    <w:p w:rsidR="007D6688" w:rsidRDefault="007D6688">
      <w:pPr>
        <w:pStyle w:val="ad"/>
        <w:spacing w:line="360" w:lineRule="auto"/>
        <w:jc w:val="both"/>
        <w:rPr>
          <w:rFonts w:hint="eastAsia"/>
          <w:lang w:val="de-DE"/>
        </w:rPr>
      </w:pPr>
    </w:p>
    <w:p w:rsidR="007D6688" w:rsidRDefault="007D6688">
      <w:pPr>
        <w:pStyle w:val="ad"/>
        <w:spacing w:line="360" w:lineRule="auto"/>
        <w:ind w:left="480" w:hangingChars="200" w:hanging="480"/>
        <w:jc w:val="both"/>
        <w:rPr>
          <w:rFonts w:hint="eastAsia"/>
          <w:b/>
          <w:bCs/>
          <w:sz w:val="24"/>
          <w:lang w:val="de-DE"/>
        </w:rPr>
      </w:pPr>
      <w:r>
        <w:rPr>
          <w:rFonts w:hint="eastAsia"/>
          <w:sz w:val="24"/>
          <w:lang w:val="de-DE"/>
        </w:rPr>
        <w:t>λ</w:t>
      </w:r>
      <w:r>
        <w:rPr>
          <w:rFonts w:hint="eastAsia"/>
          <w:sz w:val="24"/>
          <w:lang w:val="de-DE"/>
        </w:rPr>
        <w:t xml:space="preserve">  </w:t>
      </w:r>
      <w:r>
        <w:rPr>
          <w:sz w:val="24"/>
          <w:lang w:val="de-DE"/>
        </w:rPr>
        <w:t>Dirk Ehlers, Die Rechtsprechung zum nordrhein-westfälischen Kommunalrecht der Jahre 1984-1989, NWVBl. 1990, 86 (Fn. 138).</w:t>
      </w:r>
    </w:p>
    <w:p w:rsidR="007D6688" w:rsidRDefault="007D6688">
      <w:pPr>
        <w:spacing w:line="360" w:lineRule="auto"/>
        <w:ind w:left="480" w:hangingChars="200" w:hanging="480"/>
        <w:rPr>
          <w:rFonts w:hint="eastAsia"/>
          <w:color w:val="0000FF"/>
        </w:rPr>
      </w:pPr>
      <w:r>
        <w:rPr>
          <w:rFonts w:hint="eastAsia"/>
          <w:lang w:val="de-DE"/>
        </w:rPr>
        <w:t>λ</w:t>
      </w:r>
      <w:r>
        <w:rPr>
          <w:rFonts w:hint="eastAsia"/>
          <w:lang w:val="de-DE"/>
        </w:rPr>
        <w:t xml:space="preserve">  </w:t>
      </w:r>
      <w:r>
        <w:t xml:space="preserve">Eberhard Schwerdtner, Die Weisung - innerdienstlicher Rechtsakt oder anfechtbarer Verwaltungsakt?, VBlBW 1996, </w:t>
      </w:r>
      <w:r>
        <w:rPr>
          <w:color w:val="000000"/>
        </w:rPr>
        <w:t>209</w:t>
      </w:r>
    </w:p>
    <w:p w:rsidR="007D6688" w:rsidRDefault="007D6688">
      <w:pPr>
        <w:spacing w:line="360" w:lineRule="auto"/>
        <w:ind w:left="480" w:hangingChars="200" w:hanging="480"/>
        <w:rPr>
          <w:rFonts w:hint="eastAsia"/>
          <w:color w:val="0000FF"/>
          <w:lang w:val="de-DE"/>
        </w:rPr>
      </w:pPr>
      <w:r>
        <w:rPr>
          <w:rFonts w:hint="eastAsia"/>
          <w:kern w:val="0"/>
          <w:lang w:val="de-DE"/>
        </w:rPr>
        <w:t>λ</w:t>
      </w:r>
      <w:r>
        <w:rPr>
          <w:rFonts w:hint="eastAsia"/>
          <w:kern w:val="0"/>
          <w:lang w:val="de-DE"/>
        </w:rPr>
        <w:t xml:space="preserve">  </w:t>
      </w:r>
      <w:r>
        <w:rPr>
          <w:kern w:val="0"/>
          <w:lang w:val="de-DE"/>
        </w:rPr>
        <w:t xml:space="preserve">Ernst-Lüder Solte: </w:t>
      </w:r>
      <w:r>
        <w:rPr>
          <w:iCs/>
          <w:kern w:val="0"/>
          <w:lang w:val="de-DE"/>
        </w:rPr>
        <w:t>Zur Konkurrentenklage im Beamtenrecht</w:t>
      </w:r>
      <w:r>
        <w:rPr>
          <w:kern w:val="0"/>
          <w:lang w:val="de-DE"/>
        </w:rPr>
        <w:t>, in: NJW 1980, 1027-1035;</w:t>
      </w:r>
    </w:p>
    <w:p w:rsidR="007D6688" w:rsidRDefault="007D6688">
      <w:pPr>
        <w:spacing w:line="360" w:lineRule="auto"/>
        <w:rPr>
          <w:rFonts w:hint="eastAsia"/>
          <w:color w:val="0000FF"/>
        </w:rPr>
      </w:pPr>
      <w:r>
        <w:rPr>
          <w:rFonts w:hint="eastAsia"/>
        </w:rPr>
        <w:t>λ</w:t>
      </w:r>
      <w:r>
        <w:rPr>
          <w:rFonts w:hint="eastAsia"/>
        </w:rPr>
        <w:t xml:space="preserve">  </w:t>
      </w:r>
      <w:r>
        <w:t xml:space="preserve">Hans-Uwe Erichsen, Die Umsetzung von Beamten, DVBl. 1982, </w:t>
      </w:r>
      <w:r>
        <w:rPr>
          <w:color w:val="000000"/>
        </w:rPr>
        <w:t>98</w:t>
      </w:r>
    </w:p>
    <w:p w:rsidR="007D6688" w:rsidRDefault="007D6688">
      <w:pPr>
        <w:spacing w:line="360" w:lineRule="auto"/>
        <w:rPr>
          <w:rFonts w:hint="eastAsia"/>
          <w:color w:val="0000FF"/>
        </w:rPr>
      </w:pPr>
      <w:r>
        <w:rPr>
          <w:rFonts w:hint="eastAsia"/>
          <w:bCs/>
          <w:iCs/>
          <w:lang w:val="de-DE"/>
        </w:rPr>
        <w:t>λ</w:t>
      </w:r>
      <w:r>
        <w:rPr>
          <w:rFonts w:hint="eastAsia"/>
          <w:bCs/>
          <w:iCs/>
          <w:lang w:val="de-DE"/>
        </w:rPr>
        <w:t xml:space="preserve">  </w:t>
      </w:r>
      <w:r>
        <w:rPr>
          <w:bCs/>
          <w:iCs/>
          <w:lang w:val="de-DE"/>
        </w:rPr>
        <w:t>Hans-Uwe Erichsen</w:t>
      </w:r>
      <w:r>
        <w:rPr>
          <w:lang w:val="de-DE"/>
        </w:rPr>
        <w:t>, Kommunalaufsicht, DVBl. 1985, 948;</w:t>
      </w:r>
    </w:p>
    <w:p w:rsidR="007D6688" w:rsidRDefault="007D6688">
      <w:pPr>
        <w:pStyle w:val="ad"/>
        <w:spacing w:line="360" w:lineRule="auto"/>
        <w:ind w:left="480" w:hangingChars="200" w:hanging="480"/>
        <w:jc w:val="both"/>
        <w:rPr>
          <w:color w:val="000000"/>
          <w:sz w:val="24"/>
          <w:lang w:val="de-DE"/>
        </w:rPr>
      </w:pPr>
      <w:r>
        <w:rPr>
          <w:rFonts w:hint="eastAsia"/>
          <w:sz w:val="24"/>
          <w:lang w:val="de-DE"/>
        </w:rPr>
        <w:t>λ</w:t>
      </w:r>
      <w:r>
        <w:rPr>
          <w:rFonts w:hint="eastAsia"/>
          <w:sz w:val="24"/>
          <w:lang w:val="de-DE"/>
        </w:rPr>
        <w:t xml:space="preserve">  </w:t>
      </w:r>
      <w:r>
        <w:rPr>
          <w:sz w:val="24"/>
          <w:lang w:val="de-DE"/>
        </w:rPr>
        <w:t>Werner Thieme, Der Gesetzvorbehalt im besonderen Gewaltverhältnis, JZ 1964,</w:t>
      </w:r>
      <w:r>
        <w:rPr>
          <w:color w:val="0000FF"/>
          <w:sz w:val="24"/>
          <w:lang w:val="de-DE"/>
        </w:rPr>
        <w:t xml:space="preserve"> </w:t>
      </w:r>
      <w:r>
        <w:rPr>
          <w:color w:val="000000"/>
          <w:sz w:val="24"/>
          <w:lang w:val="de-DE"/>
        </w:rPr>
        <w:t>83.</w:t>
      </w:r>
    </w:p>
    <w:p w:rsidR="007D6688" w:rsidRDefault="007D6688">
      <w:pPr>
        <w:pStyle w:val="ad"/>
        <w:spacing w:line="360" w:lineRule="auto"/>
        <w:ind w:left="480" w:hangingChars="200" w:hanging="480"/>
        <w:jc w:val="both"/>
        <w:rPr>
          <w:rFonts w:hint="eastAsia"/>
          <w:sz w:val="24"/>
          <w:lang w:val="de-DE"/>
        </w:rPr>
      </w:pPr>
      <w:r>
        <w:rPr>
          <w:rFonts w:hint="eastAsia"/>
          <w:sz w:val="24"/>
          <w:lang w:val="de-DE"/>
        </w:rPr>
        <w:t>λ</w:t>
      </w:r>
      <w:r>
        <w:rPr>
          <w:rFonts w:hint="eastAsia"/>
          <w:sz w:val="24"/>
          <w:lang w:val="de-DE"/>
        </w:rPr>
        <w:t xml:space="preserve">  </w:t>
      </w:r>
      <w:r>
        <w:rPr>
          <w:sz w:val="24"/>
          <w:lang w:val="de-DE"/>
        </w:rPr>
        <w:t>Henning Leupold, Rechtsschutz bei beamtenrechtlichen Umsetzungen,</w:t>
      </w:r>
      <w:r>
        <w:rPr>
          <w:color w:val="FF0000"/>
          <w:sz w:val="24"/>
          <w:lang w:val="de-DE"/>
        </w:rPr>
        <w:t xml:space="preserve"> </w:t>
      </w:r>
      <w:r>
        <w:rPr>
          <w:color w:val="000000"/>
          <w:sz w:val="24"/>
          <w:lang w:val="de-DE"/>
        </w:rPr>
        <w:t xml:space="preserve">DÖD </w:t>
      </w:r>
      <w:r>
        <w:rPr>
          <w:sz w:val="24"/>
          <w:lang w:val="de-DE"/>
        </w:rPr>
        <w:t>2002, 136 ff.</w:t>
      </w:r>
    </w:p>
    <w:p w:rsidR="007D6688" w:rsidRDefault="007D6688">
      <w:pPr>
        <w:pStyle w:val="ad"/>
        <w:spacing w:line="360" w:lineRule="auto"/>
        <w:ind w:left="480" w:hangingChars="200" w:hanging="480"/>
        <w:jc w:val="both"/>
        <w:rPr>
          <w:rFonts w:hint="eastAsia"/>
          <w:sz w:val="24"/>
          <w:lang w:val="de-DE"/>
        </w:rPr>
      </w:pPr>
      <w:r>
        <w:rPr>
          <w:rFonts w:hint="eastAsia"/>
          <w:sz w:val="24"/>
          <w:lang w:val="de-DE"/>
        </w:rPr>
        <w:t>λ</w:t>
      </w:r>
      <w:r>
        <w:rPr>
          <w:rFonts w:hint="eastAsia"/>
          <w:sz w:val="24"/>
          <w:lang w:val="de-DE"/>
        </w:rPr>
        <w:t xml:space="preserve">  </w:t>
      </w:r>
      <w:r>
        <w:rPr>
          <w:sz w:val="24"/>
          <w:lang w:val="de-DE"/>
        </w:rPr>
        <w:t>OVG Greifswald, NVwZ 2000, 945.</w:t>
      </w:r>
    </w:p>
    <w:p w:rsidR="007D6688" w:rsidRDefault="007D6688">
      <w:pPr>
        <w:pStyle w:val="ad"/>
        <w:spacing w:line="360" w:lineRule="auto"/>
        <w:ind w:left="480" w:hangingChars="200" w:hanging="480"/>
        <w:jc w:val="both"/>
        <w:rPr>
          <w:rFonts w:hint="eastAsia"/>
          <w:sz w:val="24"/>
          <w:lang w:val="de-DE"/>
        </w:rPr>
      </w:pPr>
      <w:r>
        <w:rPr>
          <w:rFonts w:hint="eastAsia"/>
          <w:sz w:val="24"/>
          <w:lang w:val="de-DE"/>
        </w:rPr>
        <w:t>λ</w:t>
      </w:r>
      <w:r>
        <w:rPr>
          <w:rFonts w:hint="eastAsia"/>
          <w:sz w:val="24"/>
          <w:lang w:val="de-DE"/>
        </w:rPr>
        <w:t xml:space="preserve">  </w:t>
      </w:r>
      <w:r>
        <w:rPr>
          <w:sz w:val="24"/>
          <w:lang w:val="de-DE" w:eastAsia="ja-JP"/>
        </w:rPr>
        <w:t>Schmitt-Kammler, Jura 1979, 651; ders., DÖV 1980, 291; Lechler, Jura 1979, 415.</w:t>
      </w:r>
    </w:p>
    <w:p w:rsidR="007D6688" w:rsidRDefault="007D6688">
      <w:pPr>
        <w:pStyle w:val="ad"/>
        <w:spacing w:line="360" w:lineRule="auto"/>
        <w:ind w:left="200" w:hanging="200"/>
        <w:jc w:val="both"/>
        <w:rPr>
          <w:sz w:val="24"/>
          <w:lang w:val="de-DE"/>
        </w:rPr>
      </w:pPr>
      <w:r>
        <w:rPr>
          <w:rFonts w:hint="eastAsia"/>
          <w:sz w:val="24"/>
        </w:rPr>
        <w:t>λ</w:t>
      </w:r>
      <w:r>
        <w:rPr>
          <w:rFonts w:hint="eastAsia"/>
          <w:sz w:val="24"/>
        </w:rPr>
        <w:t xml:space="preserve">  </w:t>
      </w:r>
      <w:r>
        <w:rPr>
          <w:iCs/>
          <w:kern w:val="0"/>
          <w:sz w:val="24"/>
          <w:lang w:val="de-DE"/>
        </w:rPr>
        <w:t>Ulrich Battis,</w:t>
      </w:r>
      <w:r>
        <w:rPr>
          <w:bCs/>
          <w:kern w:val="36"/>
          <w:sz w:val="24"/>
          <w:lang w:val="de-DE"/>
        </w:rPr>
        <w:t xml:space="preserve"> Entwicklung des Beamtenrechts im Jahre 2001, </w:t>
      </w:r>
      <w:r>
        <w:rPr>
          <w:kern w:val="0"/>
          <w:sz w:val="24"/>
          <w:lang w:val="de-DE"/>
        </w:rPr>
        <w:t>NJW 2002, 1089.</w:t>
      </w:r>
    </w:p>
    <w:p w:rsidR="007D6688" w:rsidRDefault="007D6688">
      <w:pPr>
        <w:pStyle w:val="ad"/>
        <w:spacing w:line="360" w:lineRule="auto"/>
        <w:jc w:val="both"/>
        <w:rPr>
          <w:rFonts w:hint="eastAsia"/>
          <w:sz w:val="24"/>
          <w:lang w:val="de-DE"/>
        </w:rPr>
      </w:pPr>
    </w:p>
    <w:p w:rsidR="007D6688" w:rsidRDefault="007D6688">
      <w:pPr>
        <w:rPr>
          <w:rFonts w:ascii="標楷體" w:eastAsia="標楷體" w:hAnsi="標楷體" w:hint="eastAsia"/>
          <w:sz w:val="32"/>
          <w:lang w:val="de-DE"/>
        </w:rPr>
      </w:pPr>
      <w:r>
        <w:rPr>
          <w:lang w:val="de-DE"/>
        </w:rPr>
        <w:br w:type="page"/>
      </w:r>
      <w:bookmarkStart w:id="174" w:name="_Toc121199249"/>
      <w:r>
        <w:rPr>
          <w:rFonts w:ascii="標楷體" w:eastAsia="標楷體" w:hAnsi="標楷體" w:hint="eastAsia"/>
          <w:sz w:val="32"/>
          <w:lang w:val="de-DE"/>
        </w:rPr>
        <w:t>附件(一)</w:t>
      </w:r>
      <w:bookmarkEnd w:id="174"/>
    </w:p>
    <w:p w:rsidR="007D6688" w:rsidRDefault="007D6688">
      <w:pPr>
        <w:pStyle w:val="af0"/>
        <w:spacing w:before="180" w:after="180"/>
        <w:rPr>
          <w:rFonts w:ascii="超研澤粗圓" w:eastAsia="超研澤粗圓" w:hint="eastAsia"/>
          <w:sz w:val="28"/>
        </w:rPr>
      </w:pPr>
      <w:r>
        <w:rPr>
          <w:rFonts w:ascii="超研澤粗圓" w:eastAsia="超研澤粗圓" w:hint="eastAsia"/>
          <w:sz w:val="28"/>
        </w:rPr>
        <w:t>公務人員陞遷法</w:t>
      </w:r>
    </w:p>
    <w:p w:rsidR="007D6688" w:rsidRDefault="007D6688">
      <w:pPr>
        <w:pStyle w:val="af0"/>
        <w:spacing w:line="220" w:lineRule="exact"/>
        <w:ind w:left="5580"/>
        <w:rPr>
          <w:rFonts w:hint="eastAsia"/>
          <w:sz w:val="16"/>
        </w:rPr>
      </w:pPr>
      <w:smartTag w:uri="urn:schemas-microsoft-com:office:smarttags" w:element="chsdate">
        <w:smartTagPr>
          <w:attr w:name="Year" w:val="2000"/>
          <w:attr w:name="Month" w:val="5"/>
          <w:attr w:name="Day" w:val="17"/>
          <w:attr w:name="IsLunarDate" w:val="False"/>
          <w:attr w:name="IsROCDate" w:val="True"/>
        </w:smartTagPr>
        <w:r>
          <w:rPr>
            <w:rFonts w:hint="eastAsia"/>
            <w:sz w:val="16"/>
          </w:rPr>
          <w:t>中華民國八十九年五月十七日</w:t>
        </w:r>
      </w:smartTag>
      <w:r>
        <w:rPr>
          <w:rFonts w:hint="eastAsia"/>
          <w:sz w:val="16"/>
        </w:rPr>
        <w:t>公布</w:t>
      </w:r>
    </w:p>
    <w:p w:rsidR="007D6688" w:rsidRDefault="007D6688">
      <w:pPr>
        <w:pStyle w:val="af0"/>
        <w:spacing w:line="220" w:lineRule="exact"/>
        <w:ind w:left="5580"/>
        <w:rPr>
          <w:rFonts w:hint="eastAsia"/>
          <w:sz w:val="16"/>
        </w:rPr>
      </w:pPr>
      <w:r>
        <w:rPr>
          <w:rFonts w:hint="eastAsia"/>
          <w:sz w:val="16"/>
        </w:rPr>
        <w:t>考試院核定自八十九年七月一日施行</w:t>
      </w:r>
    </w:p>
    <w:p w:rsidR="007D6688" w:rsidRDefault="007D6688">
      <w:pPr>
        <w:pStyle w:val="af0"/>
        <w:spacing w:before="120" w:line="320" w:lineRule="exact"/>
        <w:jc w:val="both"/>
        <w:rPr>
          <w:rFonts w:hint="eastAsia"/>
          <w:w w:val="105"/>
          <w:sz w:val="18"/>
        </w:rPr>
      </w:pPr>
      <w:r>
        <w:rPr>
          <w:rFonts w:hint="eastAsia"/>
          <w:spacing w:val="45"/>
          <w:kern w:val="0"/>
          <w:sz w:val="18"/>
        </w:rPr>
        <w:t>第</w:t>
      </w:r>
      <w:r>
        <w:rPr>
          <w:rFonts w:hint="eastAsia"/>
          <w:spacing w:val="45"/>
          <w:sz w:val="18"/>
        </w:rPr>
        <w:t>一</w:t>
      </w:r>
      <w:r>
        <w:rPr>
          <w:rFonts w:hint="eastAsia"/>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公務人員之陞遷，依本法行之。但法律另有規定者，從其規定。</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第二</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公務人員之陞遷，應本人與事適切配合之旨，考量機關特性與職務需要，依資績並重、內陞與外補兼顧原則，採公開、公平、公正方式，擇優陞任或遷調歷練，以拔擢及培育人才。</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第三</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本法以各級政府機關及公立學校（以下簡稱各機關）組織法規中，除政務人員及機要人員外，定有職稱及依法律任用、派用之人員為適用對象。</w:t>
      </w:r>
    </w:p>
    <w:p w:rsidR="007D6688" w:rsidRDefault="007D6688">
      <w:pPr>
        <w:pStyle w:val="af0"/>
        <w:spacing w:line="320" w:lineRule="exact"/>
        <w:jc w:val="both"/>
        <w:rPr>
          <w:rFonts w:hint="eastAsia"/>
          <w:w w:val="105"/>
          <w:sz w:val="18"/>
        </w:rPr>
      </w:pPr>
      <w:r>
        <w:rPr>
          <w:rFonts w:hint="eastAsia"/>
          <w:spacing w:val="45"/>
          <w:kern w:val="0"/>
          <w:sz w:val="18"/>
        </w:rPr>
        <w:t>第四</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本法所稱公務人員之陞遷，係指下列情形之一者：</w:t>
      </w:r>
    </w:p>
    <w:p w:rsidR="007D6688" w:rsidRDefault="007D6688">
      <w:pPr>
        <w:pStyle w:val="af0"/>
        <w:spacing w:line="320" w:lineRule="exact"/>
        <w:ind w:left="1104"/>
        <w:jc w:val="both"/>
        <w:rPr>
          <w:rFonts w:hint="eastAsia"/>
          <w:w w:val="105"/>
          <w:sz w:val="18"/>
        </w:rPr>
      </w:pPr>
      <w:r>
        <w:rPr>
          <w:rFonts w:hint="eastAsia"/>
          <w:w w:val="105"/>
          <w:sz w:val="18"/>
        </w:rPr>
        <w:t>一</w:t>
      </w:r>
      <w:r>
        <w:rPr>
          <w:rFonts w:ascii="新細明體" w:eastAsia="新細明體" w:hint="eastAsia"/>
          <w:w w:val="105"/>
          <w:sz w:val="18"/>
        </w:rPr>
        <w:t>、</w:t>
      </w:r>
      <w:r>
        <w:rPr>
          <w:rFonts w:hint="eastAsia"/>
          <w:w w:val="105"/>
          <w:sz w:val="18"/>
        </w:rPr>
        <w:t>陞任較高之職務。</w:t>
      </w:r>
    </w:p>
    <w:p w:rsidR="007D6688" w:rsidRDefault="007D6688">
      <w:pPr>
        <w:pStyle w:val="af0"/>
        <w:spacing w:line="320" w:lineRule="exact"/>
        <w:ind w:left="1104"/>
        <w:jc w:val="both"/>
        <w:rPr>
          <w:rFonts w:hint="eastAsia"/>
          <w:w w:val="105"/>
          <w:sz w:val="18"/>
        </w:rPr>
      </w:pPr>
      <w:r>
        <w:rPr>
          <w:rFonts w:hint="eastAsia"/>
          <w:w w:val="105"/>
          <w:sz w:val="18"/>
        </w:rPr>
        <w:t>二</w:t>
      </w:r>
      <w:r>
        <w:rPr>
          <w:rFonts w:ascii="新細明體" w:eastAsia="新細明體" w:hint="eastAsia"/>
          <w:w w:val="105"/>
          <w:sz w:val="18"/>
        </w:rPr>
        <w:t>、</w:t>
      </w:r>
      <w:r>
        <w:rPr>
          <w:rFonts w:hint="eastAsia"/>
          <w:w w:val="105"/>
          <w:sz w:val="18"/>
        </w:rPr>
        <w:t>非主管職務陞任或遷調主管職務。</w:t>
      </w:r>
    </w:p>
    <w:p w:rsidR="007D6688" w:rsidRDefault="007D6688">
      <w:pPr>
        <w:pStyle w:val="af0"/>
        <w:spacing w:line="320" w:lineRule="exact"/>
        <w:ind w:left="1104"/>
        <w:jc w:val="both"/>
        <w:rPr>
          <w:rFonts w:hint="eastAsia"/>
          <w:w w:val="105"/>
          <w:sz w:val="18"/>
        </w:rPr>
      </w:pPr>
      <w:r>
        <w:rPr>
          <w:rFonts w:hint="eastAsia"/>
          <w:w w:val="105"/>
          <w:sz w:val="18"/>
        </w:rPr>
        <w:t>三</w:t>
      </w:r>
      <w:r>
        <w:rPr>
          <w:rFonts w:ascii="新細明體" w:eastAsia="新細明體" w:hint="eastAsia"/>
          <w:w w:val="105"/>
          <w:sz w:val="18"/>
        </w:rPr>
        <w:t>、</w:t>
      </w:r>
      <w:r>
        <w:rPr>
          <w:rFonts w:hint="eastAsia"/>
          <w:w w:val="105"/>
          <w:sz w:val="18"/>
        </w:rPr>
        <w:t>遷調相當之職務。</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第五</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各機關職務出缺時，除依法申請分發考試及格或依本法得免經甄審之職缺外，應就本機關或他機關具有該職務任用資格之人員，本功績原則評定陞遷。</w:t>
      </w:r>
    </w:p>
    <w:p w:rsidR="007D6688" w:rsidRDefault="007D6688">
      <w:pPr>
        <w:pStyle w:val="af0"/>
        <w:spacing w:line="320" w:lineRule="exact"/>
        <w:ind w:left="1104"/>
        <w:jc w:val="both"/>
        <w:rPr>
          <w:rFonts w:hint="eastAsia"/>
          <w:w w:val="105"/>
          <w:sz w:val="18"/>
        </w:rPr>
      </w:pPr>
      <w:r>
        <w:rPr>
          <w:rFonts w:hint="eastAsia"/>
          <w:w w:val="105"/>
          <w:sz w:val="18"/>
        </w:rPr>
        <w:t>各機關職缺如由本機關人員陞遷時，應辦理甄審。如由他機關人員陞遷時，應公開甄選。</w:t>
      </w:r>
    </w:p>
    <w:p w:rsidR="007D6688" w:rsidRDefault="007D6688">
      <w:pPr>
        <w:pStyle w:val="af0"/>
        <w:spacing w:line="320" w:lineRule="exact"/>
        <w:jc w:val="both"/>
        <w:rPr>
          <w:rFonts w:hint="eastAsia"/>
          <w:w w:val="105"/>
          <w:sz w:val="18"/>
        </w:rPr>
      </w:pPr>
      <w:r>
        <w:rPr>
          <w:rFonts w:hint="eastAsia"/>
          <w:spacing w:val="45"/>
          <w:kern w:val="0"/>
          <w:sz w:val="18"/>
        </w:rPr>
        <w:t>第六</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各機關應依職務高低及業務需要，訂定陞遷序列表。</w:t>
      </w:r>
    </w:p>
    <w:p w:rsidR="007D6688" w:rsidRDefault="007D6688">
      <w:pPr>
        <w:pStyle w:val="af0"/>
        <w:spacing w:line="320" w:lineRule="exact"/>
        <w:ind w:left="720" w:firstLine="378"/>
        <w:jc w:val="both"/>
        <w:rPr>
          <w:rFonts w:hint="eastAsia"/>
          <w:w w:val="105"/>
          <w:sz w:val="18"/>
        </w:rPr>
      </w:pPr>
      <w:r>
        <w:rPr>
          <w:rFonts w:hint="eastAsia"/>
          <w:w w:val="105"/>
          <w:sz w:val="18"/>
        </w:rPr>
        <w:t>各機關職缺由本機關人員陞遷時，應依陞遷序列逐級辦理陞遷。但次一序列中無適當人選時，得由再次一序列人選陞任。</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第七</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辦理本機關人員之陞任，應注意其品德及對國家之忠誠，並依擬陞任職務所需知能，就考試、學歷、職務歷練、訓練、進修、年資、考績（成）、獎懲及發展潛能等項目，訂定標準，評定分數，並得視職缺之職責程度及業務性質，對具有基層服務年資或持有職業證照者酌予加分。必要時，得舉行面試或測驗。如係主管職務，並應評核其領導能力。擬由他機關人員陞任時，得參酌本項規定辦理之。</w:t>
      </w:r>
    </w:p>
    <w:p w:rsidR="007D6688" w:rsidRDefault="007D6688">
      <w:pPr>
        <w:pStyle w:val="af0"/>
        <w:spacing w:line="320" w:lineRule="exact"/>
        <w:ind w:left="720" w:firstLine="378"/>
        <w:jc w:val="both"/>
        <w:rPr>
          <w:rFonts w:hint="eastAsia"/>
          <w:w w:val="105"/>
          <w:sz w:val="18"/>
        </w:rPr>
      </w:pPr>
      <w:r>
        <w:rPr>
          <w:rFonts w:hint="eastAsia"/>
          <w:w w:val="105"/>
          <w:sz w:val="18"/>
        </w:rPr>
        <w:t>依前項所評定之積分有二人以上相同時，以較高職等（官稱官階、官等官階）或訓練進修及發展潛能積分較高者，優先陞任。</w:t>
      </w:r>
    </w:p>
    <w:p w:rsidR="007D6688" w:rsidRDefault="007D6688">
      <w:pPr>
        <w:pStyle w:val="af0"/>
        <w:spacing w:line="320" w:lineRule="exact"/>
        <w:ind w:left="720" w:firstLine="378"/>
        <w:jc w:val="both"/>
        <w:rPr>
          <w:rFonts w:hint="eastAsia"/>
          <w:w w:val="105"/>
          <w:sz w:val="18"/>
        </w:rPr>
      </w:pPr>
      <w:r>
        <w:rPr>
          <w:rFonts w:hint="eastAsia"/>
          <w:w w:val="105"/>
          <w:sz w:val="18"/>
        </w:rPr>
        <w:t>第一項標準，由各主管院訂定。但各主管院得視實際需要授權所屬機關依其業務特性定之。</w:t>
      </w:r>
    </w:p>
    <w:p w:rsidR="007D6688" w:rsidRDefault="007D6688">
      <w:pPr>
        <w:pStyle w:val="af0"/>
        <w:spacing w:line="320" w:lineRule="exact"/>
        <w:ind w:left="720" w:firstLine="378"/>
        <w:jc w:val="both"/>
        <w:rPr>
          <w:rFonts w:hint="eastAsia"/>
          <w:w w:val="105"/>
          <w:sz w:val="18"/>
        </w:rPr>
      </w:pPr>
      <w:r>
        <w:rPr>
          <w:rFonts w:hint="eastAsia"/>
          <w:w w:val="105"/>
          <w:sz w:val="18"/>
        </w:rPr>
        <w:t>各機關辦理公務人員之遷調，得參酌第一項規定，自行訂定資格條件之審查項目。</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第八</w:t>
      </w:r>
      <w:r>
        <w:rPr>
          <w:rFonts w:hint="eastAsia"/>
          <w:kern w:val="0"/>
          <w:sz w:val="18"/>
        </w:rPr>
        <w:t xml:space="preserve">條  </w:t>
      </w:r>
      <w:r>
        <w:rPr>
          <w:w w:val="105"/>
          <w:sz w:val="18"/>
        </w:rPr>
        <w:t xml:space="preserve">  </w:t>
      </w:r>
      <w:r>
        <w:rPr>
          <w:rFonts w:hint="eastAsia"/>
          <w:w w:val="105"/>
          <w:sz w:val="18"/>
        </w:rPr>
        <w:t>各機關辦理公務人員之陞遷，應組織甄審委員會，辦理甄審相關事宜。但本機關人員之遷調，得視業務實際需要．免經甄審程序。</w:t>
      </w:r>
    </w:p>
    <w:p w:rsidR="007D6688" w:rsidRDefault="007D6688">
      <w:pPr>
        <w:pStyle w:val="af0"/>
        <w:spacing w:line="320" w:lineRule="exact"/>
        <w:ind w:left="720" w:firstLine="378"/>
        <w:jc w:val="both"/>
        <w:rPr>
          <w:rFonts w:hint="eastAsia"/>
          <w:w w:val="105"/>
          <w:sz w:val="18"/>
        </w:rPr>
      </w:pPr>
      <w:r>
        <w:rPr>
          <w:rFonts w:hint="eastAsia"/>
          <w:w w:val="105"/>
          <w:sz w:val="18"/>
        </w:rPr>
        <w:t>編制員額較少或業務性質特殊之機關，經主管機關核准者，其人員之陞任甄審得由上級機關統籌辦理，不受前項之限制。</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第九</w:t>
      </w:r>
      <w:r>
        <w:rPr>
          <w:rFonts w:hint="eastAsia"/>
          <w:kern w:val="0"/>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辦理公務人員之陞遷，應由人事單位就具有擬陞遷職務任用資格人員，分別情形，依積分高低順序或資格條件造列名冊，並檢同有關資料，報請本機關首長交付甄審委員會評審後，依程序報請機關首長就前三名中圈定陞補之；如陞遷二人以上時，就陞遷人數之二倍中圈定陞補之。</w:t>
      </w:r>
    </w:p>
    <w:p w:rsidR="007D6688" w:rsidRDefault="007D6688">
      <w:pPr>
        <w:pStyle w:val="af0"/>
        <w:spacing w:line="320" w:lineRule="exact"/>
        <w:ind w:left="720" w:firstLine="378"/>
        <w:jc w:val="both"/>
        <w:rPr>
          <w:rFonts w:hint="eastAsia"/>
          <w:w w:val="105"/>
          <w:sz w:val="18"/>
        </w:rPr>
      </w:pPr>
      <w:r>
        <w:rPr>
          <w:rFonts w:hint="eastAsia"/>
          <w:w w:val="105"/>
          <w:sz w:val="18"/>
        </w:rPr>
        <w:t>機關首長對前項甄審委員會報請圈定陞遷之人選有不同意見時，得退回重行依本法相關規定改依其他甄選方式辦理陞遷事宜。</w:t>
      </w:r>
    </w:p>
    <w:p w:rsidR="007D6688" w:rsidRDefault="007D6688">
      <w:pPr>
        <w:pStyle w:val="af0"/>
        <w:spacing w:line="320" w:lineRule="exact"/>
        <w:ind w:left="729" w:hanging="729"/>
        <w:jc w:val="both"/>
        <w:rPr>
          <w:rFonts w:hint="eastAsia"/>
          <w:w w:val="105"/>
          <w:sz w:val="18"/>
        </w:rPr>
      </w:pPr>
      <w:r>
        <w:rPr>
          <w:rFonts w:hint="eastAsia"/>
          <w:spacing w:val="45"/>
          <w:kern w:val="0"/>
          <w:sz w:val="18"/>
        </w:rPr>
        <w:t>第</w:t>
      </w:r>
      <w:r>
        <w:rPr>
          <w:rFonts w:hint="eastAsia"/>
          <w:spacing w:val="45"/>
          <w:sz w:val="18"/>
        </w:rPr>
        <w:t>十</w:t>
      </w:r>
      <w:r>
        <w:rPr>
          <w:rFonts w:hint="eastAsia"/>
          <w:sz w:val="18"/>
        </w:rPr>
        <w:t>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各機關下列職務，得免經甄審，由本機關或其上級機關首長核定逕行陞遷，並不受第十二條第六款至第八款之限制：</w:t>
      </w:r>
    </w:p>
    <w:p w:rsidR="007D6688" w:rsidRDefault="007D6688">
      <w:pPr>
        <w:pStyle w:val="af0"/>
        <w:spacing w:line="320" w:lineRule="exact"/>
        <w:ind w:left="1104"/>
        <w:jc w:val="both"/>
        <w:rPr>
          <w:rFonts w:hint="eastAsia"/>
          <w:w w:val="105"/>
          <w:sz w:val="18"/>
        </w:rPr>
      </w:pPr>
      <w:r>
        <w:rPr>
          <w:rFonts w:hint="eastAsia"/>
          <w:w w:val="105"/>
          <w:sz w:val="18"/>
        </w:rPr>
        <w:t>一</w:t>
      </w:r>
      <w:r>
        <w:rPr>
          <w:rFonts w:ascii="新細明體" w:eastAsia="新細明體" w:hint="eastAsia"/>
          <w:w w:val="105"/>
          <w:sz w:val="18"/>
        </w:rPr>
        <w:t>、</w:t>
      </w:r>
      <w:r>
        <w:rPr>
          <w:rFonts w:hint="eastAsia"/>
          <w:w w:val="105"/>
          <w:sz w:val="18"/>
        </w:rPr>
        <w:t>機關首長、副首長。</w:t>
      </w:r>
    </w:p>
    <w:p w:rsidR="007D6688" w:rsidRDefault="007D6688">
      <w:pPr>
        <w:pStyle w:val="af0"/>
        <w:spacing w:line="320" w:lineRule="exact"/>
        <w:ind w:left="1104"/>
        <w:jc w:val="both"/>
        <w:rPr>
          <w:rFonts w:hint="eastAsia"/>
          <w:w w:val="105"/>
          <w:sz w:val="18"/>
        </w:rPr>
      </w:pPr>
      <w:r>
        <w:rPr>
          <w:rFonts w:hint="eastAsia"/>
          <w:w w:val="105"/>
          <w:sz w:val="18"/>
        </w:rPr>
        <w:t>二</w:t>
      </w:r>
      <w:r>
        <w:rPr>
          <w:rFonts w:ascii="新細明體" w:eastAsia="新細明體" w:hint="eastAsia"/>
          <w:w w:val="105"/>
          <w:sz w:val="18"/>
        </w:rPr>
        <w:t>、</w:t>
      </w:r>
      <w:r>
        <w:rPr>
          <w:rFonts w:hint="eastAsia"/>
          <w:w w:val="105"/>
          <w:sz w:val="18"/>
        </w:rPr>
        <w:t>幕僚長、副幕僚長。</w:t>
      </w:r>
    </w:p>
    <w:p w:rsidR="007D6688" w:rsidRDefault="007D6688">
      <w:pPr>
        <w:pStyle w:val="af0"/>
        <w:spacing w:line="320" w:lineRule="exact"/>
        <w:ind w:left="1104"/>
        <w:jc w:val="both"/>
        <w:rPr>
          <w:rFonts w:hint="eastAsia"/>
          <w:w w:val="105"/>
          <w:sz w:val="18"/>
        </w:rPr>
      </w:pPr>
      <w:r>
        <w:rPr>
          <w:rFonts w:hint="eastAsia"/>
          <w:w w:val="105"/>
          <w:sz w:val="18"/>
        </w:rPr>
        <w:t>三</w:t>
      </w:r>
      <w:r>
        <w:rPr>
          <w:rFonts w:ascii="新細明體" w:eastAsia="新細明體" w:hint="eastAsia"/>
          <w:w w:val="105"/>
          <w:sz w:val="18"/>
        </w:rPr>
        <w:t>、</w:t>
      </w:r>
      <w:r>
        <w:rPr>
          <w:rFonts w:hint="eastAsia"/>
          <w:w w:val="105"/>
          <w:sz w:val="18"/>
        </w:rPr>
        <w:t>機關內部一級單位主管以上之人員。</w:t>
      </w:r>
    </w:p>
    <w:p w:rsidR="007D6688" w:rsidRDefault="007D6688">
      <w:pPr>
        <w:pStyle w:val="af0"/>
        <w:spacing w:line="320" w:lineRule="exact"/>
        <w:ind w:left="556" w:hanging="556"/>
        <w:jc w:val="both"/>
        <w:rPr>
          <w:rFonts w:hint="eastAsia"/>
          <w:w w:val="105"/>
          <w:sz w:val="18"/>
        </w:rPr>
      </w:pPr>
      <w:r>
        <w:rPr>
          <w:rFonts w:hint="eastAsia"/>
          <w:kern w:val="0"/>
          <w:sz w:val="18"/>
        </w:rPr>
        <w:t>第十一條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各機關下列人員無第十二條各款情事之一，且具有陞任職務任用資格者，得免經甄審優        先陞任：</w:t>
      </w:r>
    </w:p>
    <w:p w:rsidR="007D6688" w:rsidRDefault="007D6688">
      <w:pPr>
        <w:pStyle w:val="af0"/>
        <w:spacing w:line="320" w:lineRule="exact"/>
        <w:ind w:left="1104"/>
        <w:jc w:val="both"/>
        <w:rPr>
          <w:rFonts w:hint="eastAsia"/>
          <w:w w:val="105"/>
          <w:sz w:val="18"/>
        </w:rPr>
      </w:pPr>
      <w:r>
        <w:rPr>
          <w:rFonts w:hint="eastAsia"/>
          <w:w w:val="105"/>
          <w:sz w:val="18"/>
        </w:rPr>
        <w:t>一</w:t>
      </w:r>
      <w:r>
        <w:rPr>
          <w:rFonts w:ascii="新細明體" w:eastAsia="新細明體" w:hint="eastAsia"/>
          <w:w w:val="105"/>
          <w:sz w:val="18"/>
        </w:rPr>
        <w:t>、</w:t>
      </w:r>
      <w:r>
        <w:rPr>
          <w:rFonts w:hint="eastAsia"/>
          <w:w w:val="105"/>
          <w:sz w:val="18"/>
        </w:rPr>
        <w:t>最近三年內曾獲頒勳章、功績獎章、楷模獎章或專業獎章者。</w:t>
      </w:r>
    </w:p>
    <w:p w:rsidR="007D6688" w:rsidRDefault="007D6688">
      <w:pPr>
        <w:pStyle w:val="af0"/>
        <w:spacing w:line="320" w:lineRule="exact"/>
        <w:ind w:left="1104"/>
        <w:jc w:val="both"/>
        <w:rPr>
          <w:rFonts w:hint="eastAsia"/>
          <w:w w:val="105"/>
          <w:sz w:val="18"/>
        </w:rPr>
      </w:pPr>
      <w:r>
        <w:rPr>
          <w:rFonts w:hint="eastAsia"/>
          <w:w w:val="105"/>
          <w:sz w:val="18"/>
        </w:rPr>
        <w:t>二</w:t>
      </w:r>
      <w:r>
        <w:rPr>
          <w:rFonts w:ascii="新細明體" w:eastAsia="新細明體" w:hint="eastAsia"/>
          <w:w w:val="105"/>
          <w:sz w:val="18"/>
        </w:rPr>
        <w:t>、</w:t>
      </w:r>
      <w:r>
        <w:rPr>
          <w:rFonts w:hint="eastAsia"/>
          <w:w w:val="105"/>
          <w:sz w:val="18"/>
        </w:rPr>
        <w:t>最近三年內經一次記二大功辦理專案考績（成）有案者。</w:t>
      </w:r>
    </w:p>
    <w:p w:rsidR="007D6688" w:rsidRDefault="007D6688">
      <w:pPr>
        <w:pStyle w:val="af0"/>
        <w:spacing w:line="320" w:lineRule="exact"/>
        <w:ind w:left="1104"/>
        <w:jc w:val="both"/>
        <w:rPr>
          <w:rFonts w:hint="eastAsia"/>
          <w:w w:val="105"/>
          <w:sz w:val="18"/>
        </w:rPr>
      </w:pPr>
      <w:r>
        <w:rPr>
          <w:rFonts w:hint="eastAsia"/>
          <w:w w:val="105"/>
          <w:sz w:val="18"/>
        </w:rPr>
        <w:t>三</w:t>
      </w:r>
      <w:r>
        <w:rPr>
          <w:rFonts w:ascii="新細明體" w:eastAsia="新細明體" w:hint="eastAsia"/>
          <w:w w:val="105"/>
          <w:sz w:val="18"/>
        </w:rPr>
        <w:t>、</w:t>
      </w:r>
      <w:r>
        <w:rPr>
          <w:rFonts w:hint="eastAsia"/>
          <w:w w:val="105"/>
          <w:sz w:val="18"/>
        </w:rPr>
        <w:t>最近三年內曾當選模範公務人員者。</w:t>
      </w:r>
    </w:p>
    <w:p w:rsidR="007D6688" w:rsidRDefault="007D6688">
      <w:pPr>
        <w:pStyle w:val="af0"/>
        <w:spacing w:line="320" w:lineRule="exact"/>
        <w:ind w:left="1104"/>
        <w:jc w:val="both"/>
        <w:rPr>
          <w:rFonts w:hint="eastAsia"/>
          <w:w w:val="105"/>
          <w:sz w:val="18"/>
        </w:rPr>
      </w:pPr>
      <w:r>
        <w:rPr>
          <w:rFonts w:hint="eastAsia"/>
          <w:w w:val="105"/>
          <w:sz w:val="18"/>
        </w:rPr>
        <w:t>四</w:t>
      </w:r>
      <w:r>
        <w:rPr>
          <w:rFonts w:ascii="新細明體" w:eastAsia="新細明體" w:hint="eastAsia"/>
          <w:w w:val="105"/>
          <w:sz w:val="18"/>
        </w:rPr>
        <w:t>、</w:t>
      </w:r>
      <w:r>
        <w:rPr>
          <w:rFonts w:hint="eastAsia"/>
          <w:w w:val="105"/>
          <w:sz w:val="18"/>
        </w:rPr>
        <w:t>曾獲頒公務人員傑出貢獻獎者。</w:t>
      </w:r>
    </w:p>
    <w:p w:rsidR="007D6688" w:rsidRDefault="007D6688">
      <w:pPr>
        <w:pStyle w:val="af0"/>
        <w:spacing w:line="320" w:lineRule="exact"/>
        <w:ind w:left="1104"/>
        <w:jc w:val="both"/>
        <w:rPr>
          <w:rFonts w:hint="eastAsia"/>
          <w:w w:val="105"/>
          <w:sz w:val="18"/>
        </w:rPr>
      </w:pPr>
      <w:r>
        <w:rPr>
          <w:rFonts w:hint="eastAsia"/>
          <w:w w:val="105"/>
          <w:sz w:val="18"/>
        </w:rPr>
        <w:t>五</w:t>
      </w:r>
      <w:r>
        <w:rPr>
          <w:rFonts w:ascii="新細明體" w:eastAsia="新細明體" w:hint="eastAsia"/>
          <w:w w:val="105"/>
          <w:sz w:val="18"/>
        </w:rPr>
        <w:t>、</w:t>
      </w:r>
      <w:r>
        <w:rPr>
          <w:rFonts w:hint="eastAsia"/>
          <w:w w:val="105"/>
          <w:sz w:val="18"/>
        </w:rPr>
        <w:t>經考試及格分發，先以較所具資格為低之職務任用者。</w:t>
      </w:r>
    </w:p>
    <w:p w:rsidR="007D6688" w:rsidRDefault="007D6688">
      <w:pPr>
        <w:pStyle w:val="af0"/>
        <w:spacing w:line="320" w:lineRule="exact"/>
        <w:ind w:left="720" w:firstLine="378"/>
        <w:jc w:val="both"/>
        <w:rPr>
          <w:rFonts w:hint="eastAsia"/>
          <w:w w:val="105"/>
          <w:sz w:val="18"/>
        </w:rPr>
      </w:pPr>
      <w:r>
        <w:rPr>
          <w:rFonts w:hint="eastAsia"/>
          <w:w w:val="105"/>
          <w:sz w:val="18"/>
        </w:rPr>
        <w:t>合於前項得優先陞任條件有二人以上時，如有第五款情形應優先陞任，餘依陞任標準評定積分後，擇優陞任；其構成該條件之事實，以使用一次為限。同時兼具有兩款以上者亦同。</w:t>
      </w:r>
    </w:p>
    <w:p w:rsidR="007D6688" w:rsidRDefault="007D6688">
      <w:pPr>
        <w:pStyle w:val="af0"/>
        <w:spacing w:line="320" w:lineRule="exact"/>
        <w:ind w:left="720" w:firstLine="378"/>
        <w:jc w:val="both"/>
        <w:rPr>
          <w:rFonts w:hint="eastAsia"/>
          <w:w w:val="105"/>
          <w:sz w:val="18"/>
        </w:rPr>
      </w:pPr>
      <w:r>
        <w:rPr>
          <w:rFonts w:hint="eastAsia"/>
          <w:w w:val="105"/>
          <w:sz w:val="18"/>
        </w:rPr>
        <w:t>第一項第一款之專業獎章不含依服務年資頒給者。</w:t>
      </w:r>
    </w:p>
    <w:p w:rsidR="007D6688" w:rsidRDefault="007D6688">
      <w:pPr>
        <w:pStyle w:val="af0"/>
        <w:spacing w:line="320" w:lineRule="exact"/>
        <w:ind w:left="556" w:hanging="556"/>
        <w:jc w:val="both"/>
        <w:rPr>
          <w:rFonts w:hint="eastAsia"/>
          <w:w w:val="105"/>
          <w:sz w:val="18"/>
        </w:rPr>
      </w:pPr>
      <w:r>
        <w:rPr>
          <w:rFonts w:hint="eastAsia"/>
          <w:kern w:val="0"/>
          <w:sz w:val="18"/>
        </w:rPr>
        <w:t xml:space="preserve">第十二條  </w:t>
      </w:r>
      <w:r>
        <w:rPr>
          <w:w w:val="105"/>
          <w:sz w:val="18"/>
        </w:rPr>
        <w:t xml:space="preserve">  </w:t>
      </w:r>
      <w:r>
        <w:rPr>
          <w:rFonts w:hint="eastAsia"/>
          <w:w w:val="105"/>
          <w:sz w:val="18"/>
        </w:rPr>
        <w:t>各機關下列人員不得辦理陞任：</w:t>
      </w:r>
    </w:p>
    <w:p w:rsidR="007D6688" w:rsidRDefault="007D6688">
      <w:pPr>
        <w:pStyle w:val="af0"/>
        <w:spacing w:line="320" w:lineRule="exact"/>
        <w:ind w:left="1104"/>
        <w:jc w:val="both"/>
        <w:rPr>
          <w:rFonts w:hint="eastAsia"/>
          <w:w w:val="105"/>
          <w:sz w:val="18"/>
        </w:rPr>
      </w:pPr>
      <w:r>
        <w:rPr>
          <w:rFonts w:hint="eastAsia"/>
          <w:w w:val="105"/>
          <w:sz w:val="18"/>
        </w:rPr>
        <w:t>一</w:t>
      </w:r>
      <w:r>
        <w:rPr>
          <w:rFonts w:ascii="新細明體" w:eastAsia="新細明體" w:hint="eastAsia"/>
          <w:w w:val="105"/>
          <w:sz w:val="18"/>
        </w:rPr>
        <w:t>、</w:t>
      </w:r>
      <w:r>
        <w:rPr>
          <w:rFonts w:hint="eastAsia"/>
          <w:w w:val="105"/>
          <w:sz w:val="18"/>
        </w:rPr>
        <w:t>最近三年內曾受有期徒刑之判決確定者。</w:t>
      </w:r>
    </w:p>
    <w:p w:rsidR="007D6688" w:rsidRDefault="007D6688">
      <w:pPr>
        <w:pStyle w:val="af0"/>
        <w:spacing w:line="320" w:lineRule="exact"/>
        <w:ind w:left="1104"/>
        <w:jc w:val="both"/>
        <w:rPr>
          <w:rFonts w:hint="eastAsia"/>
          <w:w w:val="105"/>
          <w:sz w:val="18"/>
        </w:rPr>
      </w:pPr>
      <w:r>
        <w:rPr>
          <w:rFonts w:hint="eastAsia"/>
          <w:w w:val="105"/>
          <w:sz w:val="18"/>
        </w:rPr>
        <w:t>二</w:t>
      </w:r>
      <w:r>
        <w:rPr>
          <w:rFonts w:ascii="新細明體" w:eastAsia="新細明體" w:hint="eastAsia"/>
          <w:w w:val="105"/>
          <w:sz w:val="18"/>
        </w:rPr>
        <w:t>、</w:t>
      </w:r>
      <w:r>
        <w:rPr>
          <w:rFonts w:hint="eastAsia"/>
          <w:w w:val="105"/>
          <w:sz w:val="18"/>
        </w:rPr>
        <w:t>最近二年內曾依公務員懲戒法受撤職、休職或降級之處分者。</w:t>
      </w:r>
    </w:p>
    <w:p w:rsidR="007D6688" w:rsidRDefault="007D6688">
      <w:pPr>
        <w:pStyle w:val="af0"/>
        <w:spacing w:line="320" w:lineRule="exact"/>
        <w:ind w:left="1104"/>
        <w:jc w:val="both"/>
        <w:rPr>
          <w:rFonts w:hint="eastAsia"/>
          <w:w w:val="105"/>
          <w:sz w:val="18"/>
        </w:rPr>
      </w:pPr>
      <w:r>
        <w:rPr>
          <w:rFonts w:hint="eastAsia"/>
          <w:w w:val="105"/>
          <w:sz w:val="18"/>
        </w:rPr>
        <w:t>三</w:t>
      </w:r>
      <w:r>
        <w:rPr>
          <w:rFonts w:ascii="新細明體" w:eastAsia="新細明體" w:hint="eastAsia"/>
          <w:w w:val="105"/>
          <w:sz w:val="18"/>
        </w:rPr>
        <w:t>、</w:t>
      </w:r>
      <w:r>
        <w:rPr>
          <w:rFonts w:hint="eastAsia"/>
          <w:w w:val="105"/>
          <w:sz w:val="18"/>
        </w:rPr>
        <w:t>最近二年內曾依公務人員考績法受免職之處分者。</w:t>
      </w:r>
    </w:p>
    <w:p w:rsidR="007D6688" w:rsidRDefault="007D6688">
      <w:pPr>
        <w:pStyle w:val="af0"/>
        <w:spacing w:line="320" w:lineRule="exact"/>
        <w:ind w:left="1104"/>
        <w:jc w:val="both"/>
        <w:rPr>
          <w:rFonts w:hint="eastAsia"/>
          <w:w w:val="105"/>
          <w:sz w:val="18"/>
        </w:rPr>
      </w:pPr>
      <w:r>
        <w:rPr>
          <w:rFonts w:hint="eastAsia"/>
          <w:w w:val="105"/>
          <w:sz w:val="18"/>
        </w:rPr>
        <w:t>四</w:t>
      </w:r>
      <w:r>
        <w:rPr>
          <w:rFonts w:ascii="新細明體" w:eastAsia="新細明體" w:hint="eastAsia"/>
          <w:w w:val="105"/>
          <w:sz w:val="18"/>
        </w:rPr>
        <w:t>、</w:t>
      </w:r>
      <w:r>
        <w:rPr>
          <w:rFonts w:hint="eastAsia"/>
          <w:w w:val="105"/>
          <w:sz w:val="18"/>
        </w:rPr>
        <w:t>最近一年內曾依公務員懲戒法受減俸或記過之處分者。</w:t>
      </w:r>
    </w:p>
    <w:p w:rsidR="007D6688" w:rsidRDefault="007D6688">
      <w:pPr>
        <w:pStyle w:val="af0"/>
        <w:spacing w:line="320" w:lineRule="exact"/>
        <w:ind w:left="1104"/>
        <w:jc w:val="both"/>
        <w:rPr>
          <w:rFonts w:hint="eastAsia"/>
          <w:w w:val="105"/>
          <w:sz w:val="18"/>
        </w:rPr>
      </w:pPr>
      <w:r>
        <w:rPr>
          <w:rFonts w:hint="eastAsia"/>
          <w:w w:val="105"/>
          <w:sz w:val="18"/>
        </w:rPr>
        <w:t>五</w:t>
      </w:r>
      <w:r>
        <w:rPr>
          <w:rFonts w:ascii="新細明體" w:eastAsia="新細明體" w:hint="eastAsia"/>
          <w:w w:val="105"/>
          <w:sz w:val="18"/>
        </w:rPr>
        <w:t>、</w:t>
      </w:r>
      <w:r>
        <w:rPr>
          <w:rFonts w:hint="eastAsia"/>
          <w:w w:val="105"/>
          <w:sz w:val="18"/>
        </w:rPr>
        <w:t>最近一年考績（成）列丙等者，或依公務人員考績法曾受累積達一大過以上之處分者。</w:t>
      </w:r>
    </w:p>
    <w:p w:rsidR="007D6688" w:rsidRDefault="007D6688">
      <w:pPr>
        <w:pStyle w:val="af0"/>
        <w:spacing w:line="320" w:lineRule="exact"/>
        <w:ind w:left="1104"/>
        <w:jc w:val="both"/>
        <w:rPr>
          <w:rFonts w:hint="eastAsia"/>
          <w:w w:val="105"/>
          <w:sz w:val="18"/>
        </w:rPr>
      </w:pPr>
      <w:r>
        <w:rPr>
          <w:rFonts w:hint="eastAsia"/>
          <w:w w:val="105"/>
          <w:sz w:val="18"/>
        </w:rPr>
        <w:t>六</w:t>
      </w:r>
      <w:r>
        <w:rPr>
          <w:rFonts w:ascii="新細明體" w:eastAsia="新細明體" w:hint="eastAsia"/>
          <w:w w:val="105"/>
          <w:sz w:val="18"/>
        </w:rPr>
        <w:t>、</w:t>
      </w:r>
      <w:r>
        <w:rPr>
          <w:rFonts w:hint="eastAsia"/>
          <w:w w:val="105"/>
          <w:sz w:val="18"/>
        </w:rPr>
        <w:t>陞任現職或任同序列職務合計不滿一年者。但本機關次一序列職務之人員均未滿一年者，不在此限。</w:t>
      </w:r>
    </w:p>
    <w:p w:rsidR="007D6688" w:rsidRDefault="007D6688">
      <w:pPr>
        <w:pStyle w:val="af0"/>
        <w:spacing w:line="320" w:lineRule="exact"/>
        <w:ind w:left="1104"/>
        <w:jc w:val="both"/>
        <w:rPr>
          <w:rFonts w:hint="eastAsia"/>
          <w:w w:val="105"/>
          <w:sz w:val="18"/>
        </w:rPr>
      </w:pPr>
      <w:r>
        <w:rPr>
          <w:rFonts w:hint="eastAsia"/>
          <w:w w:val="105"/>
          <w:sz w:val="18"/>
        </w:rPr>
        <w:t>七</w:t>
      </w:r>
      <w:r>
        <w:rPr>
          <w:rFonts w:ascii="新細明體" w:eastAsia="新細明體" w:hint="eastAsia"/>
          <w:w w:val="105"/>
          <w:sz w:val="18"/>
        </w:rPr>
        <w:t>、</w:t>
      </w:r>
      <w:r>
        <w:rPr>
          <w:rFonts w:hint="eastAsia"/>
          <w:w w:val="105"/>
          <w:sz w:val="18"/>
        </w:rPr>
        <w:t>經機關核准帶職帶薪進修或研究六個月以上，於進修或研究期間者。</w:t>
      </w:r>
    </w:p>
    <w:p w:rsidR="007D6688" w:rsidRDefault="007D6688">
      <w:pPr>
        <w:pStyle w:val="af0"/>
        <w:spacing w:line="320" w:lineRule="exact"/>
        <w:ind w:left="1104"/>
        <w:jc w:val="both"/>
        <w:rPr>
          <w:rFonts w:hint="eastAsia"/>
          <w:w w:val="105"/>
          <w:sz w:val="18"/>
        </w:rPr>
      </w:pPr>
      <w:r>
        <w:rPr>
          <w:rFonts w:hint="eastAsia"/>
          <w:w w:val="105"/>
          <w:sz w:val="18"/>
        </w:rPr>
        <w:t>八</w:t>
      </w:r>
      <w:r>
        <w:rPr>
          <w:rFonts w:ascii="新細明體" w:eastAsia="新細明體" w:hint="eastAsia"/>
          <w:w w:val="105"/>
          <w:sz w:val="18"/>
        </w:rPr>
        <w:t>、</w:t>
      </w:r>
      <w:r>
        <w:rPr>
          <w:rFonts w:hint="eastAsia"/>
          <w:w w:val="105"/>
          <w:sz w:val="18"/>
        </w:rPr>
        <w:t>經機關核准留職停薪，於留職停薪期間者。</w:t>
      </w:r>
    </w:p>
    <w:p w:rsidR="007D6688" w:rsidRDefault="007D6688">
      <w:pPr>
        <w:pStyle w:val="af0"/>
        <w:spacing w:line="320" w:lineRule="exact"/>
        <w:ind w:left="850" w:hanging="850"/>
        <w:jc w:val="both"/>
        <w:rPr>
          <w:rFonts w:hint="eastAsia"/>
          <w:w w:val="105"/>
          <w:sz w:val="18"/>
        </w:rPr>
      </w:pPr>
      <w:r>
        <w:rPr>
          <w:rFonts w:hint="eastAsia"/>
          <w:kern w:val="0"/>
          <w:sz w:val="18"/>
        </w:rPr>
        <w:t>第十三條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各機關對職務列等（稱階、等階）及職務相當之所屬人員，應配合職務性質及業務需要，實施下列各種遷調：</w:t>
      </w:r>
    </w:p>
    <w:p w:rsidR="007D6688" w:rsidRDefault="007D6688">
      <w:pPr>
        <w:pStyle w:val="af0"/>
        <w:spacing w:line="320" w:lineRule="exact"/>
        <w:ind w:left="1104"/>
        <w:jc w:val="both"/>
        <w:rPr>
          <w:rFonts w:hint="eastAsia"/>
          <w:w w:val="105"/>
          <w:sz w:val="18"/>
        </w:rPr>
      </w:pPr>
      <w:r>
        <w:rPr>
          <w:rFonts w:hint="eastAsia"/>
          <w:w w:val="105"/>
          <w:sz w:val="18"/>
        </w:rPr>
        <w:t>一</w:t>
      </w:r>
      <w:r>
        <w:rPr>
          <w:rFonts w:ascii="新細明體" w:eastAsia="新細明體" w:hint="eastAsia"/>
          <w:w w:val="105"/>
          <w:sz w:val="18"/>
        </w:rPr>
        <w:t>、</w:t>
      </w:r>
      <w:r>
        <w:rPr>
          <w:rFonts w:hint="eastAsia"/>
          <w:w w:val="105"/>
          <w:sz w:val="18"/>
        </w:rPr>
        <w:t>本機關內部單位主管之遷調。</w:t>
      </w:r>
    </w:p>
    <w:p w:rsidR="007D6688" w:rsidRDefault="007D6688">
      <w:pPr>
        <w:pStyle w:val="af0"/>
        <w:spacing w:line="320" w:lineRule="exact"/>
        <w:ind w:left="1104"/>
        <w:jc w:val="both"/>
        <w:rPr>
          <w:rFonts w:hint="eastAsia"/>
          <w:w w:val="105"/>
          <w:sz w:val="18"/>
        </w:rPr>
      </w:pPr>
      <w:r>
        <w:rPr>
          <w:rFonts w:hint="eastAsia"/>
          <w:w w:val="105"/>
          <w:sz w:val="18"/>
        </w:rPr>
        <w:t>二</w:t>
      </w:r>
      <w:r>
        <w:rPr>
          <w:rFonts w:ascii="新細明體" w:eastAsia="新細明體" w:hint="eastAsia"/>
          <w:w w:val="105"/>
          <w:sz w:val="18"/>
        </w:rPr>
        <w:t>、</w:t>
      </w:r>
      <w:r>
        <w:rPr>
          <w:rFonts w:hint="eastAsia"/>
          <w:w w:val="105"/>
          <w:sz w:val="18"/>
        </w:rPr>
        <w:t>本機關非主管人員間之遷調。</w:t>
      </w:r>
    </w:p>
    <w:p w:rsidR="007D6688" w:rsidRDefault="007D6688">
      <w:pPr>
        <w:pStyle w:val="af0"/>
        <w:spacing w:line="320" w:lineRule="exact"/>
        <w:ind w:left="1104"/>
        <w:jc w:val="both"/>
        <w:rPr>
          <w:rFonts w:hint="eastAsia"/>
          <w:w w:val="105"/>
          <w:sz w:val="18"/>
        </w:rPr>
      </w:pPr>
      <w:r>
        <w:rPr>
          <w:rFonts w:hint="eastAsia"/>
          <w:w w:val="105"/>
          <w:sz w:val="18"/>
        </w:rPr>
        <w:t>三</w:t>
      </w:r>
      <w:r>
        <w:rPr>
          <w:rFonts w:ascii="新細明體" w:eastAsia="新細明體" w:hint="eastAsia"/>
          <w:w w:val="105"/>
          <w:sz w:val="18"/>
        </w:rPr>
        <w:t>、</w:t>
      </w:r>
      <w:r>
        <w:rPr>
          <w:rFonts w:hint="eastAsia"/>
          <w:w w:val="105"/>
          <w:sz w:val="18"/>
        </w:rPr>
        <w:t>本機關主管人員與所屬機關首長或主管人員間之遷調。</w:t>
      </w:r>
    </w:p>
    <w:p w:rsidR="007D6688" w:rsidRDefault="007D6688">
      <w:pPr>
        <w:pStyle w:val="af0"/>
        <w:spacing w:line="320" w:lineRule="exact"/>
        <w:ind w:left="1104"/>
        <w:jc w:val="both"/>
        <w:rPr>
          <w:rFonts w:hint="eastAsia"/>
          <w:w w:val="105"/>
          <w:sz w:val="18"/>
        </w:rPr>
      </w:pPr>
      <w:r>
        <w:rPr>
          <w:rFonts w:hint="eastAsia"/>
          <w:w w:val="105"/>
          <w:sz w:val="18"/>
        </w:rPr>
        <w:t>四</w:t>
      </w:r>
      <w:r>
        <w:rPr>
          <w:rFonts w:ascii="新細明體" w:eastAsia="新細明體" w:hint="eastAsia"/>
          <w:w w:val="105"/>
          <w:sz w:val="18"/>
        </w:rPr>
        <w:t>、</w:t>
      </w:r>
      <w:r>
        <w:rPr>
          <w:rFonts w:hint="eastAsia"/>
          <w:w w:val="105"/>
          <w:sz w:val="18"/>
        </w:rPr>
        <w:t>所屬機關首長或主管人員間之遷調。</w:t>
      </w:r>
    </w:p>
    <w:p w:rsidR="007D6688" w:rsidRDefault="007D6688">
      <w:pPr>
        <w:pStyle w:val="af0"/>
        <w:spacing w:line="320" w:lineRule="exact"/>
        <w:ind w:left="1104"/>
        <w:jc w:val="both"/>
        <w:rPr>
          <w:rFonts w:hint="eastAsia"/>
          <w:w w:val="105"/>
          <w:sz w:val="18"/>
        </w:rPr>
      </w:pPr>
      <w:r>
        <w:rPr>
          <w:rFonts w:hint="eastAsia"/>
          <w:w w:val="105"/>
          <w:sz w:val="18"/>
        </w:rPr>
        <w:t>前項各種遷調規定，由各主管機關定之。</w:t>
      </w:r>
    </w:p>
    <w:p w:rsidR="007D6688" w:rsidRDefault="007D6688">
      <w:pPr>
        <w:pStyle w:val="af0"/>
        <w:spacing w:line="320" w:lineRule="exact"/>
        <w:ind w:left="556" w:hanging="556"/>
        <w:jc w:val="both"/>
        <w:rPr>
          <w:rFonts w:hint="eastAsia"/>
          <w:w w:val="105"/>
          <w:sz w:val="18"/>
        </w:rPr>
      </w:pPr>
      <w:r>
        <w:rPr>
          <w:rFonts w:hint="eastAsia"/>
          <w:kern w:val="0"/>
          <w:sz w:val="18"/>
        </w:rPr>
        <w:t>第十四條</w:t>
      </w:r>
      <w:r>
        <w:rPr>
          <w:w w:val="105"/>
          <w:sz w:val="18"/>
        </w:rPr>
        <w:t xml:space="preserve"> </w:t>
      </w:r>
      <w:r>
        <w:rPr>
          <w:rFonts w:hint="eastAsia"/>
          <w:w w:val="105"/>
          <w:sz w:val="18"/>
        </w:rPr>
        <w:t xml:space="preserve">  </w:t>
      </w:r>
      <w:r>
        <w:rPr>
          <w:w w:val="105"/>
          <w:sz w:val="18"/>
        </w:rPr>
        <w:t xml:space="preserve"> </w:t>
      </w:r>
      <w:r>
        <w:rPr>
          <w:rFonts w:hint="eastAsia"/>
          <w:w w:val="105"/>
          <w:sz w:val="18"/>
        </w:rPr>
        <w:t>公務人員陞任高一官等之職務，應依法經陞官等訓練。</w:t>
      </w:r>
    </w:p>
    <w:p w:rsidR="007D6688" w:rsidRDefault="007D6688">
      <w:pPr>
        <w:pStyle w:val="af0"/>
        <w:spacing w:line="320" w:lineRule="exact"/>
        <w:ind w:left="720" w:firstLine="378"/>
        <w:jc w:val="both"/>
        <w:rPr>
          <w:rFonts w:hint="eastAsia"/>
          <w:w w:val="105"/>
          <w:sz w:val="18"/>
        </w:rPr>
      </w:pPr>
      <w:r>
        <w:rPr>
          <w:rFonts w:hint="eastAsia"/>
          <w:w w:val="105"/>
          <w:sz w:val="18"/>
        </w:rPr>
        <w:t>初任各官等之主管職務，應由各主管機關實施管理才能發展訓練。</w:t>
      </w:r>
    </w:p>
    <w:p w:rsidR="007D6688" w:rsidRDefault="007D6688">
      <w:pPr>
        <w:pStyle w:val="af0"/>
        <w:spacing w:line="320" w:lineRule="exact"/>
        <w:ind w:left="556" w:hanging="556"/>
        <w:jc w:val="both"/>
        <w:rPr>
          <w:rFonts w:hint="eastAsia"/>
          <w:w w:val="105"/>
          <w:sz w:val="18"/>
        </w:rPr>
      </w:pPr>
      <w:r>
        <w:rPr>
          <w:rFonts w:hint="eastAsia"/>
          <w:kern w:val="0"/>
          <w:sz w:val="18"/>
        </w:rPr>
        <w:t>第十五條</w:t>
      </w:r>
      <w:r>
        <w:rPr>
          <w:w w:val="105"/>
          <w:sz w:val="18"/>
        </w:rPr>
        <w:t xml:space="preserve"> </w:t>
      </w:r>
      <w:r>
        <w:rPr>
          <w:rFonts w:hint="eastAsia"/>
          <w:w w:val="105"/>
          <w:sz w:val="18"/>
        </w:rPr>
        <w:t xml:space="preserve">  </w:t>
      </w:r>
      <w:r>
        <w:rPr>
          <w:w w:val="105"/>
          <w:sz w:val="18"/>
        </w:rPr>
        <w:t xml:space="preserve"> </w:t>
      </w:r>
      <w:r>
        <w:rPr>
          <w:rFonts w:hint="eastAsia"/>
          <w:w w:val="105"/>
          <w:sz w:val="18"/>
        </w:rPr>
        <w:t>公務人員對本機關辦理之陞遷，如認有違法致損害其權益者，得依公務人員保障法提起        救濟。</w:t>
      </w:r>
    </w:p>
    <w:p w:rsidR="007D6688" w:rsidRDefault="007D6688">
      <w:pPr>
        <w:pStyle w:val="af0"/>
        <w:spacing w:line="320" w:lineRule="exact"/>
        <w:ind w:left="720" w:hanging="720"/>
        <w:jc w:val="both"/>
        <w:rPr>
          <w:rFonts w:hint="eastAsia"/>
          <w:w w:val="105"/>
          <w:sz w:val="18"/>
        </w:rPr>
      </w:pPr>
      <w:r>
        <w:rPr>
          <w:rFonts w:hint="eastAsia"/>
          <w:kern w:val="0"/>
          <w:sz w:val="18"/>
        </w:rPr>
        <w:t>第十六條</w:t>
      </w:r>
      <w:r>
        <w:rPr>
          <w:w w:val="105"/>
          <w:sz w:val="18"/>
        </w:rPr>
        <w:t xml:space="preserve"> </w:t>
      </w:r>
      <w:r>
        <w:rPr>
          <w:rFonts w:hint="eastAsia"/>
          <w:w w:val="105"/>
          <w:sz w:val="18"/>
        </w:rPr>
        <w:t xml:space="preserve">  </w:t>
      </w:r>
      <w:r>
        <w:rPr>
          <w:w w:val="105"/>
          <w:sz w:val="18"/>
        </w:rPr>
        <w:t xml:space="preserve"> </w:t>
      </w:r>
      <w:r>
        <w:rPr>
          <w:rFonts w:hint="eastAsia"/>
          <w:w w:val="105"/>
          <w:sz w:val="18"/>
        </w:rPr>
        <w:t>各機關辦理陞遷業務人員，不得徇私舞弊、遺漏舛誤或洩漏秘密；其涉及本身、配偶及三親等以內血親、姻親之甄審案，應行迴避。如有違反，視情節予以懲處。</w:t>
      </w:r>
    </w:p>
    <w:p w:rsidR="007D6688" w:rsidRDefault="007D6688">
      <w:pPr>
        <w:pStyle w:val="af0"/>
        <w:spacing w:line="320" w:lineRule="exact"/>
        <w:ind w:left="556" w:hanging="556"/>
        <w:jc w:val="both"/>
        <w:rPr>
          <w:rFonts w:hint="eastAsia"/>
          <w:w w:val="105"/>
          <w:sz w:val="18"/>
        </w:rPr>
      </w:pPr>
      <w:r>
        <w:rPr>
          <w:rFonts w:hint="eastAsia"/>
          <w:kern w:val="0"/>
          <w:sz w:val="18"/>
        </w:rPr>
        <w:t>第十七條</w:t>
      </w:r>
      <w:r>
        <w:rPr>
          <w:w w:val="105"/>
          <w:sz w:val="18"/>
        </w:rPr>
        <w:t xml:space="preserve"> </w:t>
      </w:r>
      <w:r>
        <w:rPr>
          <w:rFonts w:hint="eastAsia"/>
          <w:w w:val="105"/>
          <w:sz w:val="18"/>
        </w:rPr>
        <w:t xml:space="preserve">  </w:t>
      </w:r>
      <w:r>
        <w:rPr>
          <w:w w:val="105"/>
          <w:sz w:val="18"/>
        </w:rPr>
        <w:t xml:space="preserve"> </w:t>
      </w:r>
      <w:r>
        <w:rPr>
          <w:rFonts w:hint="eastAsia"/>
          <w:w w:val="105"/>
          <w:sz w:val="18"/>
        </w:rPr>
        <w:t>教育人員、交通事業人員及公營事業人員之陞遷，得準用本法之規定。</w:t>
      </w:r>
    </w:p>
    <w:p w:rsidR="007D6688" w:rsidRDefault="007D6688">
      <w:pPr>
        <w:pStyle w:val="af0"/>
        <w:spacing w:line="320" w:lineRule="exact"/>
        <w:ind w:left="556" w:hanging="556"/>
        <w:jc w:val="both"/>
        <w:rPr>
          <w:rFonts w:hint="eastAsia"/>
          <w:w w:val="105"/>
          <w:sz w:val="18"/>
        </w:rPr>
      </w:pPr>
      <w:r>
        <w:rPr>
          <w:rFonts w:hint="eastAsia"/>
          <w:kern w:val="0"/>
          <w:sz w:val="18"/>
        </w:rPr>
        <w:t>第十八條</w:t>
      </w:r>
      <w:r>
        <w:rPr>
          <w:w w:val="105"/>
          <w:sz w:val="18"/>
        </w:rPr>
        <w:t xml:space="preserve"> </w:t>
      </w:r>
      <w:r>
        <w:rPr>
          <w:rFonts w:hint="eastAsia"/>
          <w:w w:val="105"/>
          <w:sz w:val="18"/>
        </w:rPr>
        <w:t xml:space="preserve">  </w:t>
      </w:r>
      <w:r>
        <w:rPr>
          <w:w w:val="105"/>
          <w:sz w:val="18"/>
        </w:rPr>
        <w:t xml:space="preserve"> </w:t>
      </w:r>
      <w:r>
        <w:rPr>
          <w:rFonts w:hint="eastAsia"/>
          <w:w w:val="105"/>
          <w:sz w:val="18"/>
        </w:rPr>
        <w:t>本法施行細則，由考試院定之。</w:t>
      </w:r>
    </w:p>
    <w:p w:rsidR="007D6688" w:rsidRDefault="007D6688">
      <w:pPr>
        <w:pStyle w:val="af0"/>
        <w:spacing w:line="320" w:lineRule="exact"/>
        <w:ind w:left="556" w:hanging="556"/>
        <w:jc w:val="both"/>
        <w:rPr>
          <w:w w:val="105"/>
          <w:sz w:val="18"/>
        </w:rPr>
      </w:pPr>
      <w:r>
        <w:rPr>
          <w:rFonts w:hint="eastAsia"/>
          <w:kern w:val="0"/>
          <w:sz w:val="18"/>
        </w:rPr>
        <w:t>第十九條</w:t>
      </w:r>
      <w:r>
        <w:rPr>
          <w:w w:val="105"/>
          <w:sz w:val="18"/>
        </w:rPr>
        <w:t xml:space="preserve"> </w:t>
      </w:r>
      <w:r>
        <w:rPr>
          <w:rFonts w:hint="eastAsia"/>
          <w:w w:val="105"/>
          <w:sz w:val="18"/>
        </w:rPr>
        <w:t xml:space="preserve">  </w:t>
      </w:r>
      <w:r>
        <w:rPr>
          <w:w w:val="105"/>
          <w:sz w:val="18"/>
        </w:rPr>
        <w:t xml:space="preserve"> </w:t>
      </w:r>
      <w:r>
        <w:rPr>
          <w:rFonts w:hint="eastAsia"/>
          <w:w w:val="105"/>
          <w:sz w:val="18"/>
        </w:rPr>
        <w:t>本法施行日期，由考試院以命令定之。</w:t>
      </w:r>
    </w:p>
    <w:p w:rsidR="007D6688" w:rsidRDefault="007D6688">
      <w:pPr>
        <w:rPr>
          <w:rFonts w:ascii="標楷體" w:eastAsia="標楷體" w:hAnsi="標楷體"/>
          <w:w w:val="105"/>
          <w:sz w:val="32"/>
        </w:rPr>
      </w:pPr>
      <w:r>
        <w:rPr>
          <w:w w:val="105"/>
          <w:sz w:val="18"/>
        </w:rPr>
        <w:br w:type="page"/>
      </w:r>
      <w:bookmarkStart w:id="175" w:name="_Toc121199250"/>
      <w:r>
        <w:rPr>
          <w:rFonts w:ascii="標楷體" w:eastAsia="標楷體" w:hAnsi="標楷體" w:hint="eastAsia"/>
          <w:sz w:val="32"/>
          <w:lang w:val="de-DE"/>
        </w:rPr>
        <w:t>附件(二)</w:t>
      </w:r>
      <w:bookmarkEnd w:id="175"/>
    </w:p>
    <w:tbl>
      <w:tblPr>
        <w:tblW w:w="5000" w:type="pct"/>
        <w:jc w:val="center"/>
        <w:tblCellSpacing w:w="0" w:type="dxa"/>
        <w:tblCellMar>
          <w:top w:w="30" w:type="dxa"/>
          <w:left w:w="30" w:type="dxa"/>
          <w:bottom w:w="30" w:type="dxa"/>
          <w:right w:w="30" w:type="dxa"/>
        </w:tblCellMar>
        <w:tblLook w:val="0000" w:firstRow="0" w:lastRow="0" w:firstColumn="0" w:lastColumn="0" w:noHBand="0" w:noVBand="0"/>
      </w:tblPr>
      <w:tblGrid>
        <w:gridCol w:w="1110"/>
        <w:gridCol w:w="7340"/>
      </w:tblGrid>
      <w:tr w:rsidR="007D6688">
        <w:trPr>
          <w:trHeight w:val="600"/>
          <w:tblCellSpacing w:w="0" w:type="dxa"/>
          <w:jc w:val="center"/>
        </w:trPr>
        <w:tc>
          <w:tcPr>
            <w:tcW w:w="657" w:type="pct"/>
          </w:tcPr>
          <w:p w:rsidR="007D6688" w:rsidRDefault="007D6688">
            <w:pPr>
              <w:widowControl/>
              <w:rPr>
                <w:kern w:val="0"/>
                <w:sz w:val="18"/>
                <w:szCs w:val="18"/>
              </w:rPr>
            </w:pPr>
          </w:p>
        </w:tc>
        <w:tc>
          <w:tcPr>
            <w:tcW w:w="4343" w:type="pct"/>
          </w:tcPr>
          <w:p w:rsidR="007D6688" w:rsidRDefault="007D6688">
            <w:pPr>
              <w:widowControl/>
              <w:rPr>
                <w:kern w:val="0"/>
                <w:sz w:val="18"/>
                <w:szCs w:val="18"/>
              </w:rPr>
            </w:pPr>
            <w:hyperlink r:id="rId25" w:history="1">
              <w:r>
                <w:rPr>
                  <w:kern w:val="0"/>
                  <w:sz w:val="18"/>
                  <w:szCs w:val="18"/>
                </w:rPr>
                <w:t>公務人員陞遷法施行細則</w:t>
              </w:r>
            </w:hyperlink>
            <w:r>
              <w:rPr>
                <w:kern w:val="0"/>
                <w:sz w:val="18"/>
                <w:szCs w:val="18"/>
              </w:rPr>
              <w:t xml:space="preserve"> (</w:t>
            </w:r>
            <w:r>
              <w:rPr>
                <w:kern w:val="0"/>
                <w:sz w:val="18"/>
                <w:szCs w:val="18"/>
              </w:rPr>
              <w:t>民國</w:t>
            </w:r>
            <w:r>
              <w:rPr>
                <w:kern w:val="0"/>
                <w:sz w:val="18"/>
                <w:szCs w:val="18"/>
              </w:rPr>
              <w:t xml:space="preserve"> </w:t>
            </w:r>
            <w:smartTag w:uri="urn:schemas-microsoft-com:office:smarttags" w:element="chsdate">
              <w:smartTagPr>
                <w:attr w:name="Year" w:val="1991"/>
                <w:attr w:name="Month" w:val="05"/>
                <w:attr w:name="Day" w:val="28"/>
                <w:attr w:name="IsLunarDate" w:val="False"/>
                <w:attr w:name="IsROCDate" w:val="False"/>
              </w:smartTagPr>
              <w:r>
                <w:rPr>
                  <w:kern w:val="0"/>
                  <w:sz w:val="18"/>
                  <w:szCs w:val="18"/>
                </w:rPr>
                <w:t xml:space="preserve">91 </w:t>
              </w:r>
              <w:r>
                <w:rPr>
                  <w:kern w:val="0"/>
                  <w:sz w:val="18"/>
                  <w:szCs w:val="18"/>
                </w:rPr>
                <w:t>年</w:t>
              </w:r>
              <w:r>
                <w:rPr>
                  <w:kern w:val="0"/>
                  <w:sz w:val="18"/>
                  <w:szCs w:val="18"/>
                </w:rPr>
                <w:t xml:space="preserve"> 05 </w:t>
              </w:r>
              <w:r>
                <w:rPr>
                  <w:kern w:val="0"/>
                  <w:sz w:val="18"/>
                  <w:szCs w:val="18"/>
                </w:rPr>
                <w:t>月</w:t>
              </w:r>
            </w:smartTag>
            <w:r>
              <w:rPr>
                <w:kern w:val="0"/>
                <w:sz w:val="18"/>
                <w:szCs w:val="18"/>
              </w:rPr>
              <w:t xml:space="preserve"> 28 </w:t>
            </w:r>
            <w:r>
              <w:rPr>
                <w:kern w:val="0"/>
                <w:sz w:val="18"/>
                <w:szCs w:val="18"/>
              </w:rPr>
              <w:t>日</w:t>
            </w:r>
            <w:r>
              <w:rPr>
                <w:kern w:val="0"/>
                <w:sz w:val="18"/>
                <w:szCs w:val="18"/>
              </w:rPr>
              <w:t xml:space="preserve"> </w:t>
            </w:r>
            <w:r>
              <w:rPr>
                <w:kern w:val="0"/>
                <w:sz w:val="18"/>
                <w:szCs w:val="18"/>
              </w:rPr>
              <w:t>修正</w:t>
            </w:r>
            <w:r>
              <w:rPr>
                <w:kern w:val="0"/>
                <w:sz w:val="18"/>
                <w:szCs w:val="18"/>
              </w:rPr>
              <w:t xml:space="preserve">) </w:t>
            </w:r>
          </w:p>
        </w:tc>
      </w:tr>
      <w:tr w:rsidR="007D6688">
        <w:trPr>
          <w:tblCellSpacing w:w="0" w:type="dxa"/>
          <w:jc w:val="center"/>
        </w:trPr>
        <w:tc>
          <w:tcPr>
            <w:tcW w:w="657" w:type="pct"/>
          </w:tcPr>
          <w:p w:rsidR="007D6688" w:rsidRDefault="007D6688">
            <w:pPr>
              <w:widowControl/>
              <w:rPr>
                <w:kern w:val="0"/>
                <w:sz w:val="18"/>
                <w:szCs w:val="18"/>
              </w:rPr>
            </w:pPr>
            <w:hyperlink r:id="rId26" w:history="1">
              <w:r>
                <w:rPr>
                  <w:kern w:val="0"/>
                  <w:sz w:val="18"/>
                  <w:szCs w:val="18"/>
                </w:rPr>
                <w:t>第</w:t>
              </w:r>
              <w:r>
                <w:rPr>
                  <w:kern w:val="0"/>
                  <w:sz w:val="18"/>
                  <w:szCs w:val="18"/>
                </w:rPr>
                <w:t xml:space="preserve">    1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本細則依公務人員陞遷法</w:t>
            </w:r>
            <w:r>
              <w:rPr>
                <w:rFonts w:eastAsia="細明體"/>
                <w:kern w:val="0"/>
                <w:sz w:val="18"/>
                <w:szCs w:val="18"/>
              </w:rPr>
              <w:t xml:space="preserve"> (</w:t>
            </w:r>
            <w:r>
              <w:rPr>
                <w:rFonts w:eastAsia="細明體"/>
                <w:kern w:val="0"/>
                <w:sz w:val="18"/>
                <w:szCs w:val="18"/>
              </w:rPr>
              <w:t>以下簡稱本法</w:t>
            </w:r>
            <w:r>
              <w:rPr>
                <w:rFonts w:eastAsia="細明體"/>
                <w:kern w:val="0"/>
                <w:sz w:val="18"/>
                <w:szCs w:val="18"/>
              </w:rPr>
              <w:t xml:space="preserve">) </w:t>
            </w:r>
            <w:r>
              <w:rPr>
                <w:rFonts w:eastAsia="細明體"/>
                <w:kern w:val="0"/>
                <w:sz w:val="18"/>
                <w:szCs w:val="18"/>
              </w:rPr>
              <w:t>第十八條規定訂定之。</w:t>
            </w:r>
          </w:p>
        </w:tc>
      </w:tr>
      <w:tr w:rsidR="007D6688">
        <w:trPr>
          <w:tblCellSpacing w:w="0" w:type="dxa"/>
          <w:jc w:val="center"/>
        </w:trPr>
        <w:tc>
          <w:tcPr>
            <w:tcW w:w="657" w:type="pct"/>
          </w:tcPr>
          <w:p w:rsidR="007D6688" w:rsidRDefault="007D6688">
            <w:pPr>
              <w:widowControl/>
              <w:rPr>
                <w:kern w:val="0"/>
                <w:sz w:val="18"/>
                <w:szCs w:val="18"/>
              </w:rPr>
            </w:pPr>
            <w:hyperlink r:id="rId27" w:history="1">
              <w:r>
                <w:rPr>
                  <w:kern w:val="0"/>
                  <w:sz w:val="18"/>
                  <w:szCs w:val="18"/>
                </w:rPr>
                <w:t>第</w:t>
              </w:r>
              <w:r>
                <w:rPr>
                  <w:kern w:val="0"/>
                  <w:sz w:val="18"/>
                  <w:szCs w:val="18"/>
                </w:rPr>
                <w:t xml:space="preserve">    2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本法第四條第一款所稱陞任較高之職務，指依法陞任高一職等、官稱官階、官等官階</w:t>
            </w:r>
            <w:r>
              <w:rPr>
                <w:rFonts w:eastAsia="細明體"/>
                <w:kern w:val="0"/>
                <w:sz w:val="18"/>
                <w:szCs w:val="18"/>
              </w:rPr>
              <w:t xml:space="preserve"> (</w:t>
            </w:r>
            <w:r>
              <w:rPr>
                <w:rFonts w:eastAsia="細明體"/>
                <w:kern w:val="0"/>
                <w:sz w:val="18"/>
                <w:szCs w:val="18"/>
              </w:rPr>
              <w:t>以下簡稱職等</w:t>
            </w:r>
            <w:r>
              <w:rPr>
                <w:rFonts w:eastAsia="細明體"/>
                <w:kern w:val="0"/>
                <w:sz w:val="18"/>
                <w:szCs w:val="18"/>
              </w:rPr>
              <w:t xml:space="preserve">) </w:t>
            </w:r>
            <w:r>
              <w:rPr>
                <w:rFonts w:eastAsia="細明體"/>
                <w:kern w:val="0"/>
                <w:sz w:val="18"/>
                <w:szCs w:val="18"/>
              </w:rPr>
              <w:t>以上之職務。其職務如跨列二個以上職等時，以所列最高職等高者，為較高之職務；所列最高職等相同時，以所列最低職等高者，為較高之職務。</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本法第四條第二款所稱非主管職務陞任或遷調主管職務，指非主管依法陞任高一職等以上之主管職務或調任同一陞遷序列之主管職務。</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本法第四條第三款所稱遷調相當之職務，指依公務人員任用法律調任相當</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列等之職務。</w:t>
            </w:r>
          </w:p>
        </w:tc>
      </w:tr>
      <w:tr w:rsidR="007D6688">
        <w:trPr>
          <w:tblCellSpacing w:w="0" w:type="dxa"/>
          <w:jc w:val="center"/>
        </w:trPr>
        <w:tc>
          <w:tcPr>
            <w:tcW w:w="657" w:type="pct"/>
          </w:tcPr>
          <w:p w:rsidR="007D6688" w:rsidRDefault="007D6688">
            <w:pPr>
              <w:widowControl/>
              <w:rPr>
                <w:kern w:val="0"/>
                <w:sz w:val="18"/>
                <w:szCs w:val="18"/>
              </w:rPr>
            </w:pPr>
            <w:hyperlink r:id="rId28" w:history="1">
              <w:r>
                <w:rPr>
                  <w:kern w:val="0"/>
                  <w:sz w:val="18"/>
                  <w:szCs w:val="18"/>
                </w:rPr>
                <w:t>第</w:t>
              </w:r>
              <w:r>
                <w:rPr>
                  <w:kern w:val="0"/>
                  <w:sz w:val="18"/>
                  <w:szCs w:val="18"/>
                </w:rPr>
                <w:t xml:space="preserve">    3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本法第五條第二項所稱各機關職缺如由本機關人員陞遷時，應辦理甄審。</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如由他機關人員陞遷時，應公開甄選，指各機關人事單位於辦理陞遷前，應依本法第二條之原則，簽報機關首長決定職缺擬辦內陞或外補後再行辦理。如擬外補應將職缺之機關名稱、職稱、職系、職等、辦公地點及報名規定等資料於報刊或網路公告。</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各機關辦理公開甄選，除正取名額外，得增列候補名額，其名額不得逾職缺數，並以依序遞補原公開甄選職缺或職務列等相同、性質相近之職缺為限，候補期間為三個月，自甄選結果確定之翌日起算。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前項候補之名額及期間，應同時於第一項公告內載明。</w:t>
            </w:r>
          </w:p>
        </w:tc>
      </w:tr>
      <w:tr w:rsidR="007D6688">
        <w:trPr>
          <w:tblCellSpacing w:w="0" w:type="dxa"/>
          <w:jc w:val="center"/>
        </w:trPr>
        <w:tc>
          <w:tcPr>
            <w:tcW w:w="657" w:type="pct"/>
          </w:tcPr>
          <w:p w:rsidR="007D6688" w:rsidRDefault="007D6688">
            <w:pPr>
              <w:widowControl/>
              <w:rPr>
                <w:kern w:val="0"/>
                <w:sz w:val="18"/>
                <w:szCs w:val="18"/>
              </w:rPr>
            </w:pPr>
            <w:hyperlink r:id="rId29" w:history="1">
              <w:r>
                <w:rPr>
                  <w:kern w:val="0"/>
                  <w:sz w:val="18"/>
                  <w:szCs w:val="18"/>
                </w:rPr>
                <w:t>第</w:t>
              </w:r>
              <w:r>
                <w:rPr>
                  <w:kern w:val="0"/>
                  <w:sz w:val="18"/>
                  <w:szCs w:val="18"/>
                </w:rPr>
                <w:t xml:space="preserve">    4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各機關依本法第六條第一項訂定陞遷序列表時，其職務列等</w:t>
            </w:r>
            <w:r>
              <w:rPr>
                <w:rFonts w:eastAsia="細明體"/>
                <w:kern w:val="0"/>
                <w:sz w:val="18"/>
                <w:szCs w:val="18"/>
              </w:rPr>
              <w:t xml:space="preserve"> (</w:t>
            </w:r>
            <w:r>
              <w:rPr>
                <w:rFonts w:eastAsia="細明體"/>
                <w:kern w:val="0"/>
                <w:sz w:val="18"/>
                <w:szCs w:val="18"/>
              </w:rPr>
              <w:t>稱階、等階</w:t>
            </w:r>
            <w:r>
              <w:rPr>
                <w:rFonts w:eastAsia="細明體"/>
                <w:kern w:val="0"/>
                <w:sz w:val="18"/>
                <w:szCs w:val="18"/>
              </w:rPr>
              <w:t xml:space="preserve">) </w:t>
            </w:r>
            <w:r>
              <w:rPr>
                <w:rFonts w:eastAsia="細明體"/>
                <w:kern w:val="0"/>
                <w:sz w:val="18"/>
                <w:szCs w:val="18"/>
              </w:rPr>
              <w:t>相同者，應列為同一序列。跨列二個以上職等之職務，其所列最高職等相同最低職等不同者，或實施國內外駐區互調之相當職務，得視業務需要列為同一序列。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但職務列等相同之主管與非主管職務或具職務歷練先後順序職務，得列為不同序列。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各機關應於本法施行二個月內，訂定發布陞遷序列表。依本法第八條第二項統籌辦理下級機關人員陞任甄審之機關，其陞遷序列表應包含該下級機關職務。</w:t>
            </w:r>
          </w:p>
        </w:tc>
      </w:tr>
      <w:tr w:rsidR="007D6688">
        <w:trPr>
          <w:tblCellSpacing w:w="0" w:type="dxa"/>
          <w:jc w:val="center"/>
        </w:trPr>
        <w:tc>
          <w:tcPr>
            <w:tcW w:w="657" w:type="pct"/>
          </w:tcPr>
          <w:p w:rsidR="007D6688" w:rsidRDefault="007D6688">
            <w:pPr>
              <w:widowControl/>
              <w:rPr>
                <w:kern w:val="0"/>
                <w:sz w:val="18"/>
                <w:szCs w:val="18"/>
              </w:rPr>
            </w:pPr>
            <w:hyperlink r:id="rId30" w:history="1">
              <w:r>
                <w:rPr>
                  <w:kern w:val="0"/>
                  <w:sz w:val="18"/>
                  <w:szCs w:val="18"/>
                </w:rPr>
                <w:t>第</w:t>
              </w:r>
              <w:r>
                <w:rPr>
                  <w:kern w:val="0"/>
                  <w:sz w:val="18"/>
                  <w:szCs w:val="18"/>
                </w:rPr>
                <w:t xml:space="preserve">    5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本法第七條第三項所稱標準由各主管院訂定，指由行政院、立法院、司法院、考試院及監察院分別訂定。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總統府、國民大會及國家安全會議準用前項之規定。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訂定第一項標準時，應依機關業務性質、職務特性或任用層級，就各項目分別訂定評定因素、評分標準及最高分數，並以一百分為滿分。</w:t>
            </w:r>
          </w:p>
        </w:tc>
      </w:tr>
      <w:tr w:rsidR="007D6688">
        <w:trPr>
          <w:tblCellSpacing w:w="0" w:type="dxa"/>
          <w:jc w:val="center"/>
        </w:trPr>
        <w:tc>
          <w:tcPr>
            <w:tcW w:w="657" w:type="pct"/>
          </w:tcPr>
          <w:p w:rsidR="007D6688" w:rsidRDefault="007D6688">
            <w:pPr>
              <w:widowControl/>
              <w:rPr>
                <w:kern w:val="0"/>
                <w:sz w:val="18"/>
                <w:szCs w:val="18"/>
              </w:rPr>
            </w:pPr>
            <w:hyperlink r:id="rId31" w:history="1">
              <w:r>
                <w:rPr>
                  <w:kern w:val="0"/>
                  <w:sz w:val="18"/>
                  <w:szCs w:val="18"/>
                </w:rPr>
                <w:t>第</w:t>
              </w:r>
              <w:r>
                <w:rPr>
                  <w:kern w:val="0"/>
                  <w:sz w:val="18"/>
                  <w:szCs w:val="18"/>
                </w:rPr>
                <w:t xml:space="preserve">    6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本法所稱主管機關為總統府、國民大會、國家安全會議、五院、各部</w:t>
            </w:r>
            <w:r>
              <w:rPr>
                <w:rFonts w:eastAsia="細明體"/>
                <w:kern w:val="0"/>
                <w:sz w:val="18"/>
                <w:szCs w:val="18"/>
              </w:rPr>
              <w:t xml:space="preserve"> (</w:t>
            </w:r>
            <w:r>
              <w:rPr>
                <w:rFonts w:eastAsia="細明體"/>
                <w:kern w:val="0"/>
                <w:sz w:val="18"/>
                <w:szCs w:val="18"/>
              </w:rPr>
              <w:t>會、處、局、署與同層級之機關</w:t>
            </w:r>
            <w:r>
              <w:rPr>
                <w:rFonts w:eastAsia="細明體"/>
                <w:kern w:val="0"/>
                <w:sz w:val="18"/>
                <w:szCs w:val="18"/>
              </w:rPr>
              <w:t xml:space="preserve">) </w:t>
            </w:r>
            <w:r>
              <w:rPr>
                <w:rFonts w:eastAsia="細明體"/>
                <w:kern w:val="0"/>
                <w:sz w:val="18"/>
                <w:szCs w:val="18"/>
              </w:rPr>
              <w:t>、省政府、省諮議會、直轄市政府、直轄市議會、縣</w:t>
            </w:r>
            <w:r>
              <w:rPr>
                <w:rFonts w:eastAsia="細明體"/>
                <w:kern w:val="0"/>
                <w:sz w:val="18"/>
                <w:szCs w:val="18"/>
              </w:rPr>
              <w:t xml:space="preserve"> (</w:t>
            </w:r>
            <w:r>
              <w:rPr>
                <w:rFonts w:eastAsia="細明體"/>
                <w:kern w:val="0"/>
                <w:sz w:val="18"/>
                <w:szCs w:val="18"/>
              </w:rPr>
              <w:t>市</w:t>
            </w:r>
            <w:r>
              <w:rPr>
                <w:rFonts w:eastAsia="細明體"/>
                <w:kern w:val="0"/>
                <w:sz w:val="18"/>
                <w:szCs w:val="18"/>
              </w:rPr>
              <w:t xml:space="preserve">) </w:t>
            </w:r>
            <w:r>
              <w:rPr>
                <w:rFonts w:eastAsia="細明體"/>
                <w:kern w:val="0"/>
                <w:sz w:val="18"/>
                <w:szCs w:val="18"/>
              </w:rPr>
              <w:t>政府及縣</w:t>
            </w:r>
            <w:r>
              <w:rPr>
                <w:rFonts w:eastAsia="細明體"/>
                <w:kern w:val="0"/>
                <w:sz w:val="18"/>
                <w:szCs w:val="18"/>
              </w:rPr>
              <w:t xml:space="preserve"> (</w:t>
            </w:r>
            <w:r>
              <w:rPr>
                <w:rFonts w:eastAsia="細明體"/>
                <w:kern w:val="0"/>
                <w:sz w:val="18"/>
                <w:szCs w:val="18"/>
              </w:rPr>
              <w:t>市</w:t>
            </w:r>
            <w:r>
              <w:rPr>
                <w:rFonts w:eastAsia="細明體"/>
                <w:kern w:val="0"/>
                <w:sz w:val="18"/>
                <w:szCs w:val="18"/>
              </w:rPr>
              <w:t xml:space="preserve">) </w:t>
            </w:r>
            <w:r>
              <w:rPr>
                <w:rFonts w:eastAsia="細明體"/>
                <w:kern w:val="0"/>
                <w:sz w:val="18"/>
                <w:szCs w:val="18"/>
              </w:rPr>
              <w:t>議會。</w:t>
            </w:r>
          </w:p>
        </w:tc>
      </w:tr>
      <w:tr w:rsidR="007D6688">
        <w:trPr>
          <w:tblCellSpacing w:w="0" w:type="dxa"/>
          <w:jc w:val="center"/>
        </w:trPr>
        <w:tc>
          <w:tcPr>
            <w:tcW w:w="657" w:type="pct"/>
          </w:tcPr>
          <w:p w:rsidR="007D6688" w:rsidRDefault="007D6688">
            <w:pPr>
              <w:widowControl/>
              <w:rPr>
                <w:kern w:val="0"/>
                <w:sz w:val="18"/>
                <w:szCs w:val="18"/>
              </w:rPr>
            </w:pPr>
            <w:hyperlink r:id="rId32" w:history="1">
              <w:r>
                <w:rPr>
                  <w:kern w:val="0"/>
                  <w:sz w:val="18"/>
                  <w:szCs w:val="18"/>
                </w:rPr>
                <w:t>第</w:t>
              </w:r>
              <w:r>
                <w:rPr>
                  <w:kern w:val="0"/>
                  <w:sz w:val="18"/>
                  <w:szCs w:val="18"/>
                </w:rPr>
                <w:t xml:space="preserve">    7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本法第八條第一項但書所稱本機關人員之遷調，得視業務實際需要，免經甄審程序，指在本機關陞遷序列表中同一序列各職務間之調任，機關首長得逕予核定，毋須辦理甄審。</w:t>
            </w:r>
          </w:p>
        </w:tc>
      </w:tr>
      <w:tr w:rsidR="007D6688">
        <w:trPr>
          <w:tblCellSpacing w:w="0" w:type="dxa"/>
          <w:jc w:val="center"/>
        </w:trPr>
        <w:tc>
          <w:tcPr>
            <w:tcW w:w="657" w:type="pct"/>
          </w:tcPr>
          <w:p w:rsidR="007D6688" w:rsidRDefault="007D6688">
            <w:pPr>
              <w:widowControl/>
              <w:rPr>
                <w:kern w:val="0"/>
                <w:sz w:val="18"/>
                <w:szCs w:val="18"/>
              </w:rPr>
            </w:pPr>
            <w:hyperlink r:id="rId33" w:history="1">
              <w:r>
                <w:rPr>
                  <w:kern w:val="0"/>
                  <w:sz w:val="18"/>
                  <w:szCs w:val="18"/>
                </w:rPr>
                <w:t>第</w:t>
              </w:r>
              <w:r>
                <w:rPr>
                  <w:kern w:val="0"/>
                  <w:sz w:val="18"/>
                  <w:szCs w:val="18"/>
                </w:rPr>
                <w:t xml:space="preserve">    8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依本法第八條規定組織甄審委員會，應置委員五人至二十一人，由機關首長就本機關人員中指定之，並指定一人為主席，人事主管人員為當然委員。但委員每滿三人應有一人由本機關人員票選產生之。委員之任期一年，期滿得連任。</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甄審委員會須有應出席人過半數之出席，始得開會，其決議以出席人過半數之同意為之；可否同數時取決於主席。</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甄審委員會必要時得與考績委員會合併之。</w:t>
            </w:r>
          </w:p>
        </w:tc>
      </w:tr>
      <w:tr w:rsidR="007D6688">
        <w:trPr>
          <w:tblCellSpacing w:w="0" w:type="dxa"/>
          <w:jc w:val="center"/>
        </w:trPr>
        <w:tc>
          <w:tcPr>
            <w:tcW w:w="657" w:type="pct"/>
          </w:tcPr>
          <w:p w:rsidR="007D6688" w:rsidRDefault="007D6688">
            <w:pPr>
              <w:widowControl/>
              <w:rPr>
                <w:kern w:val="0"/>
                <w:sz w:val="18"/>
                <w:szCs w:val="18"/>
              </w:rPr>
            </w:pPr>
            <w:hyperlink r:id="rId34" w:history="1">
              <w:r>
                <w:rPr>
                  <w:kern w:val="0"/>
                  <w:sz w:val="18"/>
                  <w:szCs w:val="18"/>
                </w:rPr>
                <w:t>第</w:t>
              </w:r>
              <w:r>
                <w:rPr>
                  <w:kern w:val="0"/>
                  <w:sz w:val="18"/>
                  <w:szCs w:val="18"/>
                </w:rPr>
                <w:t xml:space="preserve">    9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甄審委員會，辦理下列事項：</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一</w:t>
            </w:r>
            <w:r>
              <w:rPr>
                <w:rFonts w:eastAsia="細明體"/>
                <w:kern w:val="0"/>
                <w:sz w:val="18"/>
                <w:szCs w:val="18"/>
              </w:rPr>
              <w:t xml:space="preserve">  </w:t>
            </w:r>
            <w:r>
              <w:rPr>
                <w:rFonts w:eastAsia="細明體"/>
                <w:kern w:val="0"/>
                <w:sz w:val="18"/>
                <w:szCs w:val="18"/>
              </w:rPr>
              <w:t>陞任候選人員資績評分之審查。</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二</w:t>
            </w:r>
            <w:r>
              <w:rPr>
                <w:rFonts w:eastAsia="細明體"/>
                <w:kern w:val="0"/>
                <w:sz w:val="18"/>
                <w:szCs w:val="18"/>
              </w:rPr>
              <w:t xml:space="preserve">  </w:t>
            </w:r>
            <w:r>
              <w:rPr>
                <w:rFonts w:eastAsia="細明體"/>
                <w:kern w:val="0"/>
                <w:sz w:val="18"/>
                <w:szCs w:val="18"/>
              </w:rPr>
              <w:t>遷調候選人員資格條件之審查。</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三</w:t>
            </w:r>
            <w:r>
              <w:rPr>
                <w:rFonts w:eastAsia="細明體"/>
                <w:kern w:val="0"/>
                <w:sz w:val="18"/>
                <w:szCs w:val="18"/>
              </w:rPr>
              <w:t xml:space="preserve">  </w:t>
            </w:r>
            <w:r>
              <w:rPr>
                <w:rFonts w:eastAsia="細明體"/>
                <w:kern w:val="0"/>
                <w:sz w:val="18"/>
                <w:szCs w:val="18"/>
              </w:rPr>
              <w:t>面試及測驗方式之決定。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四</w:t>
            </w:r>
            <w:r>
              <w:rPr>
                <w:rFonts w:eastAsia="細明體"/>
                <w:kern w:val="0"/>
                <w:sz w:val="18"/>
                <w:szCs w:val="18"/>
              </w:rPr>
              <w:t xml:space="preserve">  </w:t>
            </w:r>
            <w:r>
              <w:rPr>
                <w:rFonts w:eastAsia="細明體"/>
                <w:kern w:val="0"/>
                <w:sz w:val="18"/>
                <w:szCs w:val="18"/>
              </w:rPr>
              <w:t>陞任候選人員名次之排定。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五</w:t>
            </w:r>
            <w:r>
              <w:rPr>
                <w:rFonts w:eastAsia="細明體"/>
                <w:kern w:val="0"/>
                <w:sz w:val="18"/>
                <w:szCs w:val="18"/>
              </w:rPr>
              <w:t xml:space="preserve">  </w:t>
            </w:r>
            <w:r>
              <w:rPr>
                <w:rFonts w:eastAsia="細明體"/>
                <w:kern w:val="0"/>
                <w:sz w:val="18"/>
                <w:szCs w:val="18"/>
              </w:rPr>
              <w:t>遷調候選人員遴用順序之排定。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六</w:t>
            </w:r>
            <w:r>
              <w:rPr>
                <w:rFonts w:eastAsia="細明體"/>
                <w:kern w:val="0"/>
                <w:sz w:val="18"/>
                <w:szCs w:val="18"/>
              </w:rPr>
              <w:t xml:space="preserve">  </w:t>
            </w:r>
            <w:r>
              <w:rPr>
                <w:rFonts w:eastAsia="細明體"/>
                <w:kern w:val="0"/>
                <w:sz w:val="18"/>
                <w:szCs w:val="18"/>
              </w:rPr>
              <w:t>機關首長交議事項之研議。</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七</w:t>
            </w:r>
            <w:r>
              <w:rPr>
                <w:rFonts w:eastAsia="細明體"/>
                <w:kern w:val="0"/>
                <w:sz w:val="18"/>
                <w:szCs w:val="18"/>
              </w:rPr>
              <w:t xml:space="preserve">  </w:t>
            </w:r>
            <w:r>
              <w:rPr>
                <w:rFonts w:eastAsia="細明體"/>
                <w:kern w:val="0"/>
                <w:sz w:val="18"/>
                <w:szCs w:val="18"/>
              </w:rPr>
              <w:t>其他有關陞遷甄審事項。</w:t>
            </w:r>
          </w:p>
        </w:tc>
      </w:tr>
      <w:tr w:rsidR="007D6688">
        <w:trPr>
          <w:tblCellSpacing w:w="0" w:type="dxa"/>
          <w:jc w:val="center"/>
        </w:trPr>
        <w:tc>
          <w:tcPr>
            <w:tcW w:w="657" w:type="pct"/>
          </w:tcPr>
          <w:p w:rsidR="007D6688" w:rsidRDefault="007D6688">
            <w:pPr>
              <w:widowControl/>
              <w:rPr>
                <w:kern w:val="0"/>
                <w:sz w:val="18"/>
                <w:szCs w:val="18"/>
              </w:rPr>
            </w:pPr>
            <w:hyperlink r:id="rId35" w:history="1">
              <w:r>
                <w:rPr>
                  <w:kern w:val="0"/>
                  <w:sz w:val="18"/>
                  <w:szCs w:val="18"/>
                </w:rPr>
                <w:t>第</w:t>
              </w:r>
              <w:r>
                <w:rPr>
                  <w:kern w:val="0"/>
                  <w:sz w:val="18"/>
                  <w:szCs w:val="18"/>
                </w:rPr>
                <w:t xml:space="preserve">   10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本法第九條第一項所稱應由人事單位就具有擬陞遷職務任用資格人員，分別情形，依積分高低順序或資格條件造列名冊，指各機關辦理公務人員陞遷，人事單位應依下列情形造列名冊：</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一</w:t>
            </w:r>
            <w:r>
              <w:rPr>
                <w:rFonts w:eastAsia="細明體"/>
                <w:kern w:val="0"/>
                <w:sz w:val="18"/>
                <w:szCs w:val="18"/>
              </w:rPr>
              <w:t xml:space="preserve">  </w:t>
            </w:r>
            <w:r>
              <w:rPr>
                <w:rFonts w:eastAsia="細明體"/>
                <w:kern w:val="0"/>
                <w:sz w:val="18"/>
                <w:szCs w:val="18"/>
              </w:rPr>
              <w:t>辦理機關人員陞任時，就具有任用資格人員，依本法第七條所定標準，核計分數後，依積分高低造列。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二</w:t>
            </w:r>
            <w:r>
              <w:rPr>
                <w:rFonts w:eastAsia="細明體"/>
                <w:kern w:val="0"/>
                <w:sz w:val="18"/>
                <w:szCs w:val="18"/>
              </w:rPr>
              <w:t xml:space="preserve">  </w:t>
            </w:r>
            <w:r>
              <w:rPr>
                <w:rFonts w:eastAsia="細明體"/>
                <w:kern w:val="0"/>
                <w:sz w:val="18"/>
                <w:szCs w:val="18"/>
              </w:rPr>
              <w:t>辦理本機關以外人員公開甄選時，依符合公開甄選人員所具資格條件高低造列。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三</w:t>
            </w:r>
            <w:r>
              <w:rPr>
                <w:rFonts w:eastAsia="細明體"/>
                <w:kern w:val="0"/>
                <w:sz w:val="18"/>
                <w:szCs w:val="18"/>
              </w:rPr>
              <w:t xml:space="preserve">  </w:t>
            </w:r>
            <w:r>
              <w:rPr>
                <w:rFonts w:eastAsia="細明體"/>
                <w:kern w:val="0"/>
                <w:sz w:val="18"/>
                <w:szCs w:val="18"/>
              </w:rPr>
              <w:t>辦理本機關人員遷調時，依本法相關規定，核計分數或依其所具資格條件高低造列。</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前項名冊由人事單位報請機關首長交付甄審委員會評審；甄審委員會評審後，提出陞任候選人員名次或遷調候選人員遴用順序，報請機關首長圈定之。</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本法第九條第二項所稱改依其他甄選方式辦理陞遷事宜，指如由本機關人員陞遷與由他機關人員陞遷之改變，或增列舉行面試或測驗方式等依本法規定辦理之事項。</w:t>
            </w:r>
          </w:p>
        </w:tc>
      </w:tr>
      <w:tr w:rsidR="007D6688">
        <w:trPr>
          <w:tblCellSpacing w:w="0" w:type="dxa"/>
          <w:jc w:val="center"/>
        </w:trPr>
        <w:tc>
          <w:tcPr>
            <w:tcW w:w="657" w:type="pct"/>
          </w:tcPr>
          <w:p w:rsidR="007D6688" w:rsidRDefault="007D6688">
            <w:pPr>
              <w:widowControl/>
              <w:rPr>
                <w:kern w:val="0"/>
                <w:sz w:val="18"/>
                <w:szCs w:val="18"/>
              </w:rPr>
            </w:pPr>
            <w:hyperlink r:id="rId36" w:history="1">
              <w:r>
                <w:rPr>
                  <w:kern w:val="0"/>
                  <w:sz w:val="18"/>
                  <w:szCs w:val="18"/>
                </w:rPr>
                <w:t>第</w:t>
              </w:r>
              <w:r>
                <w:rPr>
                  <w:kern w:val="0"/>
                  <w:sz w:val="18"/>
                  <w:szCs w:val="18"/>
                </w:rPr>
                <w:t xml:space="preserve">   11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本法第十一條第一項第一款所稱勳章，依勳章條例之規定。</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十一條第二項所稱陞任標準，指依本法第七條所訂之標準。所稱其構成該條件之事實，以使用一次為限。同時兼具有兩款以上者亦同，指所具本法第十一條第一項各款情事，經獲得優先陞任或擇優陞任後，該各款情事不論所具款項多寡，於下次陞遷時，均不再使用。</w:t>
            </w:r>
          </w:p>
        </w:tc>
      </w:tr>
      <w:tr w:rsidR="007D6688">
        <w:trPr>
          <w:tblCellSpacing w:w="0" w:type="dxa"/>
          <w:jc w:val="center"/>
        </w:trPr>
        <w:tc>
          <w:tcPr>
            <w:tcW w:w="657" w:type="pct"/>
          </w:tcPr>
          <w:p w:rsidR="007D6688" w:rsidRDefault="007D6688">
            <w:pPr>
              <w:widowControl/>
              <w:rPr>
                <w:kern w:val="0"/>
                <w:sz w:val="18"/>
                <w:szCs w:val="18"/>
              </w:rPr>
            </w:pPr>
            <w:hyperlink r:id="rId37" w:history="1">
              <w:r>
                <w:rPr>
                  <w:kern w:val="0"/>
                  <w:sz w:val="18"/>
                  <w:szCs w:val="18"/>
                </w:rPr>
                <w:t>第</w:t>
              </w:r>
              <w:r>
                <w:rPr>
                  <w:kern w:val="0"/>
                  <w:sz w:val="18"/>
                  <w:szCs w:val="18"/>
                </w:rPr>
                <w:t xml:space="preserve">   12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本法第十四條第一項所稱依法經陞官等訓練，指依公務人員任用法律之規定；第二項任各官等之主管職務，指依各機關組織法規所定之主管職務。</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應參加主管機關實施管理才能發展訓練之人數較少時，該項訓練得由其上級機關統籌辦理。</w:t>
            </w:r>
          </w:p>
        </w:tc>
      </w:tr>
      <w:tr w:rsidR="007D6688">
        <w:trPr>
          <w:tblCellSpacing w:w="0" w:type="dxa"/>
          <w:jc w:val="center"/>
        </w:trPr>
        <w:tc>
          <w:tcPr>
            <w:tcW w:w="657" w:type="pct"/>
          </w:tcPr>
          <w:p w:rsidR="007D6688" w:rsidRDefault="007D6688">
            <w:pPr>
              <w:widowControl/>
              <w:rPr>
                <w:kern w:val="0"/>
                <w:sz w:val="18"/>
                <w:szCs w:val="18"/>
              </w:rPr>
            </w:pPr>
            <w:hyperlink r:id="rId38" w:history="1">
              <w:r>
                <w:rPr>
                  <w:kern w:val="0"/>
                  <w:sz w:val="18"/>
                  <w:szCs w:val="18"/>
                </w:rPr>
                <w:t>第</w:t>
              </w:r>
              <w:r>
                <w:rPr>
                  <w:kern w:val="0"/>
                  <w:sz w:val="18"/>
                  <w:szCs w:val="18"/>
                </w:rPr>
                <w:t xml:space="preserve">   13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本法第十六條所稱各機關辦理陞遷業務人員，包括甄審委員會委員、與會人員及其他有關工作人員。</w:t>
            </w:r>
          </w:p>
        </w:tc>
      </w:tr>
      <w:tr w:rsidR="007D6688">
        <w:trPr>
          <w:tblCellSpacing w:w="0" w:type="dxa"/>
          <w:jc w:val="center"/>
        </w:trPr>
        <w:tc>
          <w:tcPr>
            <w:tcW w:w="657" w:type="pct"/>
          </w:tcPr>
          <w:p w:rsidR="007D6688" w:rsidRDefault="007D6688">
            <w:pPr>
              <w:widowControl/>
              <w:rPr>
                <w:kern w:val="0"/>
                <w:sz w:val="18"/>
                <w:szCs w:val="18"/>
              </w:rPr>
            </w:pPr>
            <w:hyperlink r:id="rId39" w:history="1">
              <w:r>
                <w:rPr>
                  <w:kern w:val="0"/>
                  <w:sz w:val="18"/>
                  <w:szCs w:val="18"/>
                </w:rPr>
                <w:t>第</w:t>
              </w:r>
              <w:r>
                <w:rPr>
                  <w:kern w:val="0"/>
                  <w:sz w:val="18"/>
                  <w:szCs w:val="18"/>
                </w:rPr>
                <w:t xml:space="preserve">   14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各機關依本法第七條訂定之標準、第十三條訂定之各種遷調規定及第十七條訂定之準用規定，於訂定發布時，應函送銓敘部備查。</w:t>
            </w:r>
          </w:p>
        </w:tc>
      </w:tr>
      <w:tr w:rsidR="007D6688">
        <w:trPr>
          <w:tblCellSpacing w:w="0" w:type="dxa"/>
          <w:jc w:val="center"/>
        </w:trPr>
        <w:tc>
          <w:tcPr>
            <w:tcW w:w="657" w:type="pct"/>
          </w:tcPr>
          <w:p w:rsidR="007D6688" w:rsidRDefault="007D6688">
            <w:pPr>
              <w:widowControl/>
              <w:rPr>
                <w:kern w:val="0"/>
                <w:sz w:val="18"/>
                <w:szCs w:val="18"/>
              </w:rPr>
            </w:pPr>
            <w:hyperlink r:id="rId40" w:history="1">
              <w:r>
                <w:rPr>
                  <w:kern w:val="0"/>
                  <w:sz w:val="18"/>
                  <w:szCs w:val="18"/>
                </w:rPr>
                <w:t>第</w:t>
              </w:r>
              <w:r>
                <w:rPr>
                  <w:kern w:val="0"/>
                  <w:sz w:val="18"/>
                  <w:szCs w:val="18"/>
                </w:rPr>
                <w:t xml:space="preserve">   15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各機關依本法辦理人員陞遷後，應於該員銓審案中，敘明「經</w:t>
            </w:r>
            <w:r>
              <w:rPr>
                <w:rFonts w:eastAsia="細明體"/>
                <w:kern w:val="0"/>
                <w:sz w:val="18"/>
                <w:szCs w:val="18"/>
              </w:rPr>
              <w:t>○○</w:t>
            </w:r>
            <w:r>
              <w:rPr>
                <w:rFonts w:eastAsia="細明體"/>
                <w:kern w:val="0"/>
                <w:sz w:val="18"/>
                <w:szCs w:val="18"/>
              </w:rPr>
              <w:t>機關甄審委員會第</w:t>
            </w:r>
            <w:r>
              <w:rPr>
                <w:rFonts w:eastAsia="細明體"/>
                <w:kern w:val="0"/>
                <w:sz w:val="18"/>
                <w:szCs w:val="18"/>
              </w:rPr>
              <w:t>○</w:t>
            </w:r>
            <w:r>
              <w:rPr>
                <w:rFonts w:eastAsia="細明體"/>
                <w:kern w:val="0"/>
                <w:sz w:val="18"/>
                <w:szCs w:val="18"/>
              </w:rPr>
              <w:t>次會議評審。」；若未經甄審委員會評審者，應敘明其理由及所據法規條款。</w:t>
            </w:r>
          </w:p>
        </w:tc>
      </w:tr>
      <w:tr w:rsidR="007D6688">
        <w:trPr>
          <w:tblCellSpacing w:w="0" w:type="dxa"/>
          <w:jc w:val="center"/>
        </w:trPr>
        <w:tc>
          <w:tcPr>
            <w:tcW w:w="657" w:type="pct"/>
          </w:tcPr>
          <w:p w:rsidR="007D6688" w:rsidRDefault="007D6688">
            <w:pPr>
              <w:widowControl/>
              <w:rPr>
                <w:kern w:val="0"/>
                <w:sz w:val="18"/>
                <w:szCs w:val="18"/>
              </w:rPr>
            </w:pPr>
            <w:hyperlink r:id="rId41" w:history="1">
              <w:r>
                <w:rPr>
                  <w:kern w:val="0"/>
                  <w:sz w:val="18"/>
                  <w:szCs w:val="18"/>
                </w:rPr>
                <w:t>第</w:t>
              </w:r>
              <w:r>
                <w:rPr>
                  <w:kern w:val="0"/>
                  <w:sz w:val="18"/>
                  <w:szCs w:val="18"/>
                </w:rPr>
                <w:t xml:space="preserve">   16 </w:t>
              </w:r>
              <w:r>
                <w:rPr>
                  <w:kern w:val="0"/>
                  <w:sz w:val="18"/>
                  <w:szCs w:val="18"/>
                </w:rPr>
                <w:t>條</w:t>
              </w:r>
            </w:hyperlink>
            <w:r>
              <w:rPr>
                <w:kern w:val="0"/>
                <w:sz w:val="18"/>
                <w:szCs w:val="18"/>
              </w:rPr>
              <w:t xml:space="preserve"> </w:t>
            </w:r>
          </w:p>
        </w:tc>
        <w:tc>
          <w:tcPr>
            <w:tcW w:w="4343" w:type="pct"/>
            <w:vAlign w:val="center"/>
          </w:tcPr>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本細則自本法施行之日施行。</w:t>
            </w:r>
          </w:p>
          <w:p w:rsidR="007D6688" w:rsidRDefault="007D6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kern w:val="0"/>
                <w:sz w:val="18"/>
                <w:szCs w:val="18"/>
              </w:rPr>
            </w:pPr>
            <w:r>
              <w:rPr>
                <w:rFonts w:eastAsia="細明體"/>
                <w:kern w:val="0"/>
                <w:sz w:val="18"/>
                <w:szCs w:val="18"/>
              </w:rPr>
              <w:t>本細則修正條文，自發布日施行。</w:t>
            </w:r>
          </w:p>
        </w:tc>
      </w:tr>
    </w:tbl>
    <w:p w:rsidR="007D6688" w:rsidRDefault="007D6688">
      <w:pPr>
        <w:pStyle w:val="af0"/>
        <w:spacing w:line="320" w:lineRule="exact"/>
        <w:ind w:left="556" w:hanging="556"/>
        <w:jc w:val="both"/>
        <w:rPr>
          <w:rFonts w:hint="eastAsia"/>
          <w:w w:val="105"/>
          <w:sz w:val="18"/>
        </w:rPr>
      </w:pPr>
    </w:p>
    <w:p w:rsidR="007D6688" w:rsidRDefault="007D6688">
      <w:pPr>
        <w:rPr>
          <w:rFonts w:ascii="標楷體" w:eastAsia="標楷體" w:hAnsi="標楷體" w:hint="eastAsia"/>
          <w:sz w:val="32"/>
          <w:lang w:val="de-DE"/>
        </w:rPr>
      </w:pPr>
      <w:r>
        <w:rPr>
          <w:lang w:val="de-DE"/>
        </w:rPr>
        <w:br w:type="page"/>
      </w:r>
      <w:bookmarkStart w:id="176" w:name="_Toc121199251"/>
      <w:r>
        <w:rPr>
          <w:rFonts w:ascii="標楷體" w:eastAsia="標楷體" w:hAnsi="標楷體" w:hint="eastAsia"/>
          <w:sz w:val="32"/>
          <w:lang w:val="de-DE"/>
        </w:rPr>
        <w:t>附件(三)</w:t>
      </w:r>
      <w:bookmarkEnd w:id="176"/>
    </w:p>
    <w:p w:rsidR="007D6688" w:rsidRDefault="007D6688">
      <w:pPr>
        <w:spacing w:line="320" w:lineRule="exact"/>
        <w:jc w:val="center"/>
        <w:rPr>
          <w:rFonts w:eastAsia="標楷體" w:hint="eastAsia"/>
          <w:sz w:val="28"/>
        </w:rPr>
      </w:pPr>
      <w:r>
        <w:rPr>
          <w:rFonts w:ascii="標楷體" w:eastAsia="標楷體" w:hAnsi="標楷體" w:hint="eastAsia"/>
          <w:sz w:val="28"/>
        </w:rPr>
        <w:t>行</w:t>
      </w:r>
      <w:r>
        <w:rPr>
          <w:rFonts w:eastAsia="標楷體" w:hint="eastAsia"/>
          <w:sz w:val="28"/>
        </w:rPr>
        <w:t>政院所屬人事機關（構）薦任第九職等至簡任第十職等</w:t>
      </w:r>
    </w:p>
    <w:p w:rsidR="007D6688" w:rsidRDefault="007D6688">
      <w:pPr>
        <w:spacing w:line="320" w:lineRule="exact"/>
        <w:jc w:val="center"/>
        <w:rPr>
          <w:rFonts w:eastAsia="標楷體"/>
          <w:sz w:val="28"/>
        </w:rPr>
      </w:pPr>
      <w:r>
        <w:rPr>
          <w:rFonts w:eastAsia="標楷體" w:hint="eastAsia"/>
          <w:sz w:val="28"/>
        </w:rPr>
        <w:t>人事室主任以上人員陞遷序列表</w:t>
      </w:r>
    </w:p>
    <w:p w:rsidR="007D6688" w:rsidRDefault="007D6688">
      <w:pPr>
        <w:spacing w:line="320" w:lineRule="exact"/>
        <w:jc w:val="center"/>
        <w:rPr>
          <w:rFonts w:eastAsia="標楷體"/>
          <w:sz w:val="28"/>
        </w:rPr>
      </w:pPr>
    </w:p>
    <w:p w:rsidR="007D6688" w:rsidRDefault="007D6688">
      <w:pPr>
        <w:pStyle w:val="ab"/>
        <w:spacing w:beforeLines="0" w:before="0" w:after="0" w:line="240" w:lineRule="auto"/>
        <w:ind w:leftChars="1500" w:left="3600" w:firstLineChars="0" w:firstLine="0"/>
        <w:jc w:val="left"/>
        <w:rPr>
          <w:rFonts w:eastAsia="標楷體" w:hint="eastAsia"/>
          <w:sz w:val="18"/>
        </w:rPr>
      </w:pPr>
      <w:r>
        <w:rPr>
          <w:rFonts w:eastAsia="標楷體" w:hint="eastAsia"/>
          <w:sz w:val="18"/>
        </w:rPr>
        <w:t>九十一年四月一日局企字第０九一０一八０三七九號函</w:t>
      </w:r>
    </w:p>
    <w:p w:rsidR="007D6688" w:rsidRDefault="007D6688">
      <w:pPr>
        <w:snapToGrid w:val="0"/>
        <w:ind w:leftChars="1500" w:left="3600"/>
        <w:rPr>
          <w:rFonts w:eastAsia="標楷體" w:hint="eastAsia"/>
          <w:sz w:val="18"/>
        </w:rPr>
      </w:pPr>
      <w:r>
        <w:rPr>
          <w:rFonts w:eastAsia="標楷體" w:hint="eastAsia"/>
          <w:sz w:val="18"/>
        </w:rPr>
        <w:t>九十一年六月五日局企字第０９１００２２１９１號函修正</w:t>
      </w:r>
    </w:p>
    <w:p w:rsidR="007D6688" w:rsidRDefault="007D6688">
      <w:pPr>
        <w:pStyle w:val="ab"/>
        <w:spacing w:beforeLines="0" w:before="0" w:after="0" w:line="240" w:lineRule="auto"/>
        <w:ind w:leftChars="1500" w:left="3600" w:firstLineChars="0" w:firstLine="0"/>
        <w:jc w:val="left"/>
        <w:rPr>
          <w:rFonts w:eastAsia="標楷體" w:hint="eastAsia"/>
          <w:sz w:val="18"/>
        </w:rPr>
      </w:pPr>
      <w:r>
        <w:rPr>
          <w:rFonts w:eastAsia="標楷體" w:hint="eastAsia"/>
          <w:sz w:val="18"/>
        </w:rPr>
        <w:t>九十一年十一月八日局企字第０９１００４５９３３號函修正</w:t>
      </w:r>
    </w:p>
    <w:p w:rsidR="007D6688" w:rsidRDefault="007D6688">
      <w:pPr>
        <w:snapToGrid w:val="0"/>
        <w:ind w:leftChars="1500" w:left="3600"/>
        <w:rPr>
          <w:rFonts w:hint="eastAsia"/>
          <w:sz w:val="16"/>
        </w:rPr>
      </w:pPr>
      <w:r>
        <w:rPr>
          <w:rFonts w:eastAsia="標楷體" w:hint="eastAsia"/>
          <w:sz w:val="18"/>
        </w:rPr>
        <w:t>九十二年十一月二十五日局企字第０９２００５６１４５號函修正</w:t>
      </w:r>
    </w:p>
    <w:p w:rsidR="007D6688" w:rsidRDefault="007D6688">
      <w:pPr>
        <w:snapToGrid w:val="0"/>
        <w:ind w:leftChars="1500" w:left="3600"/>
        <w:rPr>
          <w:rFonts w:hint="eastAsia"/>
          <w:sz w:val="16"/>
        </w:rPr>
      </w:pPr>
      <w:r>
        <w:rPr>
          <w:rFonts w:eastAsia="標楷體" w:hint="eastAsia"/>
          <w:sz w:val="18"/>
        </w:rPr>
        <w:t>九十三年三月十日局企字第０９３００６１３０９號函修正</w:t>
      </w:r>
    </w:p>
    <w:p w:rsidR="007D6688" w:rsidRDefault="007D6688">
      <w:pPr>
        <w:snapToGrid w:val="0"/>
        <w:ind w:leftChars="1500" w:left="3600"/>
        <w:rPr>
          <w:rFonts w:eastAsia="標楷體" w:hint="eastAsia"/>
          <w:sz w:val="18"/>
        </w:rPr>
      </w:pPr>
      <w:r>
        <w:rPr>
          <w:rFonts w:eastAsia="標楷體" w:hint="eastAsia"/>
          <w:sz w:val="18"/>
        </w:rPr>
        <w:t>九十三年五月四日局企字第０９３００６２１８８１號函修正</w:t>
      </w:r>
    </w:p>
    <w:p w:rsidR="007D6688" w:rsidRDefault="007D6688">
      <w:pPr>
        <w:snapToGrid w:val="0"/>
        <w:ind w:leftChars="1500" w:left="3600"/>
        <w:rPr>
          <w:rFonts w:eastAsia="標楷體"/>
          <w:sz w:val="28"/>
        </w:rPr>
      </w:pPr>
      <w:r>
        <w:rPr>
          <w:rFonts w:eastAsia="標楷體" w:hint="eastAsia"/>
          <w:sz w:val="18"/>
        </w:rPr>
        <w:t>九十三年六月十八日局企字第０９３００６２８３９號函修正</w:t>
      </w:r>
    </w:p>
    <w:p w:rsidR="007D6688" w:rsidRDefault="007D6688">
      <w:pPr>
        <w:spacing w:line="320" w:lineRule="exact"/>
        <w:jc w:val="center"/>
        <w:rPr>
          <w:rFonts w:eastAsia="標楷體"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4"/>
        <w:gridCol w:w="853"/>
        <w:gridCol w:w="1534"/>
        <w:gridCol w:w="3581"/>
        <w:gridCol w:w="1875"/>
      </w:tblGrid>
      <w:tr w:rsidR="007D6688">
        <w:tblPrEx>
          <w:tblCellMar>
            <w:top w:w="0" w:type="dxa"/>
            <w:bottom w:w="0" w:type="dxa"/>
          </w:tblCellMar>
        </w:tblPrEx>
        <w:trPr>
          <w:cantSplit/>
          <w:trHeight w:val="149"/>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層次</w:t>
            </w:r>
          </w:p>
        </w:tc>
        <w:tc>
          <w:tcPr>
            <w:tcW w:w="853"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職稱</w:t>
            </w:r>
          </w:p>
        </w:tc>
        <w:tc>
          <w:tcPr>
            <w:tcW w:w="153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職等</w:t>
            </w:r>
          </w:p>
        </w:tc>
        <w:tc>
          <w:tcPr>
            <w:tcW w:w="3581"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陞任資格</w:t>
            </w:r>
          </w:p>
        </w:tc>
        <w:tc>
          <w:tcPr>
            <w:tcW w:w="1875"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備註</w:t>
            </w:r>
          </w:p>
        </w:tc>
      </w:tr>
      <w:tr w:rsidR="007D6688">
        <w:tblPrEx>
          <w:tblCellMar>
            <w:top w:w="0" w:type="dxa"/>
            <w:bottom w:w="0" w:type="dxa"/>
          </w:tblCellMar>
        </w:tblPrEx>
        <w:trPr>
          <w:cantSplit/>
          <w:trHeight w:val="1674"/>
        </w:trPr>
        <w:tc>
          <w:tcPr>
            <w:tcW w:w="1194" w:type="dxa"/>
            <w:tcBorders>
              <w:bottom w:val="single" w:sz="4" w:space="0" w:color="auto"/>
            </w:tcBorders>
          </w:tcPr>
          <w:p w:rsidR="007D6688" w:rsidRDefault="007D6688">
            <w:pPr>
              <w:spacing w:line="320" w:lineRule="exact"/>
              <w:jc w:val="center"/>
              <w:rPr>
                <w:rFonts w:ascii="標楷體" w:eastAsia="標楷體" w:hAnsi="標楷體" w:hint="eastAsia"/>
              </w:rPr>
            </w:pPr>
            <w:r>
              <w:rPr>
                <w:rFonts w:ascii="標楷體" w:eastAsia="標楷體" w:hAnsi="標楷體" w:hint="eastAsia"/>
              </w:rPr>
              <w:t>第一層次</w:t>
            </w:r>
          </w:p>
        </w:tc>
        <w:tc>
          <w:tcPr>
            <w:tcW w:w="853" w:type="dxa"/>
            <w:tcBorders>
              <w:bottom w:val="single" w:sz="4" w:space="0" w:color="auto"/>
            </w:tcBorders>
          </w:tcPr>
          <w:p w:rsidR="007D6688" w:rsidRDefault="007D6688">
            <w:pPr>
              <w:spacing w:line="320" w:lineRule="exact"/>
              <w:jc w:val="center"/>
              <w:rPr>
                <w:rFonts w:ascii="標楷體" w:eastAsia="標楷體" w:hAnsi="標楷體" w:hint="eastAsia"/>
              </w:rPr>
            </w:pPr>
            <w:r>
              <w:rPr>
                <w:rFonts w:ascii="標楷體" w:eastAsia="標楷體" w:hAnsi="標楷體" w:hint="eastAsia"/>
              </w:rPr>
              <w:t>主任</w:t>
            </w:r>
          </w:p>
        </w:tc>
        <w:tc>
          <w:tcPr>
            <w:tcW w:w="1534" w:type="dxa"/>
            <w:tcBorders>
              <w:bottom w:val="single" w:sz="4" w:space="0" w:color="auto"/>
            </w:tcBorders>
          </w:tcPr>
          <w:p w:rsidR="007D6688" w:rsidRDefault="007D6688">
            <w:pPr>
              <w:spacing w:line="320" w:lineRule="exact"/>
              <w:jc w:val="both"/>
              <w:rPr>
                <w:rFonts w:ascii="標楷體" w:eastAsia="標楷體" w:hAnsi="標楷體" w:hint="eastAsia"/>
              </w:rPr>
            </w:pPr>
            <w:r>
              <w:rPr>
                <w:rFonts w:ascii="標楷體" w:eastAsia="標楷體" w:hAnsi="標楷體" w:hint="eastAsia"/>
              </w:rPr>
              <w:t>薦任第九職等至簡任第十職等</w:t>
            </w:r>
          </w:p>
        </w:tc>
        <w:tc>
          <w:tcPr>
            <w:tcW w:w="3581" w:type="dxa"/>
            <w:tcBorders>
              <w:bottom w:val="single" w:sz="4" w:space="0" w:color="auto"/>
            </w:tcBorders>
          </w:tcPr>
          <w:p w:rsidR="007D6688" w:rsidRDefault="007D6688">
            <w:pPr>
              <w:spacing w:line="320" w:lineRule="exact"/>
              <w:jc w:val="both"/>
              <w:rPr>
                <w:rFonts w:ascii="標楷體" w:eastAsia="標楷體" w:hAnsi="標楷體" w:hint="eastAsia"/>
                <w:b/>
              </w:rPr>
            </w:pPr>
            <w:r>
              <w:rPr>
                <w:rFonts w:ascii="標楷體" w:eastAsia="標楷體" w:hAnsi="標楷體" w:hint="eastAsia"/>
                <w:b/>
              </w:rPr>
              <w:t>應具有公務人員任用法第十七條第一、二項所定簡任資格，並具備下列條件之一：</w:t>
            </w:r>
          </w:p>
          <w:p w:rsidR="007D6688" w:rsidRDefault="007D6688">
            <w:pPr>
              <w:spacing w:line="320" w:lineRule="exact"/>
              <w:ind w:left="412" w:hanging="412"/>
              <w:jc w:val="both"/>
              <w:rPr>
                <w:rFonts w:ascii="標楷體" w:eastAsia="標楷體" w:hAnsi="標楷體" w:hint="eastAsia"/>
              </w:rPr>
            </w:pPr>
            <w:r>
              <w:rPr>
                <w:rFonts w:ascii="標楷體" w:eastAsia="標楷體" w:hAnsi="標楷體" w:hint="eastAsia"/>
                <w:b/>
              </w:rPr>
              <w:t>一、現任或曾任各人事機關（構）薦任第九職等至簡任第十職等人事室副主任等相當層級職務佐理人員一年以上。</w:t>
            </w:r>
          </w:p>
          <w:p w:rsidR="007D6688" w:rsidRDefault="007D6688">
            <w:pPr>
              <w:spacing w:line="320" w:lineRule="exact"/>
              <w:ind w:left="420" w:hanging="420"/>
              <w:jc w:val="both"/>
              <w:rPr>
                <w:rFonts w:ascii="標楷體" w:eastAsia="標楷體" w:hAnsi="標楷體" w:hint="eastAsia"/>
                <w:b/>
              </w:rPr>
            </w:pPr>
            <w:r>
              <w:rPr>
                <w:rFonts w:ascii="標楷體" w:eastAsia="標楷體" w:hAnsi="標楷體" w:hint="eastAsia"/>
              </w:rPr>
              <w:t>二、現任或曾任各人事機關（構）</w:t>
            </w:r>
            <w:r>
              <w:rPr>
                <w:rFonts w:ascii="標楷體" w:eastAsia="標楷體" w:hAnsi="標楷體" w:hint="eastAsia"/>
                <w:b/>
              </w:rPr>
              <w:t>單列</w:t>
            </w:r>
            <w:r>
              <w:rPr>
                <w:rFonts w:ascii="標楷體" w:eastAsia="標楷體" w:hAnsi="標楷體" w:hint="eastAsia"/>
              </w:rPr>
              <w:t>薦任第九職等人事室主任等相當層級</w:t>
            </w:r>
            <w:r>
              <w:rPr>
                <w:rFonts w:ascii="標楷體" w:eastAsia="標楷體" w:hAnsi="標楷體" w:hint="eastAsia"/>
                <w:b/>
                <w:bCs/>
              </w:rPr>
              <w:t>主管、副主管</w:t>
            </w:r>
            <w:r>
              <w:rPr>
                <w:rFonts w:ascii="標楷體" w:eastAsia="標楷體" w:hAnsi="標楷體" w:hint="eastAsia"/>
              </w:rPr>
              <w:t>職務三年以上</w:t>
            </w:r>
          </w:p>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b/>
              </w:rPr>
              <w:t>三、現任或曾任各人事機關（構）薦任第七職等至第九職等及薦任第八職等至第九職等人事室主任四年以上，且敘薦任第九職等四年以上。</w:t>
            </w:r>
          </w:p>
        </w:tc>
        <w:tc>
          <w:tcPr>
            <w:tcW w:w="1875" w:type="dxa"/>
            <w:tcBorders>
              <w:bottom w:val="single" w:sz="4" w:space="0" w:color="auto"/>
            </w:tcBorders>
          </w:tcPr>
          <w:p w:rsidR="007D6688" w:rsidRDefault="007D6688">
            <w:pPr>
              <w:spacing w:line="320" w:lineRule="exact"/>
              <w:jc w:val="both"/>
              <w:rPr>
                <w:rFonts w:ascii="標楷體" w:eastAsia="標楷體" w:hAnsi="標楷體" w:hint="eastAsia"/>
              </w:rPr>
            </w:pPr>
            <w:r>
              <w:rPr>
                <w:rFonts w:ascii="標楷體" w:eastAsia="標楷體" w:hAnsi="標楷體" w:hint="eastAsia"/>
              </w:rPr>
              <w:t>簡任第十職等人事室主任之陞任資格比照本層次人員辦理。</w:t>
            </w:r>
          </w:p>
        </w:tc>
      </w:tr>
      <w:tr w:rsidR="007D6688">
        <w:tblPrEx>
          <w:tblCellMar>
            <w:top w:w="0" w:type="dxa"/>
            <w:bottom w:w="0" w:type="dxa"/>
          </w:tblCellMar>
        </w:tblPrEx>
        <w:trPr>
          <w:cantSplit/>
          <w:trHeight w:val="1101"/>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第二層次</w:t>
            </w:r>
          </w:p>
        </w:tc>
        <w:tc>
          <w:tcPr>
            <w:tcW w:w="853"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專門委員、視察、秘書</w:t>
            </w:r>
          </w:p>
        </w:tc>
        <w:tc>
          <w:tcPr>
            <w:tcW w:w="1534" w:type="dxa"/>
          </w:tcPr>
          <w:p w:rsidR="007D6688" w:rsidRDefault="007D6688">
            <w:pPr>
              <w:spacing w:line="320" w:lineRule="exact"/>
              <w:jc w:val="both"/>
              <w:rPr>
                <w:rFonts w:ascii="標楷體" w:eastAsia="標楷體" w:hAnsi="標楷體" w:hint="eastAsia"/>
              </w:rPr>
            </w:pPr>
            <w:r>
              <w:rPr>
                <w:rFonts w:ascii="標楷體" w:eastAsia="標楷體" w:hAnsi="標楷體" w:hint="eastAsia"/>
              </w:rPr>
              <w:t>簡任第十職等至第十一職等</w:t>
            </w:r>
          </w:p>
        </w:tc>
        <w:tc>
          <w:tcPr>
            <w:tcW w:w="3581" w:type="dxa"/>
          </w:tcPr>
          <w:p w:rsidR="007D6688" w:rsidRDefault="007D6688">
            <w:pPr>
              <w:pStyle w:val="a5"/>
              <w:spacing w:line="320" w:lineRule="exact"/>
              <w:ind w:left="0" w:firstLineChars="0" w:firstLine="0"/>
              <w:jc w:val="both"/>
              <w:rPr>
                <w:rFonts w:ascii="標楷體" w:eastAsia="標楷體" w:hAnsi="標楷體" w:hint="eastAsia"/>
                <w:sz w:val="24"/>
              </w:rPr>
            </w:pPr>
            <w:r>
              <w:rPr>
                <w:rFonts w:ascii="標楷體" w:eastAsia="標楷體" w:hAnsi="標楷體" w:hint="eastAsia"/>
                <w:sz w:val="24"/>
              </w:rPr>
              <w:t>各主管機關人事機構依權責訂定</w:t>
            </w:r>
          </w:p>
        </w:tc>
        <w:tc>
          <w:tcPr>
            <w:tcW w:w="1875" w:type="dxa"/>
          </w:tcPr>
          <w:p w:rsidR="007D6688" w:rsidRDefault="007D6688">
            <w:pPr>
              <w:spacing w:line="320" w:lineRule="exact"/>
              <w:rPr>
                <w:rFonts w:ascii="標楷體" w:eastAsia="標楷體" w:hAnsi="標楷體" w:hint="eastAsia"/>
              </w:rPr>
            </w:pPr>
            <w:r>
              <w:rPr>
                <w:rFonts w:ascii="標楷體" w:eastAsia="標楷體" w:hAnsi="標楷體" w:hint="eastAsia"/>
              </w:rPr>
              <w:t>本層次職務由主管機關人事機構依規定遴選適當人員報請本局核派。</w:t>
            </w:r>
          </w:p>
        </w:tc>
      </w:tr>
      <w:tr w:rsidR="007D6688">
        <w:tblPrEx>
          <w:tblCellMar>
            <w:top w:w="0" w:type="dxa"/>
            <w:bottom w:w="0" w:type="dxa"/>
          </w:tblCellMar>
        </w:tblPrEx>
        <w:trPr>
          <w:trHeight w:val="1101"/>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第三層次</w:t>
            </w:r>
          </w:p>
        </w:tc>
        <w:tc>
          <w:tcPr>
            <w:tcW w:w="853"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主任</w:t>
            </w:r>
          </w:p>
        </w:tc>
        <w:tc>
          <w:tcPr>
            <w:tcW w:w="1534" w:type="dxa"/>
          </w:tcPr>
          <w:p w:rsidR="007D6688" w:rsidRDefault="007D6688">
            <w:pPr>
              <w:spacing w:line="320" w:lineRule="exact"/>
              <w:jc w:val="both"/>
              <w:rPr>
                <w:rFonts w:ascii="標楷體" w:eastAsia="標楷體" w:hAnsi="標楷體" w:hint="eastAsia"/>
              </w:rPr>
            </w:pPr>
            <w:r>
              <w:rPr>
                <w:rFonts w:ascii="標楷體" w:eastAsia="標楷體" w:hAnsi="標楷體" w:hint="eastAsia"/>
              </w:rPr>
              <w:t>簡任第十職等至第十一職等</w:t>
            </w:r>
          </w:p>
        </w:tc>
        <w:tc>
          <w:tcPr>
            <w:tcW w:w="3581" w:type="dxa"/>
          </w:tcPr>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rPr>
              <w:t>一、擬陞任各主管機關簡任第十職等至第十一職等人事室主任職務者，應具備下列條件之一：</w:t>
            </w:r>
          </w:p>
          <w:p w:rsidR="007D6688" w:rsidRDefault="007D6688">
            <w:pPr>
              <w:pStyle w:val="32"/>
              <w:ind w:left="1160" w:hanging="680"/>
              <w:jc w:val="both"/>
              <w:rPr>
                <w:rFonts w:ascii="標楷體" w:eastAsia="標楷體" w:hAnsi="標楷體" w:hint="eastAsia"/>
                <w:sz w:val="24"/>
                <w:szCs w:val="24"/>
              </w:rPr>
            </w:pPr>
            <w:r>
              <w:rPr>
                <w:rFonts w:ascii="標楷體" w:eastAsia="標楷體" w:hAnsi="標楷體" w:hint="eastAsia"/>
                <w:sz w:val="24"/>
                <w:szCs w:val="24"/>
              </w:rPr>
              <w:t>（一）現任或曾任各人事機關（構）簡任第十職等至第十一職等專門委員等相當層級人員</w:t>
            </w:r>
            <w:r>
              <w:rPr>
                <w:rFonts w:ascii="標楷體" w:eastAsia="標楷體" w:hAnsi="標楷體" w:hint="eastAsia"/>
                <w:b/>
                <w:bCs/>
                <w:sz w:val="24"/>
                <w:szCs w:val="24"/>
                <w:u w:val="single"/>
              </w:rPr>
              <w:t>二</w:t>
            </w:r>
            <w:r>
              <w:rPr>
                <w:rFonts w:ascii="標楷體" w:eastAsia="標楷體" w:hAnsi="標楷體" w:hint="eastAsia"/>
                <w:sz w:val="24"/>
                <w:szCs w:val="24"/>
              </w:rPr>
              <w:t>年以上。</w:t>
            </w:r>
          </w:p>
          <w:p w:rsidR="007D6688" w:rsidRDefault="007D6688">
            <w:pPr>
              <w:pStyle w:val="32"/>
              <w:ind w:left="1160" w:hanging="680"/>
              <w:jc w:val="both"/>
              <w:rPr>
                <w:rFonts w:ascii="標楷體" w:eastAsia="標楷體" w:hAnsi="標楷體" w:hint="eastAsia"/>
                <w:sz w:val="24"/>
                <w:szCs w:val="24"/>
              </w:rPr>
            </w:pPr>
            <w:r>
              <w:rPr>
                <w:rFonts w:ascii="標楷體" w:eastAsia="標楷體" w:hAnsi="標楷體" w:hint="eastAsia"/>
                <w:sz w:val="24"/>
                <w:szCs w:val="24"/>
              </w:rPr>
              <w:t>（二）現任或曾任各人事機關（構）單列簡任第十職等主任秘書或總幹事一年以上。</w:t>
            </w:r>
          </w:p>
          <w:p w:rsidR="007D6688" w:rsidRDefault="007D6688">
            <w:pPr>
              <w:pStyle w:val="32"/>
              <w:ind w:left="1160" w:hanging="680"/>
              <w:jc w:val="both"/>
              <w:rPr>
                <w:rFonts w:ascii="標楷體" w:eastAsia="標楷體" w:hAnsi="標楷體" w:hint="eastAsia"/>
                <w:b/>
                <w:sz w:val="24"/>
                <w:szCs w:val="24"/>
              </w:rPr>
            </w:pPr>
            <w:r>
              <w:rPr>
                <w:rFonts w:ascii="標楷體" w:eastAsia="標楷體" w:hAnsi="標楷體" w:hint="eastAsia"/>
                <w:b/>
                <w:sz w:val="24"/>
                <w:szCs w:val="24"/>
              </w:rPr>
              <w:t>（三）</w:t>
            </w:r>
            <w:r>
              <w:rPr>
                <w:rFonts w:ascii="標楷體" w:eastAsia="標楷體" w:hAnsi="標楷體" w:hint="eastAsia"/>
                <w:sz w:val="24"/>
                <w:szCs w:val="24"/>
              </w:rPr>
              <w:t>現任或曾任各人事機關（構）單列簡任第十職等人事室主任</w:t>
            </w:r>
            <w:r>
              <w:rPr>
                <w:rFonts w:ascii="標楷體" w:eastAsia="標楷體" w:hAnsi="標楷體" w:hint="eastAsia"/>
                <w:b/>
                <w:bCs/>
                <w:sz w:val="24"/>
                <w:szCs w:val="24"/>
                <w:u w:val="single"/>
              </w:rPr>
              <w:t>四</w:t>
            </w:r>
            <w:r>
              <w:rPr>
                <w:rFonts w:ascii="標楷體" w:eastAsia="標楷體" w:hAnsi="標楷體" w:hint="eastAsia"/>
                <w:b/>
                <w:bCs/>
                <w:sz w:val="24"/>
                <w:szCs w:val="24"/>
              </w:rPr>
              <w:t>年</w:t>
            </w:r>
            <w:r>
              <w:rPr>
                <w:rFonts w:ascii="標楷體" w:eastAsia="標楷體" w:hAnsi="標楷體" w:hint="eastAsia"/>
                <w:sz w:val="24"/>
                <w:szCs w:val="24"/>
              </w:rPr>
              <w:t>以上。</w:t>
            </w:r>
          </w:p>
          <w:p w:rsidR="007D6688" w:rsidRDefault="007D6688">
            <w:pPr>
              <w:pStyle w:val="32"/>
              <w:ind w:left="1160" w:hanging="680"/>
              <w:jc w:val="both"/>
              <w:rPr>
                <w:rFonts w:ascii="標楷體" w:eastAsia="標楷體" w:hAnsi="標楷體" w:hint="eastAsia"/>
                <w:b/>
                <w:sz w:val="24"/>
                <w:szCs w:val="24"/>
              </w:rPr>
            </w:pPr>
            <w:r>
              <w:rPr>
                <w:rFonts w:ascii="標楷體" w:eastAsia="標楷體" w:hAnsi="標楷體" w:hint="eastAsia"/>
                <w:b/>
                <w:sz w:val="24"/>
                <w:szCs w:val="24"/>
              </w:rPr>
              <w:t>（四）</w:t>
            </w:r>
            <w:r>
              <w:rPr>
                <w:rFonts w:ascii="標楷體" w:eastAsia="標楷體" w:hAnsi="標楷體" w:hint="eastAsia"/>
                <w:sz w:val="24"/>
                <w:szCs w:val="24"/>
              </w:rPr>
              <w:t>現任或曾任各人事機關（構）單列簡任第十職等編審等相當層級佐理人員</w:t>
            </w:r>
            <w:r>
              <w:rPr>
                <w:rFonts w:ascii="標楷體" w:eastAsia="標楷體" w:hAnsi="標楷體" w:hint="eastAsia"/>
                <w:b/>
                <w:sz w:val="24"/>
                <w:szCs w:val="24"/>
                <w:u w:val="single"/>
              </w:rPr>
              <w:t>六</w:t>
            </w:r>
            <w:r>
              <w:rPr>
                <w:rFonts w:ascii="標楷體" w:eastAsia="標楷體" w:hAnsi="標楷體" w:hint="eastAsia"/>
                <w:sz w:val="24"/>
                <w:szCs w:val="24"/>
              </w:rPr>
              <w:t>年以上。</w:t>
            </w:r>
          </w:p>
          <w:p w:rsidR="007D6688" w:rsidRDefault="007D6688">
            <w:pPr>
              <w:pStyle w:val="32"/>
              <w:ind w:left="1160" w:hanging="680"/>
              <w:jc w:val="both"/>
              <w:rPr>
                <w:rFonts w:ascii="標楷體" w:eastAsia="標楷體" w:hAnsi="標楷體"/>
                <w:sz w:val="24"/>
                <w:szCs w:val="24"/>
              </w:rPr>
            </w:pPr>
            <w:r>
              <w:rPr>
                <w:rFonts w:ascii="標楷體" w:eastAsia="標楷體" w:hAnsi="標楷體" w:hint="eastAsia"/>
                <w:sz w:val="24"/>
                <w:szCs w:val="24"/>
              </w:rPr>
              <w:t>（五）現任或曾任各人事機關（構）薦任第九職等至簡任第十職等人事室主任，並已敘簡任第十職等職務六年以上。</w:t>
            </w:r>
          </w:p>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rPr>
              <w:t>二、擬陞任教育部所屬大學簡任第十職等至第十一職等人事室主任者，應具下列條件之一：</w:t>
            </w:r>
          </w:p>
          <w:p w:rsidR="007D6688" w:rsidRDefault="007D6688">
            <w:pPr>
              <w:pStyle w:val="32"/>
              <w:ind w:left="1160" w:hanging="680"/>
              <w:jc w:val="both"/>
              <w:rPr>
                <w:rFonts w:ascii="標楷體" w:eastAsia="標楷體" w:hAnsi="標楷體" w:hint="eastAsia"/>
                <w:sz w:val="24"/>
                <w:szCs w:val="24"/>
              </w:rPr>
            </w:pPr>
            <w:r>
              <w:rPr>
                <w:rFonts w:ascii="標楷體" w:eastAsia="標楷體" w:hAnsi="標楷體" w:hint="eastAsia"/>
                <w:sz w:val="24"/>
                <w:szCs w:val="24"/>
              </w:rPr>
              <w:t>（一）具前項</w:t>
            </w:r>
            <w:r>
              <w:rPr>
                <w:rFonts w:ascii="標楷體" w:eastAsia="標楷體" w:hAnsi="標楷體" w:hint="eastAsia"/>
                <w:b/>
                <w:sz w:val="24"/>
                <w:szCs w:val="24"/>
                <w:u w:val="single"/>
              </w:rPr>
              <w:t>第一款、第二款或第四款</w:t>
            </w:r>
            <w:r>
              <w:rPr>
                <w:rFonts w:ascii="標楷體" w:eastAsia="標楷體" w:hAnsi="標楷體" w:hint="eastAsia"/>
                <w:sz w:val="24"/>
                <w:szCs w:val="24"/>
              </w:rPr>
              <w:t>條件之一者。</w:t>
            </w:r>
          </w:p>
          <w:p w:rsidR="007D6688" w:rsidRDefault="007D6688">
            <w:pPr>
              <w:pStyle w:val="32"/>
              <w:ind w:left="1160" w:hanging="680"/>
              <w:jc w:val="both"/>
              <w:rPr>
                <w:rFonts w:ascii="標楷體" w:eastAsia="標楷體" w:hAnsi="標楷體" w:hint="eastAsia"/>
                <w:sz w:val="24"/>
                <w:szCs w:val="24"/>
              </w:rPr>
            </w:pPr>
            <w:r>
              <w:rPr>
                <w:rFonts w:ascii="標楷體" w:eastAsia="標楷體" w:hAnsi="標楷體" w:hint="eastAsia"/>
                <w:sz w:val="24"/>
                <w:szCs w:val="24"/>
              </w:rPr>
              <w:t>（二）現任或曾任各人事機關（構）已敘簡任第十職等人事室主任三年以上。</w:t>
            </w:r>
          </w:p>
        </w:tc>
        <w:tc>
          <w:tcPr>
            <w:tcW w:w="1875" w:type="dxa"/>
          </w:tcPr>
          <w:p w:rsidR="007D6688" w:rsidRDefault="007D6688">
            <w:pPr>
              <w:spacing w:line="320" w:lineRule="exact"/>
              <w:jc w:val="both"/>
              <w:rPr>
                <w:rFonts w:ascii="標楷體" w:eastAsia="標楷體" w:hAnsi="標楷體" w:hint="eastAsia"/>
                <w:b/>
              </w:rPr>
            </w:pPr>
          </w:p>
        </w:tc>
      </w:tr>
      <w:tr w:rsidR="007D6688">
        <w:tblPrEx>
          <w:tblCellMar>
            <w:top w:w="0" w:type="dxa"/>
            <w:bottom w:w="0" w:type="dxa"/>
          </w:tblCellMar>
        </w:tblPrEx>
        <w:trPr>
          <w:trHeight w:val="1292"/>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第四層次</w:t>
            </w:r>
          </w:p>
        </w:tc>
        <w:tc>
          <w:tcPr>
            <w:tcW w:w="853" w:type="dxa"/>
            <w:tcBorders>
              <w:bottom w:val="single" w:sz="4" w:space="0" w:color="auto"/>
            </w:tcBorders>
          </w:tcPr>
          <w:p w:rsidR="007D6688" w:rsidRDefault="007D6688">
            <w:pPr>
              <w:spacing w:line="320" w:lineRule="exact"/>
              <w:jc w:val="center"/>
              <w:rPr>
                <w:rFonts w:ascii="標楷體" w:eastAsia="標楷體" w:hAnsi="標楷體" w:hint="eastAsia"/>
              </w:rPr>
            </w:pPr>
            <w:r>
              <w:rPr>
                <w:rFonts w:ascii="標楷體" w:eastAsia="標楷體" w:hAnsi="標楷體" w:hint="eastAsia"/>
              </w:rPr>
              <w:t>副處長</w:t>
            </w:r>
          </w:p>
        </w:tc>
        <w:tc>
          <w:tcPr>
            <w:tcW w:w="1534" w:type="dxa"/>
          </w:tcPr>
          <w:p w:rsidR="007D6688" w:rsidRDefault="007D6688">
            <w:pPr>
              <w:spacing w:line="320" w:lineRule="exact"/>
              <w:jc w:val="both"/>
              <w:rPr>
                <w:rFonts w:ascii="標楷體" w:eastAsia="標楷體" w:hAnsi="標楷體"/>
              </w:rPr>
            </w:pPr>
            <w:r>
              <w:rPr>
                <w:rFonts w:ascii="標楷體" w:eastAsia="標楷體" w:hAnsi="標楷體" w:hint="eastAsia"/>
              </w:rPr>
              <w:t>簡任第十一職等</w:t>
            </w:r>
          </w:p>
        </w:tc>
        <w:tc>
          <w:tcPr>
            <w:tcW w:w="3581" w:type="dxa"/>
          </w:tcPr>
          <w:p w:rsidR="007D6688" w:rsidRDefault="007D6688">
            <w:pPr>
              <w:pStyle w:val="31"/>
              <w:spacing w:line="320" w:lineRule="exact"/>
              <w:rPr>
                <w:rFonts w:ascii="標楷體" w:eastAsia="標楷體" w:hAnsi="標楷體" w:hint="eastAsia"/>
                <w:sz w:val="24"/>
                <w:szCs w:val="24"/>
              </w:rPr>
            </w:pPr>
            <w:r>
              <w:rPr>
                <w:rFonts w:ascii="標楷體" w:eastAsia="標楷體" w:hAnsi="標楷體" w:hint="eastAsia"/>
                <w:sz w:val="24"/>
                <w:szCs w:val="24"/>
              </w:rPr>
              <w:t>應具備下列條件之一：</w:t>
            </w:r>
          </w:p>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rPr>
              <w:t>一、現任或曾任各人事機關（構）簡任第十職等至第十一職等人事室主任一年以上。</w:t>
            </w:r>
          </w:p>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rPr>
              <w:t>二、現任或曾任各人事機關（構）簡任第十職等至第十一職等專門委員等相當層級人員三年以上，並具簡任人事主管職務二年以上工作年資。</w:t>
            </w:r>
          </w:p>
          <w:p w:rsidR="007D6688" w:rsidRDefault="007D6688">
            <w:pPr>
              <w:spacing w:line="320" w:lineRule="exact"/>
              <w:ind w:left="420" w:hanging="420"/>
              <w:jc w:val="both"/>
              <w:rPr>
                <w:rFonts w:ascii="標楷體" w:eastAsia="標楷體" w:hAnsi="標楷體" w:hint="eastAsia"/>
              </w:rPr>
            </w:pPr>
            <w:r>
              <w:rPr>
                <w:rFonts w:ascii="標楷體" w:eastAsia="標楷體" w:hAnsi="標楷體" w:hint="eastAsia"/>
              </w:rPr>
              <w:t>三、現任或曾任各人事機關（構）簡任第十職等至第十一職等專門委員等相當層級人員六年以上。</w:t>
            </w:r>
          </w:p>
          <w:p w:rsidR="007D6688" w:rsidRDefault="007D6688">
            <w:pPr>
              <w:spacing w:line="320" w:lineRule="exact"/>
              <w:ind w:left="560" w:hanging="560"/>
              <w:jc w:val="both"/>
              <w:rPr>
                <w:rFonts w:ascii="標楷體" w:eastAsia="標楷體" w:hAnsi="標楷體"/>
              </w:rPr>
            </w:pPr>
            <w:r>
              <w:rPr>
                <w:rFonts w:ascii="標楷體" w:eastAsia="標楷體" w:hAnsi="標楷體" w:hint="eastAsia"/>
              </w:rPr>
              <w:t>四、現任或曾任各人事機關單列簡任第十職等主任秘書或總幹事三年以上，並合計具簡任主管或非主管年資五年以上。</w:t>
            </w:r>
          </w:p>
        </w:tc>
        <w:tc>
          <w:tcPr>
            <w:tcW w:w="1875" w:type="dxa"/>
          </w:tcPr>
          <w:p w:rsidR="007D6688" w:rsidRDefault="007D6688">
            <w:pPr>
              <w:spacing w:line="320" w:lineRule="exact"/>
              <w:jc w:val="center"/>
              <w:rPr>
                <w:rFonts w:ascii="標楷體" w:eastAsia="標楷體" w:hAnsi="標楷體"/>
              </w:rPr>
            </w:pPr>
          </w:p>
        </w:tc>
      </w:tr>
      <w:tr w:rsidR="007D6688">
        <w:tblPrEx>
          <w:tblCellMar>
            <w:top w:w="0" w:type="dxa"/>
            <w:bottom w:w="0" w:type="dxa"/>
          </w:tblCellMar>
        </w:tblPrEx>
        <w:trPr>
          <w:cantSplit/>
          <w:trHeight w:val="1480"/>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第五層次</w:t>
            </w:r>
          </w:p>
        </w:tc>
        <w:tc>
          <w:tcPr>
            <w:tcW w:w="853" w:type="dxa"/>
            <w:tcBorders>
              <w:bottom w:val="single" w:sz="4" w:space="0" w:color="auto"/>
            </w:tcBorders>
          </w:tcPr>
          <w:p w:rsidR="007D6688" w:rsidRDefault="007D6688">
            <w:pPr>
              <w:spacing w:line="320" w:lineRule="exact"/>
              <w:jc w:val="center"/>
              <w:rPr>
                <w:rFonts w:ascii="標楷體" w:eastAsia="標楷體" w:hAnsi="標楷體" w:hint="eastAsia"/>
              </w:rPr>
            </w:pPr>
            <w:r>
              <w:rPr>
                <w:rFonts w:ascii="標楷體" w:eastAsia="標楷體" w:hAnsi="標楷體" w:hint="eastAsia"/>
              </w:rPr>
              <w:t>處長</w:t>
            </w:r>
          </w:p>
        </w:tc>
        <w:tc>
          <w:tcPr>
            <w:tcW w:w="1534" w:type="dxa"/>
          </w:tcPr>
          <w:p w:rsidR="007D6688" w:rsidRDefault="007D6688">
            <w:pPr>
              <w:spacing w:line="320" w:lineRule="exact"/>
              <w:jc w:val="both"/>
              <w:rPr>
                <w:rFonts w:ascii="標楷體" w:eastAsia="標楷體" w:hAnsi="標楷體"/>
              </w:rPr>
            </w:pPr>
            <w:r>
              <w:rPr>
                <w:rFonts w:ascii="標楷體" w:eastAsia="標楷體" w:hAnsi="標楷體" w:hint="eastAsia"/>
              </w:rPr>
              <w:t>簡任第十二職等</w:t>
            </w:r>
          </w:p>
        </w:tc>
        <w:tc>
          <w:tcPr>
            <w:tcW w:w="3581" w:type="dxa"/>
          </w:tcPr>
          <w:p w:rsidR="007D6688" w:rsidRDefault="007D6688">
            <w:pPr>
              <w:spacing w:line="320" w:lineRule="exact"/>
              <w:jc w:val="both"/>
              <w:rPr>
                <w:rFonts w:ascii="標楷體" w:eastAsia="標楷體" w:hAnsi="標楷體" w:hint="eastAsia"/>
              </w:rPr>
            </w:pPr>
          </w:p>
        </w:tc>
        <w:tc>
          <w:tcPr>
            <w:tcW w:w="1875" w:type="dxa"/>
          </w:tcPr>
          <w:p w:rsidR="007D6688" w:rsidRDefault="007D6688">
            <w:pPr>
              <w:spacing w:line="320" w:lineRule="exact"/>
              <w:jc w:val="both"/>
              <w:rPr>
                <w:rFonts w:ascii="標楷體" w:eastAsia="標楷體" w:hAnsi="標楷體" w:hint="eastAsia"/>
              </w:rPr>
            </w:pPr>
            <w:r>
              <w:rPr>
                <w:rFonts w:ascii="標楷體" w:eastAsia="標楷體" w:hAnsi="標楷體" w:hint="eastAsia"/>
              </w:rPr>
              <w:t>本層次職務陞遷，得免經甄審。</w:t>
            </w:r>
          </w:p>
        </w:tc>
      </w:tr>
      <w:tr w:rsidR="007D6688">
        <w:tblPrEx>
          <w:tblCellMar>
            <w:top w:w="0" w:type="dxa"/>
            <w:bottom w:w="0" w:type="dxa"/>
          </w:tblCellMar>
        </w:tblPrEx>
        <w:trPr>
          <w:cantSplit/>
          <w:trHeight w:val="993"/>
        </w:trPr>
        <w:tc>
          <w:tcPr>
            <w:tcW w:w="1194" w:type="dxa"/>
          </w:tcPr>
          <w:p w:rsidR="007D6688" w:rsidRDefault="007D6688">
            <w:pPr>
              <w:spacing w:line="320" w:lineRule="exact"/>
              <w:jc w:val="center"/>
              <w:rPr>
                <w:rFonts w:ascii="標楷體" w:eastAsia="標楷體" w:hAnsi="標楷體" w:hint="eastAsia"/>
              </w:rPr>
            </w:pPr>
            <w:r>
              <w:rPr>
                <w:rFonts w:ascii="標楷體" w:eastAsia="標楷體" w:hAnsi="標楷體" w:hint="eastAsia"/>
              </w:rPr>
              <w:t>第六層次</w:t>
            </w:r>
          </w:p>
        </w:tc>
        <w:tc>
          <w:tcPr>
            <w:tcW w:w="853" w:type="dxa"/>
            <w:tcBorders>
              <w:bottom w:val="single" w:sz="4" w:space="0" w:color="auto"/>
            </w:tcBorders>
          </w:tcPr>
          <w:p w:rsidR="007D6688" w:rsidRDefault="007D6688">
            <w:pPr>
              <w:spacing w:line="320" w:lineRule="exact"/>
              <w:jc w:val="center"/>
              <w:rPr>
                <w:rFonts w:ascii="標楷體" w:eastAsia="標楷體" w:hAnsi="標楷體" w:hint="eastAsia"/>
              </w:rPr>
            </w:pPr>
            <w:r>
              <w:rPr>
                <w:rFonts w:ascii="標楷體" w:eastAsia="標楷體" w:hAnsi="標楷體" w:hint="eastAsia"/>
              </w:rPr>
              <w:t>處長</w:t>
            </w:r>
          </w:p>
        </w:tc>
        <w:tc>
          <w:tcPr>
            <w:tcW w:w="1534" w:type="dxa"/>
          </w:tcPr>
          <w:p w:rsidR="007D6688" w:rsidRDefault="007D6688">
            <w:pPr>
              <w:spacing w:line="320" w:lineRule="exact"/>
              <w:jc w:val="both"/>
              <w:rPr>
                <w:rFonts w:ascii="標楷體" w:eastAsia="標楷體" w:hAnsi="標楷體"/>
              </w:rPr>
            </w:pPr>
            <w:r>
              <w:rPr>
                <w:rFonts w:ascii="標楷體" w:eastAsia="標楷體" w:hAnsi="標楷體" w:hint="eastAsia"/>
              </w:rPr>
              <w:t>簡任第十三職等</w:t>
            </w:r>
          </w:p>
        </w:tc>
        <w:tc>
          <w:tcPr>
            <w:tcW w:w="3581" w:type="dxa"/>
          </w:tcPr>
          <w:p w:rsidR="007D6688" w:rsidRDefault="007D6688">
            <w:pPr>
              <w:spacing w:line="320" w:lineRule="exact"/>
              <w:jc w:val="both"/>
              <w:rPr>
                <w:rFonts w:ascii="標楷體" w:eastAsia="標楷體" w:hAnsi="標楷體"/>
              </w:rPr>
            </w:pPr>
          </w:p>
        </w:tc>
        <w:tc>
          <w:tcPr>
            <w:tcW w:w="1875" w:type="dxa"/>
          </w:tcPr>
          <w:p w:rsidR="007D6688" w:rsidRDefault="007D6688">
            <w:pPr>
              <w:spacing w:line="320" w:lineRule="exact"/>
              <w:jc w:val="both"/>
              <w:rPr>
                <w:rFonts w:ascii="標楷體" w:eastAsia="標楷體" w:hAnsi="標楷體"/>
              </w:rPr>
            </w:pPr>
            <w:r>
              <w:rPr>
                <w:rFonts w:ascii="標楷體" w:eastAsia="標楷體" w:hAnsi="標楷體" w:hint="eastAsia"/>
              </w:rPr>
              <w:t>本層次職務陞遷，得免經甄審。</w:t>
            </w:r>
          </w:p>
        </w:tc>
      </w:tr>
    </w:tbl>
    <w:p w:rsidR="007D6688" w:rsidRDefault="007D6688">
      <w:pPr>
        <w:spacing w:line="400" w:lineRule="exact"/>
        <w:rPr>
          <w:rFonts w:eastAsia="標楷體" w:hint="eastAsia"/>
          <w:sz w:val="28"/>
        </w:rPr>
      </w:pPr>
      <w:r>
        <w:rPr>
          <w:rFonts w:eastAsia="標楷體" w:hint="eastAsia"/>
          <w:sz w:val="28"/>
        </w:rPr>
        <w:t>附註：</w:t>
      </w:r>
    </w:p>
    <w:p w:rsidR="007D6688" w:rsidRDefault="007D6688">
      <w:pPr>
        <w:pStyle w:val="21"/>
        <w:numPr>
          <w:ilvl w:val="0"/>
          <w:numId w:val="13"/>
        </w:numPr>
        <w:spacing w:after="0" w:line="400" w:lineRule="exact"/>
        <w:jc w:val="both"/>
        <w:rPr>
          <w:rFonts w:hint="eastAsia"/>
        </w:rPr>
      </w:pPr>
      <w:r>
        <w:rPr>
          <w:rFonts w:hint="eastAsia"/>
        </w:rPr>
        <w:t>簡任第十職等至第十一職等人事室主任，其中臺灣省政府、福建省政府、臺北市議會、高雄市議會、各縣（市）政府人事室主任，得免經甄審程序；但擬陞任各縣（市）政府人事室主任者，其遴用之優先順序如下：</w:t>
      </w:r>
    </w:p>
    <w:p w:rsidR="007D6688" w:rsidRDefault="007D6688">
      <w:pPr>
        <w:pStyle w:val="21"/>
        <w:numPr>
          <w:ilvl w:val="1"/>
          <w:numId w:val="14"/>
        </w:numPr>
        <w:spacing w:after="0" w:line="400" w:lineRule="exact"/>
        <w:jc w:val="both"/>
        <w:rPr>
          <w:rFonts w:hint="eastAsia"/>
          <w:sz w:val="32"/>
        </w:rPr>
      </w:pPr>
      <w:r>
        <w:rPr>
          <w:rFonts w:hint="eastAsia"/>
        </w:rPr>
        <w:t>現任或曾任各人事機關（構）簡任第十職等至第十一職等專門委員等相當層級人員一年以上者。</w:t>
      </w:r>
    </w:p>
    <w:p w:rsidR="007D6688" w:rsidRDefault="007D6688">
      <w:pPr>
        <w:pStyle w:val="21"/>
        <w:numPr>
          <w:ilvl w:val="1"/>
          <w:numId w:val="14"/>
        </w:numPr>
        <w:spacing w:after="0" w:line="400" w:lineRule="exact"/>
        <w:jc w:val="both"/>
        <w:rPr>
          <w:rFonts w:hint="eastAsia"/>
          <w:sz w:val="32"/>
        </w:rPr>
      </w:pPr>
      <w:r>
        <w:rPr>
          <w:rFonts w:hint="eastAsia"/>
        </w:rPr>
        <w:t>現任或曾任各人事機關（構）單列簡任第十職等或薦任第九職等至簡任第十職等人事室主任，並已敘簡任第十職等資格一年以上者。</w:t>
      </w:r>
    </w:p>
    <w:p w:rsidR="007D6688" w:rsidRDefault="007D6688">
      <w:pPr>
        <w:pStyle w:val="21"/>
        <w:numPr>
          <w:ilvl w:val="1"/>
          <w:numId w:val="14"/>
        </w:numPr>
        <w:spacing w:after="0" w:line="400" w:lineRule="exact"/>
        <w:jc w:val="both"/>
        <w:rPr>
          <w:rFonts w:hint="eastAsia"/>
          <w:sz w:val="32"/>
        </w:rPr>
      </w:pPr>
      <w:r>
        <w:rPr>
          <w:rFonts w:hint="eastAsia"/>
        </w:rPr>
        <w:t>現任或曾任各人事機關（構）單列簡任第十職等或薦任第九職等至簡任第十職等非主管職務，並已敘簡任第十職等資格三年以上者。</w:t>
      </w:r>
    </w:p>
    <w:p w:rsidR="007D6688" w:rsidRDefault="007D6688">
      <w:pPr>
        <w:pStyle w:val="21"/>
        <w:spacing w:line="400" w:lineRule="exact"/>
        <w:ind w:left="560" w:hanging="560"/>
        <w:rPr>
          <w:rFonts w:hint="eastAsia"/>
        </w:rPr>
      </w:pPr>
      <w:r>
        <w:rPr>
          <w:rFonts w:hint="eastAsia"/>
        </w:rPr>
        <w:t>二、外補人員（係指行政院以外人事人員及非現職人事人員）比照表列職務所列資格條件辦理。</w:t>
      </w:r>
    </w:p>
    <w:p w:rsidR="007D6688" w:rsidRDefault="007D6688">
      <w:pPr>
        <w:pStyle w:val="21"/>
        <w:spacing w:line="400" w:lineRule="exact"/>
        <w:ind w:left="560" w:hanging="560"/>
      </w:pPr>
      <w:r>
        <w:rPr>
          <w:rFonts w:hint="eastAsia"/>
        </w:rPr>
        <w:t>三、現任或曾任人事</w:t>
      </w:r>
      <w:r>
        <w:t>主</w:t>
      </w:r>
      <w:r>
        <w:rPr>
          <w:rFonts w:hint="eastAsia"/>
        </w:rPr>
        <w:t>管機關簡任第十職等至第十一職等單位主管人員，且符合『現職公務人員調任辦法』之調任規定者，其任人事主管機關簡任第十職等至第十一職等單位主管之年資得視為表列簡任人事主管工作年資。</w:t>
      </w:r>
    </w:p>
    <w:p w:rsidR="007D6688" w:rsidRDefault="007D6688">
      <w:pPr>
        <w:pStyle w:val="21"/>
        <w:spacing w:line="400" w:lineRule="exact"/>
        <w:ind w:left="560" w:hanging="560"/>
        <w:rPr>
          <w:rFonts w:hint="eastAsia"/>
        </w:rPr>
      </w:pPr>
      <w:bookmarkStart w:id="177" w:name="OLE_LINK1"/>
      <w:r>
        <w:rPr>
          <w:rFonts w:hint="eastAsia"/>
        </w:rPr>
        <w:t>四、</w:t>
      </w:r>
      <w:r>
        <w:t>各</w:t>
      </w:r>
      <w:r>
        <w:rPr>
          <w:rFonts w:hint="eastAsia"/>
        </w:rPr>
        <w:t>縣市議會人事室主任職務列簡任第十職等，不適用本表；並得免經甄審。</w:t>
      </w:r>
      <w:bookmarkEnd w:id="177"/>
    </w:p>
    <w:p w:rsidR="007D6688" w:rsidRDefault="007D6688">
      <w:pPr>
        <w:pStyle w:val="21"/>
        <w:spacing w:line="400" w:lineRule="exact"/>
        <w:ind w:left="560" w:hanging="560"/>
        <w:rPr>
          <w:rFonts w:hint="eastAsia"/>
        </w:rPr>
      </w:pPr>
    </w:p>
    <w:p w:rsidR="007D6688" w:rsidRDefault="007D6688">
      <w:pPr>
        <w:pStyle w:val="21"/>
        <w:spacing w:line="400" w:lineRule="exact"/>
        <w:ind w:left="560" w:hanging="560"/>
        <w:rPr>
          <w:rFonts w:hint="eastAsia"/>
        </w:rPr>
      </w:pPr>
    </w:p>
    <w:p w:rsidR="007D6688" w:rsidRDefault="007D6688">
      <w:pPr>
        <w:pStyle w:val="21"/>
        <w:spacing w:line="400" w:lineRule="exact"/>
        <w:ind w:left="560" w:hanging="560"/>
        <w:rPr>
          <w:rFonts w:hint="eastAsia"/>
        </w:rPr>
      </w:pPr>
    </w:p>
    <w:p w:rsidR="007D6688" w:rsidRDefault="007D6688">
      <w:pPr>
        <w:rPr>
          <w:rFonts w:ascii="標楷體" w:eastAsia="標楷體" w:hAnsi="標楷體" w:hint="eastAsia"/>
          <w:sz w:val="32"/>
        </w:rPr>
      </w:pPr>
      <w:bookmarkStart w:id="178" w:name="_Toc121199252"/>
      <w:r>
        <w:rPr>
          <w:rFonts w:ascii="標楷體" w:eastAsia="標楷體" w:hAnsi="標楷體" w:hint="eastAsia"/>
          <w:sz w:val="32"/>
        </w:rPr>
        <w:t>附件(四)</w:t>
      </w:r>
      <w:bookmarkEnd w:id="178"/>
    </w:p>
    <w:p w:rsidR="007D6688" w:rsidRDefault="007D6688">
      <w:pPr>
        <w:snapToGrid w:val="0"/>
        <w:spacing w:afterLines="50" w:after="180" w:line="460" w:lineRule="exact"/>
        <w:jc w:val="distribute"/>
        <w:rPr>
          <w:rFonts w:eastAsia="標楷體" w:hint="eastAsia"/>
          <w:b/>
          <w:bCs/>
          <w:sz w:val="36"/>
        </w:rPr>
      </w:pPr>
      <w:r>
        <w:rPr>
          <w:rFonts w:eastAsia="標楷體" w:hint="eastAsia"/>
          <w:b/>
          <w:bCs/>
          <w:sz w:val="36"/>
        </w:rPr>
        <w:t>本會委託研究「公務人員陞遷之救濟」期中報告審查會議紀錄</w:t>
      </w:r>
    </w:p>
    <w:p w:rsidR="007D6688" w:rsidRDefault="007D6688">
      <w:pPr>
        <w:snapToGrid w:val="0"/>
        <w:spacing w:line="440" w:lineRule="exact"/>
        <w:jc w:val="both"/>
        <w:rPr>
          <w:rFonts w:eastAsia="標楷體" w:hint="eastAsia"/>
          <w:sz w:val="34"/>
        </w:rPr>
      </w:pPr>
      <w:r>
        <w:rPr>
          <w:rFonts w:eastAsia="標楷體" w:hint="eastAsia"/>
          <w:sz w:val="34"/>
        </w:rPr>
        <w:t>壹、開會時間：民國</w:t>
      </w:r>
      <w:r>
        <w:rPr>
          <w:rFonts w:eastAsia="標楷體" w:hint="eastAsia"/>
          <w:sz w:val="34"/>
        </w:rPr>
        <w:t>94</w:t>
      </w:r>
      <w:r>
        <w:rPr>
          <w:rFonts w:eastAsia="標楷體" w:hint="eastAsia"/>
          <w:sz w:val="34"/>
        </w:rPr>
        <w:t>年</w:t>
      </w:r>
      <w:r>
        <w:rPr>
          <w:rFonts w:eastAsia="標楷體" w:hint="eastAsia"/>
          <w:sz w:val="34"/>
        </w:rPr>
        <w:t>9</w:t>
      </w:r>
      <w:r>
        <w:rPr>
          <w:rFonts w:eastAsia="標楷體" w:hint="eastAsia"/>
          <w:sz w:val="34"/>
        </w:rPr>
        <w:t>月</w:t>
      </w:r>
      <w:r>
        <w:rPr>
          <w:rFonts w:eastAsia="標楷體" w:hint="eastAsia"/>
          <w:sz w:val="34"/>
        </w:rPr>
        <w:t>20</w:t>
      </w:r>
      <w:r>
        <w:rPr>
          <w:rFonts w:eastAsia="標楷體" w:hint="eastAsia"/>
          <w:sz w:val="34"/>
        </w:rPr>
        <w:t>日（星期二）下午</w:t>
      </w:r>
      <w:r>
        <w:rPr>
          <w:rFonts w:eastAsia="標楷體" w:hint="eastAsia"/>
          <w:sz w:val="34"/>
        </w:rPr>
        <w:t>2</w:t>
      </w:r>
      <w:r>
        <w:rPr>
          <w:rFonts w:eastAsia="標楷體" w:hint="eastAsia"/>
          <w:sz w:val="34"/>
        </w:rPr>
        <w:t>時</w:t>
      </w:r>
    </w:p>
    <w:p w:rsidR="007D6688" w:rsidRDefault="007D6688">
      <w:pPr>
        <w:snapToGrid w:val="0"/>
        <w:spacing w:line="440" w:lineRule="exact"/>
        <w:jc w:val="both"/>
        <w:rPr>
          <w:rFonts w:eastAsia="標楷體" w:hint="eastAsia"/>
          <w:sz w:val="34"/>
        </w:rPr>
      </w:pPr>
      <w:r>
        <w:rPr>
          <w:rFonts w:eastAsia="標楷體" w:hint="eastAsia"/>
          <w:sz w:val="34"/>
        </w:rPr>
        <w:t>貳、開會地點：本會</w:t>
      </w:r>
      <w:r>
        <w:rPr>
          <w:rFonts w:eastAsia="標楷體" w:hint="eastAsia"/>
          <w:sz w:val="34"/>
        </w:rPr>
        <w:t>7</w:t>
      </w:r>
      <w:r>
        <w:rPr>
          <w:rFonts w:eastAsia="標楷體" w:hint="eastAsia"/>
          <w:sz w:val="34"/>
        </w:rPr>
        <w:t>樓第</w:t>
      </w:r>
      <w:r>
        <w:rPr>
          <w:rFonts w:eastAsia="標楷體" w:hint="eastAsia"/>
          <w:sz w:val="34"/>
        </w:rPr>
        <w:t>2</w:t>
      </w:r>
      <w:r>
        <w:rPr>
          <w:rFonts w:eastAsia="標楷體" w:hint="eastAsia"/>
          <w:sz w:val="34"/>
        </w:rPr>
        <w:t>會議室</w:t>
      </w:r>
    </w:p>
    <w:p w:rsidR="007D6688" w:rsidRDefault="007D6688">
      <w:pPr>
        <w:snapToGrid w:val="0"/>
        <w:spacing w:line="440" w:lineRule="exact"/>
        <w:rPr>
          <w:rFonts w:eastAsia="標楷體" w:hint="eastAsia"/>
          <w:sz w:val="34"/>
        </w:rPr>
      </w:pPr>
      <w:r>
        <w:rPr>
          <w:rFonts w:eastAsia="標楷體" w:hint="eastAsia"/>
          <w:sz w:val="34"/>
        </w:rPr>
        <w:t>參、主席：周主任委員弘憲</w:t>
      </w:r>
    </w:p>
    <w:p w:rsidR="007D6688" w:rsidRDefault="007D6688">
      <w:pPr>
        <w:snapToGrid w:val="0"/>
        <w:spacing w:line="440" w:lineRule="exact"/>
        <w:ind w:firstLineChars="500" w:firstLine="1700"/>
        <w:rPr>
          <w:rFonts w:eastAsia="標楷體" w:hint="eastAsia"/>
          <w:sz w:val="34"/>
        </w:rPr>
      </w:pPr>
      <w:r>
        <w:rPr>
          <w:rFonts w:eastAsia="標楷體" w:hint="eastAsia"/>
          <w:sz w:val="34"/>
        </w:rPr>
        <w:t>記錄：陳怡靜</w:t>
      </w:r>
      <w:r>
        <w:rPr>
          <w:rFonts w:eastAsia="標楷體" w:hint="eastAsia"/>
          <w:sz w:val="34"/>
        </w:rPr>
        <w:t xml:space="preserve">                                                </w:t>
      </w:r>
      <w:r>
        <w:rPr>
          <w:rFonts w:eastAsia="標楷體" w:hint="eastAsia"/>
          <w:sz w:val="34"/>
        </w:rPr>
        <w:t>肆、出（列）席人員：如簽到單</w:t>
      </w:r>
    </w:p>
    <w:p w:rsidR="007D6688" w:rsidRDefault="007D6688">
      <w:pPr>
        <w:snapToGrid w:val="0"/>
        <w:spacing w:line="440" w:lineRule="exact"/>
        <w:jc w:val="both"/>
        <w:rPr>
          <w:rFonts w:eastAsia="標楷體" w:hint="eastAsia"/>
          <w:sz w:val="34"/>
        </w:rPr>
      </w:pPr>
      <w:r>
        <w:rPr>
          <w:rFonts w:eastAsia="標楷體" w:hint="eastAsia"/>
          <w:sz w:val="34"/>
        </w:rPr>
        <w:t>伍、討論：</w:t>
      </w:r>
      <w:r>
        <w:rPr>
          <w:rFonts w:eastAsia="標楷體" w:hint="eastAsia"/>
          <w:sz w:val="34"/>
        </w:rPr>
        <w:t xml:space="preserve">                                       </w:t>
      </w:r>
    </w:p>
    <w:p w:rsidR="007D6688" w:rsidRDefault="007D6688">
      <w:pPr>
        <w:pStyle w:val="a5"/>
        <w:spacing w:line="440" w:lineRule="exact"/>
        <w:ind w:left="25" w:firstLineChars="0" w:firstLine="0"/>
        <w:jc w:val="both"/>
        <w:rPr>
          <w:rFonts w:eastAsia="標楷體" w:hint="eastAsia"/>
          <w:sz w:val="32"/>
        </w:rPr>
      </w:pPr>
      <w:r>
        <w:rPr>
          <w:rFonts w:eastAsia="標楷體" w:hint="eastAsia"/>
          <w:sz w:val="32"/>
        </w:rPr>
        <w:t>一、研究團隊報告：</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首先提出說明的是，目前完成的期中報告於大綱部分大致上與委託研究計畫書所列沒有太大出入，惟依研究成果及方向，認為有細部討論必要之部分，則有細部綱要之加列，例如對於公務人員的陞遷程序試作分析歸納等。而期中研究成果之進度與原委託研究計畫書所擬進度相同，業已完成相關文獻的蒐集整理以及問題的發見分析。至於公務人員於陞遷程序之救濟，即有關救濟制度的選擇以及相關程序處理部分，於彙整今天與會人員的寶貴意見後，將進一步於期末報告內提出具體的研究成果。</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二）公務人員的陞遷可謂相當複雜的程序，包含相當多的機關內部先行處置。對於想要獲得陞遷的公務人員而言，都有可能認為這些機關內部程序處置會影響其權益，而均有提出救濟的可能。本研究爰將公務人員的陞遷視為一個完整的程序來處理，試就每一個階段性決定加以定性後，尋求在每一個階段提出救濟之可能性；另外對於實務見解部分，亦即貴會各個階段提出救濟之事件決定進行歸納。依研究團隊的解讀，貴會係以陞遷決定始認為有行政處分的出現；至陞遷決定前可能有的程序決定，則大多審認係管理措施或非屬具體管理措施。</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對於陞遷決定的法律性質部分，由於公務人員保障法（以下簡稱保障法）的二元救濟體系及大法官解釋深遠的影響，因而保障法所稱行政處分可謂透過大法官解釋加以擴張之「行政處分」，與學說上之認定尚有岐異。目前研究團隊的看法，則認為保障法之規定對於實務上的處理或將造成些許障礙，例如對於公務人員權益有重大影響之非行政處分（在此指依行政程序法第92條所定要件檢驗者），究應寬認其屬行政程序法第92條之「行政處分」來處理？抑或只能循申訴、再申訴程序救濟？由以上疑義亦能夠發現，由於保障法與行政訴訟程序規定在訴訟類型上的落差亦將而導致相關問題的產生。是以目前保障救濟類型的有限性而言，以行政處分概念的擴張來加強公務人員之保障，或許是一種解決的操作處理方式；惟就整個法體系的完整性以觀，行政訴訟程序既已規定多元的救濟類型，建議貴會能將保障救濟類型之多元化列入未來修法之考量。</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四）對於陞遷程序的程序行為部分，循行政程序法規定之思維以觀，程序中的決定，如被認為是具有直接對外發生法效性的具體行為者，肯認其有獨立提起法律上救濟之可能性，至此所謂法律上救濟可能性，其實並不排除保障法以外的救濟途徑。而行政程序法第174條但書之例外規定，似乎也容納了該等程序行為之外部救濟可能空間。</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五）研究團隊之後續方向，將針對陞遷程序各階段中公務人員之陞遷請求權之有無、法令依據等進行研究探討，並據以研析該階段中救濟制度的選擇及可能性。另參照日本的暫時權利保護制度及德國晚近對於職務安定原則之批判等，進行比較法之研究，並試圖為我國公務人員陞遷之救濟上窒礙之處，提出較為可行之建議。</w:t>
      </w:r>
    </w:p>
    <w:p w:rsidR="007D6688" w:rsidRDefault="007D6688">
      <w:pPr>
        <w:pStyle w:val="a5"/>
        <w:spacing w:line="440" w:lineRule="exact"/>
        <w:ind w:left="25" w:firstLineChars="0" w:firstLine="0"/>
        <w:jc w:val="both"/>
        <w:rPr>
          <w:rFonts w:ascii="標楷體" w:eastAsia="標楷體" w:hAnsi="標楷體" w:hint="eastAsia"/>
          <w:sz w:val="32"/>
        </w:rPr>
      </w:pPr>
      <w:r>
        <w:rPr>
          <w:rFonts w:ascii="標楷體" w:eastAsia="標楷體" w:hAnsi="標楷體" w:hint="eastAsia"/>
          <w:sz w:val="32"/>
        </w:rPr>
        <w:t>二、審查意見：</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（一）就研究期程及經費核銷部分，請研究團隊注意配合辦理。</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（二）期中報告就本會對於陞遷事件之決定進行歸納整理部 分，其中某些分析解讀與本會之決定意旨尚有差距，將俟會後再與研究團隊進行溝通。</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（三）本會於</w:t>
      </w:r>
      <w:smartTag w:uri="urn:schemas-microsoft-com:office:smarttags" w:element="chsdate">
        <w:smartTagPr>
          <w:attr w:name="Year" w:val="1992"/>
          <w:attr w:name="Month" w:val="10"/>
          <w:attr w:name="Day" w:val="17"/>
          <w:attr w:name="IsLunarDate" w:val="False"/>
          <w:attr w:name="IsROCDate" w:val="False"/>
        </w:smartTagPr>
        <w:r>
          <w:rPr>
            <w:rFonts w:ascii="標楷體" w:eastAsia="標楷體" w:hAnsi="標楷體" w:hint="eastAsia"/>
            <w:sz w:val="32"/>
          </w:rPr>
          <w:t>92年10月17日</w:t>
        </w:r>
      </w:smartTag>
      <w:r>
        <w:rPr>
          <w:rFonts w:ascii="標楷體" w:eastAsia="標楷體" w:hAnsi="標楷體" w:hint="eastAsia"/>
          <w:sz w:val="32"/>
        </w:rPr>
        <w:t>曾就陞遷救濟程序之選擇及本會之處理方式等疑義，邀請學者專家進行座談，獲致相關決議並對本會實務形成相當的影響。就這一部分如能於期末報告內多做著墨，應較能完整呈現本會實務見解的變遷及緣由。</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四）關於行政處分與管理措施之界定部分，一為回歸行政處分之要素來判斷，一則循司法院大法官解釋作為判別標準。然而行政處分的要素檢驗，與大法官解釋所構成之判別標準有無融合可能性？亦即有無可能以「對於公務人員權益發生重大影響」聯結至地位之分辨</w:t>
      </w:r>
      <w:r>
        <w:rPr>
          <w:rFonts w:ascii="標楷體" w:eastAsia="標楷體" w:hAnsi="標楷體"/>
          <w:sz w:val="32"/>
        </w:rPr>
        <w:t>—</w:t>
      </w:r>
      <w:r>
        <w:rPr>
          <w:rFonts w:ascii="標楷體" w:eastAsia="標楷體" w:hAnsi="標楷體" w:hint="eastAsia"/>
          <w:sz w:val="32"/>
        </w:rPr>
        <w:t>如有重大影響者，即得立於人民之地位來做觀察；如無，則仍立於職務地位</w:t>
      </w:r>
      <w:r>
        <w:rPr>
          <w:rFonts w:ascii="標楷體" w:eastAsia="標楷體" w:hAnsi="標楷體"/>
          <w:sz w:val="32"/>
        </w:rPr>
        <w:t>—</w:t>
      </w:r>
      <w:r>
        <w:rPr>
          <w:rFonts w:ascii="標楷體" w:eastAsia="標楷體" w:hAnsi="標楷體" w:hint="eastAsia"/>
          <w:sz w:val="32"/>
        </w:rPr>
        <w:t>並進一步作為區分對內或對外發生法律效果之判別標準？</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五）本會對於部分陞遷決定前之程序行為，之所以將其認定為管理措施並據以實體審理，事實上係以陞遷程序一旦完成，對於其他未獲陞遷之競爭者似已無救濟實益，因而對於部分程序決定寬認為管理措施以資救濟。惟類此程序決定，研究團隊如認均有得獨立提起法律上救濟之可能性者，有無過度救濟之嫌？</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（六）職務安定原則為德國公務員在制度保障上之要求。我國雖無明文規定，惟以我國公務人員的陞遷上之職務連動性，有無以此導引出職務安定原則此一制度性保障之可能？</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（七）以原則與原則之衝突觀點來看，期中報告似有以公務人員的陞遷儘量能在任命完成之前加以處理，例如透過假處分的運用等，以達救濟實益之面向。</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八）對於公務人員權益有重大影響的內部處置，如直接以給付訴訟向行政法院提出，固為一種解套方式，惟依公務人員對於國家忠誠關係來看，應否參考德國對於公務人員救濟之限制，亦即要求公務人員對於系爭紛爭向外部行政法院提出前，應先經過行政體系之協調及內部檢視？至於保障法救濟類型不足的部分，應為未來修法的思考方向。</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（九）對於機關首長圈選陞遷人員的判斷餘地，有無師法德國「最佳選擇原則」之可能？</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（十）研究團隊於期中報告已就本會對於陞遷程序相關爭議提出整理，可否進一步提出分析或建言？</w:t>
      </w:r>
    </w:p>
    <w:p w:rsidR="007D6688" w:rsidRDefault="007D6688">
      <w:pPr>
        <w:pStyle w:val="a5"/>
        <w:spacing w:line="440" w:lineRule="exact"/>
        <w:ind w:left="1280" w:hangingChars="400" w:hanging="1280"/>
        <w:jc w:val="both"/>
        <w:rPr>
          <w:rFonts w:ascii="標楷體" w:eastAsia="標楷體" w:hAnsi="標楷體" w:hint="eastAsia"/>
          <w:sz w:val="32"/>
        </w:rPr>
      </w:pPr>
      <w:r>
        <w:rPr>
          <w:rFonts w:ascii="標楷體" w:eastAsia="標楷體" w:hAnsi="標楷體" w:hint="eastAsia"/>
          <w:sz w:val="32"/>
        </w:rPr>
        <w:t>（十一）目前很多公務人員陞遷救濟困境之產生，肇因於公務人員陞遷法之明文規定，該等規定如能修正，問題應能夠迎刃而解。研究團隊不妨就此部分亦加以研究，本會亦可向權責機關銓敘部提出相關之修法建議。</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二、研究團隊回應：</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（一）有關研究團隊對於貴會決定意旨解讀有誤部分，將於會後進行瞭解及修正。</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（二）貴會</w:t>
      </w:r>
      <w:smartTag w:uri="urn:schemas-microsoft-com:office:smarttags" w:element="chsdate">
        <w:smartTagPr>
          <w:attr w:name="Year" w:val="1992"/>
          <w:attr w:name="Month" w:val="10"/>
          <w:attr w:name="Day" w:val="17"/>
          <w:attr w:name="IsLunarDate" w:val="False"/>
          <w:attr w:name="IsROCDate" w:val="False"/>
        </w:smartTagPr>
        <w:r>
          <w:rPr>
            <w:rFonts w:ascii="標楷體" w:eastAsia="標楷體" w:hAnsi="標楷體" w:hint="eastAsia"/>
            <w:sz w:val="32"/>
          </w:rPr>
          <w:t>92年10月17日</w:t>
        </w:r>
      </w:smartTag>
      <w:r>
        <w:rPr>
          <w:rFonts w:ascii="標楷體" w:eastAsia="標楷體" w:hAnsi="標楷體" w:hint="eastAsia"/>
          <w:sz w:val="32"/>
        </w:rPr>
        <w:t>會議結論及相關實務見解之轉變，將於期末報告中補充說明之。</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研究團隊對於行政處分的理解，係認為大法官解釋所稱「對於公務人員權益有重大影響」應係可否救濟之標準，而非內部性或外部性之判斷準則，亦即不會決定其法律行為的性質。如先跳脫保障法的規定而言，對於有重大影響的內部措施部分，應該可以進入一般給付訴訟，也就不會碰觸到是否為行政處分的問題。目前因為保障法二元救濟體系規定的關係，必須先判斷是否為行政處分，並據為救濟程序之決定。就對於公務人員有重大影響的內部措施，可能因而即產生救濟上的窒礙。</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四）有關職務安定原則，也就是原則與原則產生衝突的部分，研究團隊認為，既稱為原則，也就是並非永久恆定之定律，應於個案中調和斟酌該原則之適用。我國憲法雖無德國般有職務安定原則之明文，惟以職務安定原則背後的法理思維來說，其源起在於信賴保護原則，假若依行政程序法規定，即使行政處分係違法，行政機關不一定依職權撤銷之；況以我國公務人員之職務連動性來說，可謂在公益上形成相當之斟酌餘地，即便無職務安定原則之明文，單就我國行政程序法第117條以下規定，對於信賴保護原則在公務人員救濟具體的適用上，應足當之。</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（五）研究團隊的研究方向的確是有運用暫時權利保護制度，來解決陞遷程序完成後，難以回復或無救濟實益困境之意圖，而這一部份將於期末報告中有較為具體的呈現。</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（六）對於判斷餘地的理解，研究團隊依照學說上的規範授權說來看，以公務人員陞遷法對於人員圈選，既然已明文授權機關首長有其裁量空間，在相關條文修法前，此一部份就比較難以突破。</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（七）研究團隊對於其他與會人員的意見，將依研究成果儘量呈現。</w:t>
      </w:r>
    </w:p>
    <w:p w:rsidR="007D6688" w:rsidRDefault="007D6688">
      <w:pPr>
        <w:pStyle w:val="a5"/>
        <w:spacing w:line="440" w:lineRule="exact"/>
        <w:ind w:left="0" w:firstLineChars="0" w:firstLine="0"/>
        <w:jc w:val="both"/>
        <w:rPr>
          <w:rFonts w:ascii="標楷體" w:eastAsia="標楷體" w:hAnsi="標楷體" w:hint="eastAsia"/>
          <w:sz w:val="32"/>
        </w:rPr>
      </w:pPr>
      <w:r>
        <w:rPr>
          <w:rFonts w:ascii="標楷體" w:eastAsia="標楷體" w:hAnsi="標楷體" w:hint="eastAsia"/>
          <w:sz w:val="32"/>
        </w:rPr>
        <w:t>陸、決議：</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一、本會議與會人員之意見，請研究團隊儘量參採納入期末報告研究。</w:t>
      </w:r>
    </w:p>
    <w:p w:rsidR="007D6688" w:rsidRDefault="007D6688">
      <w:pPr>
        <w:pStyle w:val="a5"/>
        <w:spacing w:line="440" w:lineRule="exact"/>
        <w:ind w:left="0" w:firstLineChars="0" w:firstLine="0"/>
        <w:jc w:val="both"/>
        <w:rPr>
          <w:rFonts w:ascii="標楷體" w:eastAsia="標楷體" w:hAnsi="標楷體" w:hint="eastAsia"/>
          <w:sz w:val="32"/>
        </w:rPr>
      </w:pPr>
      <w:r>
        <w:rPr>
          <w:rFonts w:ascii="標楷體" w:eastAsia="標楷體" w:hAnsi="標楷體" w:hint="eastAsia"/>
          <w:sz w:val="32"/>
        </w:rPr>
        <w:t>二、感謝研究團隊的辛勞。</w:t>
      </w:r>
    </w:p>
    <w:p w:rsidR="007D6688" w:rsidRDefault="007D6688">
      <w:pPr>
        <w:pStyle w:val="a5"/>
        <w:spacing w:line="440" w:lineRule="exact"/>
        <w:ind w:left="0" w:firstLineChars="0" w:firstLine="0"/>
        <w:jc w:val="both"/>
        <w:rPr>
          <w:rFonts w:ascii="標楷體" w:eastAsia="標楷體" w:hAnsi="標楷體" w:hint="eastAsia"/>
          <w:sz w:val="32"/>
        </w:rPr>
      </w:pPr>
    </w:p>
    <w:p w:rsidR="007D6688" w:rsidRDefault="007D6688">
      <w:pPr>
        <w:pStyle w:val="a5"/>
        <w:spacing w:line="440" w:lineRule="exact"/>
        <w:ind w:left="0" w:firstLineChars="0" w:firstLine="0"/>
        <w:jc w:val="center"/>
        <w:rPr>
          <w:rFonts w:ascii="標楷體" w:eastAsia="標楷體" w:hAnsi="標楷體" w:hint="eastAsia"/>
          <w:sz w:val="32"/>
        </w:rPr>
      </w:pPr>
      <w:r>
        <w:rPr>
          <w:rFonts w:ascii="標楷體" w:eastAsia="標楷體" w:hAnsi="標楷體" w:hint="eastAsia"/>
          <w:sz w:val="32"/>
        </w:rPr>
        <w:t>主  席   周弘憲</w:t>
      </w:r>
    </w:p>
    <w:p w:rsidR="007D6688" w:rsidRDefault="007D6688">
      <w:pPr>
        <w:pStyle w:val="21"/>
        <w:spacing w:line="400" w:lineRule="exact"/>
        <w:ind w:left="560" w:hanging="560"/>
        <w:rPr>
          <w:rFonts w:ascii="標楷體" w:eastAsia="標楷體" w:hAnsi="標楷體" w:hint="eastAsia"/>
          <w:kern w:val="0"/>
          <w:sz w:val="32"/>
          <w:szCs w:val="20"/>
        </w:rPr>
      </w:pPr>
    </w:p>
    <w:p w:rsidR="007D6688" w:rsidRDefault="007D6688">
      <w:pPr>
        <w:pStyle w:val="21"/>
        <w:spacing w:line="400" w:lineRule="exact"/>
        <w:ind w:left="560" w:hanging="560"/>
        <w:rPr>
          <w:rFonts w:ascii="標楷體" w:eastAsia="標楷體" w:hAnsi="標楷體" w:hint="eastAsia"/>
          <w:kern w:val="0"/>
          <w:sz w:val="32"/>
          <w:szCs w:val="20"/>
        </w:rPr>
      </w:pPr>
    </w:p>
    <w:p w:rsidR="007D6688" w:rsidRDefault="007D6688">
      <w:pPr>
        <w:pStyle w:val="21"/>
        <w:spacing w:line="400" w:lineRule="exact"/>
        <w:ind w:left="560" w:hanging="560"/>
        <w:rPr>
          <w:rFonts w:ascii="標楷體" w:eastAsia="標楷體" w:hAnsi="標楷體" w:hint="eastAsia"/>
          <w:kern w:val="0"/>
          <w:sz w:val="32"/>
          <w:szCs w:val="20"/>
        </w:rPr>
      </w:pPr>
    </w:p>
    <w:p w:rsidR="007D6688" w:rsidRDefault="007D6688">
      <w:pPr>
        <w:rPr>
          <w:rFonts w:ascii="標楷體" w:eastAsia="標楷體" w:hAnsi="標楷體" w:hint="eastAsia"/>
          <w:sz w:val="32"/>
        </w:rPr>
      </w:pPr>
      <w:bookmarkStart w:id="179" w:name="_Toc121199253"/>
      <w:r>
        <w:rPr>
          <w:rFonts w:ascii="標楷體" w:eastAsia="標楷體" w:hAnsi="標楷體" w:hint="eastAsia"/>
          <w:sz w:val="32"/>
        </w:rPr>
        <w:t>附件(五)</w:t>
      </w:r>
      <w:bookmarkEnd w:id="179"/>
    </w:p>
    <w:p w:rsidR="007D6688" w:rsidRDefault="007D6688">
      <w:pPr>
        <w:snapToGrid w:val="0"/>
        <w:spacing w:afterLines="50" w:after="180" w:line="460" w:lineRule="exact"/>
        <w:jc w:val="distribute"/>
        <w:rPr>
          <w:rFonts w:eastAsia="標楷體" w:hint="eastAsia"/>
          <w:b/>
          <w:bCs/>
          <w:sz w:val="36"/>
        </w:rPr>
      </w:pPr>
      <w:r>
        <w:rPr>
          <w:rFonts w:eastAsia="標楷體" w:hint="eastAsia"/>
          <w:b/>
          <w:bCs/>
          <w:sz w:val="36"/>
        </w:rPr>
        <w:t>本會委託研究「公務人員陞遷之救濟」期末報告審查會議紀錄</w:t>
      </w:r>
    </w:p>
    <w:p w:rsidR="007D6688" w:rsidRDefault="007D6688">
      <w:pPr>
        <w:snapToGrid w:val="0"/>
        <w:spacing w:line="440" w:lineRule="exact"/>
        <w:jc w:val="both"/>
        <w:rPr>
          <w:rFonts w:eastAsia="標楷體" w:hint="eastAsia"/>
          <w:sz w:val="34"/>
        </w:rPr>
      </w:pPr>
      <w:r>
        <w:rPr>
          <w:rFonts w:eastAsia="標楷體" w:hint="eastAsia"/>
          <w:sz w:val="34"/>
        </w:rPr>
        <w:t>壹、開會時間：</w:t>
      </w:r>
      <w:smartTag w:uri="urn:schemas-microsoft-com:office:smarttags" w:element="chsdate">
        <w:smartTagPr>
          <w:attr w:name="Year" w:val="2005"/>
          <w:attr w:name="Month" w:val="11"/>
          <w:attr w:name="Day" w:val="22"/>
          <w:attr w:name="IsLunarDate" w:val="False"/>
          <w:attr w:name="IsROCDate" w:val="True"/>
        </w:smartTagPr>
        <w:r>
          <w:rPr>
            <w:rFonts w:eastAsia="標楷體" w:hint="eastAsia"/>
            <w:sz w:val="34"/>
          </w:rPr>
          <w:t>民國</w:t>
        </w:r>
        <w:r>
          <w:rPr>
            <w:rFonts w:eastAsia="標楷體" w:hint="eastAsia"/>
            <w:sz w:val="34"/>
          </w:rPr>
          <w:t>94</w:t>
        </w:r>
        <w:r>
          <w:rPr>
            <w:rFonts w:eastAsia="標楷體" w:hint="eastAsia"/>
            <w:sz w:val="34"/>
          </w:rPr>
          <w:t>年</w:t>
        </w:r>
        <w:r>
          <w:rPr>
            <w:rFonts w:eastAsia="標楷體" w:hint="eastAsia"/>
            <w:sz w:val="34"/>
          </w:rPr>
          <w:t>11</w:t>
        </w:r>
        <w:r>
          <w:rPr>
            <w:rFonts w:eastAsia="標楷體" w:hint="eastAsia"/>
            <w:sz w:val="34"/>
          </w:rPr>
          <w:t>月</w:t>
        </w:r>
        <w:r>
          <w:rPr>
            <w:rFonts w:eastAsia="標楷體" w:hint="eastAsia"/>
            <w:sz w:val="34"/>
          </w:rPr>
          <w:t>22</w:t>
        </w:r>
        <w:r>
          <w:rPr>
            <w:rFonts w:eastAsia="標楷體" w:hint="eastAsia"/>
            <w:sz w:val="34"/>
          </w:rPr>
          <w:t>日</w:t>
        </w:r>
      </w:smartTag>
      <w:r>
        <w:rPr>
          <w:rFonts w:eastAsia="標楷體" w:hint="eastAsia"/>
          <w:sz w:val="34"/>
        </w:rPr>
        <w:t>（星期二）下午</w:t>
      </w:r>
      <w:r>
        <w:rPr>
          <w:rFonts w:eastAsia="標楷體" w:hint="eastAsia"/>
          <w:sz w:val="34"/>
        </w:rPr>
        <w:t>2</w:t>
      </w:r>
      <w:r>
        <w:rPr>
          <w:rFonts w:eastAsia="標楷體" w:hint="eastAsia"/>
          <w:sz w:val="34"/>
        </w:rPr>
        <w:t>時</w:t>
      </w:r>
    </w:p>
    <w:p w:rsidR="007D6688" w:rsidRDefault="007D6688">
      <w:pPr>
        <w:snapToGrid w:val="0"/>
        <w:spacing w:line="440" w:lineRule="exact"/>
        <w:jc w:val="both"/>
        <w:rPr>
          <w:rFonts w:eastAsia="標楷體" w:hint="eastAsia"/>
          <w:sz w:val="34"/>
        </w:rPr>
      </w:pPr>
      <w:r>
        <w:rPr>
          <w:rFonts w:eastAsia="標楷體" w:hint="eastAsia"/>
          <w:sz w:val="34"/>
        </w:rPr>
        <w:t>貳、開會地點：本會</w:t>
      </w:r>
      <w:r>
        <w:rPr>
          <w:rFonts w:eastAsia="標楷體" w:hint="eastAsia"/>
          <w:sz w:val="34"/>
        </w:rPr>
        <w:t>7</w:t>
      </w:r>
      <w:r>
        <w:rPr>
          <w:rFonts w:eastAsia="標楷體" w:hint="eastAsia"/>
          <w:sz w:val="34"/>
        </w:rPr>
        <w:t>樓第</w:t>
      </w:r>
      <w:r>
        <w:rPr>
          <w:rFonts w:eastAsia="標楷體" w:hint="eastAsia"/>
          <w:sz w:val="34"/>
        </w:rPr>
        <w:t>2</w:t>
      </w:r>
      <w:r>
        <w:rPr>
          <w:rFonts w:eastAsia="標楷體" w:hint="eastAsia"/>
          <w:sz w:val="34"/>
        </w:rPr>
        <w:t>會議室</w:t>
      </w:r>
    </w:p>
    <w:p w:rsidR="007D6688" w:rsidRDefault="007D6688">
      <w:pPr>
        <w:snapToGrid w:val="0"/>
        <w:spacing w:line="440" w:lineRule="exact"/>
        <w:rPr>
          <w:rFonts w:eastAsia="標楷體" w:hint="eastAsia"/>
          <w:sz w:val="34"/>
        </w:rPr>
      </w:pPr>
      <w:r>
        <w:rPr>
          <w:rFonts w:eastAsia="標楷體" w:hint="eastAsia"/>
          <w:sz w:val="34"/>
        </w:rPr>
        <w:t>參、主席：周主任委員弘憲</w:t>
      </w:r>
    </w:p>
    <w:p w:rsidR="007D6688" w:rsidRDefault="007D6688">
      <w:pPr>
        <w:snapToGrid w:val="0"/>
        <w:spacing w:line="440" w:lineRule="exact"/>
        <w:ind w:firstLineChars="500" w:firstLine="1700"/>
        <w:rPr>
          <w:rFonts w:eastAsia="標楷體" w:hint="eastAsia"/>
          <w:sz w:val="34"/>
        </w:rPr>
      </w:pPr>
      <w:r>
        <w:rPr>
          <w:rFonts w:eastAsia="標楷體" w:hint="eastAsia"/>
          <w:sz w:val="34"/>
        </w:rPr>
        <w:t>記錄：陳怡靜</w:t>
      </w:r>
      <w:r>
        <w:rPr>
          <w:rFonts w:eastAsia="標楷體" w:hint="eastAsia"/>
          <w:sz w:val="34"/>
        </w:rPr>
        <w:t xml:space="preserve">                                                </w:t>
      </w:r>
      <w:r>
        <w:rPr>
          <w:rFonts w:eastAsia="標楷體" w:hint="eastAsia"/>
          <w:sz w:val="34"/>
        </w:rPr>
        <w:t>肆、出（列）席人員：如簽到單</w:t>
      </w:r>
    </w:p>
    <w:p w:rsidR="007D6688" w:rsidRDefault="007D6688">
      <w:pPr>
        <w:snapToGrid w:val="0"/>
        <w:spacing w:line="440" w:lineRule="exact"/>
        <w:jc w:val="both"/>
        <w:rPr>
          <w:rFonts w:eastAsia="標楷體" w:hint="eastAsia"/>
          <w:sz w:val="34"/>
        </w:rPr>
      </w:pPr>
      <w:r>
        <w:rPr>
          <w:rFonts w:eastAsia="標楷體" w:hint="eastAsia"/>
          <w:sz w:val="34"/>
        </w:rPr>
        <w:t>伍、討論：</w:t>
      </w:r>
      <w:r>
        <w:rPr>
          <w:rFonts w:eastAsia="標楷體" w:hint="eastAsia"/>
          <w:sz w:val="34"/>
        </w:rPr>
        <w:t xml:space="preserve">                                       </w:t>
      </w:r>
    </w:p>
    <w:p w:rsidR="007D6688" w:rsidRDefault="007D6688">
      <w:pPr>
        <w:pStyle w:val="a5"/>
        <w:spacing w:line="440" w:lineRule="exact"/>
        <w:ind w:left="25" w:firstLineChars="0" w:firstLine="0"/>
        <w:jc w:val="both"/>
        <w:rPr>
          <w:rFonts w:ascii="標楷體" w:eastAsia="標楷體" w:hAnsi="標楷體" w:hint="eastAsia"/>
          <w:sz w:val="32"/>
        </w:rPr>
      </w:pPr>
      <w:r>
        <w:rPr>
          <w:rFonts w:ascii="標楷體" w:eastAsia="標楷體" w:hAnsi="標楷體" w:hint="eastAsia"/>
          <w:sz w:val="32"/>
        </w:rPr>
        <w:t>一、研究團隊報告：</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（一）有關公務人員陞遷救濟的訴訟類型選擇方面：</w:t>
      </w:r>
    </w:p>
    <w:p w:rsidR="007D6688" w:rsidRDefault="007D6688">
      <w:pPr>
        <w:pStyle w:val="a5"/>
        <w:spacing w:line="440" w:lineRule="exact"/>
        <w:ind w:leftChars="66" w:left="718" w:hangingChars="175"/>
        <w:jc w:val="both"/>
        <w:rPr>
          <w:rFonts w:ascii="標楷體" w:eastAsia="標楷體" w:hAnsi="標楷體" w:hint="eastAsia"/>
          <w:sz w:val="32"/>
        </w:rPr>
      </w:pPr>
      <w:r>
        <w:rPr>
          <w:rFonts w:ascii="標楷體" w:eastAsia="標楷體" w:hAnsi="標楷體" w:hint="eastAsia"/>
          <w:sz w:val="32"/>
        </w:rPr>
        <w:t>1、撤銷訴訟：</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（1）利害第三人提出之救濟中，訴訟參加是必要的，亦即應容許原來被圈選陞遷的人員參加,並屬於必要參加類型。</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（2）基於訴訟經濟的考量，同一陞遷程序中的候選人應於同一個訴訟程序中來做處理。</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3）德國行政法院法第66條規定，同一陞遷程序備選人如超過50個人的話，法院應以公告或政府電子刊物等方式，由候選人自行登記參加訴訟，3個月內不為登記即產生失權效果，才不會讓訴訟變成龐大而冗長的程序。同時並規定法院在利害關係人相當明顯，並有參加訴訟之必要，卻未在3個月內登記參加者，法院得命其必要參加訴訟。</w:t>
      </w:r>
    </w:p>
    <w:p w:rsidR="007D6688" w:rsidRDefault="007D6688">
      <w:pPr>
        <w:pStyle w:val="a5"/>
        <w:spacing w:line="440" w:lineRule="exact"/>
        <w:ind w:left="0" w:firstLineChars="0" w:firstLine="0"/>
        <w:jc w:val="both"/>
        <w:rPr>
          <w:rFonts w:ascii="標楷體" w:eastAsia="標楷體" w:hAnsi="標楷體" w:hint="eastAsia"/>
          <w:sz w:val="32"/>
        </w:rPr>
      </w:pPr>
      <w:r>
        <w:rPr>
          <w:rFonts w:ascii="標楷體" w:eastAsia="標楷體" w:hAnsi="標楷體" w:hint="eastAsia"/>
          <w:sz w:val="32"/>
        </w:rPr>
        <w:t>2、課予義務訴訟：</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（1）請求行政法院命行政機關給予對自己有利的決定，因而實務上常與撤銷訴訟作結合。</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2）裁判的類型上，由於牽涉主管長官的裁量權限，因而即便行政法院認應給予當事人陞遷機會或有重行決定之必要時，尚無由直接命行政機關應該給予陞遷，僅能命行政機關重行審酌客觀因素，重為適法及合義務的裁量決定。</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3、確認訴訟及違法確認訴訟：在撤銷訴訟中一併論列。</w:t>
      </w:r>
    </w:p>
    <w:p w:rsidR="007D6688" w:rsidRDefault="007D6688">
      <w:pPr>
        <w:pStyle w:val="a5"/>
        <w:spacing w:line="440" w:lineRule="exact"/>
        <w:ind w:left="2710" w:hangingChars="847" w:hanging="2710"/>
        <w:jc w:val="both"/>
        <w:rPr>
          <w:rFonts w:ascii="標楷體" w:eastAsia="標楷體" w:hAnsi="標楷體" w:hint="eastAsia"/>
          <w:sz w:val="32"/>
        </w:rPr>
      </w:pPr>
      <w:r>
        <w:rPr>
          <w:rFonts w:ascii="標楷體" w:eastAsia="標楷體" w:hAnsi="標楷體" w:hint="eastAsia"/>
          <w:sz w:val="32"/>
        </w:rPr>
        <w:t>4、一般給付訴訟：</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（1）陞遷案件的程序決定上，例如資訊提供的部分，也許可以透過此一訴訟類型來獲得救濟。讓公務人員對於事實給付行為有所不服時，可以透過此一訴訟類型予以解決。</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（2）同時在公務人員相關救濟如未能通過公務人員保障法有關復審程序之要件檢驗時，得以跳過復審程序直接親近司法，這應該是比較能夠保障公務人員權益的作法。</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5、一般撤銷訴訟：</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1）由於陞遷的最終決定或中間的程序決定未必會被歸類為行政處分，德國為預防這種在學理上會被認定為內部決定的行政行為，因欠缺行政處分的外貌而被排除於撤銷訴訟之外，認為對於這種可能影響公務人員權益的非行政處分的具體決定，仍應給予訴訟的機會，因而於德國現行法列舉的各種訴訟類型外，另外承認「無名的抗告訴訟」或「無名的形成訴訟」—一般撤銷訴訟。</w:t>
      </w:r>
    </w:p>
    <w:p w:rsidR="007D6688" w:rsidRDefault="007D6688">
      <w:pPr>
        <w:pStyle w:val="a5"/>
        <w:spacing w:line="440" w:lineRule="exact"/>
        <w:ind w:leftChars="100" w:left="1040" w:hangingChars="250" w:hanging="800"/>
        <w:jc w:val="both"/>
        <w:rPr>
          <w:rFonts w:ascii="標楷體" w:eastAsia="標楷體" w:hAnsi="標楷體" w:hint="eastAsia"/>
          <w:sz w:val="32"/>
        </w:rPr>
      </w:pPr>
      <w:r>
        <w:rPr>
          <w:rFonts w:ascii="標楷體" w:eastAsia="標楷體" w:hAnsi="標楷體" w:hint="eastAsia"/>
          <w:sz w:val="32"/>
        </w:rPr>
        <w:t>（2）如果我國現行法下實務的操作可以承認這種類型的訴訟的話，即使在公務人員保障法擴大行政程序法第92條第1項所定義行政處分的行政行為，這些並非傳統行政處分的案件在進入司法程序時，未必僅限於撤銷訴訟之提起。當然這是需要實務上的配合才有可能操作的。</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（二）陞遷之救濟長常會發生已無權利保護必要之困境：</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1、公務人員在陞遷中，通常在最終的程序完結後才得知自己未獲陞遷，往往均已面臨無救濟實益的窘境，即已無權利保護之必要。</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2、德國法為解決這種無法救濟的困境，容許當事人如在提起撤銷訴訟已無權利保護必要時，得轉換為違法行政處分的確認訴訟，此乃法定轉換，無須為訴之變更。當然違法確認訴訟的利益是必備的要件</w:t>
      </w:r>
      <w:r>
        <w:rPr>
          <w:rFonts w:ascii="標楷體" w:eastAsia="標楷體" w:hAnsi="標楷體"/>
          <w:sz w:val="32"/>
        </w:rPr>
        <w:t>—</w:t>
      </w:r>
      <w:r>
        <w:rPr>
          <w:rFonts w:ascii="標楷體" w:eastAsia="標楷體" w:hAnsi="標楷體" w:hint="eastAsia"/>
          <w:sz w:val="32"/>
        </w:rPr>
        <w:t>亦即在該違法的陞遷決定已無法變更時，可以轉換為損害賠償之請求，或請求在日後陞遷案件的辦理上，避免重複發生類似錯誤的危險。</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3、訴訟類型的轉換在於尊重已形成的法秩序以及職務安定原則的思考；而職務安定原則的思考則出於信賴保護原則的考量—亦即國家公權力行為所造成的穩定的法律秩序，不容許事後作任意的變動，特別是涉及公務人員職缺的連鎖效應，可能會對其他公務人員甚或整個公務人員體系造成影響。</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4、我國現行法規雖無明文規定可以導出職務安定原則，然而從信賴保護原則中應該可以得出相同的結論。</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5、本報告對於貴會就劉慶蜀案所運用的情況裁判方式，對於職務安定原則在我國的適用是採取肯定的看法。至於臺北高等行政法院所為判決，可能僅考慮到形式合法性的要求，而未能對於該處分經撤銷後對公益造成的影響、職缺之調整及整體法秩序的安定等做整體考量。</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（三）暫時權利保護制度的運用：提前其救濟</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1、在陞遷決定還沒有確定之前，可以容許定一個暫時狀態，避免該陞遷處分執行並發生效力。</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2、公務人員保障法僅於第89條設計停止執行的制度，與行政訴訟法中所定暫時權利保護制度相較，感覺上較為薄弱。如未能從立法制度考量是否予以體系性配合的話，行政訴訟法第116條第2項規定：「行政訴訟繫屬中，行政法院認為原處分或決定之執行，將發生難於回復之損害，且有急迫情事者，得依職權或依聲請裁定停止執行。但於公益有重大影響，或原告之訴在法律上顯無理由者，不得為之。」可以作為補充，亦即在訴訟未繫屬前即得要求停止執行，可能是比較好的處理方式。</w:t>
      </w:r>
    </w:p>
    <w:p w:rsidR="007D6688" w:rsidRDefault="007D6688">
      <w:pPr>
        <w:pStyle w:val="a5"/>
        <w:spacing w:line="440" w:lineRule="exact"/>
        <w:ind w:left="480" w:hangingChars="150" w:hanging="480"/>
        <w:jc w:val="both"/>
        <w:rPr>
          <w:rFonts w:ascii="標楷體" w:eastAsia="標楷體" w:hAnsi="標楷體" w:hint="eastAsia"/>
          <w:sz w:val="32"/>
        </w:rPr>
      </w:pPr>
      <w:r>
        <w:rPr>
          <w:rFonts w:ascii="標楷體" w:eastAsia="標楷體" w:hAnsi="標楷體" w:hint="eastAsia"/>
          <w:sz w:val="32"/>
        </w:rPr>
        <w:t>3、對於貴會在保障實務上就職務安定原則如何確保乙節，本報告認為應善予運用保障法第67條規定，對於現行制度上的解決是很好的處理方式。如果從比較法上來觀察的話，德國法的觀察也是如此：新的任命已經完成時，行政法院會將撤銷處分的請求權轉換為損害賠償的請求權，此種轉換並非在弱化當事人在憲法上所保障的訴訟權，同時訴訟權之保障亦非僅限於訴訟類型的提供而已，僅在於接近司法的途徑，同樣能夠滿足保障訴訟權的憲法要求。</w:t>
      </w:r>
    </w:p>
    <w:p w:rsidR="007D6688" w:rsidRDefault="007D6688">
      <w:pPr>
        <w:pStyle w:val="a5"/>
        <w:spacing w:line="440" w:lineRule="exact"/>
        <w:ind w:left="25" w:firstLineChars="0" w:firstLine="0"/>
        <w:jc w:val="both"/>
        <w:rPr>
          <w:rFonts w:ascii="標楷體" w:eastAsia="標楷體" w:hAnsi="標楷體" w:hint="eastAsia"/>
          <w:sz w:val="32"/>
        </w:rPr>
      </w:pPr>
      <w:r>
        <w:rPr>
          <w:rFonts w:ascii="標楷體" w:eastAsia="標楷體" w:hAnsi="標楷體" w:hint="eastAsia"/>
          <w:sz w:val="32"/>
        </w:rPr>
        <w:t>二、審查意見：</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（一）研究報告提及立法政策上有形成的空間，是傾向於對整個陞遷的救濟應採取多元化的訴訟類型？還是在於保障法的審查類型應予增加調整？</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（二）研究團隊提及德國法在處理多數人未獲陞遷的救濟程序所為設計。然而在我國現行法對於參加並無類似明文的狀況下，對本會實務處理上有無具體建議？</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我國訴訟權在解釋上採概括保護原則。在有權利就有救濟的前提觀點下，無須再落入有處分才有救濟的窠臼，因而現行保障制度有很大的調整必要性。行政處分的概念應該是在於訴訟類型的指向功能，而非排除救濟可能。至於非處分的部分，可以考量保障法第17條規定之命異議制度，與現行保障制度如何提起行政爭訟的部分來做結合。非處分的類型有兩種：影響公務人員權益的部分，應允許提起一般給付訴訟或確認訴訟來解決；但是對於公務人員權益沒有影響的部分，應該能夠運用命異議制度來解決。因而在非處分的部分，對於公務人員權益是否造成影響，即有其區分實益。</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四）行政處分應如何界定，我國自大法官解釋以來，可區分為三種見解：第一種為取代型界定：就「對外發生法律效果」之行政處分要件，業已完全被「對公務人員權益有無重大影響」所取代。第二種為附帶型界定：基本上先依照行政處分的要件判斷，再附加對公務人員權益是否有重大影響之雙重判斷。第三種為回歸行政處分認定的觀點。過去僅有撤銷訴訟一種類型下，大法官能夠以「對公務人員權益有無重大影響」來操作，已經是很大的突破，絕對值得肯定，然而在目前訴訟類型較為多元化的型態下，是否還需要維持以往大法官解釋的觀點，即待進一步思考。如欲採取回歸基本認定觀點者，究應如何界定對外效果？在個案法規上有無主觀公權利之導出，可能是對外效果的判別重點。公務人員基本上具備雙重身分，個人權利主體的身分以及國家職務執行者的身分，因而個別事項如能由法規導出具有個人權利時，才會產生對外效果（法規無法導出時，通常會轉往基本權的討論）。理解上，職務執行者通常不享有基本權，此亦為行政功能性的維持所需；例外在核心權利部分才會享有基本權利。德國1976年的職務調整判決，就是採取以上的區分方式，對於職務執行者造成權益影響的部分，德國法院認為雖非行政處分，但承認可以提起給付跟確認訴訟。然而比較弔詭的是，同意提起一般給付訴訟的話，由之前的邏輯推演上，似乎是有訴權上的欠缺。當我們論證陞遷決定究為行政處分抑或管理措施時，如何導出陞遷被拒絕是管理措施、他人陞遷的派令是行政處分的結論，前揭對內、對外的論述應該是必要且不致使當事人難以理解的方式。在此連帶導出在無瑕疵裁量請求部分，是否屬於主觀公權利被侵害？</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五）研究團隊對於程序請求權的論述，完全贊同：亦即不進入實體部分，認為公務人員至少有程序上請求權。然而報告中對於程序請求權僅提及閱覽卷宗請求權，其他諸如聽證、陳述意見、附記理由等程序又如何？在陞遷救濟的閱覽卷宗請求上比較特殊的是，當事人常常不只想看自己的資訊，同時還想看別人的資料，否則無從為攻擊防禦，此即涉及有效權利保護，同時亦涉及資訊自決權的問題。曾見判決中有一種比較特殊的看法：不能夠影印攝影，但可以觀看跟抄寫，以調和兩者，然而在我國此點比較沒有問題，因為目前實務上是連自己的資訊都無法取得。</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（六）職務安定原則，研究團隊傾向贊同該原則可以由信賴保護原則導出。然而在報告第86頁提出，倘仍有撤銷可能（或持續撤銷訴訟審理之必要）時，仍有權利保護必要，不太能夠瞭解此部分所指何謂？</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七）第三人效力問題，德國聯邦行政法院過去否認第三人效力處分的存在，並指出造成侵害的是機關的否准陞遷，而非他人的陞遷。這個部分對照我國目前陞遷實務，未獲陞遷者並不會得到一個未獲陞遷的書面通知，似無法逕行運用德國聯邦法院的推論，是否因為如此，我國比較具有承認第三人效力處分的可能性？</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八）一般形成訴訟在德國經常受到批判，指其形成法官造法，基本上已然脫逸行政訴訟法的規範範圍。而在我國法制面，如果採取回歸行政處分認定的觀點，能夠透過一般給付訴訟跟確認訴訟達成救濟目的時，是否還有承認一般形成訴訟此一類型的必要？在現有訴訟類型無法解決有效救濟之需求時，可能才有運用一般形成訴訟的必要。</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九）從行政程序法來思考的話，依德國行政程序法第48條，我國行政程序法第117條規定，請求機關對於違法行政處分職權撤銷時，當事人具有無瑕疵裁量請求權。如果被拒絕的話，對照德國就裁量減縮至零時，可以請求陞遷的看法，基於相同的解釋，機關的拒絕陞遷決定，本身還是屬於行政處分，因為有一個無瑕疵裁量的權利存在。這一點在陞遷的部分是比較困擾的問題，對於機關陞遷拒絕的決定，應該可以導出是一個行政處分。然而如果公務人員在此被定位為職務執行者的話，可能轉換為非行政處分亦不無可能。因而有關於雙重身分的區分，應該是一個相當重要的區分點。</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（十）對於本會於</w:t>
      </w:r>
      <w:smartTag w:uri="urn:schemas-microsoft-com:office:smarttags" w:element="chsdate">
        <w:smartTagPr>
          <w:attr w:name="Year" w:val="1992"/>
          <w:attr w:name="Month" w:val="10"/>
          <w:attr w:name="Day" w:val="17"/>
          <w:attr w:name="IsLunarDate" w:val="False"/>
          <w:attr w:name="IsROCDate" w:val="False"/>
        </w:smartTagPr>
        <w:r>
          <w:rPr>
            <w:rFonts w:ascii="標楷體" w:eastAsia="標楷體" w:hAnsi="標楷體" w:hint="eastAsia"/>
            <w:sz w:val="32"/>
          </w:rPr>
          <w:t>92年10月17日</w:t>
        </w:r>
      </w:smartTag>
      <w:r>
        <w:rPr>
          <w:rFonts w:ascii="標楷體" w:eastAsia="標楷體" w:hAnsi="標楷體" w:hint="eastAsia"/>
          <w:sz w:val="32"/>
        </w:rPr>
        <w:t>之會議決議，研究團隊有無進一步的建議？</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二、研究團隊回應：</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（一）有關研究團隊對於貴會決定意旨解讀有誤部分，將於期末報告再加以修正。至於與會人員的意見，亦斟酌納入期末報告作為補充。</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（二）有關研究團隊所建議的立法政策上有形成的空間乙節。</w:t>
      </w:r>
    </w:p>
    <w:p w:rsidR="007D6688" w:rsidRDefault="007D6688">
      <w:pPr>
        <w:pStyle w:val="a5"/>
        <w:spacing w:line="440" w:lineRule="exact"/>
        <w:ind w:leftChars="199" w:left="958" w:hangingChars="150" w:hanging="480"/>
        <w:jc w:val="both"/>
        <w:rPr>
          <w:rFonts w:ascii="標楷體" w:eastAsia="標楷體" w:hAnsi="標楷體" w:hint="eastAsia"/>
          <w:sz w:val="32"/>
        </w:rPr>
      </w:pPr>
      <w:r>
        <w:rPr>
          <w:rFonts w:ascii="標楷體" w:eastAsia="標楷體" w:hAnsi="標楷體" w:hint="eastAsia"/>
          <w:sz w:val="32"/>
        </w:rPr>
        <w:t>1、以公務人員保障法（以下簡稱保障法）所設救濟類型來看，僅有撤銷型及怠為處分之課予義務型復審2種，與行政訴訟法所規定之訴訟種類有所落差。從立法政策上觀察，當然是以儘量與現有訴訟型態做配套式的設計，會是比較妥適的處理方式。</w:t>
      </w:r>
    </w:p>
    <w:p w:rsidR="007D6688" w:rsidRDefault="007D6688">
      <w:pPr>
        <w:pStyle w:val="a5"/>
        <w:spacing w:line="440" w:lineRule="exact"/>
        <w:ind w:leftChars="199" w:left="958" w:hangingChars="150" w:hanging="480"/>
        <w:jc w:val="both"/>
        <w:rPr>
          <w:rFonts w:ascii="標楷體" w:eastAsia="標楷體" w:hAnsi="標楷體" w:hint="eastAsia"/>
          <w:sz w:val="32"/>
        </w:rPr>
      </w:pPr>
      <w:r>
        <w:rPr>
          <w:rFonts w:ascii="標楷體" w:eastAsia="標楷體" w:hAnsi="標楷體" w:hint="eastAsia"/>
          <w:sz w:val="32"/>
        </w:rPr>
        <w:t>2、至於在修法前應如何處理？以目前實務上貴會所採取儘量納入復審程序的方式，盡量讓當事人能夠進入救濟程序，固然為一種不錯的解決途徑。然而在僅能運用行政處分的撤銷訴訟上，對於欠缺行政處分外觀的內部行政行為，現行法雖未限制其不能夠進入司法救濟，要如何救濟卻不無疑義。不過這部分的問題並非貴會所能解決，而是在行政法院審理時，法官所需考量的範疇：</w:t>
      </w:r>
    </w:p>
    <w:p w:rsidR="007D6688" w:rsidRDefault="007D6688">
      <w:pPr>
        <w:pStyle w:val="a5"/>
        <w:spacing w:line="440" w:lineRule="exact"/>
        <w:ind w:leftChars="150" w:left="1160" w:hangingChars="250" w:hanging="800"/>
        <w:jc w:val="both"/>
        <w:rPr>
          <w:rFonts w:ascii="標楷體" w:eastAsia="標楷體" w:hAnsi="標楷體" w:hint="eastAsia"/>
          <w:sz w:val="32"/>
        </w:rPr>
      </w:pPr>
      <w:r>
        <w:rPr>
          <w:rFonts w:ascii="標楷體" w:eastAsia="標楷體" w:hAnsi="標楷體" w:hint="eastAsia"/>
          <w:sz w:val="32"/>
        </w:rPr>
        <w:t>（1）由於當事人不服的是欠缺行政處分外觀的機關內部行政行為，因而在訴訟型態的選擇上，撤銷訴訟是可以排除的。</w:t>
      </w:r>
    </w:p>
    <w:p w:rsidR="007D6688" w:rsidRDefault="007D6688">
      <w:pPr>
        <w:pStyle w:val="a5"/>
        <w:spacing w:line="440" w:lineRule="exact"/>
        <w:ind w:leftChars="150" w:left="1160" w:hangingChars="250" w:hanging="800"/>
        <w:jc w:val="both"/>
        <w:rPr>
          <w:rFonts w:ascii="標楷體" w:eastAsia="標楷體" w:hAnsi="標楷體" w:hint="eastAsia"/>
          <w:sz w:val="32"/>
        </w:rPr>
      </w:pPr>
      <w:r>
        <w:rPr>
          <w:rFonts w:ascii="標楷體" w:eastAsia="標楷體" w:hAnsi="標楷體" w:hint="eastAsia"/>
          <w:sz w:val="32"/>
        </w:rPr>
        <w:t>（2）在當事人選擇</w:t>
      </w:r>
      <w:r>
        <w:rPr>
          <w:rFonts w:ascii="標楷體" w:eastAsia="標楷體" w:hAnsi="標楷體" w:hint="eastAsia"/>
          <w:b/>
          <w:bCs/>
          <w:sz w:val="32"/>
        </w:rPr>
        <w:t>確認訴訟</w:t>
      </w:r>
      <w:r>
        <w:rPr>
          <w:rFonts w:ascii="標楷體" w:eastAsia="標楷體" w:hAnsi="標楷體" w:hint="eastAsia"/>
          <w:sz w:val="32"/>
        </w:rPr>
        <w:t>的情形，由於無須涉及究否行政處分之認定前提，僅在於確定法律關係，不會牽涉到行政處分撤銷的補充性；如果當事人提起的是</w:t>
      </w:r>
      <w:r>
        <w:rPr>
          <w:rFonts w:ascii="標楷體" w:eastAsia="標楷體" w:hAnsi="標楷體" w:hint="eastAsia"/>
          <w:b/>
          <w:bCs/>
          <w:sz w:val="32"/>
        </w:rPr>
        <w:t>一般給付訴訟</w:t>
      </w:r>
      <w:r>
        <w:rPr>
          <w:rFonts w:ascii="標楷體" w:eastAsia="標楷體" w:hAnsi="標楷體" w:hint="eastAsia"/>
          <w:sz w:val="32"/>
        </w:rPr>
        <w:t>，也沒有訴願或復審前置的要求，行政法院法官應該都是會受理的。例如公務人員要求服務機關提供個人的陞遷資料經否准（事實行為），這種拒絕決定無須經  貴會審理，當事人可以直接提起一般給付訴訟；即便當事人向  貴會提起救濟，依目前之審理實務，對於該拒絕決定也可以進入申訴、再申訴程序。更進一步來講，當事人如果因再申訴決定未獲救濟而提起行政訴訟，行政法院法官應該不至於認為再申訴決定具有確定力而不予受理。以上的思考可能並非  貴會所得處理。然而基於人民訴訟權的保障觀點，研究團隊認為行政法院法官在此一面向上應採取開放的觀點，應該儘量給予人民進入法院處理的機會。以達成人民訴訟權之實現。</w:t>
      </w:r>
    </w:p>
    <w:p w:rsidR="007D6688" w:rsidRDefault="007D6688">
      <w:pPr>
        <w:pStyle w:val="a5"/>
        <w:spacing w:line="440" w:lineRule="exact"/>
        <w:ind w:leftChars="199" w:left="958" w:hangingChars="150" w:hanging="480"/>
        <w:jc w:val="both"/>
        <w:rPr>
          <w:rFonts w:ascii="標楷體" w:eastAsia="標楷體" w:hAnsi="標楷體" w:hint="eastAsia"/>
          <w:sz w:val="32"/>
        </w:rPr>
      </w:pPr>
      <w:r>
        <w:rPr>
          <w:rFonts w:ascii="標楷體" w:eastAsia="標楷體" w:hAnsi="標楷體" w:hint="eastAsia"/>
          <w:sz w:val="32"/>
        </w:rPr>
        <w:t>3、雖然在現行法規上，保障法與現行行政訴訟類型還無法互相配套連結，然而實務運作上，對於公務人員的救濟，倒不致形成過大的漏洞或阻滯。</w:t>
      </w:r>
    </w:p>
    <w:p w:rsidR="007D6688" w:rsidRDefault="007D6688">
      <w:pPr>
        <w:pStyle w:val="a5"/>
        <w:spacing w:line="440" w:lineRule="exact"/>
        <w:ind w:leftChars="150" w:left="1160" w:hangingChars="250" w:hanging="800"/>
        <w:jc w:val="both"/>
        <w:rPr>
          <w:rFonts w:ascii="標楷體" w:eastAsia="標楷體" w:hAnsi="標楷體" w:hint="eastAsia"/>
          <w:sz w:val="32"/>
        </w:rPr>
      </w:pPr>
      <w:r>
        <w:rPr>
          <w:rFonts w:ascii="標楷體" w:eastAsia="標楷體" w:hAnsi="標楷體" w:hint="eastAsia"/>
          <w:sz w:val="32"/>
        </w:rPr>
        <w:t>（1）在以復審前置為要件的訴訟型態，例如在課予義務的復審在公務人員保障法之規定顯有不足，即有擴大的必要，否則僅為行政機關所為拒絕決定究否行政處分爭論不休，反而無法達到救濟之目的。</w:t>
      </w:r>
    </w:p>
    <w:p w:rsidR="007D6688" w:rsidRDefault="007D6688">
      <w:pPr>
        <w:pStyle w:val="a5"/>
        <w:spacing w:line="440" w:lineRule="exact"/>
        <w:ind w:leftChars="150" w:left="1160" w:hangingChars="250" w:hanging="800"/>
        <w:jc w:val="both"/>
        <w:rPr>
          <w:rFonts w:ascii="標楷體" w:eastAsia="標楷體" w:hAnsi="標楷體" w:hint="eastAsia"/>
          <w:sz w:val="32"/>
        </w:rPr>
      </w:pPr>
      <w:r>
        <w:rPr>
          <w:rFonts w:ascii="標楷體" w:eastAsia="標楷體" w:hAnsi="標楷體" w:hint="eastAsia"/>
          <w:sz w:val="32"/>
        </w:rPr>
        <w:t>（2）至於一般給付訴訟的型態是否合宜納入保障法來做配套？由於一般給付訴訟並無訴願（復審）前置之要件，因而將該種訴訟型態配套納入法規的話，反而限制公務人員接近法院的權限，造成前置程序對於救濟的鉗制，在立法政策上是否可行，值得思考。</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訴訟參加的部分，由於現行保障法及行政訴訟法對此均無規定，實務運作上確實產生困擾。假如利害關係人在公告期間內，未向法院申請登記，即產生失權的效果，同時需概括承受他人提出主張所產生的利益及不利益。由於涉及基本權利的影響，如果僅以類推解釋或比較法的解釋來套用德國法規，似有法律保留原則之違反。這是在立法政策上必須納入，現行制度可能沒有辦法解決的部分。</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四）行政處分的認定，本研究與實務上的操作在認定的寬嚴上有所不同。當然在採取嚴格認定標準時，會產生是否影響當事人權益救濟可能之疑慮，因而在訴訟類型採取較寬廣的訴訟類型。連結之前所提到的一般撤銷訴訟類型而言，有時行政機關所為決定無法通過行政程序法第92條第1項所定要件之檢驗，然而卻有必要運用行政法院的力量加以撤銷，由一般撤銷訴訟與撤銷訴訟共同承載、形成判決之下，可以達到權利保障的功能。行政處分僅具帶路的功能，並不會剝奪後續救濟的進行。至於為何特別強調一般撤銷訴訟及一般形成訴訟？由於一般給付訴訟沒有立即形成的效果，有賴進一步的執行，以現行給付訴訟的執行成效而言，是有待斟酌的。與其等待行政法院作成一個尚待執行的給付型裁判，倒不如透過法院作成一個溯及既往的形成判決，同時在意欲機關撤銷程序決定時，一般形成訴訟應有其必要性，給付訴訟則尚須進一步轉折。退而求其次，如果目前實務尚無法接受一般撤銷或一般形成訴訟的話，當然運用一般給付訴訟是暫時可以達成作用的，然而其執行成效就有待觀察。</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五）本研究在程序請求權主要討論的是資訊公開的部分。如果機關所為決定只是一個內部管理措施而無法符合行政程序法的要求，此時要求聽證或附記等程序，可能會產生解釋上的問題，還需要進一步從基本權的程序保障來做轉折。至於資訊閱覽部分，期末報告將再補充加論德國的作法：要求主管機關在陞遷程序當中，應主動提供當事人及他人的陞遷資料，而無待當事人提出要求，是一種義務。當然跟我國目前實務上是有一段落差，惟仍得作為比較法上之參考。</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六）至於職務安定原則的例外論述，在預算或職缺可能的前提之下，主管長官有可能額外騰出一個新的職缺時，當事人在職務安定原則下才有繼續救濟的機會；另一種解釋方式則為訴訟型態轉換為損害賠償請求權。</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七）本報告在第76頁中曾提出，研究團隊認為機關拒絕陞遷的決定並不一定是行政處分，需視其對於公務人員權利影響的部分而定，同時權利上亦有實體及程序之別。然而此仍須在個案中個別操作，尚無法有所定論。</w:t>
      </w:r>
    </w:p>
    <w:p w:rsidR="007D6688" w:rsidRDefault="007D6688">
      <w:pPr>
        <w:pStyle w:val="a5"/>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八）研究團隊認為，訴訟類型僅在於提供進入司法程序的鑰匙，至於進入以後如何轉換類型，則是另外一個層次的問題。因而各種訴訟類型在前提要件應該明確，只是一個形式要求而已，並非藉此阻卻人民的救濟機會。將來在保障法的立法政策上如果能夠配合的話，同時在訴訟型態的設計上如需以復審為前置時，再依各種訴訟類型個別加以設計。</w:t>
      </w:r>
    </w:p>
    <w:p w:rsidR="007D6688" w:rsidRDefault="007D6688">
      <w:pPr>
        <w:pStyle w:val="a5"/>
        <w:spacing w:line="440" w:lineRule="exact"/>
        <w:ind w:left="0" w:firstLineChars="0" w:firstLine="0"/>
        <w:jc w:val="both"/>
        <w:rPr>
          <w:rFonts w:ascii="標楷體" w:eastAsia="標楷體" w:hAnsi="標楷體" w:hint="eastAsia"/>
          <w:sz w:val="32"/>
        </w:rPr>
      </w:pPr>
      <w:r>
        <w:rPr>
          <w:rFonts w:ascii="標楷體" w:eastAsia="標楷體" w:hAnsi="標楷體" w:hint="eastAsia"/>
          <w:sz w:val="32"/>
        </w:rPr>
        <w:t>陸、決議：</w:t>
      </w:r>
    </w:p>
    <w:p w:rsidR="007D6688" w:rsidRDefault="007D6688">
      <w:pPr>
        <w:pStyle w:val="a5"/>
        <w:spacing w:line="440" w:lineRule="exact"/>
        <w:ind w:left="640" w:hanging="640"/>
        <w:jc w:val="both"/>
        <w:rPr>
          <w:rFonts w:ascii="標楷體" w:eastAsia="標楷體" w:hAnsi="標楷體" w:hint="eastAsia"/>
          <w:sz w:val="32"/>
        </w:rPr>
      </w:pPr>
      <w:r>
        <w:rPr>
          <w:rFonts w:ascii="標楷體" w:eastAsia="標楷體" w:hAnsi="標楷體" w:hint="eastAsia"/>
          <w:sz w:val="32"/>
        </w:rPr>
        <w:t>一、就研究期程及經費核銷部分，請研究團隊注意配合辦理。</w:t>
      </w:r>
    </w:p>
    <w:p w:rsidR="007D6688" w:rsidRDefault="007D6688">
      <w:pPr>
        <w:pStyle w:val="a5"/>
        <w:spacing w:line="440" w:lineRule="exact"/>
        <w:ind w:left="0" w:firstLineChars="0" w:firstLine="0"/>
        <w:jc w:val="both"/>
        <w:rPr>
          <w:rFonts w:ascii="標楷體" w:eastAsia="標楷體" w:hAnsi="標楷體" w:hint="eastAsia"/>
          <w:sz w:val="32"/>
        </w:rPr>
      </w:pPr>
      <w:r>
        <w:rPr>
          <w:rFonts w:ascii="標楷體" w:eastAsia="標楷體" w:hAnsi="標楷體" w:hint="eastAsia"/>
          <w:sz w:val="32"/>
        </w:rPr>
        <w:t>二、感謝研究團隊的辛勞。</w:t>
      </w:r>
    </w:p>
    <w:p w:rsidR="007D6688" w:rsidRDefault="007D6688">
      <w:pPr>
        <w:pStyle w:val="a5"/>
        <w:spacing w:line="440" w:lineRule="exact"/>
        <w:ind w:left="0" w:firstLineChars="0" w:firstLine="0"/>
        <w:jc w:val="both"/>
        <w:rPr>
          <w:rFonts w:ascii="標楷體" w:eastAsia="標楷體" w:hAnsi="標楷體" w:hint="eastAsia"/>
          <w:sz w:val="32"/>
        </w:rPr>
      </w:pPr>
    </w:p>
    <w:p w:rsidR="007D6688" w:rsidRDefault="007D6688">
      <w:pPr>
        <w:pStyle w:val="a5"/>
        <w:spacing w:line="440" w:lineRule="exact"/>
        <w:ind w:left="0" w:firstLineChars="0" w:firstLine="0"/>
        <w:jc w:val="center"/>
        <w:rPr>
          <w:rFonts w:ascii="標楷體" w:eastAsia="標楷體" w:hAnsi="標楷體" w:hint="eastAsia"/>
          <w:sz w:val="32"/>
        </w:rPr>
      </w:pPr>
      <w:r>
        <w:rPr>
          <w:rFonts w:ascii="標楷體" w:eastAsia="標楷體" w:hAnsi="標楷體" w:hint="eastAsia"/>
          <w:sz w:val="32"/>
        </w:rPr>
        <w:t>主  席   周弘憲</w:t>
      </w:r>
    </w:p>
    <w:p w:rsidR="007D6688" w:rsidRDefault="007D6688">
      <w:pPr>
        <w:pStyle w:val="21"/>
        <w:spacing w:line="400" w:lineRule="exact"/>
        <w:ind w:left="560" w:hanging="560"/>
        <w:rPr>
          <w:rFonts w:ascii="標楷體" w:eastAsia="標楷體" w:hAnsi="標楷體" w:hint="eastAsia"/>
          <w:sz w:val="32"/>
        </w:rPr>
      </w:pPr>
    </w:p>
    <w:sectPr w:rsidR="007D6688">
      <w:footerReference w:type="even" r:id="rId42"/>
      <w:footerReference w:type="default" r:id="rId43"/>
      <w:pgSz w:w="11906" w:h="16838"/>
      <w:pgMar w:top="1418" w:right="1758" w:bottom="1418"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7F" w:rsidRDefault="0025747F">
      <w:r>
        <w:separator/>
      </w:r>
    </w:p>
  </w:endnote>
  <w:endnote w:type="continuationSeparator" w:id="0">
    <w:p w:rsidR="0025747F" w:rsidRDefault="0025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超研澤粗圓">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52" w:rsidRDefault="00E022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2252" w:rsidRDefault="00E022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52" w:rsidRDefault="00E022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3D2B">
      <w:rPr>
        <w:rStyle w:val="a7"/>
        <w:noProof/>
      </w:rPr>
      <w:t>2</w:t>
    </w:r>
    <w:r>
      <w:rPr>
        <w:rStyle w:val="a7"/>
      </w:rPr>
      <w:fldChar w:fldCharType="end"/>
    </w:r>
  </w:p>
  <w:p w:rsidR="00E02252" w:rsidRDefault="00E02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7F" w:rsidRDefault="0025747F">
      <w:pPr>
        <w:snapToGrid w:val="0"/>
        <w:spacing w:beforeLines="50" w:before="120" w:afterLines="50" w:after="120" w:line="360" w:lineRule="auto"/>
      </w:pPr>
      <w:r>
        <w:separator/>
      </w:r>
    </w:p>
  </w:footnote>
  <w:footnote w:type="continuationSeparator" w:id="0">
    <w:p w:rsidR="0025747F" w:rsidRDefault="0025747F">
      <w:pPr>
        <w:snapToGrid w:val="0"/>
        <w:spacing w:beforeLines="50" w:before="120" w:afterLines="50" w:after="120" w:line="360" w:lineRule="auto"/>
      </w:pPr>
      <w:r>
        <w:continuationSeparator/>
      </w:r>
    </w:p>
  </w:footnote>
  <w:footnote w:id="1">
    <w:p w:rsidR="00E02252" w:rsidRDefault="00E02252">
      <w:pPr>
        <w:pStyle w:val="ad"/>
        <w:spacing w:line="360" w:lineRule="auto"/>
        <w:jc w:val="both"/>
      </w:pPr>
      <w:r>
        <w:rPr>
          <w:rStyle w:val="ae"/>
        </w:rPr>
        <w:footnoteRef/>
      </w:r>
      <w:r>
        <w:t xml:space="preserve"> </w:t>
      </w:r>
      <w:r>
        <w:rPr>
          <w:rFonts w:hint="eastAsia"/>
        </w:rPr>
        <w:t>參考，</w:t>
      </w:r>
      <w:r>
        <w:rPr>
          <w:rFonts w:hAnsi="新細明體"/>
        </w:rPr>
        <w:t>賴富源，我國公務人員陞遷制度之研究，文化政研所碩士論文，</w:t>
      </w:r>
      <w:r>
        <w:t>2002</w:t>
      </w:r>
      <w:r>
        <w:rPr>
          <w:rFonts w:hAnsi="新細明體"/>
        </w:rPr>
        <w:t>，頁</w:t>
      </w:r>
      <w:r>
        <w:t>63</w:t>
      </w:r>
      <w:r>
        <w:rPr>
          <w:rFonts w:hAnsi="新細明體"/>
        </w:rPr>
        <w:t>以下。</w:t>
      </w:r>
    </w:p>
  </w:footnote>
  <w:footnote w:id="2">
    <w:p w:rsidR="00E02252" w:rsidRDefault="00E02252">
      <w:pPr>
        <w:pStyle w:val="ad"/>
        <w:spacing w:line="360" w:lineRule="auto"/>
        <w:jc w:val="both"/>
      </w:pPr>
      <w:r>
        <w:rPr>
          <w:rStyle w:val="ae"/>
        </w:rPr>
        <w:footnoteRef/>
      </w:r>
      <w:r>
        <w:t xml:space="preserve"> </w:t>
      </w:r>
      <w:r>
        <w:rPr>
          <w:rFonts w:hAnsi="新細明體"/>
        </w:rPr>
        <w:t>本法並有規定</w:t>
      </w:r>
      <w:r>
        <w:rPr>
          <w:rFonts w:hAnsi="新細明體"/>
          <w:kern w:val="0"/>
        </w:rPr>
        <w:t>本機關人員之遷調，得視業務實際需要，免經甄審程序。這是指在本機關陞遷序列表中同一序列各職務間之調任，機關首長得逕予核定，毋須辦理甄審（陞遷法第</w:t>
      </w:r>
      <w:r>
        <w:rPr>
          <w:kern w:val="0"/>
        </w:rPr>
        <w:t>8</w:t>
      </w:r>
      <w:r>
        <w:rPr>
          <w:rFonts w:hAnsi="新細明體"/>
          <w:kern w:val="0"/>
        </w:rPr>
        <w:t>條、施行細則第</w:t>
      </w:r>
      <w:r>
        <w:rPr>
          <w:kern w:val="0"/>
        </w:rPr>
        <w:t>7</w:t>
      </w:r>
      <w:r>
        <w:rPr>
          <w:rFonts w:hAnsi="新細明體"/>
          <w:kern w:val="0"/>
        </w:rPr>
        <w:t>條）。並於本法第</w:t>
      </w:r>
      <w:r>
        <w:rPr>
          <w:kern w:val="0"/>
        </w:rPr>
        <w:t>10</w:t>
      </w:r>
      <w:r>
        <w:rPr>
          <w:rFonts w:hAnsi="新細明體"/>
          <w:kern w:val="0"/>
        </w:rPr>
        <w:t>條與第</w:t>
      </w:r>
      <w:r>
        <w:rPr>
          <w:kern w:val="0"/>
        </w:rPr>
        <w:t>11</w:t>
      </w:r>
      <w:r>
        <w:rPr>
          <w:rFonts w:hAnsi="新細明體"/>
          <w:kern w:val="0"/>
        </w:rPr>
        <w:t>條規定有</w:t>
      </w:r>
      <w:r>
        <w:rPr>
          <w:rFonts w:hAnsi="新細明體"/>
          <w:w w:val="105"/>
        </w:rPr>
        <w:t>由本機關或其上級機關首長核定逕行陞遷或得免經甄審優先陞任之特例。</w:t>
      </w:r>
    </w:p>
  </w:footnote>
  <w:footnote w:id="3">
    <w:p w:rsidR="00E02252" w:rsidRDefault="00E02252">
      <w:pPr>
        <w:pStyle w:val="ad"/>
        <w:spacing w:line="360" w:lineRule="auto"/>
        <w:jc w:val="both"/>
      </w:pPr>
      <w:r>
        <w:rPr>
          <w:rStyle w:val="ae"/>
        </w:rPr>
        <w:footnoteRef/>
      </w:r>
      <w:r>
        <w:t xml:space="preserve"> </w:t>
      </w:r>
      <w:r>
        <w:rPr>
          <w:rFonts w:hAnsi="新細明體"/>
        </w:rPr>
        <w:t>參考，蔡正村，我國現行公務人員任用制度之研究，中山大學政研所碩士論文，</w:t>
      </w:r>
      <w:r>
        <w:t>2003.12</w:t>
      </w:r>
      <w:r>
        <w:rPr>
          <w:rFonts w:hAnsi="新細明體"/>
        </w:rPr>
        <w:t>，頁</w:t>
      </w:r>
      <w:r>
        <w:t>96</w:t>
      </w:r>
      <w:r>
        <w:rPr>
          <w:rFonts w:hAnsi="新細明體"/>
        </w:rPr>
        <w:t>。</w:t>
      </w:r>
    </w:p>
  </w:footnote>
  <w:footnote w:id="4">
    <w:p w:rsidR="00E02252" w:rsidRDefault="00E02252">
      <w:pPr>
        <w:pStyle w:val="ad"/>
        <w:spacing w:line="360" w:lineRule="auto"/>
        <w:jc w:val="both"/>
      </w:pPr>
      <w:r>
        <w:rPr>
          <w:rStyle w:val="ae"/>
        </w:rPr>
        <w:footnoteRef/>
      </w:r>
      <w:r>
        <w:t xml:space="preserve"> </w:t>
      </w:r>
      <w:r>
        <w:rPr>
          <w:rFonts w:hAnsi="新細明體"/>
        </w:rPr>
        <w:t>參照，立法院公報，第</w:t>
      </w:r>
      <w:r>
        <w:t>92</w:t>
      </w:r>
      <w:r>
        <w:rPr>
          <w:rFonts w:hAnsi="新細明體"/>
        </w:rPr>
        <w:t>卷第</w:t>
      </w:r>
      <w:r>
        <w:t>59</w:t>
      </w:r>
      <w:r>
        <w:rPr>
          <w:rFonts w:hAnsi="新細明體"/>
        </w:rPr>
        <w:t>期，頁</w:t>
      </w:r>
      <w:r>
        <w:t>334</w:t>
      </w:r>
      <w:r>
        <w:rPr>
          <w:rFonts w:hAnsi="新細明體"/>
        </w:rPr>
        <w:t>，</w:t>
      </w:r>
      <w:r>
        <w:t>336</w:t>
      </w:r>
      <w:r>
        <w:rPr>
          <w:rFonts w:hAnsi="新細明體"/>
        </w:rPr>
        <w:t>。</w:t>
      </w:r>
    </w:p>
  </w:footnote>
  <w:footnote w:id="5">
    <w:p w:rsidR="00E02252" w:rsidRDefault="00E02252">
      <w:pPr>
        <w:pStyle w:val="ad"/>
        <w:spacing w:line="360" w:lineRule="auto"/>
        <w:jc w:val="both"/>
        <w:rPr>
          <w:sz w:val="13"/>
          <w:szCs w:val="13"/>
        </w:rPr>
      </w:pPr>
      <w:r>
        <w:rPr>
          <w:rStyle w:val="ae"/>
        </w:rPr>
        <w:footnoteRef/>
      </w:r>
      <w:r>
        <w:t xml:space="preserve"> </w:t>
      </w:r>
      <w:r>
        <w:rPr>
          <w:rFonts w:hAnsi="新細明體"/>
        </w:rPr>
        <w:t>參照，</w:t>
      </w:r>
      <w:smartTag w:uri="urn:schemas-microsoft-com:office:smarttags" w:element="chsdate">
        <w:smartTagPr>
          <w:attr w:name="IsROCDate" w:val="False"/>
          <w:attr w:name="IsLunarDate" w:val="False"/>
          <w:attr w:name="Day" w:val="5"/>
          <w:attr w:name="Month" w:val="5"/>
          <w:attr w:name="Year" w:val="2005"/>
        </w:smartTagPr>
        <w:r>
          <w:t>2005/05/05</w:t>
        </w:r>
      </w:smartTag>
      <w:r>
        <w:rPr>
          <w:rFonts w:hAnsi="新細明體"/>
        </w:rPr>
        <w:t>公務人員陞遷法修正草案總說明暨條文對照表</w:t>
      </w:r>
      <w:r>
        <w:t>(940509</w:t>
      </w:r>
      <w:r>
        <w:rPr>
          <w:rFonts w:hAnsi="新細明體"/>
        </w:rPr>
        <w:t>送立法院</w:t>
      </w:r>
      <w:r>
        <w:t>)</w:t>
      </w:r>
      <w:r>
        <w:rPr>
          <w:rFonts w:hAnsi="新細明體"/>
        </w:rPr>
        <w:t>，</w:t>
      </w:r>
      <w:r>
        <w:rPr>
          <w:rFonts w:hAnsi="新細明體"/>
          <w:lang w:val="de-DE"/>
        </w:rPr>
        <w:t>銓敘部網頁</w:t>
      </w:r>
      <w:r>
        <w:t>http://www.mocs.gov.tw/index.htm</w:t>
      </w:r>
      <w:r>
        <w:rPr>
          <w:rFonts w:hAnsi="新細明體"/>
        </w:rPr>
        <w:t>（</w:t>
      </w:r>
      <w:r>
        <w:t>2005.8.18</w:t>
      </w:r>
      <w:r>
        <w:rPr>
          <w:rFonts w:hAnsi="新細明體"/>
          <w:lang w:val="de-DE"/>
        </w:rPr>
        <w:t>登訪</w:t>
      </w:r>
      <w:r>
        <w:rPr>
          <w:rFonts w:hAnsi="新細明體"/>
        </w:rPr>
        <w:t>）</w:t>
      </w:r>
      <w:r>
        <w:rPr>
          <w:rFonts w:hAnsi="新細明體"/>
          <w:lang w:val="de-DE"/>
        </w:rPr>
        <w:t>。</w:t>
      </w:r>
    </w:p>
  </w:footnote>
  <w:footnote w:id="6">
    <w:p w:rsidR="00E02252" w:rsidRDefault="00E02252">
      <w:pPr>
        <w:pStyle w:val="ad"/>
        <w:spacing w:line="360" w:lineRule="auto"/>
        <w:jc w:val="both"/>
      </w:pPr>
      <w:r>
        <w:rPr>
          <w:rStyle w:val="ae"/>
        </w:rPr>
        <w:footnoteRef/>
      </w:r>
      <w:r>
        <w:t xml:space="preserve"> </w:t>
      </w:r>
      <w:r>
        <w:rPr>
          <w:rFonts w:hAnsi="新細明體"/>
        </w:rPr>
        <w:t>例如「行政院所屬人事機關（構）薦任第九職等至簡任第十職等人事室主任以上人員陞遷序列表」，參附錄。</w:t>
      </w:r>
    </w:p>
  </w:footnote>
  <w:footnote w:id="7">
    <w:p w:rsidR="00E02252" w:rsidRDefault="00E02252">
      <w:pPr>
        <w:pStyle w:val="ad"/>
        <w:spacing w:line="360" w:lineRule="auto"/>
        <w:jc w:val="both"/>
      </w:pPr>
      <w:r>
        <w:rPr>
          <w:rStyle w:val="ae"/>
        </w:rPr>
        <w:footnoteRef/>
      </w:r>
      <w:r>
        <w:t xml:space="preserve"> </w:t>
      </w:r>
      <w:r>
        <w:rPr>
          <w:rFonts w:hAnsi="新細明體"/>
        </w:rPr>
        <w:t>有認為，從條文之文意推論，此規定目的主要在於促使本機關人員之甄審作業能配合陞遷序列而循序進行，但是對於不同陞遷序列間的適用原則，本法並未明確規定。即所謂「次一序列無適當人選」之「適當」定義不明確。如此將可能變相賦予首長過大裁量權，例如當首長個人偏好次一序列人員時，其可以主張原陞遷序列「不適當」，而改從次一序列中進行甄審。參考，行政院人事行政局委託，國立台北大學公共行政暨政策學系，公務人員陞遷制度之研究，</w:t>
      </w:r>
      <w:r>
        <w:t>2003.12</w:t>
      </w:r>
      <w:r>
        <w:rPr>
          <w:rFonts w:hAnsi="新細明體"/>
        </w:rPr>
        <w:t>，頁</w:t>
      </w:r>
      <w:r>
        <w:t>45</w:t>
      </w:r>
      <w:r>
        <w:rPr>
          <w:rFonts w:hAnsi="新細明體"/>
        </w:rPr>
        <w:t>。</w:t>
      </w:r>
    </w:p>
  </w:footnote>
  <w:footnote w:id="8">
    <w:p w:rsidR="00E02252" w:rsidRDefault="00E02252">
      <w:pPr>
        <w:pStyle w:val="ad"/>
        <w:spacing w:line="360" w:lineRule="auto"/>
        <w:jc w:val="both"/>
      </w:pPr>
      <w:r>
        <w:rPr>
          <w:rStyle w:val="ae"/>
        </w:rPr>
        <w:footnoteRef/>
      </w:r>
      <w:r>
        <w:t xml:space="preserve"> </w:t>
      </w:r>
      <w:r>
        <w:rPr>
          <w:rFonts w:hAnsi="新細明體"/>
        </w:rPr>
        <w:t>例如，吳庚，行政法理論與實用</w:t>
      </w:r>
      <w:r>
        <w:t xml:space="preserve"> </w:t>
      </w:r>
      <w:r>
        <w:rPr>
          <w:rFonts w:hAnsi="新細明體"/>
        </w:rPr>
        <w:t>第</w:t>
      </w:r>
      <w:r>
        <w:t>7</w:t>
      </w:r>
      <w:r>
        <w:rPr>
          <w:rFonts w:hAnsi="新細明體"/>
        </w:rPr>
        <w:t>版，頁</w:t>
      </w:r>
      <w:r>
        <w:t>214-218</w:t>
      </w:r>
      <w:r>
        <w:rPr>
          <w:rFonts w:hAnsi="新細明體"/>
        </w:rPr>
        <w:t>：「我國自釋字第一八七號解釋突破特別權力關係事項不得爭訟之藩籬後；至釋字第二四三號解釋，發展出以『是否改變公務員身分關係，直接影響其服公職之權利』為判斷尺度；又於釋字第二九八號解釋，放寬得爭訟之範圍至『對於公務員有重大影響之懲戒處分』；終至釋字第四八三號解釋，若調職發生降低官等或級俸之效果，即得循爭訟程序救濟。」</w:t>
      </w:r>
    </w:p>
  </w:footnote>
  <w:footnote w:id="9">
    <w:p w:rsidR="00E02252" w:rsidRDefault="00E02252">
      <w:pPr>
        <w:pStyle w:val="ad"/>
        <w:spacing w:line="360" w:lineRule="auto"/>
        <w:jc w:val="both"/>
      </w:pPr>
      <w:r>
        <w:rPr>
          <w:rStyle w:val="ae"/>
        </w:rPr>
        <w:footnoteRef/>
      </w:r>
      <w:r>
        <w:t xml:space="preserve"> </w:t>
      </w:r>
      <w:r>
        <w:rPr>
          <w:rFonts w:hAnsi="新細明體"/>
        </w:rPr>
        <w:t>這項見解應為行政法院所確認，例如最高行政法院</w:t>
      </w:r>
      <w:r>
        <w:t>93</w:t>
      </w:r>
      <w:r>
        <w:rPr>
          <w:rFonts w:hAnsi="新細明體"/>
        </w:rPr>
        <w:t>年裁字第</w:t>
      </w:r>
      <w:r>
        <w:t>548</w:t>
      </w:r>
      <w:r>
        <w:rPr>
          <w:rFonts w:hAnsi="新細明體"/>
        </w:rPr>
        <w:t>號裁定（見下文）。</w:t>
      </w:r>
    </w:p>
  </w:footnote>
  <w:footnote w:id="10">
    <w:p w:rsidR="00E02252" w:rsidRDefault="00E02252">
      <w:pPr>
        <w:pStyle w:val="ad"/>
        <w:spacing w:line="360" w:lineRule="auto"/>
        <w:jc w:val="both"/>
      </w:pPr>
      <w:r>
        <w:rPr>
          <w:rStyle w:val="ae"/>
        </w:rPr>
        <w:footnoteRef/>
      </w:r>
      <w:r>
        <w:t xml:space="preserve"> </w:t>
      </w:r>
      <w:r>
        <w:rPr>
          <w:rFonts w:hAnsi="新細明體"/>
        </w:rPr>
        <w:t>保訓會在此的見解似乎並未明確區分行政機關對於法律效果之裁量以及對於法律構成要件解釋之判斷餘地。</w:t>
      </w:r>
    </w:p>
  </w:footnote>
  <w:footnote w:id="11">
    <w:p w:rsidR="00E02252" w:rsidRDefault="00E02252">
      <w:pPr>
        <w:pStyle w:val="ad"/>
        <w:spacing w:line="360" w:lineRule="auto"/>
        <w:jc w:val="both"/>
      </w:pPr>
      <w:r>
        <w:rPr>
          <w:rStyle w:val="ae"/>
        </w:rPr>
        <w:footnoteRef/>
      </w:r>
      <w:r>
        <w:t xml:space="preserve"> </w:t>
      </w:r>
      <w:r>
        <w:rPr>
          <w:rFonts w:hAnsi="新細明體"/>
        </w:rPr>
        <w:t>同內容參照，保訓會</w:t>
      </w:r>
      <w:smartTag w:uri="urn:schemas-microsoft-com:office:smarttags" w:element="chsdate">
        <w:smartTagPr>
          <w:attr w:name="IsROCDate" w:val="False"/>
          <w:attr w:name="IsLunarDate" w:val="False"/>
          <w:attr w:name="Day" w:val="5"/>
          <w:attr w:name="Month" w:val="11"/>
          <w:attr w:name="Year" w:val="1992"/>
        </w:smartTagPr>
        <w:r>
          <w:t>92</w:t>
        </w:r>
        <w:r>
          <w:rPr>
            <w:rFonts w:hAnsi="新細明體"/>
          </w:rPr>
          <w:t>年</w:t>
        </w:r>
        <w:r>
          <w:t>11</w:t>
        </w:r>
        <w:r>
          <w:rPr>
            <w:rFonts w:hAnsi="新細明體"/>
          </w:rPr>
          <w:t>月</w:t>
        </w:r>
        <w:r>
          <w:t>5</w:t>
        </w:r>
        <w:r>
          <w:rPr>
            <w:rFonts w:hAnsi="新細明體"/>
          </w:rPr>
          <w:t>日</w:t>
        </w:r>
      </w:smartTag>
      <w:r>
        <w:rPr>
          <w:rFonts w:hAnsi="新細明體"/>
        </w:rPr>
        <w:t>公保字第</w:t>
      </w:r>
      <w:r>
        <w:t>0920007861</w:t>
      </w:r>
      <w:r>
        <w:rPr>
          <w:rFonts w:hAnsi="新細明體"/>
        </w:rPr>
        <w:t>號函。</w:t>
      </w:r>
    </w:p>
  </w:footnote>
  <w:footnote w:id="12">
    <w:p w:rsidR="00E02252" w:rsidRDefault="00E02252">
      <w:pPr>
        <w:pStyle w:val="ad"/>
        <w:spacing w:line="360" w:lineRule="auto"/>
      </w:pPr>
      <w:r>
        <w:rPr>
          <w:rStyle w:val="ae"/>
        </w:rPr>
        <w:footnoteRef/>
      </w:r>
      <w:r>
        <w:rPr>
          <w:szCs w:val="22"/>
          <w:lang w:val="de-DE"/>
        </w:rPr>
        <w:t xml:space="preserve"> </w:t>
      </w:r>
      <w:r>
        <w:rPr>
          <w:rFonts w:hAnsi="新細明體"/>
          <w:szCs w:val="22"/>
          <w:lang w:val="de-DE"/>
        </w:rPr>
        <w:t>學者認為「陞遷」已經屬於公務人員之權利事項，公務人員若認陞遷不公有違法損害其權益者屬於其權利受影響，應依復審程序，而有司法救濟的機會。參考，周世珍，公務人員保障制度之理論與實際，台北大學法律學研究所博士論文，</w:t>
      </w:r>
      <w:r>
        <w:rPr>
          <w:szCs w:val="22"/>
          <w:lang w:val="de-DE"/>
        </w:rPr>
        <w:t>2000</w:t>
      </w:r>
      <w:r>
        <w:rPr>
          <w:rFonts w:hAnsi="新細明體"/>
          <w:szCs w:val="22"/>
          <w:lang w:val="de-DE"/>
        </w:rPr>
        <w:t>，頁</w:t>
      </w:r>
      <w:r>
        <w:rPr>
          <w:szCs w:val="22"/>
          <w:lang w:val="de-DE"/>
        </w:rPr>
        <w:t>553</w:t>
      </w:r>
      <w:r>
        <w:rPr>
          <w:rFonts w:hAnsi="新細明體"/>
          <w:szCs w:val="22"/>
          <w:lang w:val="de-DE"/>
        </w:rPr>
        <w:t>。</w:t>
      </w:r>
    </w:p>
  </w:footnote>
  <w:footnote w:id="13">
    <w:p w:rsidR="00E02252" w:rsidRDefault="00E02252">
      <w:pPr>
        <w:pStyle w:val="ad"/>
        <w:spacing w:line="360" w:lineRule="auto"/>
        <w:jc w:val="both"/>
      </w:pPr>
      <w:r>
        <w:rPr>
          <w:rStyle w:val="ae"/>
        </w:rPr>
        <w:footnoteRef/>
      </w:r>
      <w:r>
        <w:rPr>
          <w:rStyle w:val="stext"/>
        </w:rPr>
        <w:t xml:space="preserve"> </w:t>
      </w:r>
      <w:r>
        <w:rPr>
          <w:rStyle w:val="stext"/>
          <w:rFonts w:hAnsi="新細明體"/>
        </w:rPr>
        <w:t>保訓會</w:t>
      </w:r>
      <w:smartTag w:uri="urn:schemas-microsoft-com:office:smarttags" w:element="chsdate">
        <w:smartTagPr>
          <w:attr w:name="IsROCDate" w:val="False"/>
          <w:attr w:name="IsLunarDate" w:val="False"/>
          <w:attr w:name="Day" w:val="13"/>
          <w:attr w:name="Month" w:val="7"/>
          <w:attr w:name="Year" w:val="1993"/>
        </w:smartTagPr>
        <w:r>
          <w:rPr>
            <w:rStyle w:val="stext"/>
          </w:rPr>
          <w:t>93</w:t>
        </w:r>
        <w:r>
          <w:rPr>
            <w:rStyle w:val="stext"/>
            <w:rFonts w:hAnsi="新細明體"/>
          </w:rPr>
          <w:t>年</w:t>
        </w:r>
        <w:r>
          <w:rPr>
            <w:rStyle w:val="stext"/>
          </w:rPr>
          <w:t>7</w:t>
        </w:r>
        <w:r>
          <w:rPr>
            <w:rStyle w:val="stext"/>
            <w:rFonts w:hAnsi="新細明體"/>
          </w:rPr>
          <w:t>月</w:t>
        </w:r>
        <w:r>
          <w:rPr>
            <w:rStyle w:val="stext"/>
          </w:rPr>
          <w:t>13</w:t>
        </w:r>
        <w:r>
          <w:rPr>
            <w:rStyle w:val="stext"/>
            <w:rFonts w:hAnsi="新細明體"/>
          </w:rPr>
          <w:t>日</w:t>
        </w:r>
      </w:smartTag>
      <w:r>
        <w:rPr>
          <w:rStyle w:val="stext"/>
          <w:rFonts w:hAnsi="新細明體"/>
        </w:rPr>
        <w:t>公保字第</w:t>
      </w:r>
      <w:r>
        <w:rPr>
          <w:rStyle w:val="stext"/>
        </w:rPr>
        <w:t>0930005729</w:t>
      </w:r>
      <w:r>
        <w:rPr>
          <w:rStyle w:val="stext"/>
          <w:rFonts w:hAnsi="新細明體"/>
        </w:rPr>
        <w:t>號函</w:t>
      </w:r>
      <w:r>
        <w:rPr>
          <w:rStyle w:val="stext"/>
          <w:rFonts w:hAnsi="新細明體"/>
          <w:lang w:val="de-DE"/>
        </w:rPr>
        <w:t>覆當事人</w:t>
      </w:r>
      <w:r>
        <w:rPr>
          <w:rStyle w:val="stext"/>
          <w:rFonts w:hAnsi="新細明體"/>
        </w:rPr>
        <w:t>，以有關晉陞較高官等職務之爭執，應認對公務人員權利有重大影響，得依復審程序提起救濟。這種立場應與</w:t>
      </w:r>
      <w:r>
        <w:rPr>
          <w:rStyle w:val="af3"/>
          <w:rFonts w:ascii="Times New Roman"/>
          <w:sz w:val="20"/>
          <w:szCs w:val="20"/>
        </w:rPr>
        <w:t>保訓會於</w:t>
      </w:r>
      <w:smartTag w:uri="urn:schemas-microsoft-com:office:smarttags" w:element="chsdate">
        <w:smartTagPr>
          <w:attr w:name="IsROCDate" w:val="False"/>
          <w:attr w:name="IsLunarDate" w:val="False"/>
          <w:attr w:name="Day" w:val="17"/>
          <w:attr w:name="Month" w:val="10"/>
          <w:attr w:name="Year" w:val="1992"/>
        </w:smartTagPr>
        <w:r>
          <w:rPr>
            <w:rStyle w:val="af3"/>
            <w:rFonts w:ascii="Times New Roman" w:hAnsi="Times New Roman"/>
            <w:sz w:val="20"/>
            <w:szCs w:val="20"/>
          </w:rPr>
          <w:t>92</w:t>
        </w:r>
        <w:r>
          <w:rPr>
            <w:rStyle w:val="af3"/>
            <w:rFonts w:ascii="Times New Roman"/>
            <w:sz w:val="20"/>
            <w:szCs w:val="20"/>
          </w:rPr>
          <w:t>年</w:t>
        </w:r>
        <w:r>
          <w:rPr>
            <w:rStyle w:val="af3"/>
            <w:rFonts w:ascii="Times New Roman" w:hAnsi="Times New Roman"/>
            <w:sz w:val="20"/>
            <w:szCs w:val="20"/>
          </w:rPr>
          <w:t>10</w:t>
        </w:r>
        <w:r>
          <w:rPr>
            <w:rStyle w:val="af3"/>
            <w:rFonts w:ascii="Times New Roman"/>
            <w:sz w:val="20"/>
            <w:szCs w:val="20"/>
          </w:rPr>
          <w:t>月</w:t>
        </w:r>
        <w:r>
          <w:rPr>
            <w:rStyle w:val="af3"/>
            <w:rFonts w:ascii="Times New Roman" w:hAnsi="Times New Roman"/>
            <w:sz w:val="20"/>
            <w:szCs w:val="20"/>
          </w:rPr>
          <w:t>17</w:t>
        </w:r>
        <w:r>
          <w:rPr>
            <w:rStyle w:val="af3"/>
            <w:rFonts w:ascii="Times New Roman"/>
            <w:sz w:val="20"/>
            <w:szCs w:val="20"/>
          </w:rPr>
          <w:t>日</w:t>
        </w:r>
      </w:smartTag>
      <w:r>
        <w:rPr>
          <w:rStyle w:val="af3"/>
          <w:rFonts w:ascii="Times New Roman"/>
          <w:sz w:val="20"/>
          <w:szCs w:val="20"/>
        </w:rPr>
        <w:t>會議決議所採標準吻合。</w:t>
      </w:r>
    </w:p>
  </w:footnote>
  <w:footnote w:id="14">
    <w:p w:rsidR="00E02252" w:rsidRDefault="00E02252">
      <w:pPr>
        <w:pStyle w:val="ad"/>
        <w:spacing w:line="360" w:lineRule="auto"/>
        <w:jc w:val="both"/>
        <w:rPr>
          <w:b/>
          <w:u w:val="single"/>
          <w:lang w:val="de-DE"/>
        </w:rPr>
      </w:pPr>
      <w:r>
        <w:rPr>
          <w:rStyle w:val="ae"/>
        </w:rPr>
        <w:footnoteRef/>
      </w:r>
      <w:r>
        <w:t xml:space="preserve"> </w:t>
      </w:r>
      <w:r>
        <w:rPr>
          <w:rFonts w:hAnsi="新細明體"/>
        </w:rPr>
        <w:t>例如</w:t>
      </w:r>
      <w:r>
        <w:rPr>
          <w:rStyle w:val="af3"/>
          <w:rFonts w:ascii="Times New Roman"/>
          <w:b/>
          <w:sz w:val="20"/>
          <w:szCs w:val="20"/>
          <w:u w:val="single"/>
        </w:rPr>
        <w:t>保訓會</w:t>
      </w:r>
      <w:r>
        <w:rPr>
          <w:rStyle w:val="stext"/>
          <w:rFonts w:hAnsi="新細明體"/>
          <w:b/>
          <w:u w:val="single"/>
        </w:rPr>
        <w:t>（</w:t>
      </w:r>
      <w:r>
        <w:rPr>
          <w:rStyle w:val="stext"/>
          <w:b/>
          <w:u w:val="single"/>
        </w:rPr>
        <w:t>94</w:t>
      </w:r>
      <w:r>
        <w:rPr>
          <w:rStyle w:val="stext"/>
          <w:rFonts w:hAnsi="新細明體"/>
          <w:b/>
          <w:u w:val="single"/>
        </w:rPr>
        <w:t>）公審決字第</w:t>
      </w:r>
      <w:r>
        <w:rPr>
          <w:rStyle w:val="stext"/>
          <w:b/>
          <w:u w:val="single"/>
        </w:rPr>
        <w:t>0176</w:t>
      </w:r>
      <w:r>
        <w:rPr>
          <w:rStyle w:val="stext"/>
          <w:rFonts w:hAnsi="新細明體"/>
          <w:b/>
          <w:u w:val="single"/>
        </w:rPr>
        <w:t>號</w:t>
      </w:r>
      <w:r>
        <w:rPr>
          <w:rFonts w:hAnsi="新細明體"/>
          <w:b/>
          <w:color w:val="000000"/>
          <w:kern w:val="0"/>
          <w:u w:val="single"/>
        </w:rPr>
        <w:t>決定</w:t>
      </w:r>
      <w:r>
        <w:rPr>
          <w:rStyle w:val="af3"/>
          <w:rFonts w:ascii="Times New Roman"/>
          <w:b/>
          <w:sz w:val="20"/>
          <w:szCs w:val="20"/>
          <w:u w:val="single"/>
        </w:rPr>
        <w:t>（「</w:t>
      </w:r>
      <w:r>
        <w:rPr>
          <w:rFonts w:hAnsi="新細明體"/>
          <w:b/>
          <w:color w:val="000000"/>
          <w:u w:val="single"/>
        </w:rPr>
        <w:t>莊震隆</w:t>
      </w:r>
      <w:r>
        <w:rPr>
          <w:rStyle w:val="af3"/>
          <w:rFonts w:ascii="Times New Roman"/>
          <w:b/>
          <w:sz w:val="20"/>
          <w:szCs w:val="20"/>
          <w:u w:val="single"/>
        </w:rPr>
        <w:t>案」）</w:t>
      </w:r>
      <w:r>
        <w:rPr>
          <w:rStyle w:val="af3"/>
          <w:rFonts w:ascii="Times New Roman"/>
          <w:sz w:val="20"/>
          <w:szCs w:val="20"/>
        </w:rPr>
        <w:t>。</w:t>
      </w:r>
    </w:p>
  </w:footnote>
  <w:footnote w:id="15">
    <w:p w:rsidR="00E02252" w:rsidRDefault="00E02252">
      <w:pPr>
        <w:pStyle w:val="ad"/>
        <w:spacing w:line="360" w:lineRule="auto"/>
        <w:jc w:val="both"/>
      </w:pPr>
      <w:r>
        <w:rPr>
          <w:rStyle w:val="ae"/>
        </w:rPr>
        <w:footnoteRef/>
      </w:r>
      <w:r>
        <w:rPr>
          <w:color w:val="000000"/>
          <w:kern w:val="0"/>
        </w:rPr>
        <w:t xml:space="preserve"> </w:t>
      </w:r>
      <w:r>
        <w:rPr>
          <w:rFonts w:hAnsi="新細明體"/>
          <w:color w:val="000000"/>
          <w:kern w:val="0"/>
        </w:rPr>
        <w:t>例如</w:t>
      </w:r>
      <w:r>
        <w:rPr>
          <w:rFonts w:hAnsi="新細明體"/>
          <w:b/>
          <w:color w:val="000000"/>
          <w:kern w:val="0"/>
          <w:u w:val="single"/>
        </w:rPr>
        <w:t>保訓會（</w:t>
      </w:r>
      <w:r>
        <w:rPr>
          <w:b/>
          <w:color w:val="000000"/>
          <w:kern w:val="0"/>
          <w:u w:val="single"/>
        </w:rPr>
        <w:t>90</w:t>
      </w:r>
      <w:r>
        <w:rPr>
          <w:rFonts w:hAnsi="新細明體"/>
          <w:b/>
          <w:color w:val="000000"/>
          <w:kern w:val="0"/>
          <w:u w:val="single"/>
        </w:rPr>
        <w:t>）公申決字第</w:t>
      </w:r>
      <w:r>
        <w:rPr>
          <w:b/>
          <w:color w:val="000000"/>
          <w:kern w:val="0"/>
          <w:u w:val="single"/>
        </w:rPr>
        <w:t>0190</w:t>
      </w:r>
      <w:r>
        <w:rPr>
          <w:rFonts w:hAnsi="新細明體"/>
          <w:b/>
          <w:color w:val="000000"/>
          <w:kern w:val="0"/>
          <w:u w:val="single"/>
        </w:rPr>
        <w:t>號決定（「吳台生案」）</w:t>
      </w:r>
    </w:p>
  </w:footnote>
  <w:footnote w:id="16">
    <w:p w:rsidR="00E02252" w:rsidRDefault="00E02252">
      <w:pPr>
        <w:pStyle w:val="ad"/>
        <w:spacing w:line="360" w:lineRule="auto"/>
        <w:jc w:val="both"/>
      </w:pPr>
      <w:r>
        <w:rPr>
          <w:rStyle w:val="ae"/>
        </w:rPr>
        <w:footnoteRef/>
      </w:r>
      <w:r>
        <w:t xml:space="preserve"> </w:t>
      </w:r>
      <w:r>
        <w:rPr>
          <w:rFonts w:hAnsi="新細明體"/>
        </w:rPr>
        <w:t>根據現行公務員懲戒法第</w:t>
      </w:r>
      <w:r>
        <w:t>9</w:t>
      </w:r>
      <w:r>
        <w:rPr>
          <w:rFonts w:hAnsi="新細明體"/>
        </w:rPr>
        <w:t>條第</w:t>
      </w:r>
      <w:r>
        <w:t>3</w:t>
      </w:r>
      <w:r>
        <w:rPr>
          <w:rFonts w:hAnsi="新細明體"/>
        </w:rPr>
        <w:t>項之規定，九職等或相當於九職等以下公務員之記過與申誡，得逕由主管長官行之。理論上而言，主管機關得不經過公務員懲戒委員會，直接對此類公務員逕自作成記過或申誡之懲戒處分。在目前公務人員考績法復規定，主管長官得對公務人員為免職、記大過、記過、申誡等實質意義為懲戒處分之懲處處分情況下，姑不論實務上，主管機關是否依懲戒法作成此類懲戒處分，在本法中，針對此類懲戒處分並無任何法律救濟途徑之設計（參考，高愈杰，「論公務員懲戒制度一元化之建構</w:t>
      </w:r>
      <w:r>
        <w:t xml:space="preserve"> - </w:t>
      </w:r>
      <w:r>
        <w:rPr>
          <w:rFonts w:hAnsi="新細明體"/>
        </w:rPr>
        <w:t>以司法院大法官解釋為核心」，司法院，公務員懲戒制度相關論文彙編，</w:t>
      </w:r>
      <w:r>
        <w:t>2004.12</w:t>
      </w:r>
      <w:r>
        <w:rPr>
          <w:rFonts w:hAnsi="新細明體"/>
        </w:rPr>
        <w:t>，頁</w:t>
      </w:r>
      <w:r>
        <w:t>272</w:t>
      </w:r>
      <w:r>
        <w:rPr>
          <w:rFonts w:hAnsi="新細明體"/>
        </w:rPr>
        <w:t>）。雖然大法官解釋在釋字第</w:t>
      </w:r>
      <w:r>
        <w:t>298</w:t>
      </w:r>
      <w:r>
        <w:rPr>
          <w:rFonts w:hAnsi="新細明體"/>
        </w:rPr>
        <w:t>號與第</w:t>
      </w:r>
      <w:r>
        <w:t>491</w:t>
      </w:r>
      <w:r>
        <w:rPr>
          <w:rFonts w:hAnsi="新細明體"/>
        </w:rPr>
        <w:t>號解釋中指出，憲法第</w:t>
      </w:r>
      <w:r>
        <w:t>77</w:t>
      </w:r>
      <w:r>
        <w:rPr>
          <w:rFonts w:hAnsi="新細明體"/>
        </w:rPr>
        <w:t>條雖規定：「司法院為國家最高司法機關，掌理民事﹑刑事﹑行政訴訟之審判及公務員之懲戒」，可知司法院為公務員懲戒之最高機關。但並非指國家對公務員懲戒權之行使，一律均應由司法院直接掌理。公務員之懲戒乃國家對其違法﹑失職行為之制裁，此項懲戒為維持長官監督權所必要，自得視懲戒處分之性質，於合理範圍內，以法律規定由長官為之。因此，不論在懲戒法中或考績法中，規定由主管機關行使對於公務員之懲戒權，基本上應可接受。但是，針對主管長官所為之懲戒處分如何設計其救濟的途徑，則仍隱晦不明。這不僅指強度嚴重至改變公務員身份關係的免職處分，即或強度最為輕微的記過或申誡處分亦然。如果我們將主管長官所為之記過或申誡之懲戒處分對比考績法上平時考核之記大過、記過、申誡等處分，後者在不擴大公務員保障法第</w:t>
      </w:r>
      <w:r>
        <w:t>25</w:t>
      </w:r>
      <w:r>
        <w:rPr>
          <w:rFonts w:hAnsi="新細明體"/>
        </w:rPr>
        <w:t>條復審救濟標的範圍的前提下，或許可以容許公務人員提起第</w:t>
      </w:r>
      <w:r>
        <w:t>77</w:t>
      </w:r>
      <w:r>
        <w:rPr>
          <w:rFonts w:hAnsi="新細明體"/>
        </w:rPr>
        <w:t>條之申訴與再申訴的救濟。但是可能因為實務上始終囿於「懲戒、懲處不同，可並行，不可混用」之形式論理，不許記過或申誡之懲戒處分利用屬於懲處之申訴與再申訴救濟途徑。受懲戒處分之公務員，除有懲戒法第</w:t>
      </w:r>
      <w:r>
        <w:t>33</w:t>
      </w:r>
      <w:r>
        <w:rPr>
          <w:rFonts w:hAnsi="新細明體"/>
        </w:rPr>
        <w:t>條再審議情事外，幾無救濟機會。不過實務上，事實上也幾未見有長官依懲戒法對所屬九職等以下公務員為記過或申誡者。懲戒法第</w:t>
      </w:r>
      <w:r>
        <w:t>9</w:t>
      </w:r>
      <w:r>
        <w:rPr>
          <w:rFonts w:hAnsi="新細明體"/>
        </w:rPr>
        <w:t>條第</w:t>
      </w:r>
      <w:r>
        <w:t>3</w:t>
      </w:r>
      <w:r>
        <w:rPr>
          <w:rFonts w:hAnsi="新細明體"/>
        </w:rPr>
        <w:t>項雖仍為有效規定，但已幾乎形成具文（參考，湯德宗，「論公務人員不利人事處分的正當程序」，同作者，行政程序法論，</w:t>
      </w:r>
      <w:r>
        <w:t>2003</w:t>
      </w:r>
      <w:r>
        <w:rPr>
          <w:rFonts w:hAnsi="新細明體"/>
        </w:rPr>
        <w:t>，</w:t>
      </w:r>
      <w:r>
        <w:t>2</w:t>
      </w:r>
      <w:r>
        <w:rPr>
          <w:rFonts w:hAnsi="新細明體"/>
        </w:rPr>
        <w:t>版，頁</w:t>
      </w:r>
      <w:r>
        <w:t>348</w:t>
      </w:r>
      <w:r>
        <w:rPr>
          <w:rFonts w:hAnsi="新細明體"/>
        </w:rPr>
        <w:t>以下）。目前保訓會似亦尚無受理而作成申訴決定之例。</w:t>
      </w:r>
    </w:p>
  </w:footnote>
  <w:footnote w:id="17">
    <w:p w:rsidR="00E02252" w:rsidRDefault="00E02252">
      <w:pPr>
        <w:pStyle w:val="ad"/>
        <w:spacing w:line="360" w:lineRule="auto"/>
        <w:jc w:val="both"/>
      </w:pPr>
      <w:r>
        <w:rPr>
          <w:rStyle w:val="ae"/>
        </w:rPr>
        <w:footnoteRef/>
      </w:r>
      <w:r>
        <w:t xml:space="preserve"> </w:t>
      </w:r>
      <w:r>
        <w:rPr>
          <w:rFonts w:hAnsi="新細明體"/>
        </w:rPr>
        <w:t>例如</w:t>
      </w:r>
      <w:r>
        <w:rPr>
          <w:rStyle w:val="af3"/>
          <w:rFonts w:ascii="Times New Roman"/>
          <w:b/>
          <w:sz w:val="20"/>
          <w:szCs w:val="20"/>
          <w:u w:val="single"/>
        </w:rPr>
        <w:t>保訓會</w:t>
      </w:r>
      <w:r>
        <w:rPr>
          <w:rStyle w:val="stext"/>
          <w:rFonts w:hAnsi="新細明體"/>
          <w:b/>
          <w:u w:val="single"/>
        </w:rPr>
        <w:t>（</w:t>
      </w:r>
      <w:r>
        <w:rPr>
          <w:rStyle w:val="stext"/>
          <w:b/>
          <w:u w:val="single"/>
        </w:rPr>
        <w:t>94</w:t>
      </w:r>
      <w:r>
        <w:rPr>
          <w:rStyle w:val="stext"/>
          <w:rFonts w:hAnsi="新細明體"/>
          <w:b/>
          <w:u w:val="single"/>
        </w:rPr>
        <w:t>）公審決字第</w:t>
      </w:r>
      <w:r>
        <w:rPr>
          <w:rStyle w:val="stext"/>
          <w:b/>
          <w:u w:val="single"/>
        </w:rPr>
        <w:t>0176</w:t>
      </w:r>
      <w:r>
        <w:rPr>
          <w:rStyle w:val="stext"/>
          <w:rFonts w:hAnsi="新細明體"/>
          <w:b/>
          <w:u w:val="single"/>
        </w:rPr>
        <w:t>號</w:t>
      </w:r>
      <w:r>
        <w:rPr>
          <w:rFonts w:hAnsi="新細明體"/>
          <w:b/>
          <w:color w:val="000000"/>
          <w:kern w:val="0"/>
          <w:u w:val="single"/>
        </w:rPr>
        <w:t>決定</w:t>
      </w:r>
      <w:r>
        <w:rPr>
          <w:rStyle w:val="af3"/>
          <w:rFonts w:ascii="Times New Roman"/>
          <w:b/>
          <w:sz w:val="20"/>
          <w:szCs w:val="20"/>
          <w:u w:val="single"/>
        </w:rPr>
        <w:t>（「</w:t>
      </w:r>
      <w:r>
        <w:rPr>
          <w:rFonts w:hAnsi="新細明體"/>
          <w:b/>
          <w:color w:val="000000"/>
          <w:u w:val="single"/>
        </w:rPr>
        <w:t>莊震隆</w:t>
      </w:r>
      <w:r>
        <w:rPr>
          <w:rStyle w:val="af3"/>
          <w:rFonts w:ascii="Times New Roman"/>
          <w:b/>
          <w:sz w:val="20"/>
          <w:szCs w:val="20"/>
          <w:u w:val="single"/>
        </w:rPr>
        <w:t>案」）</w:t>
      </w:r>
      <w:r>
        <w:rPr>
          <w:rStyle w:val="af3"/>
          <w:rFonts w:ascii="Times New Roman"/>
          <w:sz w:val="20"/>
          <w:szCs w:val="20"/>
        </w:rPr>
        <w:t>。</w:t>
      </w:r>
    </w:p>
  </w:footnote>
  <w:footnote w:id="18">
    <w:p w:rsidR="00E02252" w:rsidRDefault="00E02252">
      <w:pPr>
        <w:pStyle w:val="ad"/>
        <w:spacing w:line="360" w:lineRule="auto"/>
        <w:jc w:val="both"/>
      </w:pPr>
      <w:r>
        <w:rPr>
          <w:rStyle w:val="ae"/>
        </w:rPr>
        <w:footnoteRef/>
      </w:r>
      <w:r>
        <w:t xml:space="preserve"> </w:t>
      </w:r>
      <w:r>
        <w:rPr>
          <w:rFonts w:hAnsi="新細明體"/>
        </w:rPr>
        <w:t>例如</w:t>
      </w:r>
      <w:r>
        <w:rPr>
          <w:rStyle w:val="af3"/>
          <w:rFonts w:ascii="Times New Roman"/>
          <w:b/>
          <w:sz w:val="20"/>
          <w:szCs w:val="20"/>
          <w:u w:val="single"/>
        </w:rPr>
        <w:t>保訓會</w:t>
      </w:r>
      <w:r>
        <w:rPr>
          <w:rStyle w:val="stext1"/>
          <w:rFonts w:hAnsi="新細明體"/>
          <w:b/>
          <w:color w:val="000000"/>
          <w:sz w:val="20"/>
          <w:szCs w:val="20"/>
          <w:u w:val="single"/>
        </w:rPr>
        <w:t>（</w:t>
      </w:r>
      <w:r>
        <w:rPr>
          <w:rStyle w:val="stext1"/>
          <w:b/>
          <w:color w:val="000000"/>
          <w:sz w:val="20"/>
          <w:szCs w:val="20"/>
          <w:u w:val="single"/>
        </w:rPr>
        <w:t>93</w:t>
      </w:r>
      <w:r>
        <w:rPr>
          <w:rStyle w:val="stext1"/>
          <w:rFonts w:hAnsi="新細明體"/>
          <w:b/>
          <w:color w:val="000000"/>
          <w:sz w:val="20"/>
          <w:szCs w:val="20"/>
          <w:u w:val="single"/>
        </w:rPr>
        <w:t>）公審決字第</w:t>
      </w:r>
      <w:r>
        <w:rPr>
          <w:rStyle w:val="stext1"/>
          <w:b/>
          <w:color w:val="000000"/>
          <w:sz w:val="20"/>
          <w:szCs w:val="20"/>
          <w:u w:val="single"/>
        </w:rPr>
        <w:t xml:space="preserve">0138 </w:t>
      </w:r>
      <w:r>
        <w:rPr>
          <w:rStyle w:val="stext1"/>
          <w:rFonts w:hAnsi="新細明體"/>
          <w:b/>
          <w:color w:val="000000"/>
          <w:sz w:val="20"/>
          <w:szCs w:val="20"/>
          <w:u w:val="single"/>
        </w:rPr>
        <w:t>號</w:t>
      </w:r>
      <w:r>
        <w:rPr>
          <w:rFonts w:hAnsi="新細明體"/>
          <w:b/>
          <w:color w:val="000000"/>
          <w:kern w:val="0"/>
          <w:u w:val="single"/>
        </w:rPr>
        <w:t>決定</w:t>
      </w:r>
      <w:r>
        <w:rPr>
          <w:rStyle w:val="af3"/>
          <w:rFonts w:ascii="Times New Roman"/>
          <w:b/>
          <w:sz w:val="20"/>
          <w:szCs w:val="20"/>
          <w:u w:val="single"/>
        </w:rPr>
        <w:t>（「</w:t>
      </w:r>
      <w:r>
        <w:rPr>
          <w:rFonts w:hAnsi="新細明體"/>
          <w:b/>
          <w:u w:val="single"/>
        </w:rPr>
        <w:t>林華彥</w:t>
      </w:r>
      <w:r>
        <w:rPr>
          <w:rStyle w:val="af3"/>
          <w:rFonts w:ascii="Times New Roman"/>
          <w:b/>
          <w:sz w:val="20"/>
          <w:szCs w:val="20"/>
          <w:u w:val="single"/>
        </w:rPr>
        <w:t>案」）</w:t>
      </w:r>
    </w:p>
  </w:footnote>
  <w:footnote w:id="19">
    <w:p w:rsidR="00E02252" w:rsidRDefault="00E02252">
      <w:pPr>
        <w:pStyle w:val="ad"/>
        <w:spacing w:line="360" w:lineRule="auto"/>
        <w:jc w:val="both"/>
      </w:pPr>
      <w:r>
        <w:rPr>
          <w:rStyle w:val="ae"/>
        </w:rPr>
        <w:footnoteRef/>
      </w:r>
      <w:r>
        <w:t xml:space="preserve"> </w:t>
      </w:r>
      <w:r>
        <w:rPr>
          <w:rFonts w:hAnsi="新細明體"/>
        </w:rPr>
        <w:t>「行政處分相對化」的概念，參考，程明修，「</w:t>
      </w:r>
      <w:r>
        <w:rPr>
          <w:rFonts w:hAnsi="新細明體"/>
          <w:szCs w:val="28"/>
        </w:rPr>
        <w:t>針對地方自治『內部法律關係』與『外部法律關係』監督措施之行政訴訟</w:t>
      </w:r>
      <w:r>
        <w:rPr>
          <w:rFonts w:hAnsi="新細明體"/>
        </w:rPr>
        <w:t>」，同作者，</w:t>
      </w:r>
      <w:r>
        <w:rPr>
          <w:rFonts w:hAnsi="新細明體"/>
          <w:color w:val="000000"/>
        </w:rPr>
        <w:t>行政法之行為與法律關係理論，</w:t>
      </w:r>
      <w:r>
        <w:rPr>
          <w:color w:val="000000"/>
        </w:rPr>
        <w:t>2005.2</w:t>
      </w:r>
      <w:r>
        <w:rPr>
          <w:rFonts w:hAnsi="新細明體"/>
          <w:color w:val="000000"/>
        </w:rPr>
        <w:t>，頁</w:t>
      </w:r>
      <w:r>
        <w:rPr>
          <w:color w:val="000000"/>
        </w:rPr>
        <w:t>380</w:t>
      </w:r>
      <w:r>
        <w:rPr>
          <w:rFonts w:hAnsi="新細明體"/>
          <w:color w:val="000000"/>
        </w:rPr>
        <w:t>以下。</w:t>
      </w:r>
    </w:p>
  </w:footnote>
  <w:footnote w:id="20">
    <w:p w:rsidR="00E02252" w:rsidRDefault="00E02252">
      <w:pPr>
        <w:pStyle w:val="ad"/>
        <w:spacing w:line="360" w:lineRule="auto"/>
        <w:jc w:val="both"/>
      </w:pPr>
      <w:r>
        <w:rPr>
          <w:rStyle w:val="ae"/>
        </w:rPr>
        <w:footnoteRef/>
      </w:r>
      <w:r>
        <w:t xml:space="preserve"> </w:t>
      </w:r>
      <w:r>
        <w:rPr>
          <w:rFonts w:hAnsi="新細明體"/>
        </w:rPr>
        <w:t>參考，李建良，「公務人員保障法及申訴標的之探討」，月旦法學雜誌第</w:t>
      </w:r>
      <w:r>
        <w:t>90</w:t>
      </w:r>
      <w:r>
        <w:rPr>
          <w:rFonts w:hAnsi="新細明體"/>
        </w:rPr>
        <w:t>期，</w:t>
      </w:r>
      <w:r>
        <w:t>2002.11</w:t>
      </w:r>
      <w:r>
        <w:rPr>
          <w:rFonts w:hAnsi="新細明體"/>
        </w:rPr>
        <w:t>，頁</w:t>
      </w:r>
      <w:r>
        <w:t>112</w:t>
      </w:r>
      <w:r>
        <w:rPr>
          <w:rFonts w:hAnsi="新細明體"/>
        </w:rPr>
        <w:t>以下。</w:t>
      </w:r>
    </w:p>
  </w:footnote>
  <w:footnote w:id="21">
    <w:p w:rsidR="00E02252" w:rsidRDefault="00E02252">
      <w:pPr>
        <w:pStyle w:val="ad"/>
        <w:spacing w:line="360" w:lineRule="auto"/>
        <w:jc w:val="both"/>
      </w:pPr>
      <w:r>
        <w:rPr>
          <w:rStyle w:val="ae"/>
        </w:rPr>
        <w:footnoteRef/>
      </w:r>
      <w:r>
        <w:t xml:space="preserve"> </w:t>
      </w:r>
      <w:r>
        <w:rPr>
          <w:rFonts w:hAnsi="新細明體"/>
        </w:rPr>
        <w:t>例如，林明鏘，「公務人員複審與訴願程序之比較研究」，公務員法研究（一），</w:t>
      </w:r>
      <w:r>
        <w:t>2000.3</w:t>
      </w:r>
      <w:r>
        <w:rPr>
          <w:rFonts w:hAnsi="新細明體"/>
        </w:rPr>
        <w:t>，頁</w:t>
      </w:r>
      <w:r>
        <w:t>231</w:t>
      </w:r>
      <w:r>
        <w:rPr>
          <w:rFonts w:hAnsi="新細明體"/>
        </w:rPr>
        <w:t>；陳敏，行政法總論，</w:t>
      </w:r>
      <w:r>
        <w:t>2004.11</w:t>
      </w:r>
      <w:r>
        <w:rPr>
          <w:rFonts w:hAnsi="新細明體"/>
        </w:rPr>
        <w:t>，</w:t>
      </w:r>
      <w:r>
        <w:t>4</w:t>
      </w:r>
      <w:r>
        <w:rPr>
          <w:rFonts w:hAnsi="新細明體"/>
        </w:rPr>
        <w:t>版，頁</w:t>
      </w:r>
      <w:r>
        <w:t>1090</w:t>
      </w:r>
      <w:r>
        <w:rPr>
          <w:rFonts w:hAnsi="新細明體"/>
        </w:rPr>
        <w:t>。</w:t>
      </w:r>
    </w:p>
  </w:footnote>
  <w:footnote w:id="22">
    <w:p w:rsidR="00E02252" w:rsidRDefault="00E02252">
      <w:pPr>
        <w:pStyle w:val="ad"/>
        <w:spacing w:line="360" w:lineRule="auto"/>
        <w:jc w:val="both"/>
      </w:pPr>
      <w:r>
        <w:rPr>
          <w:rStyle w:val="ae"/>
        </w:rPr>
        <w:footnoteRef/>
      </w:r>
      <w:r>
        <w:t xml:space="preserve"> </w:t>
      </w:r>
      <w:r>
        <w:rPr>
          <w:rFonts w:hAnsi="新細明體"/>
        </w:rPr>
        <w:t>依李教授文中說明，此為實務上所採，見之於公務人員保障暨培訓委員會</w:t>
      </w:r>
      <w:r>
        <w:t>86</w:t>
      </w:r>
      <w:r>
        <w:rPr>
          <w:rFonts w:hAnsi="新細明體"/>
        </w:rPr>
        <w:t>公保字第</w:t>
      </w:r>
      <w:r>
        <w:t>0538</w:t>
      </w:r>
      <w:r>
        <w:rPr>
          <w:rFonts w:hAnsi="新細明體"/>
        </w:rPr>
        <w:t>號函，引自，李建良，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121</w:t>
      </w:r>
      <w:r>
        <w:rPr>
          <w:rFonts w:hAnsi="新細明體"/>
        </w:rPr>
        <w:t>註</w:t>
      </w:r>
      <w:r>
        <w:t>69</w:t>
      </w:r>
      <w:r>
        <w:rPr>
          <w:rFonts w:hAnsi="新細明體"/>
        </w:rPr>
        <w:t>。</w:t>
      </w:r>
    </w:p>
  </w:footnote>
  <w:footnote w:id="23">
    <w:p w:rsidR="00E02252" w:rsidRDefault="00E02252">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121</w:t>
      </w:r>
      <w:r>
        <w:rPr>
          <w:rFonts w:hAnsi="新細明體"/>
        </w:rPr>
        <w:t>。</w:t>
      </w:r>
    </w:p>
  </w:footnote>
  <w:footnote w:id="24">
    <w:p w:rsidR="00E02252" w:rsidRDefault="00E02252">
      <w:pPr>
        <w:pStyle w:val="ad"/>
        <w:spacing w:line="360" w:lineRule="auto"/>
        <w:jc w:val="both"/>
      </w:pPr>
      <w:r>
        <w:rPr>
          <w:rStyle w:val="ae"/>
        </w:rPr>
        <w:footnoteRef/>
      </w:r>
      <w:r>
        <w:t xml:space="preserve"> Vgl. Eberhard Schwerdtner, Die Weisung - innerdienstlicher Rechtsakt oder anfechtbarer Verwaltungsakt?, VBlBW 1996, 209. </w:t>
      </w:r>
      <w:r>
        <w:rPr>
          <w:rFonts w:hAnsi="新細明體"/>
        </w:rPr>
        <w:t>另亦有學者如艾立森，改以所涉及之法規範是否賦予公務員主觀權利，以及所涉之職務措施是否將公務員當作一個獨立權利主體而影響其權利或義務，來認定外部效果的存在與否。</w:t>
      </w:r>
      <w:r>
        <w:t>Vgl. Hans-Uwe Erichsen, Die Umsetzung von Beamten, DVBl. 1982, 98.</w:t>
      </w:r>
    </w:p>
  </w:footnote>
  <w:footnote w:id="25">
    <w:p w:rsidR="00E02252" w:rsidRDefault="00E02252">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138</w:t>
      </w:r>
      <w:r>
        <w:rPr>
          <w:rFonts w:hAnsi="新細明體"/>
        </w:rPr>
        <w:t>以下。</w:t>
      </w:r>
    </w:p>
  </w:footnote>
  <w:footnote w:id="26">
    <w:p w:rsidR="00E02252" w:rsidRDefault="00E02252">
      <w:pPr>
        <w:pStyle w:val="ad"/>
        <w:spacing w:line="360" w:lineRule="auto"/>
        <w:jc w:val="both"/>
      </w:pPr>
      <w:r>
        <w:rPr>
          <w:rStyle w:val="ae"/>
        </w:rPr>
        <w:footnoteRef/>
      </w:r>
      <w:r>
        <w:t xml:space="preserve"> </w:t>
      </w:r>
      <w:r>
        <w:rPr>
          <w:rFonts w:hAnsi="新細明體"/>
        </w:rPr>
        <w:t>公務人員保障暨培訓委員會主辦，「公務人員保障法制」研討會，</w:t>
      </w:r>
      <w:r>
        <w:t>2002.6.28</w:t>
      </w:r>
      <w:r>
        <w:rPr>
          <w:rFonts w:hAnsi="新細明體"/>
        </w:rPr>
        <w:t>，許宗力大法官之發言，月旦法學雜誌第</w:t>
      </w:r>
      <w:r>
        <w:t>90</w:t>
      </w:r>
      <w:r>
        <w:rPr>
          <w:rFonts w:hAnsi="新細明體"/>
        </w:rPr>
        <w:t>期，</w:t>
      </w:r>
      <w:r>
        <w:t>2002.11</w:t>
      </w:r>
      <w:r>
        <w:rPr>
          <w:rFonts w:hAnsi="新細明體"/>
        </w:rPr>
        <w:t>，頁</w:t>
      </w:r>
      <w:r>
        <w:t>170</w:t>
      </w:r>
      <w:r>
        <w:rPr>
          <w:rFonts w:hAnsi="新細明體"/>
        </w:rPr>
        <w:t>以下。</w:t>
      </w:r>
    </w:p>
  </w:footnote>
  <w:footnote w:id="27">
    <w:p w:rsidR="00E02252" w:rsidRDefault="00E02252">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139</w:t>
      </w:r>
      <w:r>
        <w:rPr>
          <w:rFonts w:hAnsi="新細明體"/>
        </w:rPr>
        <w:t>註</w:t>
      </w:r>
      <w:r>
        <w:t>206</w:t>
      </w:r>
      <w:r>
        <w:rPr>
          <w:rFonts w:hAnsi="新細明體"/>
        </w:rPr>
        <w:t>。</w:t>
      </w:r>
    </w:p>
  </w:footnote>
  <w:footnote w:id="28">
    <w:p w:rsidR="00E02252" w:rsidRDefault="00E02252">
      <w:pPr>
        <w:pStyle w:val="ad"/>
        <w:spacing w:line="360" w:lineRule="auto"/>
        <w:jc w:val="both"/>
      </w:pPr>
      <w:r>
        <w:rPr>
          <w:rStyle w:val="ae"/>
        </w:rPr>
        <w:footnoteRef/>
      </w:r>
      <w:r>
        <w:t xml:space="preserve"> </w:t>
      </w:r>
      <w:r>
        <w:rPr>
          <w:rFonts w:hAnsi="新細明體"/>
        </w:rPr>
        <w:t>參考，程明修，「</w:t>
      </w:r>
      <w:r>
        <w:rPr>
          <w:rFonts w:hAnsi="新細明體"/>
          <w:bCs/>
          <w:szCs w:val="28"/>
        </w:rPr>
        <w:t>行政法上之意思表示、法律行為與行政處分</w:t>
      </w:r>
      <w:r>
        <w:rPr>
          <w:rFonts w:hAnsi="新細明體"/>
        </w:rPr>
        <w:t>」，同作者，</w:t>
      </w:r>
      <w:r>
        <w:rPr>
          <w:rFonts w:hAnsi="新細明體"/>
          <w:color w:val="000000"/>
        </w:rPr>
        <w:t>行政法之行為與法律關係理論，</w:t>
      </w:r>
      <w:r>
        <w:rPr>
          <w:color w:val="000000"/>
        </w:rPr>
        <w:t>2005.2</w:t>
      </w:r>
      <w:r>
        <w:rPr>
          <w:rFonts w:hAnsi="新細明體"/>
          <w:color w:val="000000"/>
        </w:rPr>
        <w:t>，頁</w:t>
      </w:r>
      <w:r>
        <w:rPr>
          <w:color w:val="000000"/>
        </w:rPr>
        <w:t>73</w:t>
      </w:r>
      <w:r>
        <w:rPr>
          <w:rFonts w:hAnsi="新細明體"/>
          <w:color w:val="000000"/>
        </w:rPr>
        <w:t>以下。</w:t>
      </w:r>
    </w:p>
  </w:footnote>
  <w:footnote w:id="29">
    <w:p w:rsidR="00E02252" w:rsidRDefault="00E02252">
      <w:pPr>
        <w:pStyle w:val="ad"/>
        <w:spacing w:line="360" w:lineRule="auto"/>
        <w:jc w:val="both"/>
        <w:rPr>
          <w:lang w:val="de-DE"/>
        </w:rPr>
      </w:pPr>
      <w:r>
        <w:rPr>
          <w:rStyle w:val="ae"/>
        </w:rPr>
        <w:footnoteRef/>
      </w:r>
      <w:r>
        <w:rPr>
          <w:lang w:val="de-DE"/>
        </w:rPr>
        <w:t xml:space="preserve"> Vgl. </w:t>
      </w:r>
      <w:r>
        <w:rPr>
          <w:bCs/>
          <w:iCs/>
          <w:lang w:val="de-DE"/>
        </w:rPr>
        <w:t xml:space="preserve">Eberhard Schmidt-Aßmann, </w:t>
      </w:r>
      <w:r>
        <w:rPr>
          <w:lang w:val="de-DE"/>
        </w:rPr>
        <w:t>Das allgemeine Verwaltungsrecht als Ordnungsidee, 1998, 2/ 60 ff.</w:t>
      </w:r>
    </w:p>
  </w:footnote>
  <w:footnote w:id="30">
    <w:p w:rsidR="00E02252" w:rsidRDefault="00E02252">
      <w:pPr>
        <w:pStyle w:val="ad"/>
        <w:spacing w:line="360" w:lineRule="auto"/>
        <w:jc w:val="both"/>
      </w:pPr>
      <w:r>
        <w:rPr>
          <w:rStyle w:val="ae"/>
        </w:rPr>
        <w:footnoteRef/>
      </w:r>
      <w:r>
        <w:t xml:space="preserve"> </w:t>
      </w:r>
      <w:r>
        <w:rPr>
          <w:rFonts w:hAnsi="新細明體"/>
        </w:rPr>
        <w:t>早在</w:t>
      </w:r>
      <w:r>
        <w:t>1964</w:t>
      </w:r>
      <w:r>
        <w:rPr>
          <w:rFonts w:hAnsi="新細明體"/>
        </w:rPr>
        <w:t>年，學者提姆即已指出，傳統特別權力關係區分經營關係與基礎關係而異其權利救濟可能性，無異是主張「輕微權利侵害即不用給予保護（</w:t>
      </w:r>
      <w:r>
        <w:t>minima non curat praetor</w:t>
      </w:r>
      <w:r>
        <w:rPr>
          <w:rFonts w:hAnsi="新細明體"/>
        </w:rPr>
        <w:t>）」。</w:t>
      </w:r>
      <w:r>
        <w:t>Vgl. Werner Thieme, Der Gesetzvorbehalt im besonderen Gewaltverhältnis, JZ 1964, 83.</w:t>
      </w:r>
    </w:p>
  </w:footnote>
  <w:footnote w:id="31">
    <w:p w:rsidR="00E02252" w:rsidRDefault="00E02252">
      <w:pPr>
        <w:pStyle w:val="ad"/>
        <w:spacing w:line="360" w:lineRule="auto"/>
        <w:jc w:val="both"/>
      </w:pPr>
      <w:r>
        <w:rPr>
          <w:rStyle w:val="ae"/>
        </w:rPr>
        <w:footnoteRef/>
      </w:r>
      <w:r>
        <w:t xml:space="preserve"> </w:t>
      </w:r>
      <w:r>
        <w:rPr>
          <w:rFonts w:hAnsi="新細明體"/>
        </w:rPr>
        <w:t>參考，程明修，「對公務人員職務調動處分的行政訴訟」，司法院，行政訴訟論文彙編</w:t>
      </w:r>
      <w:r>
        <w:t xml:space="preserve"> - </w:t>
      </w:r>
      <w:r>
        <w:rPr>
          <w:rFonts w:hAnsi="新細明體"/>
        </w:rPr>
        <w:t>人事行政爭訟，</w:t>
      </w:r>
      <w:r>
        <w:t>2002.11</w:t>
      </w:r>
      <w:r>
        <w:rPr>
          <w:rFonts w:hAnsi="新細明體"/>
        </w:rPr>
        <w:t>，頁</w:t>
      </w:r>
      <w:r>
        <w:t>444</w:t>
      </w:r>
      <w:r>
        <w:rPr>
          <w:rFonts w:hAnsi="新細明體"/>
        </w:rPr>
        <w:t>；</w:t>
      </w:r>
      <w:r>
        <w:t>Henning Leupold, Rechtsschutz bei beamtenrechtlichen Umsetzungen, DÖD 2002, 136 ff.</w:t>
      </w:r>
    </w:p>
  </w:footnote>
  <w:footnote w:id="32">
    <w:p w:rsidR="00E02252" w:rsidRDefault="00E02252">
      <w:pPr>
        <w:pStyle w:val="ad"/>
        <w:spacing w:line="360" w:lineRule="auto"/>
        <w:jc w:val="both"/>
      </w:pPr>
      <w:r>
        <w:rPr>
          <w:rStyle w:val="ae"/>
        </w:rPr>
        <w:footnoteRef/>
      </w:r>
      <w:r>
        <w:rPr>
          <w:lang w:val="de-DE"/>
        </w:rPr>
        <w:t xml:space="preserve"> Vgl. Frank Stollberg (Hrsg.), Beamtrecht in der Fallbearbeitung, 1993, 2. </w:t>
      </w:r>
      <w:r>
        <w:t>Aufl., S. 118.</w:t>
      </w:r>
    </w:p>
  </w:footnote>
  <w:footnote w:id="33">
    <w:p w:rsidR="00E02252" w:rsidRDefault="00E02252">
      <w:pPr>
        <w:pStyle w:val="ad"/>
        <w:spacing w:line="360" w:lineRule="auto"/>
        <w:jc w:val="both"/>
        <w:rPr>
          <w:lang w:val="de-DE"/>
        </w:rPr>
      </w:pPr>
      <w:r>
        <w:rPr>
          <w:rStyle w:val="ae"/>
        </w:rPr>
        <w:footnoteRef/>
      </w:r>
      <w:r>
        <w:rPr>
          <w:lang w:val="de-DE"/>
        </w:rPr>
        <w:t xml:space="preserve"> Vgl. Judith Schwarplys, Die allgemeine Gestaltungsklage als Rechtsschutzform gegen verwaltungsinterne Regelungen, 1996, S. 34.</w:t>
      </w:r>
    </w:p>
  </w:footnote>
  <w:footnote w:id="34">
    <w:p w:rsidR="00E02252" w:rsidRDefault="00E02252">
      <w:pPr>
        <w:pStyle w:val="ad"/>
        <w:spacing w:line="360" w:lineRule="auto"/>
        <w:jc w:val="both"/>
      </w:pPr>
      <w:r>
        <w:rPr>
          <w:rStyle w:val="ae"/>
        </w:rPr>
        <w:footnoteRef/>
      </w:r>
      <w:r>
        <w:t xml:space="preserve"> </w:t>
      </w:r>
      <w:r>
        <w:rPr>
          <w:rFonts w:hAnsi="新細明體"/>
        </w:rPr>
        <w:t>此一問題若不從制度面解決，實務上認知之紛擾恐難平息。例如高雄行政法院</w:t>
      </w:r>
      <w:r>
        <w:t>94</w:t>
      </w:r>
      <w:r>
        <w:rPr>
          <w:rFonts w:hAnsi="新細明體"/>
        </w:rPr>
        <w:t>年訴字第</w:t>
      </w:r>
      <w:r>
        <w:t>483</w:t>
      </w:r>
      <w:r>
        <w:rPr>
          <w:rFonts w:hAnsi="新細明體"/>
        </w:rPr>
        <w:t>號裁定，對於行政機關免除公務人員主管之行政兼職，認屬機關行政業務之調整，未改變公務人員身份上之法律地位，對其權利並無重大影響，此種職務命令並非影響公務人員之不利益處分，僅得提起申訴、再申訴之見解，與保訓會認知之落差，即屬適例。</w:t>
      </w:r>
    </w:p>
  </w:footnote>
  <w:footnote w:id="35">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相同的批判，參考，李建良，保障制度復審範圍之研究，公務人員保障暨培訓委員會委託研究計畫，</w:t>
      </w:r>
      <w:r>
        <w:rPr>
          <w:lang w:val="de-DE"/>
        </w:rPr>
        <w:t>2003.12</w:t>
      </w:r>
      <w:r>
        <w:rPr>
          <w:rFonts w:hAnsi="新細明體"/>
          <w:lang w:val="de-DE"/>
        </w:rPr>
        <w:t>，頁</w:t>
      </w:r>
      <w:r>
        <w:rPr>
          <w:lang w:val="de-DE"/>
        </w:rPr>
        <w:t>143</w:t>
      </w:r>
      <w:r>
        <w:rPr>
          <w:rFonts w:hAnsi="新細明體"/>
          <w:lang w:val="de-DE"/>
        </w:rPr>
        <w:t>以下。</w:t>
      </w:r>
    </w:p>
  </w:footnote>
  <w:footnote w:id="36">
    <w:p w:rsidR="00E02252" w:rsidRDefault="00E02252">
      <w:pPr>
        <w:pStyle w:val="ad"/>
        <w:spacing w:line="360" w:lineRule="auto"/>
        <w:rPr>
          <w:lang w:val="de-DE"/>
        </w:rPr>
      </w:pPr>
      <w:r>
        <w:rPr>
          <w:rStyle w:val="ae"/>
        </w:rPr>
        <w:footnoteRef/>
      </w:r>
      <w:r>
        <w:rPr>
          <w:lang w:val="de-DE"/>
        </w:rPr>
        <w:t xml:space="preserve"> </w:t>
      </w:r>
      <w:r>
        <w:rPr>
          <w:rFonts w:hAnsi="新細明體"/>
        </w:rPr>
        <w:t>蔡志方</w:t>
      </w:r>
      <w:r>
        <w:rPr>
          <w:rFonts w:hAnsi="新細明體"/>
          <w:lang w:val="de-DE"/>
        </w:rPr>
        <w:t>，</w:t>
      </w:r>
      <w:r>
        <w:rPr>
          <w:rFonts w:hAnsi="新細明體"/>
        </w:rPr>
        <w:t>行政法三十六講</w:t>
      </w:r>
      <w:r>
        <w:rPr>
          <w:rFonts w:hAnsi="新細明體"/>
          <w:lang w:val="de-DE"/>
        </w:rPr>
        <w:t>，</w:t>
      </w:r>
      <w:r>
        <w:rPr>
          <w:lang w:val="de-DE"/>
        </w:rPr>
        <w:t>1997</w:t>
      </w:r>
      <w:r>
        <w:rPr>
          <w:rFonts w:hAnsi="新細明體"/>
          <w:lang w:val="de-DE"/>
        </w:rPr>
        <w:t>，</w:t>
      </w:r>
      <w:r>
        <w:rPr>
          <w:rFonts w:hAnsi="新細明體"/>
        </w:rPr>
        <w:t>頁</w:t>
      </w:r>
      <w:r>
        <w:rPr>
          <w:lang w:val="de-DE"/>
        </w:rPr>
        <w:t>195</w:t>
      </w:r>
      <w:r>
        <w:rPr>
          <w:rFonts w:hAnsi="新細明體"/>
          <w:lang w:val="de-DE"/>
        </w:rPr>
        <w:t>；</w:t>
      </w:r>
      <w:r>
        <w:rPr>
          <w:lang w:val="de-DE"/>
        </w:rPr>
        <w:t>Hartmut</w:t>
      </w:r>
      <w:r>
        <w:rPr>
          <w:bCs/>
          <w:iCs/>
          <w:lang w:val="de-DE"/>
        </w:rPr>
        <w:t xml:space="preserve"> Maurer,</w:t>
      </w:r>
      <w:r>
        <w:rPr>
          <w:lang w:val="de-DE"/>
        </w:rPr>
        <w:t xml:space="preserve"> Allgemeines Verwaltungsrecht, 2000, 13. Aufl., § 9 Rn. 26.</w:t>
      </w:r>
    </w:p>
  </w:footnote>
  <w:footnote w:id="37">
    <w:p w:rsidR="00E02252" w:rsidRDefault="00E02252">
      <w:pPr>
        <w:pStyle w:val="ad"/>
        <w:spacing w:line="360" w:lineRule="auto"/>
        <w:rPr>
          <w:lang w:val="de-DE"/>
        </w:rPr>
      </w:pPr>
      <w:r>
        <w:rPr>
          <w:rStyle w:val="ae"/>
        </w:rPr>
        <w:footnoteRef/>
      </w:r>
      <w:r>
        <w:rPr>
          <w:lang w:val="de-DE"/>
        </w:rPr>
        <w:t xml:space="preserve"> Vgl. </w:t>
      </w:r>
      <w:r>
        <w:rPr>
          <w:bCs/>
          <w:iCs/>
          <w:lang w:val="de-DE"/>
        </w:rPr>
        <w:t>Rudolf Schweickdardt</w:t>
      </w:r>
      <w:r>
        <w:rPr>
          <w:lang w:val="de-DE"/>
        </w:rPr>
        <w:t>, Allgemeines Verwaltungsrecht, 1983, 3. Aufl., Rn. 326.</w:t>
      </w:r>
    </w:p>
  </w:footnote>
  <w:footnote w:id="38">
    <w:p w:rsidR="00E02252" w:rsidRDefault="00E02252">
      <w:pPr>
        <w:pStyle w:val="ad"/>
        <w:spacing w:line="360" w:lineRule="auto"/>
        <w:rPr>
          <w:lang w:val="de-DE"/>
        </w:rPr>
      </w:pPr>
      <w:r>
        <w:rPr>
          <w:rStyle w:val="ae"/>
        </w:rPr>
        <w:footnoteRef/>
      </w:r>
      <w:r>
        <w:rPr>
          <w:lang w:val="de-DE"/>
        </w:rPr>
        <w:t xml:space="preserve"> Vgl. Hartmut</w:t>
      </w:r>
      <w:r>
        <w:rPr>
          <w:bCs/>
          <w:iCs/>
          <w:lang w:val="de-DE"/>
        </w:rPr>
        <w:t xml:space="preserve"> Maurer,</w:t>
      </w:r>
      <w:r>
        <w:rPr>
          <w:lang w:val="de-DE"/>
        </w:rPr>
        <w:t xml:space="preserve"> </w:t>
      </w:r>
      <w:r>
        <w:rPr>
          <w:rFonts w:hint="eastAsia"/>
          <w:color w:val="0000FF"/>
          <w:lang w:val="de-DE"/>
        </w:rPr>
        <w:t>a.a.O.(Anm.36)</w:t>
      </w:r>
      <w:r>
        <w:rPr>
          <w:lang w:val="de-DE"/>
        </w:rPr>
        <w:t>, § 9 Rn. 26.</w:t>
      </w:r>
    </w:p>
  </w:footnote>
  <w:footnote w:id="39">
    <w:p w:rsidR="00E02252" w:rsidRDefault="00E02252">
      <w:pPr>
        <w:pStyle w:val="ad"/>
        <w:spacing w:line="360" w:lineRule="auto"/>
        <w:rPr>
          <w:lang w:val="de-DE"/>
        </w:rPr>
      </w:pPr>
      <w:r>
        <w:rPr>
          <w:rStyle w:val="ae"/>
        </w:rPr>
        <w:footnoteRef/>
      </w:r>
      <w:r>
        <w:rPr>
          <w:lang w:val="de-DE"/>
        </w:rPr>
        <w:t xml:space="preserve"> </w:t>
      </w:r>
      <w:r>
        <w:rPr>
          <w:rFonts w:hAnsi="新細明體"/>
        </w:rPr>
        <w:t>對於內部法與外部法無法嚴格區分的質疑</w:t>
      </w:r>
      <w:r>
        <w:rPr>
          <w:rFonts w:hAnsi="新細明體"/>
          <w:lang w:val="de-DE"/>
        </w:rPr>
        <w:t>，</w:t>
      </w:r>
      <w:r>
        <w:rPr>
          <w:rFonts w:hAnsi="新細明體"/>
        </w:rPr>
        <w:t>或者甚至主張兩者根本就是流動</w:t>
      </w:r>
      <w:r>
        <w:rPr>
          <w:rFonts w:hAnsi="新細明體"/>
          <w:lang w:val="de-DE"/>
        </w:rPr>
        <w:t>（</w:t>
      </w:r>
      <w:r>
        <w:rPr>
          <w:lang w:val="de-DE"/>
        </w:rPr>
        <w:t>fließend</w:t>
      </w:r>
      <w:r>
        <w:rPr>
          <w:rFonts w:hAnsi="新細明體"/>
          <w:lang w:val="de-DE"/>
        </w:rPr>
        <w:t>）</w:t>
      </w:r>
      <w:r>
        <w:rPr>
          <w:rFonts w:hAnsi="新細明體"/>
        </w:rPr>
        <w:t>的概念</w:t>
      </w:r>
      <w:r>
        <w:rPr>
          <w:rFonts w:hAnsi="新細明體"/>
          <w:lang w:val="de-DE"/>
        </w:rPr>
        <w:t>，</w:t>
      </w:r>
      <w:r>
        <w:rPr>
          <w:lang w:val="de-DE"/>
        </w:rPr>
        <w:t xml:space="preserve">vgl. </w:t>
      </w:r>
      <w:r>
        <w:rPr>
          <w:bCs/>
          <w:iCs/>
          <w:lang w:val="fr-FR"/>
        </w:rPr>
        <w:t>Franz-Joseph</w:t>
      </w:r>
      <w:r>
        <w:rPr>
          <w:lang w:val="de-DE"/>
        </w:rPr>
        <w:t xml:space="preserve"> </w:t>
      </w:r>
      <w:r>
        <w:rPr>
          <w:bCs/>
          <w:iCs/>
          <w:lang w:val="fr-FR"/>
        </w:rPr>
        <w:t xml:space="preserve">Peine, </w:t>
      </w:r>
      <w:r>
        <w:rPr>
          <w:lang w:val="de-DE"/>
        </w:rPr>
        <w:t>Allgemeines Verwaltungsrecht, 2000, 5. Aufl., § 2 Rn. 21; Wolfgang Roth, Verwaltungsrechtliche Organstreitigkeiten, 2001, S. 157.</w:t>
      </w:r>
    </w:p>
  </w:footnote>
  <w:footnote w:id="40">
    <w:p w:rsidR="00E02252" w:rsidRDefault="00E02252">
      <w:pPr>
        <w:pStyle w:val="ad"/>
        <w:spacing w:line="360" w:lineRule="auto"/>
      </w:pPr>
      <w:r>
        <w:rPr>
          <w:rStyle w:val="ae"/>
        </w:rPr>
        <w:footnoteRef/>
      </w:r>
      <w:r>
        <w:rPr>
          <w:lang w:val="de-DE"/>
        </w:rPr>
        <w:t xml:space="preserve"> </w:t>
      </w:r>
      <w:r>
        <w:rPr>
          <w:rFonts w:hAnsi="新細明體"/>
        </w:rPr>
        <w:t>例如</w:t>
      </w:r>
      <w:r>
        <w:rPr>
          <w:rFonts w:hAnsi="新細明體"/>
          <w:lang w:val="de-DE"/>
        </w:rPr>
        <w:t>，</w:t>
      </w:r>
      <w:r>
        <w:rPr>
          <w:rFonts w:hAnsi="新細明體"/>
          <w:bCs/>
          <w:iCs/>
        </w:rPr>
        <w:t>廖義男</w:t>
      </w:r>
      <w:r>
        <w:rPr>
          <w:rFonts w:hAnsi="新細明體"/>
          <w:lang w:val="de-DE"/>
        </w:rPr>
        <w:t>，</w:t>
      </w:r>
      <w:r>
        <w:rPr>
          <w:rFonts w:hAnsi="新細明體"/>
        </w:rPr>
        <w:t>「行政程序法草案之重要內容</w:t>
      </w:r>
      <w:r>
        <w:rPr>
          <w:rFonts w:hAnsi="新細明體"/>
          <w:lang w:val="de-DE"/>
        </w:rPr>
        <w:t>（</w:t>
      </w:r>
      <w:r>
        <w:rPr>
          <w:rFonts w:hAnsi="新細明體"/>
        </w:rPr>
        <w:t>一</w:t>
      </w:r>
      <w:r>
        <w:rPr>
          <w:rFonts w:hAnsi="新細明體"/>
          <w:lang w:val="de-DE"/>
        </w:rPr>
        <w:t>）</w:t>
      </w:r>
      <w:r>
        <w:rPr>
          <w:lang w:val="de-DE"/>
        </w:rPr>
        <w:t xml:space="preserve"> - </w:t>
      </w:r>
      <w:r>
        <w:rPr>
          <w:rFonts w:hAnsi="新細明體"/>
        </w:rPr>
        <w:t>適用範圍、行政處分與法規命令」</w:t>
      </w:r>
      <w:r>
        <w:rPr>
          <w:rFonts w:hAnsi="新細明體"/>
          <w:lang w:val="de-DE"/>
        </w:rPr>
        <w:t>，</w:t>
      </w:r>
      <w:r>
        <w:rPr>
          <w:rFonts w:hAnsi="新細明體"/>
        </w:rPr>
        <w:t>行政程序法草案研討會會議資料</w:t>
      </w:r>
      <w:r>
        <w:rPr>
          <w:rFonts w:hAnsi="新細明體"/>
          <w:lang w:val="de-DE"/>
        </w:rPr>
        <w:t>，</w:t>
      </w:r>
      <w:r>
        <w:rPr>
          <w:lang w:val="de-DE"/>
        </w:rPr>
        <w:t>1998.12.19</w:t>
      </w:r>
      <w:r>
        <w:rPr>
          <w:rFonts w:hAnsi="新細明體"/>
          <w:lang w:val="de-DE"/>
        </w:rPr>
        <w:t>，</w:t>
      </w:r>
      <w:r>
        <w:rPr>
          <w:rFonts w:hAnsi="新細明體"/>
        </w:rPr>
        <w:t>頁</w:t>
      </w:r>
      <w:r>
        <w:rPr>
          <w:lang w:val="de-DE"/>
        </w:rPr>
        <w:t>1-23</w:t>
      </w:r>
      <w:r>
        <w:rPr>
          <w:rFonts w:hAnsi="新細明體"/>
        </w:rPr>
        <w:t>。另有學者在「涉及權利」與否的判斷之外，另外再輔以形式組織上的內外關係為準據。參考，李建良，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138</w:t>
      </w:r>
      <w:r>
        <w:rPr>
          <w:rFonts w:hAnsi="新細明體"/>
        </w:rPr>
        <w:t>以下。</w:t>
      </w:r>
    </w:p>
  </w:footnote>
  <w:footnote w:id="41">
    <w:p w:rsidR="00E02252" w:rsidRDefault="00E02252">
      <w:pPr>
        <w:pStyle w:val="ad"/>
        <w:spacing w:line="360" w:lineRule="auto"/>
        <w:rPr>
          <w:lang w:val="de-DE"/>
        </w:rPr>
      </w:pPr>
      <w:r>
        <w:rPr>
          <w:rStyle w:val="ae"/>
        </w:rPr>
        <w:footnoteRef/>
      </w:r>
      <w:r>
        <w:rPr>
          <w:lang w:val="de-DE"/>
        </w:rPr>
        <w:t xml:space="preserve"> </w:t>
      </w:r>
      <w:r>
        <w:rPr>
          <w:rFonts w:hAnsi="新細明體"/>
          <w:lang w:val="de-DE"/>
        </w:rPr>
        <w:t>參考，程明修，「針對地方自治『內部法律關係』與『外部法律關係』監督措施之行政訴訟」，同作者，行政法之行為與法律關係理論，</w:t>
      </w:r>
      <w:r>
        <w:rPr>
          <w:lang w:val="de-DE"/>
        </w:rPr>
        <w:t>2005.10</w:t>
      </w:r>
      <w:r>
        <w:rPr>
          <w:rFonts w:hAnsi="新細明體"/>
          <w:lang w:val="de-DE"/>
        </w:rPr>
        <w:t>，</w:t>
      </w:r>
      <w:r>
        <w:rPr>
          <w:lang w:val="de-DE"/>
        </w:rPr>
        <w:t>2</w:t>
      </w:r>
      <w:r>
        <w:rPr>
          <w:rFonts w:hAnsi="新細明體"/>
          <w:lang w:val="de-DE"/>
        </w:rPr>
        <w:t>版，頁</w:t>
      </w:r>
      <w:r>
        <w:rPr>
          <w:lang w:val="de-DE"/>
        </w:rPr>
        <w:t>415</w:t>
      </w:r>
      <w:r>
        <w:rPr>
          <w:rFonts w:hAnsi="新細明體"/>
          <w:lang w:val="de-DE"/>
        </w:rPr>
        <w:t>。</w:t>
      </w:r>
    </w:p>
  </w:footnote>
  <w:footnote w:id="42">
    <w:p w:rsidR="00E02252" w:rsidRDefault="00E02252">
      <w:pPr>
        <w:pStyle w:val="ad"/>
        <w:spacing w:line="360" w:lineRule="auto"/>
        <w:rPr>
          <w:lang w:val="de-DE"/>
        </w:rPr>
      </w:pPr>
      <w:r>
        <w:rPr>
          <w:rStyle w:val="ae"/>
        </w:rPr>
        <w:footnoteRef/>
      </w:r>
      <w:r>
        <w:rPr>
          <w:rFonts w:hint="eastAsia"/>
          <w:color w:val="0000FF"/>
          <w:lang w:val="de-DE"/>
        </w:rPr>
        <w:t xml:space="preserve"> V</w:t>
      </w:r>
      <w:r>
        <w:rPr>
          <w:color w:val="0000FF"/>
          <w:lang w:val="de-DE"/>
        </w:rPr>
        <w:t>gl.</w:t>
      </w:r>
      <w:r>
        <w:rPr>
          <w:lang w:val="de-DE"/>
        </w:rPr>
        <w:t xml:space="preserve"> Ferdinand O. Kopp/ Ulrich Ramsauer, </w:t>
      </w:r>
      <w:r>
        <w:rPr>
          <w:rFonts w:hint="eastAsia"/>
          <w:lang w:val="de-DE"/>
        </w:rPr>
        <w:t>VwVfG</w:t>
      </w:r>
      <w:r>
        <w:rPr>
          <w:lang w:val="de-DE"/>
        </w:rPr>
        <w:t xml:space="preserve">, </w:t>
      </w:r>
      <w:r>
        <w:rPr>
          <w:rFonts w:hint="eastAsia"/>
          <w:lang w:val="de-DE"/>
        </w:rPr>
        <w:t xml:space="preserve">7. Aufl., 2000, </w:t>
      </w:r>
      <w:r>
        <w:rPr>
          <w:lang w:val="de-DE"/>
        </w:rPr>
        <w:t>§ 35 Rn. 75.</w:t>
      </w:r>
    </w:p>
  </w:footnote>
  <w:footnote w:id="43">
    <w:p w:rsidR="00E02252" w:rsidRDefault="00E02252">
      <w:pPr>
        <w:pStyle w:val="ad"/>
        <w:spacing w:line="360" w:lineRule="auto"/>
        <w:rPr>
          <w:lang w:val="de-DE"/>
        </w:rPr>
      </w:pPr>
      <w:r>
        <w:rPr>
          <w:rStyle w:val="ae"/>
        </w:rPr>
        <w:footnoteRef/>
      </w:r>
      <w:r>
        <w:rPr>
          <w:lang w:val="de-DE"/>
        </w:rPr>
        <w:t xml:space="preserve"> </w:t>
      </w:r>
      <w:r>
        <w:rPr>
          <w:lang w:val="de-DE" w:eastAsia="ja-JP"/>
        </w:rPr>
        <w:t xml:space="preserve">Vgl. Ulrich Battis, Recht auf öffentlichen Dienstes, in: Achterberg/ Püttner/ Würtenberg (Hrsg.), Besonderes Verwaltungsrecht, Bd. </w:t>
      </w:r>
      <w:r>
        <w:rPr>
          <w:lang w:val="de-DE"/>
        </w:rPr>
        <w:t>II, 2. Aufl.</w:t>
      </w:r>
      <w:r>
        <w:rPr>
          <w:lang w:val="de-DE" w:eastAsia="ja-JP"/>
        </w:rPr>
        <w:t xml:space="preserve">, 2000, </w:t>
      </w:r>
      <w:r>
        <w:rPr>
          <w:lang w:val="de-DE"/>
        </w:rPr>
        <w:t>§ 31 Rn. 27.</w:t>
      </w:r>
    </w:p>
  </w:footnote>
  <w:footnote w:id="44">
    <w:p w:rsidR="00E02252" w:rsidRDefault="00E02252">
      <w:pPr>
        <w:pStyle w:val="ad"/>
        <w:spacing w:line="360" w:lineRule="auto"/>
      </w:pPr>
      <w:r>
        <w:rPr>
          <w:rStyle w:val="ae"/>
        </w:rPr>
        <w:footnoteRef/>
      </w:r>
      <w:r>
        <w:rPr>
          <w:lang w:val="de-DE"/>
        </w:rPr>
        <w:t xml:space="preserve"> </w:t>
      </w:r>
      <w:r>
        <w:rPr>
          <w:rFonts w:hAnsi="新細明體"/>
        </w:rPr>
        <w:t>大法官釋字第</w:t>
      </w:r>
      <w:r>
        <w:rPr>
          <w:lang w:val="de-DE"/>
        </w:rPr>
        <w:t>423</w:t>
      </w:r>
      <w:r>
        <w:rPr>
          <w:rFonts w:hAnsi="新細明體"/>
        </w:rPr>
        <w:t>號解釋中</w:t>
      </w:r>
      <w:r>
        <w:rPr>
          <w:rFonts w:hAnsi="新細明體"/>
          <w:lang w:val="de-DE"/>
        </w:rPr>
        <w:t>，</w:t>
      </w:r>
      <w:r>
        <w:rPr>
          <w:rFonts w:hAnsi="新細明體"/>
        </w:rPr>
        <w:t>認為「行政機關行使公權力</w:t>
      </w:r>
      <w:r>
        <w:rPr>
          <w:rFonts w:hAnsi="新細明體"/>
          <w:lang w:val="de-DE"/>
        </w:rPr>
        <w:t>，</w:t>
      </w:r>
      <w:r>
        <w:rPr>
          <w:rFonts w:hAnsi="新細明體"/>
        </w:rPr>
        <w:t>就特定具體之公法事件所為對外發生法律上效果之單方行政行為</w:t>
      </w:r>
      <w:r>
        <w:rPr>
          <w:rFonts w:hAnsi="新細明體"/>
          <w:lang w:val="de-DE"/>
        </w:rPr>
        <w:t>，</w:t>
      </w:r>
      <w:r>
        <w:rPr>
          <w:rFonts w:hAnsi="新細明體"/>
        </w:rPr>
        <w:t>『皆屬』行政處分」</w:t>
      </w:r>
      <w:r>
        <w:rPr>
          <w:rFonts w:hAnsi="新細明體"/>
          <w:lang w:val="de-DE"/>
        </w:rPr>
        <w:t>，</w:t>
      </w:r>
      <w:r>
        <w:rPr>
          <w:rFonts w:hAnsi="新細明體"/>
        </w:rPr>
        <w:t>其中似乎就有忽略「直接性」判斷</w:t>
      </w:r>
      <w:r>
        <w:rPr>
          <w:rFonts w:hAnsi="新細明體"/>
          <w:lang w:val="de-DE"/>
        </w:rPr>
        <w:t>，</w:t>
      </w:r>
      <w:r>
        <w:rPr>
          <w:rFonts w:hAnsi="新細明體"/>
        </w:rPr>
        <w:t>同時造成行政處分過度承載的疑慮。</w:t>
      </w:r>
    </w:p>
  </w:footnote>
  <w:footnote w:id="45">
    <w:p w:rsidR="00E02252" w:rsidRDefault="00E02252">
      <w:pPr>
        <w:pStyle w:val="ad"/>
        <w:spacing w:line="360" w:lineRule="auto"/>
        <w:rPr>
          <w:lang w:val="de-DE"/>
        </w:rPr>
      </w:pPr>
      <w:r>
        <w:rPr>
          <w:rStyle w:val="ae"/>
        </w:rPr>
        <w:footnoteRef/>
      </w:r>
      <w:r>
        <w:rPr>
          <w:lang w:val="de-DE"/>
        </w:rPr>
        <w:t xml:space="preserve"> </w:t>
      </w:r>
      <w:r>
        <w:rPr>
          <w:lang w:val="de-DE" w:eastAsia="ja-JP"/>
        </w:rPr>
        <w:t>Vgl.</w:t>
      </w:r>
      <w:r>
        <w:rPr>
          <w:rFonts w:hint="eastAsia"/>
          <w:lang w:val="de-DE"/>
        </w:rPr>
        <w:t xml:space="preserve"> </w:t>
      </w:r>
      <w:r>
        <w:rPr>
          <w:lang w:val="de-DE"/>
        </w:rPr>
        <w:t>Henning Leupold, Rechtsschutz bei beamtenrechtlichen Umsetzungen, DÖD 2002, 136 ff.</w:t>
      </w:r>
    </w:p>
  </w:footnote>
  <w:footnote w:id="46">
    <w:p w:rsidR="00E02252" w:rsidRDefault="00E02252">
      <w:pPr>
        <w:pStyle w:val="ad"/>
        <w:spacing w:line="360" w:lineRule="auto"/>
        <w:jc w:val="both"/>
        <w:rPr>
          <w:lang w:val="de-DE"/>
        </w:rPr>
      </w:pPr>
      <w:r>
        <w:rPr>
          <w:rStyle w:val="ae"/>
        </w:rPr>
        <w:footnoteRef/>
      </w:r>
      <w:r>
        <w:rPr>
          <w:lang w:val="de-DE"/>
        </w:rPr>
        <w:t xml:space="preserve"> Vgl. Uwe Kernbach, Die Rechtsschutzmöglichkeiten des unterlegenen Konkurrenten im beamtenrechtlichen Ernennungsverfahhren, Diss. Tübingen, 1994, S. 114 ff.</w:t>
      </w:r>
    </w:p>
  </w:footnote>
  <w:footnote w:id="47">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color w:val="0000FF"/>
          <w:lang w:val="de-DE"/>
        </w:rPr>
        <w:t>a.a.O.(Anm. 46)</w:t>
      </w:r>
      <w:r>
        <w:rPr>
          <w:lang w:val="de-DE"/>
        </w:rPr>
        <w:t>, S. 77.</w:t>
      </w:r>
    </w:p>
  </w:footnote>
  <w:footnote w:id="48">
    <w:p w:rsidR="00E02252" w:rsidRDefault="00E02252">
      <w:pPr>
        <w:pStyle w:val="ad"/>
        <w:spacing w:line="360" w:lineRule="auto"/>
        <w:jc w:val="both"/>
        <w:rPr>
          <w:lang w:val="de-DE"/>
        </w:rPr>
      </w:pPr>
      <w:r>
        <w:rPr>
          <w:rStyle w:val="ae"/>
        </w:rPr>
        <w:footnoteRef/>
      </w:r>
      <w:r>
        <w:rPr>
          <w:lang w:val="de-DE"/>
        </w:rPr>
        <w:t xml:space="preserve"> Vgl. </w:t>
      </w:r>
      <w:r>
        <w:rPr>
          <w:kern w:val="0"/>
          <w:lang w:val="de-DE"/>
        </w:rPr>
        <w:t xml:space="preserve">BVerwG NVwZ 1993, </w:t>
      </w:r>
      <w:hyperlink r:id="rId1" w:history="1">
        <w:r>
          <w:rPr>
            <w:kern w:val="0"/>
            <w:lang w:val="de-DE"/>
          </w:rPr>
          <w:t>678</w:t>
        </w:r>
      </w:hyperlink>
      <w:r>
        <w:rPr>
          <w:kern w:val="0"/>
          <w:lang w:val="de-DE"/>
        </w:rPr>
        <w:t xml:space="preserve"> (</w:t>
      </w:r>
      <w:hyperlink r:id="rId2" w:history="1">
        <w:r>
          <w:rPr>
            <w:kern w:val="0"/>
            <w:lang w:val="de-DE"/>
          </w:rPr>
          <w:t>681</w:t>
        </w:r>
      </w:hyperlink>
      <w:r>
        <w:rPr>
          <w:kern w:val="0"/>
          <w:lang w:val="de-DE"/>
        </w:rPr>
        <w:t>).</w:t>
      </w:r>
    </w:p>
  </w:footnote>
  <w:footnote w:id="49">
    <w:p w:rsidR="00E02252" w:rsidRDefault="00E02252">
      <w:pPr>
        <w:pStyle w:val="ad"/>
        <w:spacing w:line="360" w:lineRule="auto"/>
        <w:jc w:val="both"/>
        <w:rPr>
          <w:lang w:val="de-DE"/>
        </w:rPr>
      </w:pPr>
      <w:r>
        <w:rPr>
          <w:rStyle w:val="ae"/>
        </w:rPr>
        <w:footnoteRef/>
      </w:r>
      <w:r>
        <w:rPr>
          <w:lang w:val="de-DE"/>
        </w:rPr>
        <w:t xml:space="preserve"> Vgl. </w:t>
      </w:r>
      <w:r>
        <w:rPr>
          <w:rFonts w:hint="eastAsia"/>
          <w:color w:val="0000FF"/>
          <w:lang w:val="de-DE"/>
        </w:rPr>
        <w:t>Norbert</w:t>
      </w:r>
      <w:r>
        <w:rPr>
          <w:iCs/>
          <w:kern w:val="0"/>
          <w:lang w:val="de-DE"/>
        </w:rPr>
        <w:t xml:space="preserve"> Achterberg,</w:t>
      </w:r>
      <w:r>
        <w:rPr>
          <w:kern w:val="0"/>
          <w:lang w:val="de-DE"/>
        </w:rPr>
        <w:t xml:space="preserve"> DÖV 1971, </w:t>
      </w:r>
      <w:hyperlink r:id="rId3" w:history="1">
        <w:r>
          <w:rPr>
            <w:kern w:val="0"/>
            <w:lang w:val="de-DE"/>
          </w:rPr>
          <w:t>397</w:t>
        </w:r>
      </w:hyperlink>
      <w:r>
        <w:rPr>
          <w:kern w:val="0"/>
          <w:lang w:val="de-DE"/>
        </w:rPr>
        <w:t xml:space="preserve"> ff.; Begründung zu § 9 Entwurf 73 zum BVwVfG.</w:t>
      </w:r>
    </w:p>
  </w:footnote>
  <w:footnote w:id="50">
    <w:p w:rsidR="00E02252" w:rsidRDefault="00E02252">
      <w:pPr>
        <w:pStyle w:val="ad"/>
        <w:spacing w:line="360" w:lineRule="auto"/>
        <w:jc w:val="both"/>
        <w:rPr>
          <w:lang w:val="de-DE"/>
        </w:rPr>
      </w:pPr>
      <w:r>
        <w:rPr>
          <w:rStyle w:val="ae"/>
        </w:rPr>
        <w:footnoteRef/>
      </w:r>
      <w:r>
        <w:rPr>
          <w:lang w:val="de-DE"/>
        </w:rPr>
        <w:t xml:space="preserve"> Vgl. </w:t>
      </w:r>
      <w:r>
        <w:rPr>
          <w:kern w:val="0"/>
          <w:lang w:val="de-DE"/>
        </w:rPr>
        <w:t xml:space="preserve">BVerwGE 115, </w:t>
      </w:r>
      <w:hyperlink r:id="rId4" w:history="1">
        <w:r>
          <w:rPr>
            <w:kern w:val="0"/>
            <w:lang w:val="de-DE"/>
          </w:rPr>
          <w:t>373</w:t>
        </w:r>
      </w:hyperlink>
      <w:r>
        <w:rPr>
          <w:kern w:val="0"/>
          <w:lang w:val="de-DE"/>
        </w:rPr>
        <w:t xml:space="preserve"> (</w:t>
      </w:r>
      <w:hyperlink r:id="rId5" w:history="1">
        <w:r>
          <w:rPr>
            <w:kern w:val="0"/>
            <w:lang w:val="de-DE"/>
          </w:rPr>
          <w:t>379</w:t>
        </w:r>
      </w:hyperlink>
      <w:r>
        <w:rPr>
          <w:kern w:val="0"/>
          <w:lang w:val="de-DE"/>
        </w:rPr>
        <w:t xml:space="preserve">) = NVwZ 2002, </w:t>
      </w:r>
      <w:hyperlink r:id="rId6" w:history="1">
        <w:r>
          <w:rPr>
            <w:kern w:val="0"/>
            <w:lang w:val="de-DE"/>
          </w:rPr>
          <w:t>984</w:t>
        </w:r>
      </w:hyperlink>
      <w:r>
        <w:rPr>
          <w:kern w:val="0"/>
          <w:lang w:val="de-DE"/>
        </w:rPr>
        <w:t>.</w:t>
      </w:r>
    </w:p>
  </w:footnote>
  <w:footnote w:id="51">
    <w:p w:rsidR="00E02252" w:rsidRDefault="00E02252">
      <w:pPr>
        <w:pStyle w:val="ad"/>
        <w:spacing w:line="360" w:lineRule="auto"/>
        <w:jc w:val="both"/>
        <w:rPr>
          <w:lang w:val="de-DE"/>
        </w:rPr>
      </w:pPr>
      <w:r>
        <w:rPr>
          <w:rStyle w:val="ae"/>
        </w:rPr>
        <w:footnoteRef/>
      </w:r>
      <w:r>
        <w:rPr>
          <w:lang w:val="de-DE"/>
        </w:rPr>
        <w:t xml:space="preserve"> Vgl. </w:t>
      </w:r>
      <w:r>
        <w:rPr>
          <w:iCs/>
          <w:kern w:val="0"/>
          <w:lang w:val="de-DE"/>
        </w:rPr>
        <w:t xml:space="preserve">Hill, </w:t>
      </w:r>
      <w:r>
        <w:rPr>
          <w:kern w:val="0"/>
          <w:lang w:val="de-DE"/>
        </w:rPr>
        <w:t xml:space="preserve">Verfahren, S. 54; </w:t>
      </w:r>
      <w:r>
        <w:rPr>
          <w:iCs/>
          <w:kern w:val="0"/>
          <w:lang w:val="de-DE"/>
        </w:rPr>
        <w:t xml:space="preserve">ders., </w:t>
      </w:r>
      <w:r>
        <w:rPr>
          <w:kern w:val="0"/>
          <w:lang w:val="de-DE"/>
        </w:rPr>
        <w:t xml:space="preserve">Jura 1985, </w:t>
      </w:r>
      <w:hyperlink r:id="rId7" w:history="1">
        <w:r>
          <w:rPr>
            <w:kern w:val="0"/>
            <w:lang w:val="de-DE"/>
          </w:rPr>
          <w:t>61</w:t>
        </w:r>
      </w:hyperlink>
      <w:r>
        <w:rPr>
          <w:kern w:val="0"/>
          <w:lang w:val="de-DE"/>
        </w:rPr>
        <w:t xml:space="preserve"> (</w:t>
      </w:r>
      <w:hyperlink r:id="rId8" w:history="1">
        <w:r>
          <w:rPr>
            <w:kern w:val="0"/>
            <w:lang w:val="de-DE"/>
          </w:rPr>
          <w:t>63</w:t>
        </w:r>
      </w:hyperlink>
      <w:r>
        <w:rPr>
          <w:kern w:val="0"/>
          <w:lang w:val="de-DE"/>
        </w:rPr>
        <w:t xml:space="preserve">); </w:t>
      </w:r>
      <w:r>
        <w:rPr>
          <w:iCs/>
          <w:kern w:val="0"/>
          <w:lang w:val="de-DE"/>
        </w:rPr>
        <w:t xml:space="preserve">Stelkens </w:t>
      </w:r>
      <w:r>
        <w:rPr>
          <w:kern w:val="0"/>
          <w:lang w:val="de-DE"/>
        </w:rPr>
        <w:t xml:space="preserve">NJW 1982, </w:t>
      </w:r>
      <w:hyperlink r:id="rId9" w:history="1">
        <w:r>
          <w:rPr>
            <w:kern w:val="0"/>
            <w:lang w:val="de-DE"/>
          </w:rPr>
          <w:t>1137</w:t>
        </w:r>
      </w:hyperlink>
      <w:r>
        <w:rPr>
          <w:kern w:val="0"/>
          <w:lang w:val="de-DE"/>
        </w:rPr>
        <w:t xml:space="preserve">; </w:t>
      </w:r>
      <w:r>
        <w:rPr>
          <w:iCs/>
          <w:kern w:val="0"/>
          <w:lang w:val="de-DE"/>
        </w:rPr>
        <w:t xml:space="preserve">Pagenkopf, </w:t>
      </w:r>
      <w:r>
        <w:rPr>
          <w:kern w:val="0"/>
          <w:lang w:val="de-DE"/>
        </w:rPr>
        <w:t xml:space="preserve">NJW 1979, </w:t>
      </w:r>
      <w:hyperlink r:id="rId10" w:history="1">
        <w:r>
          <w:rPr>
            <w:kern w:val="0"/>
            <w:lang w:val="de-DE"/>
          </w:rPr>
          <w:t>2382</w:t>
        </w:r>
      </w:hyperlink>
      <w:r>
        <w:rPr>
          <w:kern w:val="0"/>
          <w:lang w:val="de-DE"/>
        </w:rPr>
        <w:t xml:space="preserve">; </w:t>
      </w:r>
      <w:r>
        <w:rPr>
          <w:iCs/>
          <w:kern w:val="0"/>
          <w:lang w:val="de-DE"/>
        </w:rPr>
        <w:t xml:space="preserve">Redeker/von Oertzen, </w:t>
      </w:r>
      <w:r>
        <w:rPr>
          <w:kern w:val="0"/>
          <w:lang w:val="de-DE"/>
        </w:rPr>
        <w:t xml:space="preserve">Rn. </w:t>
      </w:r>
      <w:smartTag w:uri="urn:schemas-microsoft-com:office:smarttags" w:element="chmetcnv">
        <w:smartTagPr>
          <w:attr w:name="TCSC" w:val="0"/>
          <w:attr w:name="NumberType" w:val="1"/>
          <w:attr w:name="Negative" w:val="False"/>
          <w:attr w:name="HasSpace" w:val="False"/>
          <w:attr w:name="SourceValue" w:val="3"/>
          <w:attr w:name="UnitName" w:val="a"/>
        </w:smartTagPr>
        <w:r>
          <w:rPr>
            <w:kern w:val="0"/>
            <w:lang w:val="de-DE"/>
          </w:rPr>
          <w:t>3a</w:t>
        </w:r>
      </w:smartTag>
      <w:r>
        <w:rPr>
          <w:kern w:val="0"/>
          <w:lang w:val="de-DE"/>
        </w:rPr>
        <w:t xml:space="preserve">; </w:t>
      </w:r>
      <w:r>
        <w:rPr>
          <w:iCs/>
          <w:kern w:val="0"/>
          <w:lang w:val="de-DE"/>
        </w:rPr>
        <w:t xml:space="preserve">Hufen, </w:t>
      </w:r>
      <w:r>
        <w:rPr>
          <w:kern w:val="0"/>
          <w:lang w:val="de-DE"/>
        </w:rPr>
        <w:t>Fehler, Rn. 637.</w:t>
      </w:r>
    </w:p>
  </w:footnote>
  <w:footnote w:id="52">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參考，法務部，行政程序法解釋及諮詢小組會議記錄彙編，</w:t>
      </w:r>
      <w:r>
        <w:rPr>
          <w:lang w:val="de-DE"/>
        </w:rPr>
        <w:t>2001</w:t>
      </w:r>
      <w:r>
        <w:rPr>
          <w:rFonts w:hAnsi="新細明體"/>
          <w:lang w:val="de-DE"/>
        </w:rPr>
        <w:t>年</w:t>
      </w:r>
      <w:r>
        <w:rPr>
          <w:lang w:val="de-DE"/>
        </w:rPr>
        <w:t>12</w:t>
      </w:r>
      <w:r>
        <w:rPr>
          <w:rFonts w:hAnsi="新細明體"/>
          <w:lang w:val="de-DE"/>
        </w:rPr>
        <w:t>月，頁</w:t>
      </w:r>
      <w:r>
        <w:rPr>
          <w:lang w:val="de-DE"/>
        </w:rPr>
        <w:t>7</w:t>
      </w:r>
      <w:r>
        <w:rPr>
          <w:rFonts w:hAnsi="新細明體"/>
          <w:lang w:val="de-DE"/>
        </w:rPr>
        <w:t>以下。</w:t>
      </w:r>
    </w:p>
  </w:footnote>
  <w:footnote w:id="53">
    <w:p w:rsidR="00E02252" w:rsidRDefault="00E02252">
      <w:pPr>
        <w:widowControl/>
        <w:snapToGrid w:val="0"/>
        <w:spacing w:line="360" w:lineRule="auto"/>
        <w:jc w:val="both"/>
        <w:rPr>
          <w:sz w:val="20"/>
          <w:szCs w:val="20"/>
          <w:lang w:val="de-DE"/>
        </w:rPr>
      </w:pPr>
      <w:r>
        <w:rPr>
          <w:rStyle w:val="ae"/>
          <w:sz w:val="20"/>
          <w:szCs w:val="20"/>
        </w:rPr>
        <w:footnoteRef/>
      </w:r>
      <w:r>
        <w:rPr>
          <w:sz w:val="20"/>
          <w:szCs w:val="20"/>
          <w:lang w:val="de-DE"/>
        </w:rPr>
        <w:t xml:space="preserve"> Vgl. </w:t>
      </w:r>
      <w:r>
        <w:rPr>
          <w:iCs/>
          <w:kern w:val="0"/>
          <w:sz w:val="20"/>
          <w:szCs w:val="20"/>
          <w:lang w:val="de-DE"/>
        </w:rPr>
        <w:t>Riedl</w:t>
      </w:r>
      <w:r>
        <w:rPr>
          <w:kern w:val="0"/>
          <w:sz w:val="20"/>
          <w:szCs w:val="20"/>
          <w:lang w:val="de-DE"/>
        </w:rPr>
        <w:t xml:space="preserve"> in Obermayer § 65 Rn. 7.</w:t>
      </w:r>
    </w:p>
  </w:footnote>
  <w:footnote w:id="54">
    <w:p w:rsidR="00E02252" w:rsidRDefault="00E02252">
      <w:pPr>
        <w:pStyle w:val="ad"/>
        <w:spacing w:line="360" w:lineRule="auto"/>
        <w:jc w:val="both"/>
        <w:rPr>
          <w:lang w:val="de-DE"/>
        </w:rPr>
      </w:pPr>
      <w:r>
        <w:rPr>
          <w:rStyle w:val="ae"/>
        </w:rPr>
        <w:footnoteRef/>
      </w:r>
      <w:r>
        <w:rPr>
          <w:lang w:val="de-DE"/>
        </w:rPr>
        <w:t xml:space="preserve"> Vgl. </w:t>
      </w:r>
      <w:r>
        <w:rPr>
          <w:iCs/>
          <w:kern w:val="0"/>
          <w:lang w:val="de-DE"/>
        </w:rPr>
        <w:t>VGH München</w:t>
      </w:r>
      <w:r>
        <w:rPr>
          <w:kern w:val="0"/>
          <w:lang w:val="de-DE"/>
        </w:rPr>
        <w:t xml:space="preserve"> BayVBl 2000, </w:t>
      </w:r>
      <w:hyperlink r:id="rId11" w:history="1">
        <w:r>
          <w:rPr>
            <w:kern w:val="0"/>
            <w:lang w:val="de-DE"/>
          </w:rPr>
          <w:t>59</w:t>
        </w:r>
        <w:r>
          <w:rPr>
            <w:kern w:val="0"/>
            <w:lang w:val="de-DE"/>
          </w:rPr>
          <w:t>4</w:t>
        </w:r>
      </w:hyperlink>
      <w:r>
        <w:rPr>
          <w:kern w:val="0"/>
          <w:lang w:val="de-DE"/>
        </w:rPr>
        <w:t xml:space="preserve">, </w:t>
      </w:r>
      <w:hyperlink r:id="rId12" w:history="1">
        <w:r>
          <w:rPr>
            <w:kern w:val="0"/>
            <w:lang w:val="de-DE"/>
          </w:rPr>
          <w:t>595</w:t>
        </w:r>
      </w:hyperlink>
      <w:r>
        <w:rPr>
          <w:kern w:val="0"/>
          <w:lang w:val="de-DE"/>
        </w:rPr>
        <w:t>.</w:t>
      </w:r>
    </w:p>
  </w:footnote>
  <w:footnote w:id="55">
    <w:p w:rsidR="00E02252" w:rsidRDefault="00E02252">
      <w:pPr>
        <w:pStyle w:val="ad"/>
        <w:spacing w:line="360" w:lineRule="auto"/>
        <w:jc w:val="both"/>
        <w:rPr>
          <w:lang w:val="de-DE"/>
        </w:rPr>
      </w:pPr>
      <w:r>
        <w:rPr>
          <w:rStyle w:val="ae"/>
        </w:rPr>
        <w:footnoteRef/>
      </w:r>
      <w:r>
        <w:rPr>
          <w:lang w:val="de-DE"/>
        </w:rPr>
        <w:t xml:space="preserve"> Vgl. </w:t>
      </w:r>
      <w:r>
        <w:rPr>
          <w:iCs/>
          <w:kern w:val="0"/>
          <w:lang w:val="de-DE"/>
        </w:rPr>
        <w:t>OVG Lüneburg</w:t>
      </w:r>
      <w:r>
        <w:rPr>
          <w:kern w:val="0"/>
          <w:lang w:val="de-DE"/>
        </w:rPr>
        <w:t xml:space="preserve"> NJW 1984, </w:t>
      </w:r>
      <w:hyperlink r:id="rId13" w:history="1">
        <w:r>
          <w:rPr>
            <w:kern w:val="0"/>
            <w:lang w:val="de-DE"/>
          </w:rPr>
          <w:t>2652</w:t>
        </w:r>
      </w:hyperlink>
      <w:r>
        <w:rPr>
          <w:kern w:val="0"/>
          <w:lang w:val="de-DE"/>
        </w:rPr>
        <w:t>.</w:t>
      </w:r>
    </w:p>
  </w:footnote>
  <w:footnote w:id="56">
    <w:p w:rsidR="00E02252" w:rsidRDefault="00E02252">
      <w:pPr>
        <w:pStyle w:val="ad"/>
        <w:spacing w:line="360" w:lineRule="auto"/>
        <w:jc w:val="both"/>
      </w:pPr>
      <w:r>
        <w:rPr>
          <w:rStyle w:val="ae"/>
        </w:rPr>
        <w:footnoteRef/>
      </w:r>
      <w:r>
        <w:t xml:space="preserve"> </w:t>
      </w:r>
      <w:r>
        <w:rPr>
          <w:rFonts w:hAnsi="新細明體"/>
        </w:rPr>
        <w:t>本文已收於，翁岳生，法治國家之行政法與司法，</w:t>
      </w:r>
      <w:r>
        <w:t>1994</w:t>
      </w:r>
      <w:r>
        <w:rPr>
          <w:rFonts w:hAnsi="新細明體"/>
        </w:rPr>
        <w:t>，頁</w:t>
      </w:r>
      <w:r>
        <w:t>13</w:t>
      </w:r>
      <w:r>
        <w:rPr>
          <w:rFonts w:hAnsi="新細明體"/>
        </w:rPr>
        <w:t>。</w:t>
      </w:r>
    </w:p>
  </w:footnote>
  <w:footnote w:id="57">
    <w:p w:rsidR="00E02252" w:rsidRDefault="00E02252">
      <w:pPr>
        <w:pStyle w:val="ad"/>
        <w:spacing w:line="360" w:lineRule="auto"/>
        <w:jc w:val="both"/>
      </w:pPr>
      <w:r>
        <w:rPr>
          <w:rStyle w:val="ae"/>
        </w:rPr>
        <w:footnoteRef/>
      </w:r>
      <w:r>
        <w:t xml:space="preserve"> </w:t>
      </w:r>
      <w:r>
        <w:rPr>
          <w:rFonts w:hAnsi="新細明體"/>
        </w:rPr>
        <w:t>參考，吳庚，行政法之理論與實務，</w:t>
      </w:r>
      <w:r>
        <w:t>2003</w:t>
      </w:r>
      <w:r>
        <w:rPr>
          <w:rFonts w:hAnsi="新細明體"/>
        </w:rPr>
        <w:t>，</w:t>
      </w:r>
      <w:r>
        <w:t>8</w:t>
      </w:r>
      <w:r>
        <w:rPr>
          <w:rFonts w:hAnsi="新細明體"/>
        </w:rPr>
        <w:t>版，頁</w:t>
      </w:r>
      <w:r>
        <w:t>332</w:t>
      </w:r>
      <w:r>
        <w:rPr>
          <w:rFonts w:hAnsi="新細明體"/>
        </w:rPr>
        <w:t>以下。</w:t>
      </w:r>
    </w:p>
  </w:footnote>
  <w:footnote w:id="58">
    <w:p w:rsidR="00E02252" w:rsidRDefault="00E02252">
      <w:pPr>
        <w:pStyle w:val="ad"/>
        <w:spacing w:line="360" w:lineRule="auto"/>
        <w:jc w:val="both"/>
      </w:pPr>
      <w:r>
        <w:rPr>
          <w:rStyle w:val="ae"/>
        </w:rPr>
        <w:footnoteRef/>
      </w:r>
      <w:r>
        <w:rPr>
          <w:lang w:val="de-DE"/>
        </w:rPr>
        <w:t xml:space="preserve"> Vgl. Hans-Uwe Erichsen, Das Verwaltungshandeln, in: ders./ Dirk Ehlers (Hrsg.), Allgemeines Verwaltungsrecht, 12. </w:t>
      </w:r>
      <w:r>
        <w:t>Aufl., 2002, § 12 Rn. 25.</w:t>
      </w:r>
    </w:p>
  </w:footnote>
  <w:footnote w:id="59">
    <w:p w:rsidR="00E02252" w:rsidRDefault="00E02252">
      <w:pPr>
        <w:pStyle w:val="ad"/>
        <w:spacing w:line="360" w:lineRule="auto"/>
        <w:jc w:val="both"/>
      </w:pPr>
      <w:r>
        <w:rPr>
          <w:rStyle w:val="ae"/>
        </w:rPr>
        <w:footnoteRef/>
      </w:r>
      <w:r>
        <w:rPr>
          <w:lang w:val="de-DE"/>
        </w:rPr>
        <w:t xml:space="preserve"> Vgl. Eugen Brandel in: Rudolf Schweickhardt (Hrsg.), Allgemeines Verwaltungsrecht, 7. Aufl., 1995, Rn. 342 ff.; Elmar </w:t>
      </w:r>
      <w:r>
        <w:rPr>
          <w:bCs/>
          <w:iCs/>
          <w:lang w:val="de-DE"/>
        </w:rPr>
        <w:t xml:space="preserve">Giemulla/ Nikolaus Jaworsky / Rolf Müller-Uri, Verwaltungsrecht, 6. </w:t>
      </w:r>
      <w:r>
        <w:rPr>
          <w:bCs/>
          <w:iCs/>
        </w:rPr>
        <w:t>Aufl., 1998, Rn</w:t>
      </w:r>
      <w:r>
        <w:t>. 192 ff.</w:t>
      </w:r>
    </w:p>
  </w:footnote>
  <w:footnote w:id="60">
    <w:p w:rsidR="00E02252" w:rsidRDefault="00E02252">
      <w:pPr>
        <w:pStyle w:val="ad"/>
        <w:spacing w:line="360" w:lineRule="auto"/>
        <w:jc w:val="both"/>
        <w:rPr>
          <w:lang w:val="de-DE"/>
        </w:rPr>
      </w:pPr>
      <w:r>
        <w:rPr>
          <w:rStyle w:val="ae"/>
        </w:rPr>
        <w:footnoteRef/>
      </w:r>
      <w:r>
        <w:rPr>
          <w:lang w:val="de-DE"/>
        </w:rPr>
        <w:t xml:space="preserve"> Vgl. Hans-Uwe Erichsen, Das Verwaltungshandeln, in: ders./ Dirk Ehlers (Hrsg.),</w:t>
      </w:r>
      <w:r>
        <w:rPr>
          <w:color w:val="0000FF"/>
          <w:lang w:val="de-DE"/>
        </w:rPr>
        <w:t xml:space="preserve"> </w:t>
      </w:r>
      <w:r>
        <w:rPr>
          <w:rFonts w:hint="eastAsia"/>
          <w:color w:val="0000FF"/>
          <w:lang w:val="de-DE"/>
        </w:rPr>
        <w:t>a.a.O.(Anm. 58)</w:t>
      </w:r>
      <w:r>
        <w:rPr>
          <w:rFonts w:hint="eastAsia"/>
          <w:lang w:val="de-DE"/>
        </w:rPr>
        <w:t>,</w:t>
      </w:r>
      <w:r>
        <w:rPr>
          <w:lang w:val="de-DE"/>
        </w:rPr>
        <w:t xml:space="preserve"> § 12 Rn. 21.</w:t>
      </w:r>
    </w:p>
  </w:footnote>
  <w:footnote w:id="61">
    <w:p w:rsidR="00E02252" w:rsidRDefault="00E02252">
      <w:pPr>
        <w:pStyle w:val="ad"/>
        <w:spacing w:line="360" w:lineRule="auto"/>
        <w:jc w:val="both"/>
        <w:rPr>
          <w:lang w:val="de-DE"/>
        </w:rPr>
      </w:pPr>
      <w:r>
        <w:rPr>
          <w:rStyle w:val="ae"/>
        </w:rPr>
        <w:footnoteRef/>
      </w:r>
      <w:r>
        <w:rPr>
          <w:lang w:val="de-DE"/>
        </w:rPr>
        <w:t xml:space="preserve"> Vgl. Jörn Ipsen, Allgemeines Verwaltungsrecht, 2000, Rn. 336.</w:t>
      </w:r>
    </w:p>
  </w:footnote>
  <w:footnote w:id="62">
    <w:p w:rsidR="00E02252" w:rsidRDefault="00E02252">
      <w:pPr>
        <w:pStyle w:val="ad"/>
        <w:spacing w:line="360" w:lineRule="auto"/>
        <w:jc w:val="both"/>
      </w:pPr>
      <w:r>
        <w:rPr>
          <w:rStyle w:val="ae"/>
        </w:rPr>
        <w:footnoteRef/>
      </w:r>
      <w:r>
        <w:rPr>
          <w:lang w:val="de-DE"/>
        </w:rPr>
        <w:t xml:space="preserve"> Vgl. Elmar </w:t>
      </w:r>
      <w:r>
        <w:rPr>
          <w:bCs/>
          <w:iCs/>
          <w:lang w:val="de-DE"/>
        </w:rPr>
        <w:t xml:space="preserve">Giemulla/ Nikolaus Jaworsky / Rolf Müller-Uri, </w:t>
      </w:r>
      <w:r>
        <w:rPr>
          <w:rFonts w:hint="eastAsia"/>
          <w:bCs/>
          <w:iCs/>
          <w:color w:val="0000FF"/>
          <w:lang w:val="de-DE"/>
        </w:rPr>
        <w:t>a.a.O.(Anm. 59)</w:t>
      </w:r>
      <w:r>
        <w:rPr>
          <w:bCs/>
          <w:iCs/>
          <w:lang w:val="de-DE"/>
        </w:rPr>
        <w:t>,</w:t>
      </w:r>
      <w:r>
        <w:rPr>
          <w:lang w:val="de-DE"/>
        </w:rPr>
        <w:t xml:space="preserve"> Rn. 193. </w:t>
      </w:r>
      <w:r>
        <w:rPr>
          <w:rFonts w:hAnsi="新細明體"/>
        </w:rPr>
        <w:t>學者陳秀美認為</w:t>
      </w:r>
      <w:r>
        <w:rPr>
          <w:rFonts w:hAnsi="新細明體"/>
          <w:lang w:val="de-DE"/>
        </w:rPr>
        <w:t>，</w:t>
      </w:r>
      <w:r>
        <w:rPr>
          <w:rFonts w:hAnsi="新細明體"/>
        </w:rPr>
        <w:t>「行政機關之行為</w:t>
      </w:r>
      <w:r>
        <w:rPr>
          <w:rFonts w:hAnsi="新細明體"/>
          <w:lang w:val="de-DE"/>
        </w:rPr>
        <w:t>，</w:t>
      </w:r>
      <w:r>
        <w:rPr>
          <w:rFonts w:hAnsi="新細明體"/>
        </w:rPr>
        <w:t>是否發生法律效果</w:t>
      </w:r>
      <w:r>
        <w:rPr>
          <w:rFonts w:hAnsi="新細明體"/>
          <w:lang w:val="de-DE"/>
        </w:rPr>
        <w:t>，</w:t>
      </w:r>
      <w:r>
        <w:rPr>
          <w:rFonts w:hAnsi="新細明體"/>
        </w:rPr>
        <w:t>應於個別行為中</w:t>
      </w:r>
      <w:r>
        <w:rPr>
          <w:rFonts w:hAnsi="新細明體"/>
          <w:lang w:val="de-DE"/>
        </w:rPr>
        <w:t>，</w:t>
      </w:r>
      <w:r>
        <w:rPr>
          <w:rFonts w:hAnsi="新細明體"/>
        </w:rPr>
        <w:t>依其表示於外部之『客觀意思』與法令分別認定。」參考，作者，行政訴訟上有關行政處分之研究，</w:t>
      </w:r>
      <w:r>
        <w:t>1991</w:t>
      </w:r>
      <w:r>
        <w:rPr>
          <w:rFonts w:hAnsi="新細明體"/>
        </w:rPr>
        <w:t>，再版，頁</w:t>
      </w:r>
      <w:r>
        <w:t>65</w:t>
      </w:r>
      <w:r>
        <w:rPr>
          <w:rFonts w:hAnsi="新細明體"/>
        </w:rPr>
        <w:t>。</w:t>
      </w:r>
    </w:p>
  </w:footnote>
  <w:footnote w:id="63">
    <w:p w:rsidR="00E02252" w:rsidRDefault="00E02252">
      <w:pPr>
        <w:pStyle w:val="ad"/>
        <w:spacing w:line="360" w:lineRule="auto"/>
        <w:jc w:val="both"/>
        <w:rPr>
          <w:lang w:val="de-DE"/>
        </w:rPr>
      </w:pPr>
      <w:r>
        <w:rPr>
          <w:rStyle w:val="ae"/>
        </w:rPr>
        <w:footnoteRef/>
      </w:r>
      <w:r>
        <w:rPr>
          <w:lang w:val="de-DE"/>
        </w:rPr>
        <w:t xml:space="preserve"> Ebenda, </w:t>
      </w:r>
      <w:r>
        <w:rPr>
          <w:bCs/>
          <w:iCs/>
          <w:lang w:val="de-DE"/>
        </w:rPr>
        <w:t>Rn</w:t>
      </w:r>
      <w:r>
        <w:rPr>
          <w:lang w:val="de-DE"/>
        </w:rPr>
        <w:t>. 195.</w:t>
      </w:r>
    </w:p>
  </w:footnote>
  <w:footnote w:id="64">
    <w:p w:rsidR="00E02252" w:rsidRDefault="00E02252">
      <w:pPr>
        <w:pStyle w:val="ad"/>
        <w:spacing w:line="360" w:lineRule="auto"/>
        <w:jc w:val="both"/>
        <w:rPr>
          <w:lang w:val="de-DE"/>
        </w:rPr>
      </w:pPr>
      <w:r>
        <w:rPr>
          <w:rStyle w:val="ae"/>
        </w:rPr>
        <w:footnoteRef/>
      </w:r>
      <w:r>
        <w:rPr>
          <w:lang w:val="de-DE"/>
        </w:rPr>
        <w:t xml:space="preserve"> Vgl. Dirk Ehlers, Die Aufrechnung im öffentlichen Recht, JuS 1990, 777 ff.</w:t>
      </w:r>
    </w:p>
  </w:footnote>
  <w:footnote w:id="65">
    <w:p w:rsidR="00E02252" w:rsidRDefault="00E02252">
      <w:pPr>
        <w:pStyle w:val="ad"/>
        <w:spacing w:line="360" w:lineRule="auto"/>
        <w:jc w:val="both"/>
        <w:rPr>
          <w:lang w:val="de-DE"/>
        </w:rPr>
      </w:pPr>
      <w:r>
        <w:rPr>
          <w:rStyle w:val="ae"/>
        </w:rPr>
        <w:footnoteRef/>
      </w:r>
      <w:r>
        <w:rPr>
          <w:lang w:val="de-DE"/>
        </w:rPr>
        <w:t xml:space="preserve"> Vgl. Elmar </w:t>
      </w:r>
      <w:r>
        <w:rPr>
          <w:bCs/>
          <w:iCs/>
          <w:lang w:val="de-DE"/>
        </w:rPr>
        <w:t>Giemulla/ Nikolaus Jaworsky / Rolf Müller-Uri,</w:t>
      </w:r>
      <w:r>
        <w:rPr>
          <w:bCs/>
          <w:iCs/>
          <w:color w:val="0000FF"/>
          <w:lang w:val="de-DE"/>
        </w:rPr>
        <w:t xml:space="preserve"> </w:t>
      </w:r>
      <w:r>
        <w:rPr>
          <w:rFonts w:hint="eastAsia"/>
          <w:bCs/>
          <w:iCs/>
          <w:color w:val="0000FF"/>
          <w:lang w:val="de-DE"/>
        </w:rPr>
        <w:t>a.a.O.(Anm. 59)</w:t>
      </w:r>
      <w:r>
        <w:rPr>
          <w:bCs/>
          <w:iCs/>
          <w:lang w:val="de-DE"/>
        </w:rPr>
        <w:t xml:space="preserve">, </w:t>
      </w:r>
      <w:r>
        <w:rPr>
          <w:lang w:val="de-DE"/>
        </w:rPr>
        <w:t>Rn. 193.</w:t>
      </w:r>
    </w:p>
    <w:p w:rsidR="00E02252" w:rsidRDefault="00E02252">
      <w:pPr>
        <w:pStyle w:val="ad"/>
        <w:spacing w:line="360" w:lineRule="auto"/>
        <w:jc w:val="both"/>
        <w:rPr>
          <w:lang w:val="de-DE"/>
        </w:rPr>
      </w:pPr>
      <w:r>
        <w:rPr>
          <w:rStyle w:val="ae"/>
        </w:rPr>
        <w:footnoteRef/>
      </w:r>
      <w:r>
        <w:rPr>
          <w:lang w:val="de-DE"/>
        </w:rPr>
        <w:t xml:space="preserve"> Ebenda, </w:t>
      </w:r>
      <w:r>
        <w:rPr>
          <w:bCs/>
          <w:iCs/>
          <w:lang w:val="de-DE"/>
        </w:rPr>
        <w:t>Rn</w:t>
      </w:r>
      <w:r>
        <w:rPr>
          <w:lang w:val="de-DE"/>
        </w:rPr>
        <w:t xml:space="preserve">. 197. </w:t>
      </w:r>
      <w:r>
        <w:rPr>
          <w:rFonts w:hAnsi="新細明體"/>
        </w:rPr>
        <w:t>這裡的說明對於行政處分與行政契約中的意思表示</w:t>
      </w:r>
      <w:r>
        <w:rPr>
          <w:rFonts w:hAnsi="新細明體"/>
          <w:lang w:val="de-DE"/>
        </w:rPr>
        <w:t>（</w:t>
      </w:r>
      <w:r>
        <w:rPr>
          <w:rFonts w:hAnsi="新細明體"/>
        </w:rPr>
        <w:t>要約或承諾</w:t>
      </w:r>
      <w:r>
        <w:rPr>
          <w:rFonts w:hAnsi="新細明體"/>
          <w:lang w:val="de-DE"/>
        </w:rPr>
        <w:t>）</w:t>
      </w:r>
      <w:r>
        <w:rPr>
          <w:rFonts w:hAnsi="新細明體"/>
        </w:rPr>
        <w:t>區分亦有啟發</w:t>
      </w:r>
      <w:r>
        <w:rPr>
          <w:rFonts w:hAnsi="新細明體"/>
          <w:lang w:val="de-DE"/>
        </w:rPr>
        <w:t>，</w:t>
      </w:r>
      <w:r>
        <w:rPr>
          <w:rFonts w:hAnsi="新細明體"/>
        </w:rPr>
        <w:t>後者不會變成是一個行政處分</w:t>
      </w:r>
      <w:r>
        <w:rPr>
          <w:rFonts w:hAnsi="新細明體"/>
          <w:lang w:val="de-DE"/>
        </w:rPr>
        <w:t>，</w:t>
      </w:r>
      <w:r>
        <w:rPr>
          <w:rFonts w:hAnsi="新細明體"/>
        </w:rPr>
        <w:t>因為它欠缺「規制」的可能。</w:t>
      </w:r>
    </w:p>
  </w:footnote>
  <w:footnote w:id="66">
    <w:p w:rsidR="00E02252" w:rsidRDefault="00E02252">
      <w:pPr>
        <w:pStyle w:val="ad"/>
        <w:spacing w:line="360" w:lineRule="auto"/>
        <w:jc w:val="both"/>
      </w:pPr>
      <w:r>
        <w:rPr>
          <w:rStyle w:val="ae"/>
        </w:rPr>
        <w:footnoteRef/>
      </w:r>
      <w:r>
        <w:rPr>
          <w:lang w:val="de-DE"/>
        </w:rPr>
        <w:t xml:space="preserve"> </w:t>
      </w:r>
      <w:r>
        <w:rPr>
          <w:rFonts w:hAnsi="新細明體"/>
        </w:rPr>
        <w:t>台北高等行政法院</w:t>
      </w:r>
      <w:r>
        <w:rPr>
          <w:lang w:val="de-DE"/>
        </w:rPr>
        <w:t>91</w:t>
      </w:r>
      <w:r>
        <w:rPr>
          <w:rFonts w:hAnsi="新細明體"/>
        </w:rPr>
        <w:t>年訴字第</w:t>
      </w:r>
      <w:r>
        <w:rPr>
          <w:lang w:val="de-DE"/>
        </w:rPr>
        <w:t>108</w:t>
      </w:r>
      <w:r>
        <w:rPr>
          <w:rFonts w:hAnsi="新細明體"/>
        </w:rPr>
        <w:t>號判決</w:t>
      </w:r>
      <w:r>
        <w:rPr>
          <w:rFonts w:hAnsi="新細明體"/>
          <w:lang w:val="de-DE"/>
        </w:rPr>
        <w:t>，</w:t>
      </w:r>
      <w:r>
        <w:rPr>
          <w:rFonts w:hAnsi="新細明體"/>
        </w:rPr>
        <w:t>相當正確地指出</w:t>
      </w:r>
      <w:r>
        <w:rPr>
          <w:rFonts w:hAnsi="新細明體"/>
          <w:lang w:val="de-DE"/>
        </w:rPr>
        <w:t>，</w:t>
      </w:r>
      <w:r>
        <w:rPr>
          <w:rFonts w:hAnsi="新細明體"/>
        </w:rPr>
        <w:t>「『直接』、『對外』法律效果之涵義，係指該處分直接對人民指出所欲發生之法律效果，因此在當事人間產生拘束力，並且因該行政機關之意思表示，擴充、限制或終局確認處分機關外部之自然人或法人的權利義務。」為相當精準的裁判。見，法務部，行政程序法裁判要旨彙編，</w:t>
      </w:r>
      <w:r>
        <w:t>2004.7</w:t>
      </w:r>
      <w:r>
        <w:rPr>
          <w:rFonts w:hAnsi="新細明體"/>
        </w:rPr>
        <w:t>，頁</w:t>
      </w:r>
      <w:r>
        <w:t>247</w:t>
      </w:r>
      <w:r>
        <w:rPr>
          <w:rFonts w:hAnsi="新細明體"/>
        </w:rPr>
        <w:t>以下（</w:t>
      </w:r>
      <w:r>
        <w:t>249</w:t>
      </w:r>
      <w:r>
        <w:rPr>
          <w:rFonts w:hAnsi="新細明體"/>
        </w:rPr>
        <w:t>）。</w:t>
      </w:r>
    </w:p>
  </w:footnote>
  <w:footnote w:id="67">
    <w:p w:rsidR="00E02252" w:rsidRDefault="00E02252">
      <w:pPr>
        <w:pStyle w:val="ad"/>
        <w:spacing w:line="360" w:lineRule="auto"/>
        <w:jc w:val="both"/>
      </w:pPr>
      <w:r>
        <w:rPr>
          <w:rStyle w:val="ae"/>
        </w:rPr>
        <w:footnoteRef/>
      </w:r>
      <w:r>
        <w:t xml:space="preserve"> </w:t>
      </w:r>
      <w:r>
        <w:rPr>
          <w:lang w:val="de-DE"/>
        </w:rPr>
        <w:t>Vgl.</w:t>
      </w:r>
      <w:r>
        <w:rPr>
          <w:rFonts w:hint="eastAsia"/>
          <w:lang w:val="de-DE"/>
        </w:rPr>
        <w:t xml:space="preserve"> </w:t>
      </w:r>
      <w:r>
        <w:t xml:space="preserve">BVerwGE 60, 144 (145, 147); </w:t>
      </w:r>
      <w:r>
        <w:rPr>
          <w:bCs/>
          <w:iCs/>
        </w:rPr>
        <w:t>Hans-Uwe Erichsen</w:t>
      </w:r>
      <w:r>
        <w:t>, Die Umsetzung von Beamten, DVBl. 1982, 99</w:t>
      </w:r>
      <w:r>
        <w:rPr>
          <w:lang w:eastAsia="ja-JP"/>
        </w:rPr>
        <w:t>;</w:t>
      </w:r>
      <w:r>
        <w:t xml:space="preserve"> </w:t>
      </w:r>
      <w:r>
        <w:rPr>
          <w:rFonts w:hAnsi="新細明體"/>
        </w:rPr>
        <w:t>廖義男，「行政程序法草案之重要內容（一）</w:t>
      </w:r>
      <w:r>
        <w:t xml:space="preserve"> - </w:t>
      </w:r>
      <w:r>
        <w:rPr>
          <w:rFonts w:hAnsi="新細明體"/>
        </w:rPr>
        <w:t>適用範圍、行政處分與法規命令」，行政程序法草案研討會會議資料，</w:t>
      </w:r>
      <w:r>
        <w:t>1998.12.19</w:t>
      </w:r>
      <w:r>
        <w:rPr>
          <w:rFonts w:hAnsi="新細明體"/>
        </w:rPr>
        <w:t>，頁</w:t>
      </w:r>
      <w:r>
        <w:t>22</w:t>
      </w:r>
      <w:r>
        <w:rPr>
          <w:rFonts w:hAnsi="新細明體"/>
        </w:rPr>
        <w:t>以下。</w:t>
      </w:r>
    </w:p>
  </w:footnote>
  <w:footnote w:id="68">
    <w:p w:rsidR="00E02252" w:rsidRDefault="00E02252">
      <w:pPr>
        <w:pStyle w:val="ad"/>
        <w:spacing w:line="360" w:lineRule="auto"/>
        <w:jc w:val="both"/>
      </w:pPr>
      <w:r>
        <w:rPr>
          <w:rStyle w:val="ae"/>
        </w:rPr>
        <w:footnoteRef/>
      </w:r>
      <w:r>
        <w:rPr>
          <w:lang w:val="de-DE"/>
        </w:rPr>
        <w:t xml:space="preserve"> Vgl. </w:t>
      </w:r>
      <w:r>
        <w:rPr>
          <w:bCs/>
          <w:iCs/>
          <w:lang w:val="de-DE"/>
        </w:rPr>
        <w:t>Hans-Uwe Erichsen</w:t>
      </w:r>
      <w:r>
        <w:rPr>
          <w:lang w:val="de-DE"/>
        </w:rPr>
        <w:t xml:space="preserve">, Kommunalaufsicht, DVBl. 1985, 948; Dirk Ehlers, Die Rechtsprechung zum nordrhein-westfälischen Kommunalrecht der Jahre 1984-1989, NWVBl. </w:t>
      </w:r>
      <w:r>
        <w:t>1990, 86 (Fn. 138).</w:t>
      </w:r>
    </w:p>
  </w:footnote>
  <w:footnote w:id="69">
    <w:p w:rsidR="00E02252" w:rsidRDefault="00E02252">
      <w:pPr>
        <w:pStyle w:val="ad"/>
        <w:spacing w:line="360" w:lineRule="auto"/>
        <w:jc w:val="both"/>
      </w:pPr>
      <w:r>
        <w:rPr>
          <w:rStyle w:val="ae"/>
        </w:rPr>
        <w:footnoteRef/>
      </w:r>
      <w:r>
        <w:t xml:space="preserve"> </w:t>
      </w:r>
      <w:r>
        <w:rPr>
          <w:rFonts w:hAnsi="新細明體"/>
        </w:rPr>
        <w:t>這個目的性特徵，雖一字之別，卻影響深遠！</w:t>
      </w:r>
    </w:p>
  </w:footnote>
  <w:footnote w:id="70">
    <w:p w:rsidR="00E02252" w:rsidRDefault="00E02252">
      <w:pPr>
        <w:pStyle w:val="ad"/>
        <w:spacing w:line="360" w:lineRule="auto"/>
        <w:jc w:val="both"/>
      </w:pPr>
      <w:r>
        <w:rPr>
          <w:rStyle w:val="ae"/>
        </w:rPr>
        <w:footnoteRef/>
      </w:r>
      <w:r>
        <w:t xml:space="preserve"> </w:t>
      </w:r>
      <w:r>
        <w:rPr>
          <w:rFonts w:hAnsi="新細明體"/>
        </w:rPr>
        <w:t>不過陳教授似乎沒有特別強調我國法上「直接性」的意義，此見後述。氏並於另文中說明「直接法律效果」的要件要求：行政行為本身應該指出其所欲達成的法律效果為何。參見，陳愛娥，「行政處分」，訴願程序與行政程序相關專論暨法令選輯，台北市政府訴願審議委員會，</w:t>
      </w:r>
      <w:r>
        <w:t>2000.7</w:t>
      </w:r>
      <w:r>
        <w:rPr>
          <w:rFonts w:hAnsi="新細明體"/>
        </w:rPr>
        <w:t>，增訂版，頁</w:t>
      </w:r>
      <w:r>
        <w:t>178</w:t>
      </w:r>
      <w:r>
        <w:rPr>
          <w:rFonts w:hAnsi="新細明體"/>
        </w:rPr>
        <w:t>。</w:t>
      </w:r>
    </w:p>
  </w:footnote>
  <w:footnote w:id="71">
    <w:p w:rsidR="00E02252" w:rsidRDefault="00E02252">
      <w:pPr>
        <w:pStyle w:val="ad"/>
        <w:spacing w:line="360" w:lineRule="auto"/>
        <w:jc w:val="both"/>
      </w:pPr>
      <w:r>
        <w:rPr>
          <w:rStyle w:val="ae"/>
        </w:rPr>
        <w:footnoteRef/>
      </w:r>
      <w:r>
        <w:t xml:space="preserve"> </w:t>
      </w:r>
      <w:r>
        <w:rPr>
          <w:rFonts w:hAnsi="新細明體"/>
        </w:rPr>
        <w:t>以上參考，陳愛娥，「行政處分存否的認定標準與行政法院『適用』大法官解釋的方法</w:t>
      </w:r>
      <w:r>
        <w:t xml:space="preserve"> - </w:t>
      </w:r>
      <w:r>
        <w:rPr>
          <w:rFonts w:hAnsi="新細明體"/>
        </w:rPr>
        <w:t>行政法院八十九年度判字第一六五八號判決評釋</w:t>
      </w:r>
      <w:r>
        <w:t xml:space="preserve"> -</w:t>
      </w:r>
      <w:r>
        <w:rPr>
          <w:rFonts w:hAnsi="新細明體"/>
        </w:rPr>
        <w:t>」，法令月刊第</w:t>
      </w:r>
      <w:r>
        <w:t>51</w:t>
      </w:r>
      <w:r>
        <w:rPr>
          <w:rFonts w:hAnsi="新細明體"/>
        </w:rPr>
        <w:t>卷</w:t>
      </w:r>
      <w:r>
        <w:t>10</w:t>
      </w:r>
      <w:r>
        <w:rPr>
          <w:rFonts w:hAnsi="新細明體"/>
        </w:rPr>
        <w:t>期，頁</w:t>
      </w:r>
      <w:r>
        <w:t>227</w:t>
      </w:r>
      <w:r>
        <w:rPr>
          <w:rFonts w:hAnsi="新細明體"/>
        </w:rPr>
        <w:t>以下。</w:t>
      </w:r>
    </w:p>
  </w:footnote>
  <w:footnote w:id="72">
    <w:p w:rsidR="00E02252" w:rsidRDefault="00E02252">
      <w:pPr>
        <w:pStyle w:val="ad"/>
        <w:spacing w:line="360" w:lineRule="auto"/>
        <w:jc w:val="both"/>
        <w:rPr>
          <w:lang w:val="de-DE"/>
        </w:rPr>
      </w:pPr>
      <w:r>
        <w:rPr>
          <w:rStyle w:val="ae"/>
        </w:rPr>
        <w:footnoteRef/>
      </w:r>
      <w:r>
        <w:t xml:space="preserve"> </w:t>
      </w:r>
      <w:r>
        <w:rPr>
          <w:rFonts w:hAnsi="新細明體"/>
        </w:rPr>
        <w:t>德國學者將行政處分所應該具備「直接法律效力（</w:t>
      </w:r>
      <w:r>
        <w:t>unmittelbate Rechtswirkung</w:t>
      </w:r>
      <w:r>
        <w:rPr>
          <w:rFonts w:hAnsi="新細明體"/>
        </w:rPr>
        <w:t>）」與「規制效力（</w:t>
      </w:r>
      <w:r>
        <w:t>Regelungswirkung</w:t>
      </w:r>
      <w:r>
        <w:rPr>
          <w:rFonts w:hAnsi="新細明體"/>
        </w:rPr>
        <w:t>）」等同視之。</w:t>
      </w:r>
      <w:r>
        <w:t>Vgl. Ferdinand O.</w:t>
      </w:r>
      <w:r>
        <w:rPr>
          <w:b/>
          <w:i/>
        </w:rPr>
        <w:t xml:space="preserve"> </w:t>
      </w:r>
      <w:r>
        <w:rPr>
          <w:bCs/>
          <w:iCs/>
        </w:rPr>
        <w:t>Kopp/ Ulrich</w:t>
      </w:r>
      <w:r>
        <w:t xml:space="preserve"> </w:t>
      </w:r>
      <w:r>
        <w:rPr>
          <w:bCs/>
          <w:iCs/>
        </w:rPr>
        <w:t xml:space="preserve">Ramsauer, </w:t>
      </w:r>
      <w:r>
        <w:rPr>
          <w:rFonts w:hint="eastAsia"/>
          <w:color w:val="0000FF"/>
        </w:rPr>
        <w:t>a.a.O.(Anm. 42)</w:t>
      </w:r>
      <w:r>
        <w:t xml:space="preserve">., 2000, § 35 Rn. 32 ff. </w:t>
      </w:r>
      <w:r>
        <w:rPr>
          <w:rFonts w:hAnsi="新細明體"/>
        </w:rPr>
        <w:t>另有學者認為「直接法律效果」與「規制」兩者屬於緊密連結的要素。</w:t>
      </w:r>
      <w:r>
        <w:rPr>
          <w:lang w:val="de-DE"/>
        </w:rPr>
        <w:t>Vgl. Judith Schwarplys,</w:t>
      </w:r>
      <w:r>
        <w:rPr>
          <w:color w:val="0000FF"/>
          <w:lang w:val="de-DE"/>
        </w:rPr>
        <w:t xml:space="preserve"> </w:t>
      </w:r>
      <w:r>
        <w:rPr>
          <w:rFonts w:hint="eastAsia"/>
          <w:color w:val="0000FF"/>
          <w:lang w:val="de-DE"/>
        </w:rPr>
        <w:t>a.a.O.(Anm. 33)</w:t>
      </w:r>
      <w:r>
        <w:rPr>
          <w:lang w:val="de-DE"/>
        </w:rPr>
        <w:t>, S. 32.</w:t>
      </w:r>
    </w:p>
  </w:footnote>
  <w:footnote w:id="73">
    <w:p w:rsidR="00E02252" w:rsidRDefault="00E02252">
      <w:pPr>
        <w:pStyle w:val="ad"/>
        <w:spacing w:line="360" w:lineRule="auto"/>
        <w:jc w:val="both"/>
      </w:pPr>
      <w:r>
        <w:rPr>
          <w:rStyle w:val="ae"/>
        </w:rPr>
        <w:footnoteRef/>
      </w:r>
      <w:r>
        <w:t xml:space="preserve"> </w:t>
      </w:r>
      <w:r>
        <w:rPr>
          <w:rFonts w:hAnsi="新細明體"/>
        </w:rPr>
        <w:t>陳愛娥，「古蹟指定、『召開古蹟指定公聽會』之程序要求的性質」，台灣本土法學雜誌第</w:t>
      </w:r>
      <w:r>
        <w:t>66</w:t>
      </w:r>
      <w:r>
        <w:rPr>
          <w:rFonts w:hAnsi="新細明體"/>
        </w:rPr>
        <w:t>期，</w:t>
      </w:r>
      <w:r>
        <w:t>2005.1</w:t>
      </w:r>
      <w:r>
        <w:rPr>
          <w:rFonts w:hAnsi="新細明體"/>
        </w:rPr>
        <w:t>，頁</w:t>
      </w:r>
      <w:r>
        <w:t>157</w:t>
      </w:r>
      <w:r>
        <w:rPr>
          <w:rFonts w:hAnsi="新細明體"/>
        </w:rPr>
        <w:t>註</w:t>
      </w:r>
      <w:r>
        <w:t>9</w:t>
      </w:r>
      <w:r>
        <w:rPr>
          <w:rFonts w:hAnsi="新細明體"/>
        </w:rPr>
        <w:t>。</w:t>
      </w:r>
    </w:p>
  </w:footnote>
  <w:footnote w:id="74">
    <w:p w:rsidR="00E02252" w:rsidRDefault="00E02252">
      <w:pPr>
        <w:pStyle w:val="ad"/>
        <w:spacing w:line="360" w:lineRule="auto"/>
        <w:jc w:val="both"/>
        <w:rPr>
          <w:lang w:val="de-DE"/>
        </w:rPr>
      </w:pPr>
      <w:r>
        <w:rPr>
          <w:rStyle w:val="ae"/>
        </w:rPr>
        <w:footnoteRef/>
      </w:r>
      <w:r>
        <w:rPr>
          <w:lang w:val="de-DE"/>
        </w:rPr>
        <w:t xml:space="preserve"> Vgl. VGH BW DVBl. 1994, 348.</w:t>
      </w:r>
    </w:p>
  </w:footnote>
  <w:footnote w:id="75">
    <w:p w:rsidR="00E02252" w:rsidRDefault="00E02252">
      <w:pPr>
        <w:pStyle w:val="ad"/>
        <w:spacing w:line="360" w:lineRule="auto"/>
        <w:jc w:val="both"/>
        <w:rPr>
          <w:lang w:val="de-DE"/>
        </w:rPr>
      </w:pPr>
      <w:r>
        <w:rPr>
          <w:rStyle w:val="ae"/>
        </w:rPr>
        <w:footnoteRef/>
      </w:r>
      <w:r>
        <w:rPr>
          <w:lang w:val="de-DE"/>
        </w:rPr>
        <w:t xml:space="preserve"> Vgl. Jörn Ipsen,</w:t>
      </w:r>
      <w:r>
        <w:rPr>
          <w:color w:val="0000FF"/>
          <w:lang w:val="de-DE"/>
        </w:rPr>
        <w:t xml:space="preserve"> </w:t>
      </w:r>
      <w:r>
        <w:rPr>
          <w:rFonts w:hint="eastAsia"/>
          <w:color w:val="0000FF"/>
          <w:lang w:val="de-DE"/>
        </w:rPr>
        <w:t>a.a.O.(Anm. 61)</w:t>
      </w:r>
      <w:r>
        <w:rPr>
          <w:lang w:val="de-DE"/>
        </w:rPr>
        <w:t>, Rn. 338.</w:t>
      </w:r>
    </w:p>
  </w:footnote>
  <w:footnote w:id="76">
    <w:p w:rsidR="00E02252" w:rsidRDefault="00E02252">
      <w:pPr>
        <w:pStyle w:val="ad"/>
        <w:spacing w:line="360" w:lineRule="auto"/>
        <w:jc w:val="both"/>
        <w:rPr>
          <w:lang w:val="de-DE"/>
        </w:rPr>
      </w:pPr>
      <w:r>
        <w:rPr>
          <w:rStyle w:val="ae"/>
        </w:rPr>
        <w:footnoteRef/>
      </w:r>
      <w:r>
        <w:rPr>
          <w:lang w:val="de-DE"/>
        </w:rPr>
        <w:t xml:space="preserve"> Vgl. Hartmut</w:t>
      </w:r>
      <w:r>
        <w:rPr>
          <w:b/>
          <w:i/>
          <w:lang w:val="de-DE"/>
        </w:rPr>
        <w:t xml:space="preserve"> </w:t>
      </w:r>
      <w:r>
        <w:rPr>
          <w:bCs/>
          <w:iCs/>
          <w:lang w:val="de-DE"/>
        </w:rPr>
        <w:t>Maurer</w:t>
      </w:r>
      <w:r>
        <w:rPr>
          <w:lang w:val="de-DE"/>
        </w:rPr>
        <w:t>, Allgemeines Verwaltungsrecht, 14. Aufl., 2002, § 9 Rn. 6; Hans-Uwe Erichsen, Das Verwaltungshandeln, in: ders./ Dirk Ehlers (Hrsg.),</w:t>
      </w:r>
      <w:r>
        <w:rPr>
          <w:rFonts w:hint="eastAsia"/>
          <w:color w:val="0000FF"/>
          <w:lang w:val="de-DE"/>
        </w:rPr>
        <w:t>a.a.O.(Anm. 36)</w:t>
      </w:r>
      <w:r>
        <w:rPr>
          <w:lang w:val="de-DE"/>
        </w:rPr>
        <w:t>, 2002, § 12 Rn. 26.</w:t>
      </w:r>
    </w:p>
  </w:footnote>
  <w:footnote w:id="77">
    <w:p w:rsidR="00E02252" w:rsidRDefault="00E02252">
      <w:pPr>
        <w:pStyle w:val="ad"/>
        <w:spacing w:line="360" w:lineRule="auto"/>
        <w:jc w:val="both"/>
      </w:pPr>
      <w:r>
        <w:rPr>
          <w:rStyle w:val="ae"/>
        </w:rPr>
        <w:footnoteRef/>
      </w:r>
      <w:r>
        <w:rPr>
          <w:lang w:val="de-DE"/>
        </w:rPr>
        <w:t xml:space="preserve"> </w:t>
      </w:r>
      <w:r>
        <w:rPr>
          <w:rFonts w:hAnsi="新細明體"/>
        </w:rPr>
        <w:t>參考</w:t>
      </w:r>
      <w:r>
        <w:rPr>
          <w:rFonts w:hAnsi="新細明體"/>
          <w:lang w:val="de-DE"/>
        </w:rPr>
        <w:t>，</w:t>
      </w:r>
      <w:r>
        <w:rPr>
          <w:rFonts w:hAnsi="新細明體"/>
        </w:rPr>
        <w:t>陳敏</w:t>
      </w:r>
      <w:r>
        <w:rPr>
          <w:rFonts w:hAnsi="新細明體"/>
          <w:lang w:val="de-DE"/>
        </w:rPr>
        <w:t>，</w:t>
      </w:r>
      <w:r>
        <w:rPr>
          <w:rFonts w:hAnsi="新細明體"/>
        </w:rPr>
        <w:t>行政法總論</w:t>
      </w:r>
      <w:r>
        <w:rPr>
          <w:rFonts w:hAnsi="新細明體"/>
          <w:lang w:val="de-DE"/>
        </w:rPr>
        <w:t>，</w:t>
      </w:r>
      <w:r>
        <w:rPr>
          <w:lang w:val="de-DE"/>
        </w:rPr>
        <w:t>2004</w:t>
      </w:r>
      <w:r>
        <w:rPr>
          <w:rFonts w:hAnsi="新細明體"/>
          <w:lang w:val="de-DE"/>
        </w:rPr>
        <w:t>，</w:t>
      </w:r>
      <w:r>
        <w:rPr>
          <w:lang w:val="de-DE"/>
        </w:rPr>
        <w:t>4</w:t>
      </w:r>
      <w:r>
        <w:rPr>
          <w:rFonts w:hAnsi="新細明體"/>
        </w:rPr>
        <w:t>版</w:t>
      </w:r>
      <w:r>
        <w:rPr>
          <w:rFonts w:hAnsi="新細明體"/>
          <w:lang w:val="de-DE"/>
        </w:rPr>
        <w:t>，</w:t>
      </w:r>
      <w:r>
        <w:rPr>
          <w:rFonts w:hAnsi="新細明體"/>
        </w:rPr>
        <w:t>頁</w:t>
      </w:r>
      <w:r>
        <w:rPr>
          <w:lang w:val="de-DE"/>
        </w:rPr>
        <w:t>305</w:t>
      </w:r>
      <w:r>
        <w:rPr>
          <w:rFonts w:hAnsi="新細明體"/>
        </w:rPr>
        <w:t>。最高行政法院</w:t>
      </w:r>
      <w:r>
        <w:t>90</w:t>
      </w:r>
      <w:r>
        <w:rPr>
          <w:rFonts w:hAnsi="新細明體"/>
        </w:rPr>
        <w:t>年裁字第</w:t>
      </w:r>
      <w:r>
        <w:t>646</w:t>
      </w:r>
      <w:r>
        <w:rPr>
          <w:rFonts w:hAnsi="新細明體"/>
        </w:rPr>
        <w:t>號裁定謂：「行政處分內容本身須係對人民之權利或義務產生規制作用，而具有一定之法效性者，始為相當。」應係相同理解。見，法務部，</w:t>
      </w:r>
      <w:r>
        <w:rPr>
          <w:rFonts w:hAnsi="新細明體" w:hint="eastAsia"/>
          <w:color w:val="0000FF"/>
        </w:rPr>
        <w:t>前揭書</w:t>
      </w:r>
      <w:r>
        <w:rPr>
          <w:rFonts w:hAnsi="新細明體" w:hint="eastAsia"/>
          <w:color w:val="0000FF"/>
        </w:rPr>
        <w:t>(</w:t>
      </w:r>
      <w:r>
        <w:rPr>
          <w:rFonts w:hAnsi="新細明體" w:hint="eastAsia"/>
          <w:color w:val="0000FF"/>
        </w:rPr>
        <w:t>註</w:t>
      </w:r>
      <w:r>
        <w:rPr>
          <w:rFonts w:hAnsi="新細明體" w:hint="eastAsia"/>
          <w:color w:val="0000FF"/>
        </w:rPr>
        <w:t>66)</w:t>
      </w:r>
      <w:r>
        <w:rPr>
          <w:rFonts w:hAnsi="新細明體"/>
        </w:rPr>
        <w:t>，頁</w:t>
      </w:r>
      <w:r>
        <w:t>240</w:t>
      </w:r>
      <w:r>
        <w:rPr>
          <w:rFonts w:hAnsi="新細明體"/>
        </w:rPr>
        <w:t>。</w:t>
      </w:r>
    </w:p>
  </w:footnote>
  <w:footnote w:id="78">
    <w:p w:rsidR="00E02252" w:rsidRDefault="00E02252">
      <w:pPr>
        <w:pStyle w:val="ad"/>
        <w:spacing w:line="360" w:lineRule="auto"/>
        <w:jc w:val="both"/>
      </w:pPr>
      <w:r>
        <w:rPr>
          <w:rStyle w:val="ae"/>
        </w:rPr>
        <w:footnoteRef/>
      </w:r>
      <w:r>
        <w:rPr>
          <w:lang w:val="de-DE"/>
        </w:rPr>
        <w:t xml:space="preserve"> Vgl. Paul</w:t>
      </w:r>
      <w:r>
        <w:rPr>
          <w:b/>
          <w:i/>
          <w:lang w:val="de-DE"/>
        </w:rPr>
        <w:t xml:space="preserve"> </w:t>
      </w:r>
      <w:r>
        <w:rPr>
          <w:bCs/>
          <w:iCs/>
          <w:lang w:val="de-DE"/>
        </w:rPr>
        <w:t>Stelkens/</w:t>
      </w:r>
      <w:r>
        <w:rPr>
          <w:lang w:val="de-DE"/>
        </w:rPr>
        <w:t xml:space="preserve"> Ulrich </w:t>
      </w:r>
      <w:r>
        <w:rPr>
          <w:bCs/>
          <w:iCs/>
          <w:lang w:val="de-DE"/>
        </w:rPr>
        <w:t>Stelkens, in:</w:t>
      </w:r>
      <w:r>
        <w:rPr>
          <w:lang w:val="de-DE"/>
        </w:rPr>
        <w:t xml:space="preserve"> Paul</w:t>
      </w:r>
      <w:r>
        <w:rPr>
          <w:b/>
          <w:i/>
          <w:lang w:val="de-DE"/>
        </w:rPr>
        <w:t xml:space="preserve"> </w:t>
      </w:r>
      <w:r>
        <w:rPr>
          <w:bCs/>
          <w:iCs/>
          <w:lang w:val="de-DE"/>
        </w:rPr>
        <w:t>Stelkens</w:t>
      </w:r>
      <w:r>
        <w:rPr>
          <w:lang w:val="de-DE"/>
        </w:rPr>
        <w:t>/ Heinz</w:t>
      </w:r>
      <w:r>
        <w:rPr>
          <w:b/>
          <w:i/>
          <w:lang w:val="de-DE"/>
        </w:rPr>
        <w:t xml:space="preserve"> </w:t>
      </w:r>
      <w:r>
        <w:rPr>
          <w:lang w:val="de-DE"/>
        </w:rPr>
        <w:t>Joachim</w:t>
      </w:r>
      <w:r>
        <w:rPr>
          <w:bCs/>
          <w:iCs/>
          <w:lang w:val="de-DE"/>
        </w:rPr>
        <w:t xml:space="preserve"> Bonk</w:t>
      </w:r>
      <w:r>
        <w:rPr>
          <w:lang w:val="de-DE"/>
        </w:rPr>
        <w:t xml:space="preserve">/ Michael </w:t>
      </w:r>
      <w:r>
        <w:rPr>
          <w:bCs/>
          <w:iCs/>
          <w:lang w:val="de-DE"/>
        </w:rPr>
        <w:t>Sachs</w:t>
      </w:r>
      <w:r>
        <w:rPr>
          <w:lang w:val="de-DE"/>
        </w:rPr>
        <w:t xml:space="preserve">, Verwaltungsverfahrensgesetz, 6. </w:t>
      </w:r>
      <w:r>
        <w:t>Aufl., 2001, § 35 Rn. 40.</w:t>
      </w:r>
    </w:p>
  </w:footnote>
  <w:footnote w:id="79">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但仍應注意陞遷法第</w:t>
      </w:r>
      <w:r>
        <w:rPr>
          <w:lang w:val="de-DE"/>
        </w:rPr>
        <w:t>2</w:t>
      </w:r>
      <w:r>
        <w:rPr>
          <w:rFonts w:hAnsi="新細明體"/>
          <w:lang w:val="de-DE"/>
        </w:rPr>
        <w:t>條：「</w:t>
      </w:r>
      <w:r>
        <w:rPr>
          <w:rFonts w:hAnsi="新細明體"/>
          <w:w w:val="105"/>
        </w:rPr>
        <w:t>公務人員之陞遷，應本人與事適切配合之旨，考量機關特性與職務需要，</w:t>
      </w:r>
      <w:r>
        <w:rPr>
          <w:rFonts w:hAnsi="新細明體"/>
          <w:b/>
          <w:w w:val="105"/>
        </w:rPr>
        <w:t>依資績並重</w:t>
      </w:r>
      <w:r>
        <w:rPr>
          <w:rFonts w:hAnsi="新細明體"/>
          <w:w w:val="105"/>
        </w:rPr>
        <w:t>、內陞與外補兼顧原則，採公開、公平、公正方式，</w:t>
      </w:r>
      <w:r>
        <w:rPr>
          <w:rFonts w:hAnsi="新細明體"/>
          <w:b/>
          <w:w w:val="105"/>
        </w:rPr>
        <w:t>擇優陞任或遷調</w:t>
      </w:r>
      <w:r>
        <w:rPr>
          <w:rFonts w:hAnsi="新細明體"/>
          <w:w w:val="105"/>
        </w:rPr>
        <w:t>歷練，以拔擢及培育人才。」規定之意旨。</w:t>
      </w:r>
    </w:p>
  </w:footnote>
  <w:footnote w:id="80">
    <w:p w:rsidR="00E02252" w:rsidRDefault="00E02252">
      <w:pPr>
        <w:pStyle w:val="ad"/>
        <w:spacing w:line="360" w:lineRule="auto"/>
        <w:jc w:val="both"/>
        <w:rPr>
          <w:lang w:val="de-DE" w:eastAsia="ja-JP"/>
        </w:rPr>
      </w:pPr>
      <w:r>
        <w:rPr>
          <w:rStyle w:val="ae"/>
        </w:rPr>
        <w:footnoteRef/>
      </w:r>
      <w:r>
        <w:rPr>
          <w:lang w:val="de-DE"/>
        </w:rPr>
        <w:t xml:space="preserve"> </w:t>
      </w:r>
      <w:r>
        <w:rPr>
          <w:lang w:val="de-DE" w:eastAsia="ja-JP"/>
        </w:rPr>
        <w:t xml:space="preserve">Vgl. </w:t>
      </w:r>
      <w:r>
        <w:rPr>
          <w:color w:val="0000FF"/>
        </w:rPr>
        <w:t>Klaus</w:t>
      </w:r>
      <w:r>
        <w:rPr>
          <w:lang w:val="de-DE" w:eastAsia="ja-JP"/>
        </w:rPr>
        <w:t xml:space="preserve"> Stern, Staatsrecht, S. 647;</w:t>
      </w:r>
      <w:r>
        <w:rPr>
          <w:color w:val="000000"/>
          <w:lang w:val="de-DE" w:eastAsia="ja-JP"/>
        </w:rPr>
        <w:t xml:space="preserve"> Günther, DÖD 1993, 163.</w:t>
      </w:r>
    </w:p>
  </w:footnote>
  <w:footnote w:id="81">
    <w:p w:rsidR="00E02252" w:rsidRDefault="00E02252">
      <w:pPr>
        <w:pStyle w:val="ad"/>
        <w:spacing w:line="360" w:lineRule="auto"/>
        <w:jc w:val="both"/>
        <w:rPr>
          <w:lang w:val="de-DE" w:eastAsia="ja-JP"/>
        </w:rPr>
      </w:pPr>
      <w:r>
        <w:rPr>
          <w:rStyle w:val="ae"/>
        </w:rPr>
        <w:footnoteRef/>
      </w:r>
      <w:r>
        <w:rPr>
          <w:lang w:val="de-DE"/>
        </w:rPr>
        <w:t xml:space="preserve"> </w:t>
      </w:r>
      <w:r>
        <w:rPr>
          <w:lang w:val="de-DE" w:eastAsia="ja-JP"/>
        </w:rPr>
        <w:t xml:space="preserve">Vgl. Willke, JZ 1980, 441; Isensee, S. </w:t>
      </w:r>
      <w:smartTag w:uri="urn:schemas-microsoft-com:office:smarttags" w:element="chmetcnv">
        <w:smartTagPr>
          <w:attr w:name="TCSC" w:val="0"/>
          <w:attr w:name="NumberType" w:val="1"/>
          <w:attr w:name="Negative" w:val="False"/>
          <w:attr w:name="HasSpace" w:val="True"/>
          <w:attr w:name="SourceValue" w:val="338"/>
          <w:attr w:name="UnitName" w:val="F"/>
        </w:smartTagPr>
        <w:r>
          <w:rPr>
            <w:lang w:val="de-DE" w:eastAsia="ja-JP"/>
          </w:rPr>
          <w:t>338 f</w:t>
        </w:r>
      </w:smartTag>
      <w:r>
        <w:rPr>
          <w:lang w:val="de-DE" w:eastAsia="ja-JP"/>
        </w:rPr>
        <w:t>.; Köpp in: Steiner, S. 346.</w:t>
      </w:r>
    </w:p>
  </w:footnote>
  <w:footnote w:id="82">
    <w:p w:rsidR="00E02252" w:rsidRDefault="00E02252">
      <w:pPr>
        <w:pStyle w:val="ad"/>
        <w:spacing w:line="360" w:lineRule="auto"/>
        <w:jc w:val="both"/>
        <w:rPr>
          <w:lang w:val="de-DE" w:eastAsia="ja-JP"/>
        </w:rPr>
      </w:pPr>
      <w:r>
        <w:rPr>
          <w:rStyle w:val="ae"/>
        </w:rPr>
        <w:footnoteRef/>
      </w:r>
      <w:r>
        <w:rPr>
          <w:lang w:val="de-DE"/>
        </w:rPr>
        <w:t xml:space="preserve"> Vgl. Böckenförde, S. 55-114; Isensee, S. </w:t>
      </w:r>
      <w:smartTag w:uri="urn:schemas-microsoft-com:office:smarttags" w:element="chmetcnv">
        <w:smartTagPr>
          <w:attr w:name="TCSC" w:val="0"/>
          <w:attr w:name="NumberType" w:val="1"/>
          <w:attr w:name="Negative" w:val="False"/>
          <w:attr w:name="HasSpace" w:val="True"/>
          <w:attr w:name="SourceValue" w:val="338"/>
          <w:attr w:name="UnitName" w:val="F"/>
        </w:smartTagPr>
        <w:r>
          <w:rPr>
            <w:lang w:val="de-DE"/>
          </w:rPr>
          <w:t>338 f</w:t>
        </w:r>
      </w:smartTag>
      <w:r>
        <w:rPr>
          <w:lang w:val="de-DE"/>
        </w:rPr>
        <w:t>.</w:t>
      </w:r>
    </w:p>
  </w:footnote>
  <w:footnote w:id="83">
    <w:p w:rsidR="00E02252" w:rsidRDefault="00E02252">
      <w:pPr>
        <w:pStyle w:val="ad"/>
        <w:spacing w:line="360" w:lineRule="auto"/>
        <w:jc w:val="both"/>
        <w:rPr>
          <w:lang w:val="de-DE"/>
        </w:rPr>
      </w:pPr>
      <w:r>
        <w:rPr>
          <w:rStyle w:val="ae"/>
        </w:rPr>
        <w:footnoteRef/>
      </w:r>
      <w:r>
        <w:rPr>
          <w:lang w:val="de-DE"/>
        </w:rPr>
        <w:t xml:space="preserve"> </w:t>
      </w:r>
      <w:r>
        <w:rPr>
          <w:lang w:val="de-DE" w:eastAsia="ja-JP"/>
        </w:rPr>
        <w:t xml:space="preserve">Maunz, in: MDH GG, Art. 110 Rn. 70; </w:t>
      </w:r>
      <w:r>
        <w:rPr>
          <w:rFonts w:hAnsi="新細明體"/>
          <w:lang w:val="de-DE"/>
        </w:rPr>
        <w:t>參考，大法官釋字第</w:t>
      </w:r>
      <w:r>
        <w:rPr>
          <w:lang w:val="de-DE"/>
        </w:rPr>
        <w:t>520</w:t>
      </w:r>
      <w:r>
        <w:rPr>
          <w:rFonts w:hAnsi="新細明體"/>
          <w:lang w:val="de-DE"/>
        </w:rPr>
        <w:t>號解釋。</w:t>
      </w:r>
    </w:p>
  </w:footnote>
  <w:footnote w:id="84">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機關高權與人事高權之區分，參考，</w:t>
      </w:r>
      <w:r>
        <w:rPr>
          <w:lang w:val="de-DE"/>
        </w:rPr>
        <w:t xml:space="preserve">Böckenförde, S. </w:t>
      </w:r>
      <w:smartTag w:uri="urn:schemas-microsoft-com:office:smarttags" w:element="chmetcnv">
        <w:smartTagPr>
          <w:attr w:name="TCSC" w:val="0"/>
          <w:attr w:name="NumberType" w:val="1"/>
          <w:attr w:name="Negative" w:val="False"/>
          <w:attr w:name="HasSpace" w:val="True"/>
          <w:attr w:name="SourceValue" w:val="33"/>
          <w:attr w:name="UnitName" w:val="F"/>
        </w:smartTagPr>
        <w:r>
          <w:rPr>
            <w:lang w:val="de-DE"/>
          </w:rPr>
          <w:t>33 f</w:t>
        </w:r>
      </w:smartTag>
      <w:r>
        <w:rPr>
          <w:lang w:val="de-DE"/>
        </w:rPr>
        <w:t>.;</w:t>
      </w:r>
      <w:r>
        <w:rPr>
          <w:lang w:val="de-DE" w:eastAsia="ja-JP"/>
        </w:rPr>
        <w:t xml:space="preserve"> Lecheler, Die Personalgewalt, S. 74-95; Günther, DÖD 1993, 163.</w:t>
      </w:r>
    </w:p>
  </w:footnote>
  <w:footnote w:id="85">
    <w:p w:rsidR="00E02252" w:rsidRDefault="00E02252">
      <w:pPr>
        <w:pStyle w:val="ad"/>
        <w:spacing w:line="360" w:lineRule="auto"/>
        <w:jc w:val="both"/>
        <w:rPr>
          <w:lang w:val="de-DE" w:eastAsia="ja-JP"/>
        </w:rPr>
      </w:pPr>
      <w:r>
        <w:rPr>
          <w:rStyle w:val="ae"/>
        </w:rPr>
        <w:footnoteRef/>
      </w:r>
      <w:r>
        <w:rPr>
          <w:lang w:val="de-DE"/>
        </w:rPr>
        <w:t xml:space="preserve"> Vgl. Uwe Kernbach,</w:t>
      </w:r>
      <w:r>
        <w:rPr>
          <w:color w:val="0000FF"/>
          <w:lang w:val="de-DE"/>
        </w:rPr>
        <w:t xml:space="preserve"> </w:t>
      </w:r>
      <w:r>
        <w:rPr>
          <w:rFonts w:hint="eastAsia"/>
          <w:color w:val="0000FF"/>
          <w:lang w:val="de-DE"/>
        </w:rPr>
        <w:t>a.a.O.(Anm. 46)</w:t>
      </w:r>
      <w:r>
        <w:rPr>
          <w:lang w:val="de-DE"/>
        </w:rPr>
        <w:t xml:space="preserve">, S. </w:t>
      </w:r>
      <w:smartTag w:uri="urn:schemas-microsoft-com:office:smarttags" w:element="chmetcnv">
        <w:smartTagPr>
          <w:attr w:name="TCSC" w:val="0"/>
          <w:attr w:name="NumberType" w:val="1"/>
          <w:attr w:name="Negative" w:val="False"/>
          <w:attr w:name="HasSpace" w:val="True"/>
          <w:attr w:name="SourceValue" w:val="28"/>
          <w:attr w:name="UnitName" w:val="F"/>
        </w:smartTagPr>
        <w:r>
          <w:rPr>
            <w:lang w:val="de-DE"/>
          </w:rPr>
          <w:t>28 f</w:t>
        </w:r>
      </w:smartTag>
      <w:r>
        <w:rPr>
          <w:lang w:val="de-DE"/>
        </w:rPr>
        <w:t>.</w:t>
      </w:r>
    </w:p>
  </w:footnote>
  <w:footnote w:id="86">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參考，大法官釋字第</w:t>
      </w:r>
      <w:r>
        <w:rPr>
          <w:lang w:val="de-DE"/>
        </w:rPr>
        <w:t>605</w:t>
      </w:r>
      <w:r>
        <w:rPr>
          <w:rFonts w:hAnsi="新細明體"/>
          <w:lang w:val="de-DE"/>
        </w:rPr>
        <w:t>號解釋。</w:t>
      </w:r>
    </w:p>
  </w:footnote>
  <w:footnote w:id="87">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w:t>
      </w:r>
      <w:r>
        <w:rPr>
          <w:rFonts w:hAnsi="新細明體"/>
          <w:lang w:val="de-DE"/>
        </w:rPr>
        <w:t>，</w:t>
      </w:r>
      <w:r>
        <w:rPr>
          <w:rFonts w:hAnsi="新細明體"/>
        </w:rPr>
        <w:t>臺北高等行政法院</w:t>
      </w:r>
      <w:r>
        <w:rPr>
          <w:lang w:val="de-DE"/>
        </w:rPr>
        <w:t>92</w:t>
      </w:r>
      <w:r>
        <w:rPr>
          <w:rFonts w:hAnsi="新細明體"/>
        </w:rPr>
        <w:t>年度訴字第</w:t>
      </w:r>
      <w:r>
        <w:rPr>
          <w:lang w:val="de-DE"/>
        </w:rPr>
        <w:t>1816</w:t>
      </w:r>
      <w:r>
        <w:rPr>
          <w:rFonts w:hAnsi="新細明體"/>
        </w:rPr>
        <w:t>號判決。</w:t>
      </w:r>
    </w:p>
  </w:footnote>
  <w:footnote w:id="88">
    <w:p w:rsidR="00E02252" w:rsidRDefault="00E02252">
      <w:pPr>
        <w:pStyle w:val="ad"/>
        <w:spacing w:line="360" w:lineRule="auto"/>
        <w:jc w:val="both"/>
        <w:rPr>
          <w:lang w:val="de-DE"/>
        </w:rPr>
      </w:pPr>
      <w:r>
        <w:rPr>
          <w:rStyle w:val="ae"/>
        </w:rPr>
        <w:footnoteRef/>
      </w:r>
      <w:r>
        <w:rPr>
          <w:lang w:val="de-DE"/>
        </w:rPr>
        <w:t xml:space="preserve"> Vgl. RGZ Bd. 111, S. 358, Urt. v. 9.10.1925; Bd. 146, S. 369, Urt. v. 7.12.1934; Bd. 159, S. 247 (250), Urt. v. 27.1.1939.</w:t>
      </w:r>
    </w:p>
  </w:footnote>
  <w:footnote w:id="89">
    <w:p w:rsidR="00E02252" w:rsidRDefault="00E02252">
      <w:pPr>
        <w:pStyle w:val="ad"/>
        <w:spacing w:line="360" w:lineRule="auto"/>
        <w:jc w:val="both"/>
        <w:rPr>
          <w:lang w:val="de-DE"/>
        </w:rPr>
      </w:pPr>
      <w:r>
        <w:rPr>
          <w:rStyle w:val="ae"/>
        </w:rPr>
        <w:footnoteRef/>
      </w:r>
      <w:r>
        <w:rPr>
          <w:lang w:val="de-DE"/>
        </w:rPr>
        <w:t xml:space="preserve"> Vgl. BGH, NJW 1956, S. 1400, Urt. v. 12.7.1956.</w:t>
      </w:r>
    </w:p>
  </w:footnote>
  <w:footnote w:id="90">
    <w:p w:rsidR="00E02252" w:rsidRDefault="00E02252">
      <w:pPr>
        <w:pStyle w:val="ad"/>
        <w:spacing w:line="360" w:lineRule="auto"/>
        <w:jc w:val="both"/>
        <w:rPr>
          <w:lang w:val="de-DE"/>
        </w:rPr>
      </w:pPr>
      <w:r>
        <w:rPr>
          <w:rStyle w:val="ae"/>
        </w:rPr>
        <w:footnoteRef/>
      </w:r>
      <w:r>
        <w:rPr>
          <w:lang w:val="de-DE"/>
        </w:rPr>
        <w:t xml:space="preserve"> </w:t>
      </w:r>
      <w:r>
        <w:rPr>
          <w:rFonts w:hAnsi="新細明體"/>
        </w:rPr>
        <w:t>廣泛的實務裁判資料可參考</w:t>
      </w:r>
      <w:r>
        <w:rPr>
          <w:rFonts w:hAnsi="新細明體"/>
          <w:lang w:val="de-DE"/>
        </w:rPr>
        <w:t>，</w:t>
      </w:r>
      <w:r>
        <w:rPr>
          <w:color w:val="0000FF"/>
          <w:lang w:val="de-DE"/>
        </w:rPr>
        <w:t>vgl.</w:t>
      </w:r>
      <w:r>
        <w:rPr>
          <w:rFonts w:hint="eastAsia"/>
          <w:lang w:val="de-DE"/>
        </w:rPr>
        <w:t xml:space="preserve"> </w:t>
      </w:r>
      <w:r>
        <w:rPr>
          <w:lang w:val="de-DE"/>
        </w:rPr>
        <w:t>Johannes Remmel, Die Konkurrentenklage im Beamtenrecht – Der Rechtsschutz des unterlegenen Bewerbers bei beamtenrectlichen Ernennungen, 1982, S. 52.</w:t>
      </w:r>
    </w:p>
  </w:footnote>
  <w:footnote w:id="91">
    <w:p w:rsidR="00E02252" w:rsidRDefault="00E02252">
      <w:pPr>
        <w:pStyle w:val="ad"/>
        <w:spacing w:line="360" w:lineRule="auto"/>
        <w:jc w:val="both"/>
        <w:rPr>
          <w:lang w:val="de-DE"/>
        </w:rPr>
      </w:pPr>
      <w:r>
        <w:rPr>
          <w:rStyle w:val="ae"/>
        </w:rPr>
        <w:footnoteRef/>
      </w:r>
      <w:r>
        <w:rPr>
          <w:lang w:val="de-DE"/>
        </w:rPr>
        <w:t xml:space="preserve"> Vgl. Ipsen, Die Grundrechte, Bd. 2, S. 193; Menger, VerwArch. Bd. 55 (1964), 294.</w:t>
      </w:r>
    </w:p>
  </w:footnote>
  <w:footnote w:id="92">
    <w:p w:rsidR="00E02252" w:rsidRDefault="00E02252">
      <w:pPr>
        <w:pStyle w:val="ad"/>
        <w:spacing w:line="360" w:lineRule="auto"/>
        <w:jc w:val="both"/>
        <w:rPr>
          <w:lang w:val="de-DE"/>
        </w:rPr>
      </w:pPr>
      <w:r>
        <w:rPr>
          <w:rStyle w:val="ae"/>
        </w:rPr>
        <w:footnoteRef/>
      </w:r>
      <w:r>
        <w:rPr>
          <w:lang w:val="de-DE"/>
        </w:rPr>
        <w:t xml:space="preserve"> Vgl. </w:t>
      </w:r>
      <w:r>
        <w:rPr>
          <w:lang w:val="de-DE" w:eastAsia="ja-JP"/>
        </w:rPr>
        <w:t xml:space="preserve">Isensee, S. 351; </w:t>
      </w:r>
      <w:r>
        <w:rPr>
          <w:lang w:val="de-DE"/>
        </w:rPr>
        <w:t>Johannes Remmel,</w:t>
      </w:r>
      <w:r>
        <w:rPr>
          <w:color w:val="0000FF"/>
          <w:lang w:val="de-DE"/>
        </w:rPr>
        <w:t xml:space="preserve"> </w:t>
      </w:r>
      <w:r>
        <w:rPr>
          <w:rFonts w:hint="eastAsia"/>
          <w:color w:val="0000FF"/>
          <w:lang w:val="de-DE"/>
        </w:rPr>
        <w:t>a.a.O.(Anm. 90)</w:t>
      </w:r>
      <w:r>
        <w:rPr>
          <w:lang w:val="de-DE"/>
        </w:rPr>
        <w:t>, S. 53</w:t>
      </w:r>
      <w:r>
        <w:rPr>
          <w:lang w:val="de-DE" w:eastAsia="ja-JP"/>
        </w:rPr>
        <w:t xml:space="preserve">; </w:t>
      </w:r>
      <w:r>
        <w:rPr>
          <w:rFonts w:hAnsi="新細明體"/>
          <w:lang w:val="de-DE"/>
        </w:rPr>
        <w:t>反對主管長官有裁量權者，</w:t>
      </w:r>
      <w:r>
        <w:rPr>
          <w:lang w:val="de-DE" w:eastAsia="ja-JP"/>
        </w:rPr>
        <w:t xml:space="preserve">Battis, JZ 1972, 388; Schick, ZBR 1967,300; ders., DVBl. 1975, 741; </w:t>
      </w:r>
      <w:r>
        <w:rPr>
          <w:color w:val="0000FF"/>
          <w:lang w:val="de-DE"/>
        </w:rPr>
        <w:t>Carl Hermann</w:t>
      </w:r>
      <w:r>
        <w:rPr>
          <w:lang w:val="de-DE" w:eastAsia="ja-JP"/>
        </w:rPr>
        <w:t xml:space="preserve"> Ule, Die Grundrechte, Bd. </w:t>
      </w:r>
      <w:r>
        <w:rPr>
          <w:lang w:val="de-DE"/>
        </w:rPr>
        <w:t>IV/2, S. 585.</w:t>
      </w:r>
    </w:p>
  </w:footnote>
  <w:footnote w:id="93">
    <w:p w:rsidR="00E02252" w:rsidRDefault="00E02252">
      <w:pPr>
        <w:pStyle w:val="ad"/>
        <w:spacing w:line="360" w:lineRule="auto"/>
        <w:jc w:val="both"/>
        <w:rPr>
          <w:lang w:val="de-DE"/>
        </w:rPr>
      </w:pPr>
      <w:r>
        <w:rPr>
          <w:rStyle w:val="ae"/>
        </w:rPr>
        <w:footnoteRef/>
      </w:r>
      <w:r>
        <w:rPr>
          <w:lang w:val="de-DE"/>
        </w:rPr>
        <w:t xml:space="preserve"> Vgl. Brinkmann, Grundrechtskom.,</w:t>
      </w:r>
      <w:r>
        <w:rPr>
          <w:lang w:val="de-DE" w:eastAsia="ja-JP"/>
        </w:rPr>
        <w:t xml:space="preserve"> Art. 33 Anm. I 2 d; Schick, DVBl. 1975, 745; Battis, JZ 1972, 388; Konow, ZBR 1973, 171; Günther, ZBR 1979, 100; Jung, Zugang, S. 161; Schmitt-Kammler, Jura 1979, 651; ders., DÖV 1980, 291; Lechler, Jura 1979, 415.</w:t>
      </w:r>
    </w:p>
  </w:footnote>
  <w:footnote w:id="94">
    <w:p w:rsidR="00E02252" w:rsidRDefault="00E02252">
      <w:pPr>
        <w:pStyle w:val="ad"/>
        <w:spacing w:line="360" w:lineRule="auto"/>
        <w:jc w:val="both"/>
        <w:rPr>
          <w:lang w:val="de-DE" w:eastAsia="ja-JP"/>
        </w:rPr>
      </w:pPr>
      <w:r>
        <w:rPr>
          <w:rStyle w:val="ae"/>
        </w:rPr>
        <w:footnoteRef/>
      </w:r>
      <w:r>
        <w:rPr>
          <w:lang w:val="de-DE"/>
        </w:rPr>
        <w:t xml:space="preserve"> </w:t>
      </w:r>
      <w:r>
        <w:rPr>
          <w:lang w:val="de-DE" w:eastAsia="ja-JP"/>
        </w:rPr>
        <w:t>Vgl. Schick, DVBl. 1975, 745.</w:t>
      </w:r>
    </w:p>
  </w:footnote>
  <w:footnote w:id="95">
    <w:p w:rsidR="00E02252" w:rsidRDefault="00E02252">
      <w:pPr>
        <w:pStyle w:val="ad"/>
        <w:spacing w:line="360" w:lineRule="auto"/>
        <w:jc w:val="both"/>
        <w:rPr>
          <w:lang w:val="de-DE"/>
        </w:rPr>
      </w:pPr>
      <w:r>
        <w:rPr>
          <w:rStyle w:val="ae"/>
        </w:rPr>
        <w:footnoteRef/>
      </w:r>
      <w:r>
        <w:rPr>
          <w:lang w:val="de-DE"/>
        </w:rPr>
        <w:t xml:space="preserve"> Vgl. Johannes Remmel, </w:t>
      </w:r>
      <w:r>
        <w:rPr>
          <w:rFonts w:hint="eastAsia"/>
          <w:lang w:val="de-DE"/>
        </w:rPr>
        <w:t>a.a.O.(Anm. 90)</w:t>
      </w:r>
      <w:r>
        <w:rPr>
          <w:lang w:val="de-DE"/>
        </w:rPr>
        <w:t>, S. 59.</w:t>
      </w:r>
    </w:p>
  </w:footnote>
  <w:footnote w:id="96">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至於我國情形，在甄選名冊上似乎一定會有排序。</w:t>
      </w:r>
    </w:p>
  </w:footnote>
  <w:footnote w:id="97">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參考，李建良，</w:t>
      </w:r>
      <w:r>
        <w:rPr>
          <w:rFonts w:hAnsi="新細明體" w:hint="eastAsia"/>
          <w:color w:val="0000FF"/>
          <w:lang w:val="de-DE"/>
        </w:rPr>
        <w:t>前揭書</w:t>
      </w:r>
      <w:r>
        <w:rPr>
          <w:rFonts w:hAnsi="新細明體" w:hint="eastAsia"/>
          <w:color w:val="0000FF"/>
          <w:lang w:val="de-DE"/>
        </w:rPr>
        <w:t>(</w:t>
      </w:r>
      <w:r>
        <w:rPr>
          <w:rFonts w:hAnsi="新細明體" w:hint="eastAsia"/>
          <w:color w:val="0000FF"/>
          <w:lang w:val="de-DE"/>
        </w:rPr>
        <w:t>註</w:t>
      </w:r>
      <w:r>
        <w:rPr>
          <w:rFonts w:hAnsi="新細明體" w:hint="eastAsia"/>
          <w:color w:val="0000FF"/>
          <w:lang w:val="de-DE"/>
        </w:rPr>
        <w:t>35)</w:t>
      </w:r>
      <w:r>
        <w:rPr>
          <w:rFonts w:hAnsi="新細明體"/>
          <w:lang w:val="de-DE"/>
        </w:rPr>
        <w:t>，頁</w:t>
      </w:r>
      <w:r>
        <w:rPr>
          <w:lang w:val="de-DE"/>
        </w:rPr>
        <w:t>78</w:t>
      </w:r>
      <w:r>
        <w:rPr>
          <w:rFonts w:hAnsi="新細明體"/>
          <w:lang w:val="de-DE"/>
        </w:rPr>
        <w:t>以下。</w:t>
      </w:r>
    </w:p>
  </w:footnote>
  <w:footnote w:id="98">
    <w:p w:rsidR="00E02252" w:rsidRDefault="00E02252">
      <w:pPr>
        <w:pStyle w:val="ad"/>
        <w:spacing w:line="360" w:lineRule="auto"/>
        <w:jc w:val="both"/>
        <w:rPr>
          <w:lang w:val="de-DE" w:eastAsia="ja-JP"/>
        </w:rPr>
      </w:pPr>
      <w:r>
        <w:rPr>
          <w:rStyle w:val="ae"/>
        </w:rPr>
        <w:footnoteRef/>
      </w:r>
      <w:r>
        <w:rPr>
          <w:lang w:val="de-DE"/>
        </w:rPr>
        <w:t xml:space="preserve"> Vgl. Willke, JZ 1980, S. 441; Jung, Zugang, S. 161.</w:t>
      </w:r>
    </w:p>
  </w:footnote>
  <w:footnote w:id="99">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color w:val="0000FF"/>
          <w:lang w:val="de-DE"/>
        </w:rPr>
        <w:t>a.a.O.(Anm. 46)</w:t>
      </w:r>
      <w:r>
        <w:rPr>
          <w:lang w:val="de-DE"/>
        </w:rPr>
        <w:t>, S. 46.</w:t>
      </w:r>
    </w:p>
  </w:footnote>
  <w:footnote w:id="100">
    <w:p w:rsidR="00E02252" w:rsidRDefault="00E02252">
      <w:pPr>
        <w:pStyle w:val="ad"/>
        <w:spacing w:line="360" w:lineRule="auto"/>
      </w:pPr>
      <w:r>
        <w:rPr>
          <w:rStyle w:val="ae"/>
        </w:rPr>
        <w:footnoteRef/>
      </w:r>
      <w:r>
        <w:rPr>
          <w:lang w:val="de-DE"/>
        </w:rPr>
        <w:t xml:space="preserve"> </w:t>
      </w:r>
      <w:r>
        <w:rPr>
          <w:rFonts w:hAnsi="新細明體"/>
          <w:lang w:val="de-DE"/>
        </w:rPr>
        <w:t>另外在保訓會的一份研究考察報告中顯示，例如澳洲公務人員之陞任，根據該國公共服務法規定，部會常務次長需就申請填補空缺職務之申請人中，選擇他認為最適任（</w:t>
      </w:r>
      <w:r>
        <w:rPr>
          <w:lang w:val="de-DE"/>
        </w:rPr>
        <w:t>the most efficent</w:t>
      </w:r>
      <w:r>
        <w:rPr>
          <w:rFonts w:hAnsi="新細明體"/>
          <w:lang w:val="de-DE"/>
        </w:rPr>
        <w:t>）的人陞任該職位。在選擇合最適合擔任該項職務時，應考量</w:t>
      </w:r>
      <w:r>
        <w:rPr>
          <w:lang w:val="de-DE"/>
        </w:rPr>
        <w:t>1.</w:t>
      </w:r>
      <w:r>
        <w:rPr>
          <w:rFonts w:hAnsi="新細明體"/>
          <w:lang w:val="de-DE"/>
        </w:rPr>
        <w:t>該職務之旅行與申請人能力、資格、經驗、工作表現之層次以及個人特質間之關係，</w:t>
      </w:r>
      <w:r>
        <w:rPr>
          <w:lang w:val="de-DE"/>
        </w:rPr>
        <w:t>2.</w:t>
      </w:r>
      <w:r>
        <w:rPr>
          <w:rFonts w:hAnsi="新細明體"/>
          <w:lang w:val="de-DE"/>
        </w:rPr>
        <w:t>申請人未來在文官體系中進一步之事業發展潛能。而通常只要常務次長認為此與選擇何人擔任該職務有關即可，似乎也顯示首長相當大的裁量空間。保訓會，公務人員保障暨培訓委員會八十七年度赴澳大利亞考察報告（陳淞山、周志宏與鄭吉男三位委員執筆），</w:t>
      </w:r>
      <w:r>
        <w:rPr>
          <w:lang w:val="de-DE"/>
        </w:rPr>
        <w:t>1998.12</w:t>
      </w:r>
      <w:r>
        <w:rPr>
          <w:rFonts w:hAnsi="新細明體"/>
          <w:lang w:val="de-DE"/>
        </w:rPr>
        <w:t>，頁</w:t>
      </w:r>
      <w:r>
        <w:rPr>
          <w:lang w:val="de-DE"/>
        </w:rPr>
        <w:t>51</w:t>
      </w:r>
      <w:r>
        <w:rPr>
          <w:rFonts w:hAnsi="新細明體"/>
          <w:lang w:val="de-DE"/>
        </w:rPr>
        <w:t>以下。</w:t>
      </w:r>
    </w:p>
  </w:footnote>
  <w:footnote w:id="101">
    <w:p w:rsidR="00E02252" w:rsidRDefault="00E02252">
      <w:pPr>
        <w:pStyle w:val="ad"/>
        <w:spacing w:line="360" w:lineRule="auto"/>
        <w:jc w:val="both"/>
      </w:pPr>
      <w:r>
        <w:rPr>
          <w:rStyle w:val="ae"/>
        </w:rPr>
        <w:footnoteRef/>
      </w:r>
      <w:r>
        <w:t xml:space="preserve"> </w:t>
      </w:r>
      <w:r>
        <w:rPr>
          <w:rFonts w:hAnsi="新細明體"/>
        </w:rPr>
        <w:t>參考，許宗力，「基本權的功能」，月旦法學教室第</w:t>
      </w:r>
      <w:r>
        <w:t>2</w:t>
      </w:r>
      <w:r>
        <w:rPr>
          <w:rFonts w:hAnsi="新細明體"/>
        </w:rPr>
        <w:t>期，頁</w:t>
      </w:r>
      <w:r>
        <w:t>76</w:t>
      </w:r>
      <w:r>
        <w:rPr>
          <w:rFonts w:hAnsi="新細明體"/>
        </w:rPr>
        <w:t>以下。</w:t>
      </w:r>
    </w:p>
  </w:footnote>
  <w:footnote w:id="102">
    <w:p w:rsidR="00E02252" w:rsidRDefault="00E02252">
      <w:pPr>
        <w:pStyle w:val="ad"/>
        <w:spacing w:line="360" w:lineRule="auto"/>
        <w:jc w:val="both"/>
      </w:pPr>
      <w:r>
        <w:rPr>
          <w:rStyle w:val="ae"/>
        </w:rPr>
        <w:footnoteRef/>
      </w:r>
      <w:r>
        <w:t xml:space="preserve"> </w:t>
      </w:r>
      <w:r>
        <w:rPr>
          <w:rFonts w:hAnsi="新細明體"/>
        </w:rPr>
        <w:t>例如該辦法第</w:t>
      </w:r>
      <w:r>
        <w:t>5</w:t>
      </w:r>
      <w:r>
        <w:rPr>
          <w:rFonts w:hAnsi="新細明體"/>
        </w:rPr>
        <w:t>條第</w:t>
      </w:r>
      <w:r>
        <w:t>1</w:t>
      </w:r>
      <w:r>
        <w:rPr>
          <w:rFonts w:hAnsi="新細明體"/>
        </w:rPr>
        <w:t>項第</w:t>
      </w:r>
      <w:r>
        <w:t>3</w:t>
      </w:r>
      <w:r>
        <w:rPr>
          <w:rFonts w:hAnsi="新細明體"/>
        </w:rPr>
        <w:t>款規定，行政機關作成意思決定前，內部單位之擬稿或準備作業或與其他機關間之意見交換，應限制公開或提供。但是關於</w:t>
      </w:r>
      <w:r>
        <w:rPr>
          <w:rFonts w:hAnsi="新細明體"/>
          <w:b/>
        </w:rPr>
        <w:t>意思決定作成之基礎事實</w:t>
      </w:r>
      <w:r>
        <w:rPr>
          <w:rFonts w:hAnsi="新細明體"/>
        </w:rPr>
        <w:t>，並不在限制之列。</w:t>
      </w:r>
    </w:p>
  </w:footnote>
  <w:footnote w:id="103">
    <w:p w:rsidR="00E02252" w:rsidRDefault="00E02252">
      <w:pPr>
        <w:pStyle w:val="ad"/>
        <w:spacing w:line="360" w:lineRule="auto"/>
        <w:jc w:val="both"/>
      </w:pPr>
      <w:r>
        <w:rPr>
          <w:rStyle w:val="ae"/>
        </w:rPr>
        <w:footnoteRef/>
      </w:r>
      <w:r>
        <w:t xml:space="preserve"> </w:t>
      </w:r>
      <w:r>
        <w:rPr>
          <w:rFonts w:hAnsi="新細明體"/>
        </w:rPr>
        <w:t>參考，法務部，法律決字第</w:t>
      </w:r>
      <w:r>
        <w:t>0930020786</w:t>
      </w:r>
      <w:r>
        <w:rPr>
          <w:rFonts w:hAnsi="新細明體"/>
        </w:rPr>
        <w:t>號函（</w:t>
      </w:r>
      <w:r>
        <w:t>93.5.14</w:t>
      </w:r>
      <w:r>
        <w:rPr>
          <w:rFonts w:hAnsi="新細明體"/>
        </w:rPr>
        <w:t>）。</w:t>
      </w:r>
    </w:p>
  </w:footnote>
  <w:footnote w:id="104">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參考，行政法院</w:t>
      </w:r>
      <w:r>
        <w:rPr>
          <w:lang w:val="de-DE"/>
        </w:rPr>
        <w:t>89</w:t>
      </w:r>
      <w:r>
        <w:rPr>
          <w:rFonts w:hAnsi="新細明體"/>
        </w:rPr>
        <w:t>年度裁字</w:t>
      </w:r>
      <w:r>
        <w:rPr>
          <w:lang w:val="de-DE"/>
        </w:rPr>
        <w:t>731</w:t>
      </w:r>
      <w:r>
        <w:rPr>
          <w:rFonts w:hAnsi="新細明體"/>
        </w:rPr>
        <w:t>號裁定。</w:t>
      </w:r>
    </w:p>
  </w:footnote>
  <w:footnote w:id="105">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參考，大法官釋字</w:t>
      </w:r>
      <w:r>
        <w:rPr>
          <w:lang w:val="de-DE"/>
        </w:rPr>
        <w:t>469</w:t>
      </w:r>
      <w:r>
        <w:rPr>
          <w:rFonts w:hAnsi="新細明體"/>
        </w:rPr>
        <w:t>號解釋。</w:t>
      </w:r>
    </w:p>
  </w:footnote>
  <w:footnote w:id="106">
    <w:p w:rsidR="00E02252" w:rsidRDefault="00E02252">
      <w:pPr>
        <w:pStyle w:val="ad"/>
        <w:spacing w:line="360" w:lineRule="auto"/>
        <w:jc w:val="both"/>
      </w:pPr>
      <w:r>
        <w:rPr>
          <w:rStyle w:val="ae"/>
        </w:rPr>
        <w:footnoteRef/>
      </w:r>
      <w:r>
        <w:t xml:space="preserve"> </w:t>
      </w:r>
      <w:r>
        <w:rPr>
          <w:rFonts w:hAnsi="新細明體"/>
          <w:kern w:val="0"/>
        </w:rPr>
        <w:t>「非處分相對人起訴主張其所受侵害者，若可藉由保護規範理論判斷為其法律上利益受損害，固可認為具有訴訟權能，而得透過行政訴訟請求救濟，但若非法律上利益，而僅係單純政治、經濟、感情上等事實上利益或反射利益受損害，則不許當事人濫行起訴。蓋上開利益雖均有利於當事人，但因皆非值得透過有限司法資源保護之利益，第三人執此起訴，即非法之所許，此際法院應以當事人不具訴訟權能，依前揭行政訴訟法第一百零七條第三項規定，不經言詞辯論，逕以判決駁回其訴。」參考，</w:t>
      </w:r>
      <w:r>
        <w:rPr>
          <w:rFonts w:hAnsi="新細明體"/>
        </w:rPr>
        <w:t>最高行政法院</w:t>
      </w:r>
      <w:r>
        <w:t>92</w:t>
      </w:r>
      <w:r>
        <w:rPr>
          <w:rFonts w:hAnsi="新細明體"/>
        </w:rPr>
        <w:t>年度判字第</w:t>
      </w:r>
      <w:r>
        <w:t>1478</w:t>
      </w:r>
      <w:r>
        <w:rPr>
          <w:rFonts w:hAnsi="新細明體"/>
        </w:rPr>
        <w:t>號判決。</w:t>
      </w:r>
    </w:p>
  </w:footnote>
  <w:footnote w:id="107">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參考，臺北高等行政法院</w:t>
      </w:r>
      <w:r>
        <w:rPr>
          <w:lang w:val="de-DE"/>
        </w:rPr>
        <w:t>89</w:t>
      </w:r>
      <w:r>
        <w:rPr>
          <w:rFonts w:hAnsi="新細明體"/>
        </w:rPr>
        <w:t>年度訴字第</w:t>
      </w:r>
      <w:r>
        <w:rPr>
          <w:lang w:val="de-DE"/>
        </w:rPr>
        <w:t>1844</w:t>
      </w:r>
      <w:r>
        <w:rPr>
          <w:rFonts w:hAnsi="新細明體"/>
        </w:rPr>
        <w:t>號裁定。</w:t>
      </w:r>
    </w:p>
  </w:footnote>
  <w:footnote w:id="108">
    <w:p w:rsidR="00E02252" w:rsidRDefault="00E02252">
      <w:pPr>
        <w:pStyle w:val="ad"/>
        <w:spacing w:line="360" w:lineRule="auto"/>
        <w:jc w:val="both"/>
      </w:pPr>
      <w:r>
        <w:rPr>
          <w:rStyle w:val="ae"/>
        </w:rPr>
        <w:footnoteRef/>
      </w:r>
      <w:r>
        <w:t xml:space="preserve"> </w:t>
      </w:r>
      <w:r>
        <w:rPr>
          <w:rFonts w:hAnsi="新細明體"/>
        </w:rPr>
        <w:t>參考，最高行政法院</w:t>
      </w:r>
      <w:r>
        <w:t>93</w:t>
      </w:r>
      <w:r>
        <w:rPr>
          <w:rFonts w:hAnsi="新細明體"/>
        </w:rPr>
        <w:t>年度判字第</w:t>
      </w:r>
      <w:r>
        <w:t>1641</w:t>
      </w:r>
      <w:r>
        <w:rPr>
          <w:rFonts w:hAnsi="新細明體"/>
        </w:rPr>
        <w:t>號判決。</w:t>
      </w:r>
    </w:p>
  </w:footnote>
  <w:footnote w:id="109">
    <w:p w:rsidR="00E02252" w:rsidRDefault="00E02252">
      <w:pPr>
        <w:pStyle w:val="ad"/>
        <w:spacing w:line="360" w:lineRule="auto"/>
        <w:jc w:val="both"/>
      </w:pPr>
      <w:r>
        <w:rPr>
          <w:rStyle w:val="ae"/>
        </w:rPr>
        <w:footnoteRef/>
      </w:r>
      <w:r>
        <w:t xml:space="preserve"> </w:t>
      </w:r>
      <w:r>
        <w:rPr>
          <w:rFonts w:hAnsi="新細明體"/>
        </w:rPr>
        <w:t>參考，法務部，法律決字第</w:t>
      </w:r>
      <w:r>
        <w:t>0930020786</w:t>
      </w:r>
      <w:r>
        <w:rPr>
          <w:rFonts w:hAnsi="新細明體"/>
        </w:rPr>
        <w:t>號函（</w:t>
      </w:r>
      <w:r>
        <w:t>93.5.14</w:t>
      </w:r>
      <w:r>
        <w:rPr>
          <w:rFonts w:hAnsi="新細明體"/>
        </w:rPr>
        <w:t>）。</w:t>
      </w:r>
    </w:p>
  </w:footnote>
  <w:footnote w:id="110">
    <w:p w:rsidR="00E02252" w:rsidRDefault="00E02252">
      <w:pPr>
        <w:pStyle w:val="ad"/>
        <w:spacing w:line="360" w:lineRule="auto"/>
        <w:jc w:val="both"/>
      </w:pPr>
      <w:r>
        <w:rPr>
          <w:rStyle w:val="ae"/>
        </w:rPr>
        <w:footnoteRef/>
      </w:r>
      <w:r>
        <w:t xml:space="preserve"> </w:t>
      </w:r>
      <w:r>
        <w:rPr>
          <w:rFonts w:hAnsi="新細明體"/>
        </w:rPr>
        <w:t>大法官釋字第</w:t>
      </w:r>
      <w:r>
        <w:t>603</w:t>
      </w:r>
      <w:r>
        <w:rPr>
          <w:rFonts w:hAnsi="新細明體"/>
        </w:rPr>
        <w:t>號解釋：「維護人性尊嚴與尊重人格自由發展，乃自由民主憲政秩序之核心價值。隱私權雖非憲法明文列舉之權利，惟基於人性尊嚴與個人主體性之維護及人格發展之完整，並為保障個人生活私密領域免於他人侵擾及</w:t>
      </w:r>
      <w:r>
        <w:rPr>
          <w:rFonts w:hAnsi="新細明體"/>
          <w:b/>
          <w:u w:val="single"/>
        </w:rPr>
        <w:t>個人資料之自主控制</w:t>
      </w:r>
      <w:r>
        <w:rPr>
          <w:rFonts w:hAnsi="新細明體"/>
        </w:rPr>
        <w:t>，隱私權乃為不可或缺之基本權利，而受憲法第二十二條所保障。」此於德國法上，在陞遷程序中除非有其他法定應予權衡事由，否則原則上應對其他所有陞遷競爭者公開陞遷申請人之個人與資績資料。</w:t>
      </w:r>
      <w:r>
        <w:t xml:space="preserve">Vgl. </w:t>
      </w:r>
      <w:r>
        <w:rPr>
          <w:kern w:val="0"/>
        </w:rPr>
        <w:t>Wolfgang Zimmerling, Konkurrenz zwischen Angestellten und Beamten im Beförderungsgeschehen, http://www.zimmerling.de/veroeffentlichungen/volltext/befoerderungskonkurrenz.htm.</w:t>
      </w:r>
    </w:p>
  </w:footnote>
  <w:footnote w:id="111">
    <w:p w:rsidR="00E02252" w:rsidRDefault="00E02252">
      <w:pPr>
        <w:snapToGrid w:val="0"/>
        <w:spacing w:line="360" w:lineRule="auto"/>
        <w:jc w:val="both"/>
        <w:rPr>
          <w:sz w:val="20"/>
        </w:rPr>
      </w:pPr>
      <w:r>
        <w:rPr>
          <w:rStyle w:val="ae"/>
          <w:sz w:val="20"/>
        </w:rPr>
        <w:footnoteRef/>
      </w:r>
      <w:r>
        <w:t xml:space="preserve"> </w:t>
      </w:r>
      <w:r>
        <w:rPr>
          <w:rFonts w:hAnsi="新細明體"/>
          <w:sz w:val="20"/>
        </w:rPr>
        <w:t>參考，大法官釋字第</w:t>
      </w:r>
      <w:r>
        <w:rPr>
          <w:sz w:val="20"/>
        </w:rPr>
        <w:t>466</w:t>
      </w:r>
      <w:r>
        <w:rPr>
          <w:rFonts w:hAnsi="新細明體"/>
          <w:sz w:val="20"/>
        </w:rPr>
        <w:t>號解釋。</w:t>
      </w:r>
    </w:p>
  </w:footnote>
  <w:footnote w:id="112">
    <w:p w:rsidR="00E02252" w:rsidRDefault="00E02252">
      <w:pPr>
        <w:pStyle w:val="ad"/>
        <w:spacing w:line="360" w:lineRule="auto"/>
        <w:jc w:val="both"/>
      </w:pPr>
      <w:r>
        <w:rPr>
          <w:rStyle w:val="ae"/>
        </w:rPr>
        <w:footnoteRef/>
      </w:r>
      <w:r>
        <w:t xml:space="preserve"> </w:t>
      </w:r>
      <w:r>
        <w:rPr>
          <w:rFonts w:hAnsi="新細明體"/>
        </w:rPr>
        <w:t>一般確認訴訟在陞遷案件中適用的機會似乎並不多見。</w:t>
      </w:r>
    </w:p>
  </w:footnote>
  <w:footnote w:id="113">
    <w:p w:rsidR="00E02252" w:rsidRDefault="00E02252">
      <w:pPr>
        <w:pStyle w:val="ad"/>
        <w:spacing w:line="360" w:lineRule="auto"/>
        <w:jc w:val="both"/>
        <w:rPr>
          <w:color w:val="000000"/>
        </w:rPr>
      </w:pPr>
      <w:r>
        <w:rPr>
          <w:rStyle w:val="ae"/>
          <w:color w:val="000000"/>
        </w:rPr>
        <w:footnoteRef/>
      </w:r>
      <w:r>
        <w:rPr>
          <w:color w:val="000000"/>
        </w:rPr>
        <w:t xml:space="preserve"> Vgl. Peter </w:t>
      </w:r>
      <w:r>
        <w:rPr>
          <w:bCs/>
          <w:iCs/>
          <w:color w:val="000000"/>
        </w:rPr>
        <w:t>Krause</w:t>
      </w:r>
      <w:r>
        <w:rPr>
          <w:color w:val="000000"/>
        </w:rPr>
        <w:t xml:space="preserve">, Rechtsformen des Verwaltungshandelns,1974, S. 200; </w:t>
      </w:r>
      <w:r>
        <w:rPr>
          <w:bCs/>
          <w:iCs/>
          <w:color w:val="000000"/>
        </w:rPr>
        <w:t>Christoph</w:t>
      </w:r>
      <w:r>
        <w:rPr>
          <w:color w:val="000000"/>
        </w:rPr>
        <w:t xml:space="preserve"> </w:t>
      </w:r>
      <w:r>
        <w:rPr>
          <w:bCs/>
          <w:iCs/>
          <w:color w:val="000000"/>
        </w:rPr>
        <w:t xml:space="preserve">Druschel, </w:t>
      </w:r>
      <w:r>
        <w:rPr>
          <w:color w:val="000000"/>
        </w:rPr>
        <w:t xml:space="preserve">Die Verwaltungsaktbefugnis, 1999, S. </w:t>
      </w:r>
      <w:smartTag w:uri="urn:schemas-microsoft-com:office:smarttags" w:element="chmetcnv">
        <w:smartTagPr>
          <w:attr w:name="TCSC" w:val="0"/>
          <w:attr w:name="NumberType" w:val="1"/>
          <w:attr w:name="Negative" w:val="False"/>
          <w:attr w:name="HasSpace" w:val="True"/>
          <w:attr w:name="SourceValue" w:val="225"/>
          <w:attr w:name="UnitName" w:val="F"/>
        </w:smartTagPr>
        <w:r>
          <w:rPr>
            <w:color w:val="000000"/>
          </w:rPr>
          <w:t>225 f</w:t>
        </w:r>
      </w:smartTag>
      <w:r>
        <w:rPr>
          <w:color w:val="000000"/>
        </w:rPr>
        <w:t xml:space="preserve">. </w:t>
      </w:r>
      <w:r>
        <w:rPr>
          <w:rFonts w:hAnsi="新細明體"/>
          <w:color w:val="000000"/>
        </w:rPr>
        <w:t>類似之主張，參考，翁岳生編，行政訴訟法逐條釋義，</w:t>
      </w:r>
      <w:r>
        <w:rPr>
          <w:color w:val="000000"/>
        </w:rPr>
        <w:t>2002</w:t>
      </w:r>
      <w:r>
        <w:rPr>
          <w:rFonts w:hAnsi="新細明體"/>
          <w:color w:val="000000"/>
        </w:rPr>
        <w:t>，頁</w:t>
      </w:r>
      <w:r>
        <w:rPr>
          <w:color w:val="000000"/>
        </w:rPr>
        <w:t>100</w:t>
      </w:r>
      <w:r>
        <w:rPr>
          <w:rFonts w:hAnsi="新細明體"/>
          <w:color w:val="000000"/>
        </w:rPr>
        <w:t>（註</w:t>
      </w:r>
      <w:r>
        <w:rPr>
          <w:color w:val="000000"/>
        </w:rPr>
        <w:t>205</w:t>
      </w:r>
      <w:r>
        <w:rPr>
          <w:rFonts w:hAnsi="新細明體"/>
          <w:color w:val="000000"/>
        </w:rPr>
        <w:t>）（許宗力執筆）。氏認為，在只承認撤銷訴訟的舊法時代，行政機關函覆人民檢舉事項不成立所生權利救濟的爭執重心在於函覆性質是否屬於行政處分；但是在承認課予義務訴訟的新法時代，爭執重心則非該函覆是否屬於行政處分，而是舉發人是否依法擁有請求行政機關取締或處罰被舉發人之權利。</w:t>
      </w:r>
    </w:p>
  </w:footnote>
  <w:footnote w:id="114">
    <w:p w:rsidR="00E02252" w:rsidRDefault="00E02252">
      <w:pPr>
        <w:pStyle w:val="ad"/>
        <w:spacing w:line="360" w:lineRule="auto"/>
        <w:jc w:val="both"/>
        <w:rPr>
          <w:color w:val="000000"/>
        </w:rPr>
      </w:pPr>
      <w:r>
        <w:rPr>
          <w:rStyle w:val="ae"/>
          <w:color w:val="000000"/>
        </w:rPr>
        <w:footnoteRef/>
      </w:r>
      <w:r>
        <w:rPr>
          <w:color w:val="000000"/>
        </w:rPr>
        <w:t xml:space="preserve"> </w:t>
      </w:r>
      <w:r>
        <w:rPr>
          <w:rFonts w:hAnsi="新細明體"/>
          <w:color w:val="000000"/>
        </w:rPr>
        <w:t>程明修，「撤銷訴訟的合法性（二）</w:t>
      </w:r>
      <w:r>
        <w:rPr>
          <w:color w:val="000000"/>
        </w:rPr>
        <w:t xml:space="preserve"> - </w:t>
      </w:r>
      <w:r>
        <w:rPr>
          <w:rFonts w:hAnsi="新細明體"/>
          <w:color w:val="000000"/>
        </w:rPr>
        <w:t>隔離的撤銷訴訟</w:t>
      </w:r>
      <w:r>
        <w:rPr>
          <w:color w:val="000000"/>
        </w:rPr>
        <w:t>?</w:t>
      </w:r>
      <w:r>
        <w:rPr>
          <w:rFonts w:hAnsi="新細明體"/>
          <w:color w:val="000000"/>
        </w:rPr>
        <w:t>」，法學講座第</w:t>
      </w:r>
      <w:r>
        <w:rPr>
          <w:color w:val="000000"/>
        </w:rPr>
        <w:t>10</w:t>
      </w:r>
      <w:r>
        <w:rPr>
          <w:rFonts w:hAnsi="新細明體"/>
          <w:color w:val="000000"/>
        </w:rPr>
        <w:t>期，</w:t>
      </w:r>
      <w:r>
        <w:rPr>
          <w:color w:val="000000"/>
        </w:rPr>
        <w:t>2002.10</w:t>
      </w:r>
      <w:r>
        <w:rPr>
          <w:rFonts w:hAnsi="新細明體"/>
          <w:color w:val="000000"/>
        </w:rPr>
        <w:t>，頁</w:t>
      </w:r>
      <w:r>
        <w:rPr>
          <w:color w:val="000000"/>
        </w:rPr>
        <w:t>32</w:t>
      </w:r>
      <w:r>
        <w:rPr>
          <w:rFonts w:hAnsi="新細明體"/>
          <w:color w:val="000000"/>
        </w:rPr>
        <w:t>。</w:t>
      </w:r>
    </w:p>
  </w:footnote>
  <w:footnote w:id="115">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Vgl. Rainer </w:t>
      </w:r>
      <w:r>
        <w:rPr>
          <w:bCs/>
          <w:iCs/>
          <w:color w:val="000000"/>
          <w:lang w:val="de-DE"/>
        </w:rPr>
        <w:t xml:space="preserve">Pietzner/ Michael Ronellenfitsch, </w:t>
      </w:r>
      <w:r>
        <w:rPr>
          <w:color w:val="000000"/>
          <w:lang w:val="de-DE"/>
        </w:rPr>
        <w:t>Das Assessorexamen im Öffentlichen Recht, 10. Aulf., 2000, § 9 III Rn. 24.</w:t>
      </w:r>
    </w:p>
  </w:footnote>
  <w:footnote w:id="116">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w:t>
      </w:r>
      <w:r>
        <w:rPr>
          <w:rFonts w:hAnsi="新細明體"/>
          <w:color w:val="000000"/>
        </w:rPr>
        <w:t>相關文獻可參考</w:t>
      </w:r>
      <w:r>
        <w:rPr>
          <w:rFonts w:hAnsi="新細明體"/>
          <w:color w:val="000000"/>
          <w:lang w:val="de-DE"/>
        </w:rPr>
        <w:t>，</w:t>
      </w:r>
      <w:r>
        <w:rPr>
          <w:color w:val="000000"/>
          <w:lang w:val="de-DE"/>
        </w:rPr>
        <w:t>Vgl. Jost Pietzcker, in:</w:t>
      </w:r>
      <w:r>
        <w:rPr>
          <w:bCs/>
          <w:iCs/>
          <w:color w:val="000000"/>
          <w:lang w:val="de-DE"/>
        </w:rPr>
        <w:t xml:space="preserve"> Friedrich K. Schoch/ Eberhard Schmidt-Aßmann/ Rainer Pietzner (Hrsg.), </w:t>
      </w:r>
      <w:r>
        <w:rPr>
          <w:color w:val="000000"/>
          <w:lang w:val="de-DE"/>
        </w:rPr>
        <w:t>VwGO</w:t>
      </w:r>
      <w:r>
        <w:rPr>
          <w:bCs/>
          <w:iCs/>
          <w:color w:val="000000"/>
          <w:lang w:val="de-DE"/>
        </w:rPr>
        <w:t>, Stand: Jar. 2000, § 42 Abs. 1 Rn. 109 (Fn. 413).</w:t>
      </w:r>
    </w:p>
  </w:footnote>
  <w:footnote w:id="117">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Vgl. Friedhelm</w:t>
      </w:r>
      <w:r>
        <w:rPr>
          <w:bCs/>
          <w:iCs/>
          <w:color w:val="000000"/>
          <w:lang w:val="de-DE"/>
        </w:rPr>
        <w:t xml:space="preserve"> Hufen, </w:t>
      </w:r>
      <w:r>
        <w:rPr>
          <w:color w:val="000000"/>
          <w:lang w:val="de-DE"/>
        </w:rPr>
        <w:t>Verwaltungsprozeßrecht, 4. Aufl., 2000, § 14 Rn. 19.</w:t>
      </w:r>
    </w:p>
  </w:footnote>
  <w:footnote w:id="118">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Vgl. Hans-Werner Laubinger, Die isolierte Anfechtungsklage, in: Festschrift für Christian-Friedrich Menger zum 70. Geburtstag, 1985, S, 452 ff.</w:t>
      </w:r>
    </w:p>
  </w:footnote>
  <w:footnote w:id="119">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Vgl. Wolfgang Kuhla/ Jost Hüttenbrink, Der Verwaltungsprozess, 3. Aufl., 2002, D Rn. 143.</w:t>
      </w:r>
    </w:p>
  </w:footnote>
  <w:footnote w:id="120">
    <w:p w:rsidR="00E02252" w:rsidRDefault="00E02252">
      <w:pPr>
        <w:pStyle w:val="ad"/>
        <w:spacing w:line="360" w:lineRule="auto"/>
        <w:jc w:val="both"/>
        <w:rPr>
          <w:color w:val="000000"/>
          <w:lang w:val="de-DE"/>
        </w:rPr>
      </w:pPr>
      <w:r>
        <w:rPr>
          <w:rStyle w:val="ae"/>
          <w:color w:val="000000"/>
        </w:rPr>
        <w:footnoteRef/>
      </w:r>
      <w:r>
        <w:rPr>
          <w:color w:val="000000"/>
          <w:lang w:val="de-DE"/>
        </w:rPr>
        <w:t xml:space="preserve"> Vgl. Ferdinand O. Kopp/ Ulrich Ramsauer</w:t>
      </w:r>
      <w:r>
        <w:rPr>
          <w:bCs/>
          <w:iCs/>
          <w:color w:val="000000"/>
          <w:lang w:val="de-DE"/>
        </w:rPr>
        <w:t xml:space="preserve">, </w:t>
      </w:r>
      <w:r>
        <w:rPr>
          <w:color w:val="000000"/>
          <w:lang w:val="de-DE"/>
        </w:rPr>
        <w:t>VwGO, 12. Aufl., 2000, § 42 Rn. 30.</w:t>
      </w:r>
    </w:p>
  </w:footnote>
  <w:footnote w:id="121">
    <w:p w:rsidR="00E02252" w:rsidRDefault="00E02252">
      <w:pPr>
        <w:pStyle w:val="ad"/>
        <w:spacing w:line="360" w:lineRule="auto"/>
        <w:jc w:val="both"/>
        <w:rPr>
          <w:color w:val="000000"/>
        </w:rPr>
      </w:pPr>
      <w:r>
        <w:rPr>
          <w:rStyle w:val="ae"/>
          <w:color w:val="000000"/>
        </w:rPr>
        <w:footnoteRef/>
      </w:r>
      <w:r>
        <w:rPr>
          <w:color w:val="000000"/>
          <w:lang w:val="de-DE"/>
        </w:rPr>
        <w:t xml:space="preserve"> </w:t>
      </w:r>
      <w:r>
        <w:rPr>
          <w:rFonts w:hAnsi="新細明體"/>
          <w:color w:val="000000"/>
        </w:rPr>
        <w:t>相關文獻亦可參考</w:t>
      </w:r>
      <w:r>
        <w:rPr>
          <w:rFonts w:hAnsi="新細明體"/>
          <w:color w:val="000000"/>
          <w:lang w:val="de-DE"/>
        </w:rPr>
        <w:t>，</w:t>
      </w:r>
      <w:r>
        <w:rPr>
          <w:color w:val="000000"/>
          <w:lang w:val="de-DE"/>
        </w:rPr>
        <w:t>Vgl. Jost Pietzcker, in:</w:t>
      </w:r>
      <w:r>
        <w:rPr>
          <w:bCs/>
          <w:iCs/>
          <w:color w:val="000000"/>
          <w:lang w:val="de-DE"/>
        </w:rPr>
        <w:t xml:space="preserve"> Schoch/ Schmidt-Aßmann/ Pietzner (Hrsg.), </w:t>
      </w:r>
      <w:r>
        <w:rPr>
          <w:rFonts w:hint="eastAsia"/>
          <w:color w:val="0000FF"/>
          <w:lang w:val="de-DE"/>
        </w:rPr>
        <w:t>a.a.O.(Anm. 116)</w:t>
      </w:r>
      <w:r>
        <w:rPr>
          <w:color w:val="000000"/>
          <w:lang w:val="de-DE"/>
        </w:rPr>
        <w:t xml:space="preserve">, § 42 Abs. 1 Rn. 109 (Fn. 415). </w:t>
      </w:r>
      <w:r>
        <w:rPr>
          <w:rFonts w:hAnsi="新細明體"/>
          <w:color w:val="000000"/>
        </w:rPr>
        <w:t>當單獨撤銷駁回處分具有正當的權利保護目的時</w:t>
      </w:r>
      <w:r>
        <w:rPr>
          <w:rFonts w:hAnsi="新細明體"/>
          <w:color w:val="000000"/>
          <w:lang w:val="de-DE"/>
        </w:rPr>
        <w:t>，</w:t>
      </w:r>
      <w:r>
        <w:rPr>
          <w:rFonts w:hAnsi="新細明體"/>
          <w:color w:val="000000"/>
        </w:rPr>
        <w:t>隔離的撤銷訴訟雖不應自始加以排除。但是隔離的撤銷訴訟也並不應該無限地擴張其適用範圍。學說上承認或否定的各種類型，參考，程明修，</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114)</w:t>
      </w:r>
      <w:r>
        <w:rPr>
          <w:rFonts w:hAnsi="新細明體"/>
          <w:color w:val="000000"/>
        </w:rPr>
        <w:t>，頁</w:t>
      </w:r>
      <w:r>
        <w:rPr>
          <w:color w:val="000000"/>
        </w:rPr>
        <w:t>33</w:t>
      </w:r>
      <w:r>
        <w:rPr>
          <w:rFonts w:hAnsi="新細明體"/>
          <w:color w:val="000000"/>
        </w:rPr>
        <w:t>以下。</w:t>
      </w:r>
    </w:p>
  </w:footnote>
  <w:footnote w:id="122">
    <w:p w:rsidR="00E02252" w:rsidRDefault="00E02252">
      <w:pPr>
        <w:pStyle w:val="ad"/>
        <w:spacing w:line="360" w:lineRule="auto"/>
        <w:rPr>
          <w:lang w:val="de-DE"/>
        </w:rPr>
      </w:pPr>
      <w:r>
        <w:rPr>
          <w:rStyle w:val="ae"/>
        </w:rPr>
        <w:footnoteRef/>
      </w:r>
      <w:r>
        <w:t xml:space="preserve"> Vgl. BVerwGE 18, 124.</w:t>
      </w:r>
    </w:p>
  </w:footnote>
  <w:footnote w:id="123">
    <w:p w:rsidR="00E02252" w:rsidRDefault="00E02252">
      <w:pPr>
        <w:pStyle w:val="ad"/>
        <w:spacing w:line="360" w:lineRule="auto"/>
        <w:rPr>
          <w:lang w:val="de-DE"/>
        </w:rPr>
      </w:pPr>
      <w:r>
        <w:rPr>
          <w:rStyle w:val="ae"/>
        </w:rPr>
        <w:footnoteRef/>
      </w:r>
      <w:r>
        <w:t xml:space="preserve"> </w:t>
      </w:r>
      <w:r>
        <w:rPr>
          <w:lang w:val="de-DE"/>
        </w:rPr>
        <w:t>Vgl. von Albedyll, in: Johann Bader/ Michael Funke-Kaiser/ Stefan Kuntze/ Jörg von Albedyll, Verwaltungsgerichtsordnung, 3. Auf., 2005, § 65 Rn. 21 ff.</w:t>
      </w:r>
    </w:p>
  </w:footnote>
  <w:footnote w:id="124">
    <w:p w:rsidR="00E02252" w:rsidRDefault="00E02252">
      <w:pPr>
        <w:pStyle w:val="ad"/>
        <w:spacing w:line="360" w:lineRule="auto"/>
        <w:rPr>
          <w:lang w:val="de-DE"/>
        </w:rPr>
      </w:pPr>
      <w:r>
        <w:rPr>
          <w:rStyle w:val="ae"/>
        </w:rPr>
        <w:footnoteRef/>
      </w:r>
      <w:r>
        <w:rPr>
          <w:lang w:val="de-DE"/>
        </w:rPr>
        <w:t xml:space="preserve"> Vgl. OVG Greifswald, NVwZ 2000, 945.</w:t>
      </w:r>
    </w:p>
  </w:footnote>
  <w:footnote w:id="125">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w:t>
      </w:r>
      <w:r>
        <w:rPr>
          <w:rFonts w:hAnsi="新細明體"/>
          <w:lang w:val="de-DE"/>
        </w:rPr>
        <w:t>，</w:t>
      </w:r>
      <w:r>
        <w:rPr>
          <w:rFonts w:hAnsi="新細明體"/>
        </w:rPr>
        <w:t>陳敏</w:t>
      </w:r>
      <w:r>
        <w:rPr>
          <w:rFonts w:hAnsi="新細明體"/>
          <w:lang w:val="de-DE"/>
        </w:rPr>
        <w:t>，</w:t>
      </w:r>
      <w:r>
        <w:rPr>
          <w:rFonts w:hAnsi="新細明體"/>
        </w:rPr>
        <w:t>行政法總論</w:t>
      </w:r>
      <w:r>
        <w:rPr>
          <w:rFonts w:hAnsi="新細明體"/>
          <w:lang w:val="de-DE"/>
        </w:rPr>
        <w:t>（</w:t>
      </w:r>
      <w:r>
        <w:rPr>
          <w:rFonts w:hAnsi="新細明體"/>
        </w:rPr>
        <w:t>第三版</w:t>
      </w:r>
      <w:r>
        <w:rPr>
          <w:rFonts w:hAnsi="新細明體"/>
          <w:lang w:val="de-DE"/>
        </w:rPr>
        <w:t>），</w:t>
      </w:r>
      <w:r>
        <w:rPr>
          <w:rFonts w:hAnsi="新細明體"/>
        </w:rPr>
        <w:t>頁</w:t>
      </w:r>
      <w:r>
        <w:rPr>
          <w:lang w:val="de-DE"/>
        </w:rPr>
        <w:t>1031</w:t>
      </w:r>
      <w:r>
        <w:rPr>
          <w:rFonts w:hAnsi="新細明體"/>
        </w:rPr>
        <w:t>。</w:t>
      </w:r>
    </w:p>
  </w:footnote>
  <w:footnote w:id="126">
    <w:p w:rsidR="00E02252" w:rsidRDefault="00E02252">
      <w:pPr>
        <w:pStyle w:val="ad"/>
        <w:spacing w:line="360" w:lineRule="auto"/>
        <w:jc w:val="both"/>
      </w:pPr>
      <w:r>
        <w:rPr>
          <w:rStyle w:val="ae"/>
        </w:rPr>
        <w:footnoteRef/>
      </w:r>
      <w:r>
        <w:rPr>
          <w:lang w:val="de-DE"/>
        </w:rPr>
        <w:t xml:space="preserve"> Vgl. Uwe Kernbach, </w:t>
      </w:r>
      <w:r>
        <w:rPr>
          <w:rFonts w:hint="eastAsia"/>
          <w:lang w:val="de-DE"/>
        </w:rPr>
        <w:t>a.a.O.(Anm. 46)</w:t>
      </w:r>
      <w:r>
        <w:rPr>
          <w:lang w:val="de-DE"/>
        </w:rPr>
        <w:t>, S. 48 ff.</w:t>
      </w:r>
    </w:p>
  </w:footnote>
  <w:footnote w:id="127">
    <w:p w:rsidR="00E02252" w:rsidRDefault="00E02252">
      <w:pPr>
        <w:pStyle w:val="ad"/>
        <w:spacing w:line="360" w:lineRule="auto"/>
        <w:jc w:val="both"/>
      </w:pPr>
      <w:r>
        <w:rPr>
          <w:rStyle w:val="ae"/>
        </w:rPr>
        <w:footnoteRef/>
      </w:r>
      <w:r>
        <w:t xml:space="preserve"> </w:t>
      </w:r>
      <w:r>
        <w:rPr>
          <w:rFonts w:hAnsi="新細明體"/>
        </w:rPr>
        <w:t>至於「針對不作為之訴（</w:t>
      </w:r>
      <w:r>
        <w:rPr>
          <w:lang w:val="de-DE"/>
        </w:rPr>
        <w:t>Untätigkeitskage</w:t>
      </w:r>
      <w:r>
        <w:rPr>
          <w:rFonts w:hAnsi="新細明體"/>
        </w:rPr>
        <w:t>）」之類的課予義務訴訟，理論上亦不排除其可能性。</w:t>
      </w:r>
    </w:p>
  </w:footnote>
  <w:footnote w:id="128">
    <w:p w:rsidR="00E02252" w:rsidRDefault="00E02252">
      <w:pPr>
        <w:pStyle w:val="ad"/>
        <w:spacing w:line="360" w:lineRule="auto"/>
        <w:jc w:val="both"/>
        <w:rPr>
          <w:lang w:val="de-DE"/>
        </w:rPr>
      </w:pPr>
      <w:r>
        <w:rPr>
          <w:rStyle w:val="ae"/>
        </w:rPr>
        <w:footnoteRef/>
      </w:r>
      <w:r>
        <w:rPr>
          <w:lang w:val="de-DE"/>
        </w:rPr>
        <w:t xml:space="preserve"> </w:t>
      </w:r>
      <w:r>
        <w:rPr>
          <w:rFonts w:hAnsi="新細明體"/>
        </w:rPr>
        <w:t>參考</w:t>
      </w:r>
      <w:r>
        <w:rPr>
          <w:rFonts w:hAnsi="新細明體"/>
          <w:lang w:val="de-DE"/>
        </w:rPr>
        <w:t>，</w:t>
      </w:r>
      <w:r>
        <w:rPr>
          <w:rFonts w:hAnsi="新細明體"/>
        </w:rPr>
        <w:t>吳庚</w:t>
      </w:r>
      <w:r>
        <w:rPr>
          <w:rFonts w:hAnsi="新細明體"/>
          <w:lang w:val="de-DE"/>
        </w:rPr>
        <w:t>，</w:t>
      </w:r>
      <w:r>
        <w:rPr>
          <w:rFonts w:hAnsi="新細明體"/>
        </w:rPr>
        <w:t>行政爭訟法論</w:t>
      </w:r>
      <w:r>
        <w:rPr>
          <w:rFonts w:hAnsi="新細明體"/>
          <w:lang w:val="de-DE"/>
        </w:rPr>
        <w:t>，</w:t>
      </w:r>
      <w:r>
        <w:rPr>
          <w:lang w:val="de-DE"/>
        </w:rPr>
        <w:t>1999</w:t>
      </w:r>
      <w:r>
        <w:rPr>
          <w:rFonts w:hAnsi="新細明體"/>
          <w:lang w:val="de-DE"/>
        </w:rPr>
        <w:t>，</w:t>
      </w:r>
      <w:r>
        <w:rPr>
          <w:rFonts w:hAnsi="新細明體"/>
        </w:rPr>
        <w:t>頁</w:t>
      </w:r>
      <w:r>
        <w:rPr>
          <w:lang w:val="de-DE"/>
        </w:rPr>
        <w:t>134</w:t>
      </w:r>
      <w:r>
        <w:rPr>
          <w:rFonts w:hAnsi="新細明體"/>
          <w:lang w:val="de-DE"/>
        </w:rPr>
        <w:t>；</w:t>
      </w:r>
      <w:r>
        <w:rPr>
          <w:rFonts w:hAnsi="新細明體"/>
        </w:rPr>
        <w:t>陳清秀</w:t>
      </w:r>
      <w:r>
        <w:rPr>
          <w:rFonts w:hAnsi="新細明體"/>
          <w:lang w:val="de-DE"/>
        </w:rPr>
        <w:t>，</w:t>
      </w:r>
      <w:r>
        <w:rPr>
          <w:rFonts w:hAnsi="新細明體"/>
        </w:rPr>
        <w:t>行政訴訟法</w:t>
      </w:r>
      <w:r>
        <w:rPr>
          <w:rFonts w:hAnsi="新細明體"/>
          <w:lang w:val="de-DE"/>
        </w:rPr>
        <w:t>，</w:t>
      </w:r>
      <w:r>
        <w:rPr>
          <w:lang w:val="de-DE"/>
        </w:rPr>
        <w:t>1999.6</w:t>
      </w:r>
      <w:r>
        <w:rPr>
          <w:rFonts w:hAnsi="新細明體"/>
          <w:lang w:val="de-DE"/>
        </w:rPr>
        <w:t>，</w:t>
      </w:r>
      <w:r>
        <w:rPr>
          <w:rFonts w:hAnsi="新細明體"/>
        </w:rPr>
        <w:t>頁</w:t>
      </w:r>
      <w:r>
        <w:rPr>
          <w:lang w:val="de-DE"/>
        </w:rPr>
        <w:t>109</w:t>
      </w:r>
      <w:r>
        <w:rPr>
          <w:rFonts w:hAnsi="新細明體"/>
        </w:rPr>
        <w:t>。</w:t>
      </w:r>
    </w:p>
  </w:footnote>
  <w:footnote w:id="129">
    <w:p w:rsidR="00E02252" w:rsidRDefault="00E02252">
      <w:pPr>
        <w:pStyle w:val="ad"/>
        <w:spacing w:line="360" w:lineRule="auto"/>
        <w:jc w:val="both"/>
        <w:rPr>
          <w:lang w:val="de-DE"/>
        </w:rPr>
      </w:pPr>
      <w:r>
        <w:rPr>
          <w:rStyle w:val="ae"/>
        </w:rPr>
        <w:footnoteRef/>
      </w:r>
      <w:r>
        <w:rPr>
          <w:lang w:val="de-DE"/>
        </w:rPr>
        <w:t xml:space="preserve"> Vgl. Rainer</w:t>
      </w:r>
      <w:r>
        <w:rPr>
          <w:b/>
          <w:i/>
          <w:lang w:val="de-DE"/>
        </w:rPr>
        <w:t xml:space="preserve"> </w:t>
      </w:r>
      <w:r>
        <w:rPr>
          <w:bCs/>
          <w:iCs/>
          <w:lang w:val="de-DE"/>
        </w:rPr>
        <w:t>Pietzner/ Michael Ronellenfitsch,</w:t>
      </w:r>
      <w:r>
        <w:rPr>
          <w:bCs/>
          <w:iCs/>
          <w:color w:val="0000FF"/>
          <w:lang w:val="de-DE"/>
        </w:rPr>
        <w:t xml:space="preserve"> </w:t>
      </w:r>
      <w:r>
        <w:rPr>
          <w:rFonts w:hint="eastAsia"/>
          <w:bCs/>
          <w:iCs/>
          <w:color w:val="0000FF"/>
          <w:lang w:val="de-DE"/>
        </w:rPr>
        <w:t>a.a.O.(Anm. 115)</w:t>
      </w:r>
      <w:r>
        <w:rPr>
          <w:lang w:val="de-DE"/>
        </w:rPr>
        <w:t>, § 9 Rn. 9.</w:t>
      </w:r>
    </w:p>
  </w:footnote>
  <w:footnote w:id="130">
    <w:p w:rsidR="00E02252" w:rsidRDefault="00E02252">
      <w:pPr>
        <w:pStyle w:val="ad"/>
        <w:spacing w:line="360" w:lineRule="auto"/>
        <w:jc w:val="both"/>
      </w:pPr>
      <w:r>
        <w:rPr>
          <w:rStyle w:val="ae"/>
        </w:rPr>
        <w:footnoteRef/>
      </w:r>
      <w:r>
        <w:t xml:space="preserve"> </w:t>
      </w:r>
      <w:r>
        <w:rPr>
          <w:rFonts w:hAnsi="新細明體"/>
        </w:rPr>
        <w:t>參考，盛子龍，「公務員權利調整之權利救濟</w:t>
      </w:r>
      <w:r>
        <w:t xml:space="preserve"> – </w:t>
      </w:r>
      <w:r>
        <w:rPr>
          <w:rFonts w:hAnsi="新細明體"/>
        </w:rPr>
        <w:t>行政訴訟法新制下新展望」，司法院，行政訴訟論文彙編</w:t>
      </w:r>
      <w:r>
        <w:t xml:space="preserve"> - </w:t>
      </w:r>
      <w:r>
        <w:rPr>
          <w:rFonts w:hAnsi="新細明體"/>
        </w:rPr>
        <w:t>人事行政爭訟，</w:t>
      </w:r>
      <w:r>
        <w:t>2002.11</w:t>
      </w:r>
      <w:r>
        <w:rPr>
          <w:rFonts w:hAnsi="新細明體"/>
        </w:rPr>
        <w:t>，頁</w:t>
      </w:r>
      <w:r>
        <w:t>394</w:t>
      </w:r>
      <w:r>
        <w:rPr>
          <w:rFonts w:hAnsi="新細明體"/>
        </w:rPr>
        <w:t>。</w:t>
      </w:r>
    </w:p>
  </w:footnote>
  <w:footnote w:id="131">
    <w:p w:rsidR="00E02252" w:rsidRDefault="00E02252">
      <w:pPr>
        <w:pStyle w:val="ad"/>
        <w:spacing w:line="360" w:lineRule="auto"/>
        <w:jc w:val="both"/>
      </w:pPr>
      <w:r>
        <w:rPr>
          <w:rStyle w:val="ae"/>
        </w:rPr>
        <w:footnoteRef/>
      </w:r>
      <w:r>
        <w:t xml:space="preserve"> </w:t>
      </w:r>
      <w:r>
        <w:rPr>
          <w:rFonts w:hAnsi="新細明體"/>
        </w:rPr>
        <w:t>參考，林明昕，「一般形成訴訟」，當代公法新論（下），翁岳生教授七秩誕辰祝壽論文集，</w:t>
      </w:r>
      <w:r>
        <w:t>2002</w:t>
      </w:r>
      <w:r>
        <w:rPr>
          <w:rFonts w:hAnsi="新細明體"/>
        </w:rPr>
        <w:t>，頁</w:t>
      </w:r>
      <w:r>
        <w:t>93</w:t>
      </w:r>
      <w:r>
        <w:rPr>
          <w:rFonts w:hAnsi="新細明體"/>
        </w:rPr>
        <w:t>以下。</w:t>
      </w:r>
    </w:p>
  </w:footnote>
  <w:footnote w:id="132">
    <w:p w:rsidR="00E02252" w:rsidRDefault="00E02252">
      <w:pPr>
        <w:pStyle w:val="ad"/>
        <w:spacing w:line="360" w:lineRule="auto"/>
        <w:jc w:val="both"/>
        <w:rPr>
          <w:lang w:val="de-DE"/>
        </w:rPr>
      </w:pPr>
      <w:r>
        <w:rPr>
          <w:rStyle w:val="ae"/>
        </w:rPr>
        <w:footnoteRef/>
      </w:r>
      <w:r>
        <w:rPr>
          <w:lang w:val="de-DE"/>
        </w:rPr>
        <w:t xml:space="preserve"> Vgl. Rainer</w:t>
      </w:r>
      <w:r>
        <w:rPr>
          <w:b/>
          <w:i/>
          <w:lang w:val="de-DE"/>
        </w:rPr>
        <w:t xml:space="preserve"> </w:t>
      </w:r>
      <w:r>
        <w:rPr>
          <w:bCs/>
          <w:iCs/>
          <w:lang w:val="de-DE"/>
        </w:rPr>
        <w:t xml:space="preserve">Pietzner/ Michael Ronellenfitsch, </w:t>
      </w:r>
      <w:r>
        <w:rPr>
          <w:rFonts w:hint="eastAsia"/>
          <w:bCs/>
          <w:iCs/>
          <w:color w:val="0000FF"/>
          <w:lang w:val="de-DE"/>
        </w:rPr>
        <w:t>a.a.O.(Anm. 115)</w:t>
      </w:r>
      <w:r>
        <w:rPr>
          <w:lang w:val="de-DE"/>
        </w:rPr>
        <w:t>, § 9 Rn. 2</w:t>
      </w:r>
      <w:r>
        <w:rPr>
          <w:rFonts w:hAnsi="新細明體"/>
        </w:rPr>
        <w:t>（作者在本書第一版中即以如此稱之，新版書中則不再正式使用之）</w:t>
      </w:r>
      <w:r>
        <w:rPr>
          <w:lang w:val="de-DE"/>
        </w:rPr>
        <w:t xml:space="preserve">; </w:t>
      </w:r>
      <w:r>
        <w:rPr>
          <w:rFonts w:hint="eastAsia"/>
          <w:color w:val="0000FF"/>
          <w:lang w:val="de-DE"/>
        </w:rPr>
        <w:t>v</w:t>
      </w:r>
      <w:r>
        <w:rPr>
          <w:color w:val="0000FF"/>
          <w:lang w:val="de-DE"/>
        </w:rPr>
        <w:t>gl.</w:t>
      </w:r>
      <w:r>
        <w:rPr>
          <w:rFonts w:hint="eastAsia"/>
          <w:lang w:val="de-DE"/>
        </w:rPr>
        <w:t xml:space="preserve"> </w:t>
      </w:r>
      <w:r>
        <w:rPr>
          <w:lang w:val="de-DE"/>
        </w:rPr>
        <w:t>Bettina Jung Lundberg-Höwing, Der verwaltungsgerichtliche Rechtsschutz des Beamten gegen dienstaufsichtliche und organisatorische Maßnahmen, Diss. Göttingen, 1992, S. 80.</w:t>
      </w:r>
    </w:p>
  </w:footnote>
  <w:footnote w:id="133">
    <w:p w:rsidR="00E02252" w:rsidRDefault="00E02252">
      <w:pPr>
        <w:pStyle w:val="ad"/>
        <w:spacing w:line="360" w:lineRule="auto"/>
        <w:jc w:val="both"/>
      </w:pPr>
      <w:r>
        <w:rPr>
          <w:rStyle w:val="ae"/>
        </w:rPr>
        <w:footnoteRef/>
      </w:r>
      <w:r>
        <w:rPr>
          <w:lang w:val="de-DE"/>
        </w:rPr>
        <w:t xml:space="preserve"> Vgl. Ferdinand O. Kopp/ Wolf-Rüdiger Schenke, </w:t>
      </w:r>
      <w:r>
        <w:rPr>
          <w:rFonts w:hint="eastAsia"/>
          <w:bCs/>
          <w:iCs/>
          <w:color w:val="0000FF"/>
          <w:lang w:val="de-DE"/>
        </w:rPr>
        <w:t>a.a.O.(Anm. 120)</w:t>
      </w:r>
      <w:r>
        <w:t>, Vorb § 40 Rn. 8b.</w:t>
      </w:r>
    </w:p>
  </w:footnote>
  <w:footnote w:id="134">
    <w:p w:rsidR="00E02252" w:rsidRDefault="00E02252">
      <w:pPr>
        <w:pStyle w:val="ad"/>
        <w:spacing w:line="360" w:lineRule="auto"/>
        <w:jc w:val="both"/>
      </w:pPr>
      <w:r>
        <w:rPr>
          <w:rStyle w:val="ae"/>
        </w:rPr>
        <w:footnoteRef/>
      </w:r>
      <w:r>
        <w:t xml:space="preserve"> </w:t>
      </w:r>
      <w:r>
        <w:rPr>
          <w:rFonts w:hAnsi="新細明體"/>
        </w:rPr>
        <w:t>同見解，參考，林明昕，「一般形成訴訟」，當代公法新論（下），翁岳生教授七秩誕辰祝壽論文集，</w:t>
      </w:r>
      <w:r>
        <w:t>2002</w:t>
      </w:r>
      <w:r>
        <w:rPr>
          <w:rFonts w:hAnsi="新細明體"/>
        </w:rPr>
        <w:t>，頁</w:t>
      </w:r>
      <w:r>
        <w:t>97</w:t>
      </w:r>
      <w:r>
        <w:rPr>
          <w:rFonts w:hAnsi="新細明體"/>
        </w:rPr>
        <w:t>。</w:t>
      </w:r>
    </w:p>
  </w:footnote>
  <w:footnote w:id="135">
    <w:p w:rsidR="00E02252" w:rsidRDefault="00E02252">
      <w:pPr>
        <w:pStyle w:val="ad"/>
        <w:spacing w:line="360" w:lineRule="auto"/>
        <w:jc w:val="both"/>
      </w:pPr>
      <w:r>
        <w:rPr>
          <w:rStyle w:val="ae"/>
        </w:rPr>
        <w:footnoteRef/>
      </w:r>
      <w:r>
        <w:t xml:space="preserve"> </w:t>
      </w:r>
      <w:r>
        <w:rPr>
          <w:rFonts w:hAnsi="新細明體"/>
        </w:rPr>
        <w:t>參考，李建良，</w:t>
      </w:r>
      <w:r>
        <w:rPr>
          <w:rFonts w:hAnsi="新細明體" w:hint="eastAsia"/>
          <w:color w:val="0000FF"/>
          <w:lang w:val="de-DE"/>
        </w:rPr>
        <w:t>前揭書</w:t>
      </w:r>
      <w:r>
        <w:rPr>
          <w:rFonts w:hAnsi="新細明體" w:hint="eastAsia"/>
          <w:color w:val="0000FF"/>
          <w:lang w:val="de-DE"/>
        </w:rPr>
        <w:t>(</w:t>
      </w:r>
      <w:r>
        <w:rPr>
          <w:rFonts w:hAnsi="新細明體" w:hint="eastAsia"/>
          <w:color w:val="0000FF"/>
          <w:lang w:val="de-DE"/>
        </w:rPr>
        <w:t>註</w:t>
      </w:r>
      <w:r>
        <w:rPr>
          <w:rFonts w:hAnsi="新細明體" w:hint="eastAsia"/>
          <w:color w:val="0000FF"/>
          <w:lang w:val="de-DE"/>
        </w:rPr>
        <w:t>35)</w:t>
      </w:r>
      <w:r>
        <w:rPr>
          <w:rFonts w:hAnsi="新細明體"/>
          <w:lang w:val="de-DE"/>
        </w:rPr>
        <w:t>，頁</w:t>
      </w:r>
      <w:r>
        <w:rPr>
          <w:lang w:val="de-DE"/>
        </w:rPr>
        <w:t>169</w:t>
      </w:r>
      <w:r>
        <w:rPr>
          <w:rFonts w:hAnsi="新細明體"/>
          <w:lang w:val="de-DE"/>
        </w:rPr>
        <w:t>以下。</w:t>
      </w:r>
    </w:p>
  </w:footnote>
  <w:footnote w:id="136">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參考，南</w:t>
      </w:r>
      <w:r>
        <w:rPr>
          <w:lang w:eastAsia="ja-JP"/>
        </w:rPr>
        <w:t>=</w:t>
      </w:r>
      <w:r>
        <w:rPr>
          <w:rFonts w:hAnsi="新細明體"/>
          <w:lang w:eastAsia="ja-JP"/>
        </w:rPr>
        <w:t>高橋編・条解，頁</w:t>
      </w:r>
      <w:r>
        <w:rPr>
          <w:lang w:eastAsia="ja-JP"/>
        </w:rPr>
        <w:t>54</w:t>
      </w:r>
      <w:r>
        <w:rPr>
          <w:rFonts w:hAnsi="新細明體"/>
          <w:lang w:eastAsia="ja-JP"/>
        </w:rPr>
        <w:t>［高橋滋執筆］。</w:t>
      </w:r>
    </w:p>
  </w:footnote>
  <w:footnote w:id="137">
    <w:p w:rsidR="00E02252" w:rsidRDefault="00E02252">
      <w:pPr>
        <w:pStyle w:val="ad"/>
        <w:spacing w:line="360" w:lineRule="auto"/>
        <w:jc w:val="both"/>
      </w:pPr>
      <w:r>
        <w:rPr>
          <w:rStyle w:val="ae"/>
        </w:rPr>
        <w:footnoteRef/>
      </w:r>
      <w:r>
        <w:rPr>
          <w:lang w:val="de-DE"/>
        </w:rPr>
        <w:t xml:space="preserve"> Vgl. Uwe Kernbach, </w:t>
      </w:r>
      <w:r>
        <w:rPr>
          <w:rFonts w:hint="eastAsia"/>
          <w:bCs/>
          <w:iCs/>
          <w:color w:val="0000FF"/>
          <w:lang w:val="de-DE"/>
        </w:rPr>
        <w:t>a.a.O.(Anm. 46)</w:t>
      </w:r>
      <w:r>
        <w:rPr>
          <w:lang w:val="de-DE"/>
        </w:rPr>
        <w:t>, S. 131.</w:t>
      </w:r>
    </w:p>
  </w:footnote>
  <w:footnote w:id="138">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實務與學說，參考，</w:t>
      </w:r>
      <w:r>
        <w:rPr>
          <w:lang w:val="de-DE"/>
        </w:rPr>
        <w:t xml:space="preserve">Vgl. Johannes Remmel, </w:t>
      </w:r>
      <w:r>
        <w:rPr>
          <w:rFonts w:hint="eastAsia"/>
          <w:bCs/>
          <w:iCs/>
          <w:color w:val="0000FF"/>
          <w:lang w:val="de-DE"/>
        </w:rPr>
        <w:t>a.a.O.(Anm. 90)</w:t>
      </w:r>
      <w:r>
        <w:rPr>
          <w:lang w:val="de-DE"/>
        </w:rPr>
        <w:t>, S. 35.</w:t>
      </w:r>
    </w:p>
  </w:footnote>
  <w:footnote w:id="139">
    <w:p w:rsidR="00E02252" w:rsidRDefault="00E02252">
      <w:pPr>
        <w:pStyle w:val="ad"/>
        <w:spacing w:line="360" w:lineRule="auto"/>
        <w:jc w:val="both"/>
        <w:rPr>
          <w:lang w:val="de-DE" w:eastAsia="ja-JP"/>
        </w:rPr>
      </w:pPr>
      <w:r>
        <w:rPr>
          <w:rStyle w:val="ae"/>
        </w:rPr>
        <w:footnoteRef/>
      </w:r>
      <w:r>
        <w:rPr>
          <w:lang w:val="de-DE"/>
        </w:rPr>
        <w:t xml:space="preserve"> </w:t>
      </w:r>
      <w:r>
        <w:rPr>
          <w:lang w:val="de-DE" w:eastAsia="ja-JP"/>
        </w:rPr>
        <w:t>Vgl. Martens, ZBR 1992, 133; Schnellenbach ZBR 1992, 270 ff.</w:t>
      </w:r>
    </w:p>
  </w:footnote>
  <w:footnote w:id="140">
    <w:p w:rsidR="00E02252" w:rsidRDefault="00E02252">
      <w:pPr>
        <w:pStyle w:val="ad"/>
        <w:spacing w:line="360" w:lineRule="auto"/>
        <w:jc w:val="both"/>
        <w:rPr>
          <w:lang w:val="de-DE"/>
        </w:rPr>
      </w:pPr>
      <w:r>
        <w:rPr>
          <w:rStyle w:val="ae"/>
        </w:rPr>
        <w:footnoteRef/>
      </w:r>
      <w:r>
        <w:rPr>
          <w:lang w:val="de-DE"/>
        </w:rPr>
        <w:t xml:space="preserve"> Vgl. </w:t>
      </w:r>
      <w:r>
        <w:rPr>
          <w:kern w:val="0"/>
          <w:lang w:val="de-DE"/>
        </w:rPr>
        <w:t xml:space="preserve">Josef Isensee: </w:t>
      </w:r>
      <w:r>
        <w:rPr>
          <w:iCs/>
          <w:kern w:val="0"/>
          <w:lang w:val="de-DE"/>
        </w:rPr>
        <w:t>Der Zugang zum öffentlichen Dienst, in: Festgabe aus Anlaß des 25jährigen Bestehens des Bundesverwaltungsgerichts</w:t>
      </w:r>
      <w:r>
        <w:rPr>
          <w:kern w:val="0"/>
          <w:lang w:val="de-DE"/>
        </w:rPr>
        <w:t xml:space="preserve">, hrsg. von Otto Bachof, Ludwig Heigl, Konrad Redeker, München 1978, S. 337-356; Ernst-Lüder Solte: </w:t>
      </w:r>
      <w:r>
        <w:rPr>
          <w:iCs/>
          <w:kern w:val="0"/>
          <w:lang w:val="de-DE"/>
        </w:rPr>
        <w:t>Zur Konkurrentenklage im Beamtenrecht</w:t>
      </w:r>
      <w:r>
        <w:rPr>
          <w:kern w:val="0"/>
          <w:lang w:val="de-DE"/>
        </w:rPr>
        <w:t xml:space="preserve">, in: NJW 1980, 1027-1035; Hellmuth Günther: </w:t>
      </w:r>
      <w:r>
        <w:rPr>
          <w:iCs/>
          <w:kern w:val="0"/>
          <w:lang w:val="de-DE"/>
        </w:rPr>
        <w:t>Konkurrentenstreit und kein Ende? - Bestandsaufnahme zur Personalmaßnahme Beförderung -</w:t>
      </w:r>
      <w:r>
        <w:rPr>
          <w:kern w:val="0"/>
          <w:lang w:val="de-DE"/>
        </w:rPr>
        <w:t xml:space="preserve">, in: ZBR 1990, S. 284-295; Rainer Wernsmann: </w:t>
      </w:r>
      <w:r>
        <w:rPr>
          <w:iCs/>
          <w:kern w:val="0"/>
          <w:lang w:val="de-DE"/>
        </w:rPr>
        <w:t>Die beamtenrechtliche Konkurrentenklage</w:t>
      </w:r>
      <w:r>
        <w:rPr>
          <w:kern w:val="0"/>
          <w:lang w:val="de-DE"/>
        </w:rPr>
        <w:t>, in: DVBl. 2005, S. 276 ff.</w:t>
      </w:r>
    </w:p>
  </w:footnote>
  <w:footnote w:id="141">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因此有學說認為職務安定原則乃是人民服公職基本權利的一種內在限制（</w:t>
      </w:r>
      <w:r>
        <w:rPr>
          <w:lang w:val="de-DE"/>
        </w:rPr>
        <w:t>immanente Schranke</w:t>
      </w:r>
      <w:r>
        <w:rPr>
          <w:rFonts w:hAnsi="新細明體"/>
          <w:lang w:val="de-DE"/>
        </w:rPr>
        <w:t>）。</w:t>
      </w:r>
      <w:r>
        <w:rPr>
          <w:lang w:val="de-DE"/>
        </w:rPr>
        <w:t xml:space="preserve">Vgl. Uwe Kernbach, </w:t>
      </w:r>
      <w:r>
        <w:rPr>
          <w:rFonts w:hint="eastAsia"/>
          <w:bCs/>
          <w:iCs/>
          <w:color w:val="0000FF"/>
          <w:lang w:val="de-DE"/>
        </w:rPr>
        <w:t>a.a.O.(Anm. 46)</w:t>
      </w:r>
      <w:r>
        <w:rPr>
          <w:lang w:val="de-DE"/>
        </w:rPr>
        <w:t>, S. 166 ff.</w:t>
      </w:r>
    </w:p>
  </w:footnote>
  <w:footnote w:id="142">
    <w:p w:rsidR="00E02252" w:rsidRDefault="00E02252">
      <w:pPr>
        <w:pStyle w:val="ad"/>
        <w:spacing w:line="360" w:lineRule="auto"/>
        <w:rPr>
          <w:lang w:val="de-DE"/>
        </w:rPr>
      </w:pPr>
      <w:r>
        <w:rPr>
          <w:rStyle w:val="ae"/>
        </w:rPr>
        <w:footnoteRef/>
      </w:r>
      <w:r>
        <w:rPr>
          <w:lang w:val="de-DE"/>
        </w:rPr>
        <w:t xml:space="preserve"> Vgl. Peter, JuS 1992, 1044; Schnellenbach, NVwZ 1990, 637.</w:t>
      </w:r>
    </w:p>
  </w:footnote>
  <w:footnote w:id="143">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bCs/>
          <w:iCs/>
          <w:color w:val="0000FF"/>
          <w:lang w:val="de-DE"/>
        </w:rPr>
        <w:t>a.a.O.(Anm. 46)</w:t>
      </w:r>
      <w:r>
        <w:rPr>
          <w:lang w:val="de-DE"/>
        </w:rPr>
        <w:t>, S. 168.</w:t>
      </w:r>
    </w:p>
  </w:footnote>
  <w:footnote w:id="144">
    <w:p w:rsidR="00E02252" w:rsidRDefault="00E02252">
      <w:pPr>
        <w:pStyle w:val="ad"/>
        <w:spacing w:line="360" w:lineRule="auto"/>
        <w:jc w:val="both"/>
        <w:rPr>
          <w:lang w:val="de-DE"/>
        </w:rPr>
      </w:pPr>
      <w:r>
        <w:rPr>
          <w:rStyle w:val="ae"/>
        </w:rPr>
        <w:footnoteRef/>
      </w:r>
      <w:r>
        <w:rPr>
          <w:lang w:val="de-DE"/>
        </w:rPr>
        <w:t xml:space="preserve"> </w:t>
      </w:r>
      <w:r>
        <w:rPr>
          <w:kern w:val="0"/>
          <w:lang w:val="de-DE"/>
        </w:rPr>
        <w:t>Vgl. BVerwGE 115, 89 ff.; DVBl. 2002, S. 203.</w:t>
      </w:r>
    </w:p>
  </w:footnote>
  <w:footnote w:id="145">
    <w:p w:rsidR="00E02252" w:rsidRDefault="00E02252">
      <w:pPr>
        <w:pStyle w:val="ad"/>
        <w:spacing w:line="360" w:lineRule="auto"/>
        <w:jc w:val="both"/>
        <w:rPr>
          <w:lang w:val="de-DE"/>
        </w:rPr>
      </w:pPr>
      <w:r>
        <w:rPr>
          <w:rStyle w:val="ae"/>
        </w:rPr>
        <w:footnoteRef/>
      </w:r>
      <w:r>
        <w:rPr>
          <w:lang w:val="de-DE"/>
        </w:rPr>
        <w:t xml:space="preserve"> Vgl. </w:t>
      </w:r>
      <w:r>
        <w:rPr>
          <w:kern w:val="0"/>
          <w:lang w:val="de-DE"/>
        </w:rPr>
        <w:t>BVerwGE 118, 370.</w:t>
      </w:r>
    </w:p>
  </w:footnote>
  <w:footnote w:id="146">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如果再對照「劉慶蜀案」，保訓會也是採實質審理。</w:t>
      </w:r>
    </w:p>
  </w:footnote>
  <w:footnote w:id="147">
    <w:p w:rsidR="00E02252" w:rsidRDefault="00E02252">
      <w:pPr>
        <w:pStyle w:val="ad"/>
        <w:spacing w:line="360" w:lineRule="auto"/>
        <w:jc w:val="both"/>
        <w:rPr>
          <w:lang w:val="de-DE" w:eastAsia="ja-JP"/>
        </w:rPr>
      </w:pPr>
      <w:r>
        <w:rPr>
          <w:rStyle w:val="ae"/>
        </w:rPr>
        <w:footnoteRef/>
      </w:r>
      <w:r>
        <w:rPr>
          <w:lang w:val="de-DE"/>
        </w:rPr>
        <w:t xml:space="preserve"> </w:t>
      </w:r>
      <w:r>
        <w:rPr>
          <w:rFonts w:hAnsi="新細明體"/>
          <w:lang w:val="de-DE"/>
        </w:rPr>
        <w:t>參考，</w:t>
      </w:r>
      <w:r>
        <w:rPr>
          <w:lang w:val="de-DE"/>
        </w:rPr>
        <w:t>Schoch, Vorl</w:t>
      </w:r>
      <w:r>
        <w:rPr>
          <w:lang w:val="de-DE" w:eastAsia="ja-JP"/>
        </w:rPr>
        <w:t>äufiger Rechtsschutz, S. 691; Müller, JuS 1985, 278.</w:t>
      </w:r>
    </w:p>
  </w:footnote>
  <w:footnote w:id="148">
    <w:p w:rsidR="00E02252" w:rsidRDefault="00E02252">
      <w:pPr>
        <w:pStyle w:val="ad"/>
        <w:spacing w:line="360" w:lineRule="auto"/>
        <w:rPr>
          <w:lang w:val="de-DE"/>
        </w:rPr>
      </w:pPr>
      <w:r>
        <w:rPr>
          <w:rStyle w:val="ae"/>
        </w:rPr>
        <w:footnoteRef/>
      </w:r>
      <w:r>
        <w:t xml:space="preserve"> </w:t>
      </w:r>
      <w:r>
        <w:rPr>
          <w:lang w:val="de-DE"/>
        </w:rPr>
        <w:t xml:space="preserve">Vgl. BVerwG, Urt. V. 09.03.1989 – </w:t>
      </w:r>
      <w:smartTag w:uri="urn:schemas-microsoft-com:office:smarttags" w:element="chmetcnv">
        <w:smartTagPr>
          <w:attr w:name="TCSC" w:val="0"/>
          <w:attr w:name="NumberType" w:val="1"/>
          <w:attr w:name="Negative" w:val="False"/>
          <w:attr w:name="HasSpace" w:val="True"/>
          <w:attr w:name="SourceValue" w:val="2"/>
          <w:attr w:name="UnitName" w:val="C"/>
        </w:smartTagPr>
        <w:r>
          <w:rPr>
            <w:lang w:val="de-DE"/>
          </w:rPr>
          <w:t>2 c</w:t>
        </w:r>
      </w:smartTag>
      <w:r>
        <w:rPr>
          <w:lang w:val="de-DE"/>
        </w:rPr>
        <w:t xml:space="preserve"> 4.87, DVBl. 1989, 1150.</w:t>
      </w:r>
    </w:p>
  </w:footnote>
  <w:footnote w:id="149">
    <w:p w:rsidR="00E02252" w:rsidRDefault="00E02252">
      <w:pPr>
        <w:widowControl/>
        <w:snapToGrid w:val="0"/>
        <w:spacing w:line="360" w:lineRule="auto"/>
        <w:jc w:val="both"/>
        <w:rPr>
          <w:sz w:val="20"/>
          <w:szCs w:val="20"/>
          <w:lang w:val="de-DE"/>
        </w:rPr>
      </w:pPr>
      <w:r>
        <w:rPr>
          <w:rStyle w:val="ae"/>
          <w:sz w:val="20"/>
          <w:szCs w:val="20"/>
        </w:rPr>
        <w:footnoteRef/>
      </w:r>
      <w:r>
        <w:rPr>
          <w:sz w:val="20"/>
          <w:szCs w:val="20"/>
        </w:rPr>
        <w:t xml:space="preserve"> Vgl. </w:t>
      </w:r>
      <w:r>
        <w:rPr>
          <w:kern w:val="0"/>
          <w:sz w:val="20"/>
          <w:szCs w:val="20"/>
        </w:rPr>
        <w:t>Wolfgang Zimmerling, Konkurrenz zwischen Angestellten und Beamten im Beförderungsgeschehen, http://www.zimmerling.de/veroeffentlichungen/volltext/befoerderungskonkurrenz. htm.</w:t>
      </w:r>
    </w:p>
  </w:footnote>
  <w:footnote w:id="150">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bCs/>
          <w:iCs/>
          <w:color w:val="0000FF"/>
          <w:lang w:val="de-DE"/>
        </w:rPr>
        <w:t>a.a.O.(Anm. 46)</w:t>
      </w:r>
      <w:r>
        <w:rPr>
          <w:lang w:val="de-DE"/>
        </w:rPr>
        <w:t>, S. 94.</w:t>
      </w:r>
    </w:p>
  </w:footnote>
  <w:footnote w:id="151">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bCs/>
          <w:iCs/>
          <w:color w:val="0000FF"/>
          <w:lang w:val="de-DE"/>
        </w:rPr>
        <w:t>a.a.O.(Anm. 46)</w:t>
      </w:r>
      <w:r>
        <w:rPr>
          <w:lang w:val="de-DE"/>
        </w:rPr>
        <w:t>, S. 169.</w:t>
      </w:r>
    </w:p>
  </w:footnote>
  <w:footnote w:id="152">
    <w:p w:rsidR="00E02252" w:rsidRDefault="00E02252">
      <w:pPr>
        <w:pStyle w:val="ad"/>
        <w:spacing w:line="360" w:lineRule="auto"/>
        <w:ind w:left="200" w:hanging="200"/>
        <w:jc w:val="both"/>
      </w:pPr>
      <w:r>
        <w:rPr>
          <w:rStyle w:val="ae"/>
        </w:rPr>
        <w:footnoteRef/>
      </w:r>
      <w:r>
        <w:rPr>
          <w:kern w:val="0"/>
          <w:lang w:val="de-DE"/>
        </w:rPr>
        <w:t xml:space="preserve"> </w:t>
      </w:r>
      <w:r>
        <w:rPr>
          <w:rFonts w:hAnsi="新細明體"/>
          <w:kern w:val="0"/>
        </w:rPr>
        <w:t>身分法上職務或</w:t>
      </w:r>
      <w:r>
        <w:rPr>
          <w:rFonts w:hAnsi="新細明體"/>
        </w:rPr>
        <w:t>地位法上的公務員職務原則上是透過官、職等的分類</w:t>
      </w:r>
      <w:r>
        <w:rPr>
          <w:rFonts w:hAnsi="新細明體"/>
          <w:lang w:val="de-DE"/>
        </w:rPr>
        <w:t>（</w:t>
      </w:r>
      <w:r>
        <w:rPr>
          <w:lang w:val="de-DE"/>
        </w:rPr>
        <w:t>die Zugehörigkeit zu einer Laufbahn und Laufbahngruppe</w:t>
      </w:r>
      <w:r>
        <w:rPr>
          <w:rFonts w:hAnsi="新細明體"/>
          <w:lang w:val="de-DE"/>
        </w:rPr>
        <w:t>）</w:t>
      </w:r>
      <w:r>
        <w:rPr>
          <w:rFonts w:hAnsi="新細明體"/>
        </w:rPr>
        <w:t>、俸級的基本俸給</w:t>
      </w:r>
      <w:r>
        <w:rPr>
          <w:rFonts w:hAnsi="新細明體"/>
          <w:lang w:val="de-DE"/>
        </w:rPr>
        <w:t>（</w:t>
      </w:r>
      <w:r>
        <w:rPr>
          <w:lang w:val="de-DE"/>
        </w:rPr>
        <w:t>das Endgrundgehalt der Besoldungsgruppe</w:t>
      </w:r>
      <w:r>
        <w:rPr>
          <w:rFonts w:hAnsi="新細明體"/>
          <w:lang w:val="de-DE"/>
        </w:rPr>
        <w:t>）</w:t>
      </w:r>
      <w:r>
        <w:rPr>
          <w:rFonts w:hAnsi="新細明體"/>
        </w:rPr>
        <w:t>以及賦與公務員的官銜</w:t>
      </w:r>
      <w:r>
        <w:rPr>
          <w:rFonts w:hAnsi="新細明體"/>
          <w:lang w:val="de-DE"/>
        </w:rPr>
        <w:t>（</w:t>
      </w:r>
      <w:r>
        <w:rPr>
          <w:lang w:val="de-DE"/>
        </w:rPr>
        <w:t>Amtsbezeichnung</w:t>
      </w:r>
      <w:r>
        <w:rPr>
          <w:rFonts w:hAnsi="新細明體"/>
          <w:lang w:val="de-DE"/>
        </w:rPr>
        <w:t>）</w:t>
      </w:r>
      <w:r>
        <w:rPr>
          <w:rFonts w:hAnsi="新細明體"/>
        </w:rPr>
        <w:t>加以認定。地位法上的公務員職務首先透過「任命（</w:t>
      </w:r>
      <w:r>
        <w:t>Ernennung</w:t>
      </w:r>
      <w:r>
        <w:rPr>
          <w:rFonts w:hAnsi="新細明體"/>
        </w:rPr>
        <w:t>）」賦予，其後之變動僅得透過「陞遷（</w:t>
      </w:r>
      <w:r>
        <w:t>Beförderung</w:t>
      </w:r>
      <w:r>
        <w:rPr>
          <w:rFonts w:hAnsi="新細明體"/>
        </w:rPr>
        <w:t>）」或透過懲戒程序的降級（</w:t>
      </w:r>
      <w:r>
        <w:t>Degradierung</w:t>
      </w:r>
      <w:r>
        <w:rPr>
          <w:rFonts w:hAnsi="新細明體"/>
        </w:rPr>
        <w:t>）為之。因此若是官等、職等或俸級的變動便屬「地位法上的公務員</w:t>
      </w:r>
      <w:r>
        <w:rPr>
          <w:rFonts w:hAnsi="新細明體"/>
          <w:color w:val="000000"/>
        </w:rPr>
        <w:t>職務」之變動。</w:t>
      </w:r>
    </w:p>
  </w:footnote>
  <w:footnote w:id="153">
    <w:p w:rsidR="00E02252" w:rsidRDefault="00E02252">
      <w:pPr>
        <w:pStyle w:val="ad"/>
        <w:spacing w:line="360" w:lineRule="auto"/>
        <w:ind w:left="200" w:hanging="200"/>
        <w:jc w:val="both"/>
        <w:rPr>
          <w:lang w:val="de-DE"/>
        </w:rPr>
      </w:pPr>
      <w:r>
        <w:rPr>
          <w:rStyle w:val="ae"/>
        </w:rPr>
        <w:footnoteRef/>
      </w:r>
      <w:r>
        <w:rPr>
          <w:lang w:val="de-DE"/>
        </w:rPr>
        <w:t xml:space="preserve"> BVerfGE 7, 155, 163; 70, 251, 267 ff.</w:t>
      </w:r>
    </w:p>
  </w:footnote>
  <w:footnote w:id="154">
    <w:p w:rsidR="00E02252" w:rsidRDefault="00E02252">
      <w:pPr>
        <w:pStyle w:val="ad"/>
        <w:spacing w:line="360" w:lineRule="auto"/>
        <w:ind w:left="200" w:hanging="200"/>
        <w:jc w:val="both"/>
        <w:rPr>
          <w:color w:val="FF0000"/>
          <w:lang w:val="de-DE"/>
        </w:rPr>
      </w:pPr>
      <w:r>
        <w:rPr>
          <w:rStyle w:val="ae"/>
          <w:color w:val="FF0000"/>
        </w:rPr>
        <w:footnoteRef/>
      </w:r>
      <w:r>
        <w:rPr>
          <w:color w:val="FF0000"/>
          <w:lang w:val="de-DE"/>
        </w:rPr>
        <w:t xml:space="preserve"> Vgl. P</w:t>
      </w:r>
      <w:r>
        <w:rPr>
          <w:rFonts w:hint="eastAsia"/>
          <w:color w:val="FF0000"/>
          <w:lang w:val="de-DE"/>
        </w:rPr>
        <w:t>.-</w:t>
      </w:r>
      <w:r>
        <w:rPr>
          <w:color w:val="FF0000"/>
          <w:lang w:val="de-DE"/>
        </w:rPr>
        <w:t xml:space="preserve"> M</w:t>
      </w:r>
      <w:r>
        <w:rPr>
          <w:rFonts w:hint="eastAsia"/>
          <w:color w:val="FF0000"/>
          <w:lang w:val="de-DE"/>
        </w:rPr>
        <w:t>.</w:t>
      </w:r>
      <w:r>
        <w:rPr>
          <w:color w:val="FF0000"/>
          <w:lang w:val="de-DE"/>
        </w:rPr>
        <w:t xml:space="preserve"> Huber, </w:t>
      </w:r>
      <w:r>
        <w:rPr>
          <w:rFonts w:hint="eastAsia"/>
          <w:color w:val="FF0000"/>
          <w:lang w:val="de-DE"/>
        </w:rPr>
        <w:t>in: v. Mangoldt/ Klein/ Starck (Hg.), GG, Bd.1</w:t>
      </w:r>
      <w:r>
        <w:rPr>
          <w:color w:val="FF0000"/>
          <w:lang w:val="de-DE"/>
        </w:rPr>
        <w:t>.,</w:t>
      </w:r>
      <w:r>
        <w:rPr>
          <w:rFonts w:hint="eastAsia"/>
          <w:color w:val="FF0000"/>
          <w:lang w:val="de-DE"/>
        </w:rPr>
        <w:t xml:space="preserve"> 4. Aufl., 1999, </w:t>
      </w:r>
      <w:r>
        <w:rPr>
          <w:color w:val="FF0000"/>
          <w:lang w:val="de-DE"/>
        </w:rPr>
        <w:t>Art. 19 Rn. 469.</w:t>
      </w:r>
    </w:p>
  </w:footnote>
  <w:footnote w:id="155">
    <w:p w:rsidR="00E02252" w:rsidRDefault="00E02252">
      <w:pPr>
        <w:pStyle w:val="ad"/>
        <w:spacing w:line="360" w:lineRule="auto"/>
        <w:ind w:left="200" w:hanging="200"/>
        <w:jc w:val="both"/>
        <w:rPr>
          <w:lang w:val="de-DE"/>
        </w:rPr>
      </w:pPr>
      <w:r>
        <w:rPr>
          <w:rStyle w:val="ae"/>
        </w:rPr>
        <w:footnoteRef/>
      </w:r>
      <w:r>
        <w:rPr>
          <w:lang w:val="de-DE"/>
        </w:rPr>
        <w:t xml:space="preserve"> </w:t>
      </w:r>
      <w:r>
        <w:rPr>
          <w:rFonts w:hAnsi="新細明體"/>
        </w:rPr>
        <w:t>參考</w:t>
      </w:r>
      <w:r>
        <w:rPr>
          <w:rFonts w:hAnsi="新細明體"/>
          <w:lang w:val="de-DE"/>
        </w:rPr>
        <w:t>，</w:t>
      </w:r>
      <w:r>
        <w:rPr>
          <w:rFonts w:hAnsi="新細明體"/>
        </w:rPr>
        <w:t>李惠宗</w:t>
      </w:r>
      <w:r>
        <w:rPr>
          <w:rFonts w:hAnsi="新細明體"/>
          <w:lang w:val="de-DE"/>
        </w:rPr>
        <w:t>，</w:t>
      </w:r>
      <w:r>
        <w:rPr>
          <w:rFonts w:hAnsi="新細明體"/>
        </w:rPr>
        <w:t>「從基本權功能論司法獨立與訴訟基本權之保障」</w:t>
      </w:r>
      <w:r>
        <w:rPr>
          <w:rFonts w:hAnsi="新細明體"/>
          <w:lang w:val="de-DE"/>
        </w:rPr>
        <w:t>，</w:t>
      </w:r>
      <w:r>
        <w:rPr>
          <w:rFonts w:hAnsi="新細明體"/>
        </w:rPr>
        <w:t>同作者</w:t>
      </w:r>
      <w:r>
        <w:rPr>
          <w:rFonts w:hAnsi="新細明體"/>
          <w:lang w:val="de-DE"/>
        </w:rPr>
        <w:t>，</w:t>
      </w:r>
      <w:r>
        <w:rPr>
          <w:rFonts w:hAnsi="新細明體"/>
        </w:rPr>
        <w:t>權利分立與基本權保障</w:t>
      </w:r>
      <w:r>
        <w:rPr>
          <w:rFonts w:hAnsi="新細明體"/>
          <w:lang w:val="de-DE"/>
        </w:rPr>
        <w:t>，</w:t>
      </w:r>
      <w:r>
        <w:rPr>
          <w:lang w:val="de-DE"/>
        </w:rPr>
        <w:t>1999</w:t>
      </w:r>
      <w:r>
        <w:rPr>
          <w:rFonts w:hAnsi="新細明體"/>
          <w:lang w:val="de-DE"/>
        </w:rPr>
        <w:t>，</w:t>
      </w:r>
      <w:r>
        <w:rPr>
          <w:rFonts w:hAnsi="新細明體"/>
        </w:rPr>
        <w:t>頁</w:t>
      </w:r>
      <w:r>
        <w:rPr>
          <w:lang w:val="de-DE"/>
        </w:rPr>
        <w:t>253</w:t>
      </w:r>
      <w:r>
        <w:rPr>
          <w:rFonts w:hAnsi="新細明體"/>
          <w:lang w:val="de-DE"/>
        </w:rPr>
        <w:t>；</w:t>
      </w:r>
      <w:r>
        <w:rPr>
          <w:bCs/>
          <w:iCs/>
          <w:lang w:val="de-DE"/>
        </w:rPr>
        <w:t xml:space="preserve">Eberhard Schmidt-Aßmann, in: Theoder Maunz/ Günter Dürig/ Roman Herzog/ Rupert Scholz (Hrsg.), </w:t>
      </w:r>
      <w:r>
        <w:rPr>
          <w:lang w:val="de-DE"/>
        </w:rPr>
        <w:t>Grundgesetz, Stand: 1997, Art. 19 IV Rn. 278.</w:t>
      </w:r>
    </w:p>
  </w:footnote>
  <w:footnote w:id="156">
    <w:p w:rsidR="00E02252" w:rsidRDefault="00E02252">
      <w:pPr>
        <w:pStyle w:val="ad"/>
        <w:spacing w:line="360" w:lineRule="auto"/>
        <w:ind w:left="200" w:hanging="200"/>
        <w:jc w:val="both"/>
        <w:rPr>
          <w:color w:val="FF0000"/>
          <w:lang w:val="de-DE"/>
        </w:rPr>
      </w:pPr>
      <w:r>
        <w:rPr>
          <w:rStyle w:val="ae"/>
          <w:color w:val="FF0000"/>
        </w:rPr>
        <w:footnoteRef/>
      </w:r>
      <w:r>
        <w:rPr>
          <w:color w:val="FF0000"/>
          <w:lang w:val="de-DE"/>
        </w:rPr>
        <w:t xml:space="preserve"> Vgl. Hartmut Krüger, </w:t>
      </w:r>
      <w:r>
        <w:rPr>
          <w:rFonts w:hint="eastAsia"/>
          <w:color w:val="FF0000"/>
          <w:lang w:val="de-DE"/>
        </w:rPr>
        <w:t>in: Sachs (Hrsg.), GG, 2. Aufl., 1999,</w:t>
      </w:r>
      <w:r>
        <w:rPr>
          <w:color w:val="FF0000"/>
          <w:lang w:val="de-DE"/>
        </w:rPr>
        <w:t>., Art. 19 Rn. 148.</w:t>
      </w:r>
    </w:p>
  </w:footnote>
  <w:footnote w:id="157">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大法官另於釋字第</w:t>
      </w:r>
      <w:r>
        <w:rPr>
          <w:lang w:val="de-DE"/>
        </w:rPr>
        <w:t>599</w:t>
      </w:r>
      <w:r>
        <w:rPr>
          <w:rFonts w:hAnsi="新細明體"/>
          <w:lang w:val="de-DE"/>
        </w:rPr>
        <w:t>號解釋中，針對大法官解釋的暫時性權利保障制度指出，「</w:t>
      </w:r>
      <w:r>
        <w:rPr>
          <w:rFonts w:hAnsi="新細明體"/>
          <w:color w:val="000000"/>
          <w:kern w:val="0"/>
        </w:rPr>
        <w:t>如因系爭憲法疑義或爭議狀態之持續、爭議法令之適用或原因案件裁判之執行，可能對人民基本權利、憲法基本原則或其他重大公益造成不可回復或難以回復之重大損害，而對損害之防止事實上具急迫必要性，且別無其他手段可資防免時，即得權衡作成暫時處分之利益與不作成暫時處分之不利益，並於利益顯然大於不利益時，依聲請人之聲請，於本案解釋前作成暫時處分以定暫時狀態</w:t>
      </w:r>
      <w:r>
        <w:rPr>
          <w:rFonts w:hAnsi="新細明體"/>
          <w:lang w:val="de-DE"/>
        </w:rPr>
        <w:t>」。</w:t>
      </w:r>
    </w:p>
  </w:footnote>
  <w:footnote w:id="158">
    <w:p w:rsidR="00E02252" w:rsidRDefault="00E02252">
      <w:pPr>
        <w:pStyle w:val="ad"/>
        <w:spacing w:line="360" w:lineRule="auto"/>
        <w:ind w:left="200" w:hanging="200"/>
        <w:jc w:val="both"/>
        <w:rPr>
          <w:lang w:val="de-DE"/>
        </w:rPr>
      </w:pPr>
      <w:r>
        <w:rPr>
          <w:rStyle w:val="ae"/>
        </w:rPr>
        <w:footnoteRef/>
      </w:r>
      <w:r>
        <w:rPr>
          <w:lang w:val="de-DE"/>
        </w:rPr>
        <w:t xml:space="preserve"> Vgl. Schoch, in: Schoch/Schmidt-Aßmann/Pietzner (Hrsg.), Verwaltungsgerichtsord</w:t>
      </w:r>
      <w:r>
        <w:rPr>
          <w:lang w:val="de-DE"/>
        </w:rPr>
        <w:softHyphen/>
        <w:t>nung Kom</w:t>
      </w:r>
      <w:r>
        <w:rPr>
          <w:lang w:val="de-DE"/>
        </w:rPr>
        <w:softHyphen/>
        <w:t>mentar, Vorb. § 80 Rn. 34 f. (Stand: Jan. 2003).</w:t>
      </w:r>
    </w:p>
  </w:footnote>
  <w:footnote w:id="159">
    <w:p w:rsidR="00E02252" w:rsidRDefault="00E02252">
      <w:pPr>
        <w:pStyle w:val="ad"/>
        <w:spacing w:line="360" w:lineRule="auto"/>
        <w:ind w:left="200" w:hanging="200"/>
        <w:jc w:val="both"/>
        <w:rPr>
          <w:rFonts w:hint="eastAsia"/>
          <w:lang w:val="de-DE"/>
        </w:rPr>
      </w:pPr>
      <w:r>
        <w:rPr>
          <w:rStyle w:val="ae"/>
        </w:rPr>
        <w:footnoteRef/>
      </w:r>
      <w:r>
        <w:rPr>
          <w:lang w:val="de-DE"/>
        </w:rPr>
        <w:t xml:space="preserve"> </w:t>
      </w:r>
      <w:r>
        <w:rPr>
          <w:rFonts w:hAnsi="新細明體"/>
        </w:rPr>
        <w:t>參考</w:t>
      </w:r>
      <w:r>
        <w:rPr>
          <w:rFonts w:hAnsi="新細明體"/>
          <w:lang w:val="de-DE"/>
        </w:rPr>
        <w:t>，</w:t>
      </w:r>
      <w:r>
        <w:rPr>
          <w:rFonts w:hAnsi="新細明體"/>
        </w:rPr>
        <w:t>林明昕</w:t>
      </w:r>
      <w:r>
        <w:rPr>
          <w:rFonts w:hAnsi="新細明體"/>
          <w:lang w:val="de-DE"/>
        </w:rPr>
        <w:t>，</w:t>
      </w:r>
      <w:r>
        <w:rPr>
          <w:rFonts w:hAnsi="新細明體"/>
        </w:rPr>
        <w:t>「論大法官釋憲程序之改革</w:t>
      </w:r>
      <w:r>
        <w:rPr>
          <w:lang w:val="de-DE"/>
        </w:rPr>
        <w:t xml:space="preserve"> — </w:t>
      </w:r>
      <w:r>
        <w:rPr>
          <w:rFonts w:hAnsi="新細明體"/>
        </w:rPr>
        <w:t>兼評司法院大法官審理案件法修正草案」</w:t>
      </w:r>
      <w:r>
        <w:rPr>
          <w:rFonts w:hAnsi="新細明體"/>
          <w:lang w:val="de-DE"/>
        </w:rPr>
        <w:t>，</w:t>
      </w:r>
      <w:r>
        <w:t>中央研究院中山人文社會科學研究所主辦，第四屆「憲法</w:t>
      </w:r>
      <w:r>
        <w:rPr>
          <w:rFonts w:hint="eastAsia"/>
        </w:rPr>
        <w:t>解釋之理論與實務」學術研討會論文，</w:t>
      </w:r>
      <w:r>
        <w:rPr>
          <w:rFonts w:hint="eastAsia"/>
        </w:rPr>
        <w:t>2003.9.26/27</w:t>
      </w:r>
      <w:r>
        <w:rPr>
          <w:rFonts w:hint="eastAsia"/>
        </w:rPr>
        <w:t>。</w:t>
      </w:r>
    </w:p>
  </w:footnote>
  <w:footnote w:id="160">
    <w:p w:rsidR="00E02252" w:rsidRDefault="00E02252">
      <w:pPr>
        <w:pStyle w:val="ad"/>
        <w:spacing w:line="360" w:lineRule="auto"/>
        <w:ind w:left="200" w:hanging="200"/>
        <w:jc w:val="both"/>
        <w:rPr>
          <w:lang w:val="de-DE"/>
        </w:rPr>
      </w:pPr>
      <w:r>
        <w:rPr>
          <w:rStyle w:val="ae"/>
        </w:rPr>
        <w:footnoteRef/>
      </w:r>
      <w:r>
        <w:rPr>
          <w:lang w:val="de-DE"/>
        </w:rPr>
        <w:t xml:space="preserve"> Vgl.BVerfG (Kammer) vom 29.7.2003 – 2 BvR 311/ 03 – Rn. 16.</w:t>
      </w:r>
    </w:p>
  </w:footnote>
  <w:footnote w:id="161">
    <w:p w:rsidR="00E02252" w:rsidRDefault="00E02252">
      <w:pPr>
        <w:pStyle w:val="ad"/>
        <w:spacing w:line="360" w:lineRule="auto"/>
        <w:ind w:left="200" w:hanging="200"/>
        <w:jc w:val="both"/>
        <w:rPr>
          <w:lang w:val="de-DE"/>
        </w:rPr>
      </w:pPr>
      <w:r>
        <w:rPr>
          <w:rStyle w:val="ae"/>
        </w:rPr>
        <w:footnoteRef/>
      </w:r>
      <w:r>
        <w:rPr>
          <w:lang w:val="de-DE"/>
        </w:rPr>
        <w:t xml:space="preserve"> Vgl. Wernsmann, DVBl. 2005, 280.</w:t>
      </w:r>
    </w:p>
  </w:footnote>
  <w:footnote w:id="162">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行政訴訟法第</w:t>
      </w:r>
      <w:r>
        <w:rPr>
          <w:lang w:val="de-DE"/>
        </w:rPr>
        <w:t>299</w:t>
      </w:r>
      <w:r>
        <w:rPr>
          <w:rFonts w:hAnsi="新細明體"/>
          <w:lang w:val="de-DE"/>
        </w:rPr>
        <w:t>條規定：「關於行政機關之行政處分，不得為前條之假處分。」應限縮適用於撤銷訴訟而已。</w:t>
      </w:r>
    </w:p>
  </w:footnote>
  <w:footnote w:id="163">
    <w:p w:rsidR="00E02252" w:rsidRDefault="00E02252">
      <w:pPr>
        <w:pStyle w:val="ad"/>
        <w:spacing w:line="360" w:lineRule="auto"/>
        <w:jc w:val="both"/>
      </w:pPr>
      <w:r>
        <w:rPr>
          <w:rStyle w:val="ae"/>
        </w:rPr>
        <w:footnoteRef/>
      </w:r>
      <w:r>
        <w:rPr>
          <w:lang w:val="de-DE"/>
        </w:rPr>
        <w:t xml:space="preserve"> Vgl. Uwe Kernbach, </w:t>
      </w:r>
      <w:r>
        <w:rPr>
          <w:rFonts w:hint="eastAsia"/>
          <w:bCs/>
          <w:iCs/>
          <w:color w:val="0000FF"/>
          <w:lang w:val="de-DE"/>
        </w:rPr>
        <w:t>a.a.O.(Anm. 46)</w:t>
      </w:r>
      <w:r>
        <w:rPr>
          <w:lang w:val="de-DE"/>
        </w:rPr>
        <w:t>, S. 172.</w:t>
      </w:r>
    </w:p>
  </w:footnote>
  <w:footnote w:id="164">
    <w:p w:rsidR="00E02252" w:rsidRDefault="00E02252">
      <w:pPr>
        <w:pStyle w:val="ad"/>
        <w:spacing w:line="360" w:lineRule="auto"/>
        <w:rPr>
          <w:rFonts w:hint="eastAsia"/>
        </w:rPr>
      </w:pPr>
      <w:r>
        <w:rPr>
          <w:rStyle w:val="ae"/>
        </w:rPr>
        <w:footnoteRef/>
      </w:r>
      <w:r>
        <w:t xml:space="preserve"> </w:t>
      </w:r>
      <w:r>
        <w:rPr>
          <w:rFonts w:hint="eastAsia"/>
        </w:rPr>
        <w:t>引自，汪渡村</w:t>
      </w:r>
      <w:r>
        <w:rPr>
          <w:rFonts w:hint="eastAsia"/>
        </w:rPr>
        <w:t>/</w:t>
      </w:r>
      <w:r>
        <w:rPr>
          <w:rFonts w:hint="eastAsia"/>
        </w:rPr>
        <w:t>陳世民</w:t>
      </w:r>
      <w:r>
        <w:rPr>
          <w:rFonts w:hint="eastAsia"/>
        </w:rPr>
        <w:t>/</w:t>
      </w:r>
      <w:r>
        <w:rPr>
          <w:rFonts w:hint="eastAsia"/>
        </w:rPr>
        <w:t>林素鳳，行政訴訟法修正後諸原則之探討，台灣省訴願會委託研究，</w:t>
      </w:r>
      <w:r>
        <w:rPr>
          <w:rFonts w:hint="eastAsia"/>
        </w:rPr>
        <w:t>1999.5.31</w:t>
      </w:r>
      <w:r>
        <w:rPr>
          <w:rFonts w:hint="eastAsia"/>
        </w:rPr>
        <w:t>，頁</w:t>
      </w:r>
      <w:r>
        <w:rPr>
          <w:rFonts w:hint="eastAsia"/>
        </w:rPr>
        <w:t>24</w:t>
      </w:r>
      <w:r>
        <w:rPr>
          <w:rFonts w:hint="eastAsia"/>
        </w:rPr>
        <w:t>以下。</w:t>
      </w:r>
    </w:p>
  </w:footnote>
  <w:footnote w:id="165">
    <w:p w:rsidR="00E02252" w:rsidRDefault="00E02252">
      <w:pPr>
        <w:pStyle w:val="ad"/>
        <w:spacing w:line="360" w:lineRule="auto"/>
        <w:rPr>
          <w:rFonts w:eastAsia="MS Mincho"/>
          <w:lang w:val="de-DE" w:eastAsia="ja-JP"/>
        </w:rPr>
      </w:pPr>
      <w:r>
        <w:rPr>
          <w:rStyle w:val="ae"/>
        </w:rPr>
        <w:footnoteRef/>
      </w:r>
      <w:r>
        <w:rPr>
          <w:lang w:val="de-DE"/>
        </w:rPr>
        <w:t xml:space="preserve"> </w:t>
      </w:r>
      <w:r>
        <w:rPr>
          <w:rFonts w:eastAsia="MS Mincho"/>
          <w:lang w:val="de-DE" w:eastAsia="ja-JP"/>
        </w:rPr>
        <w:t>Vgl. Helmut Schnellenbach, Beamtenrecht in der Praxis, 5. Aufl., 2001, Rn. 69.</w:t>
      </w:r>
    </w:p>
  </w:footnote>
  <w:footnote w:id="166">
    <w:p w:rsidR="00E02252" w:rsidRDefault="00E02252">
      <w:pPr>
        <w:pStyle w:val="ad"/>
        <w:spacing w:line="360" w:lineRule="auto"/>
        <w:jc w:val="both"/>
        <w:rPr>
          <w:lang w:val="de-DE"/>
        </w:rPr>
      </w:pPr>
      <w:r>
        <w:rPr>
          <w:rStyle w:val="ae"/>
        </w:rPr>
        <w:footnoteRef/>
      </w:r>
      <w:r>
        <w:rPr>
          <w:lang w:val="de-DE"/>
        </w:rPr>
        <w:t xml:space="preserve"> Vgl. Uwe Kernbach, </w:t>
      </w:r>
      <w:r>
        <w:rPr>
          <w:rFonts w:hint="eastAsia"/>
          <w:bCs/>
          <w:iCs/>
          <w:color w:val="0000FF"/>
          <w:lang w:val="de-DE"/>
        </w:rPr>
        <w:t>a.a.O.(Anm. 46)</w:t>
      </w:r>
      <w:r>
        <w:rPr>
          <w:lang w:val="de-DE"/>
        </w:rPr>
        <w:t>,</w:t>
      </w:r>
      <w:r>
        <w:rPr>
          <w:rFonts w:hint="eastAsia"/>
          <w:lang w:val="de-DE"/>
        </w:rPr>
        <w:t xml:space="preserve"> </w:t>
      </w:r>
      <w:r>
        <w:rPr>
          <w:lang w:val="de-DE"/>
        </w:rPr>
        <w:t>S. 171, 174.</w:t>
      </w:r>
    </w:p>
  </w:footnote>
  <w:footnote w:id="167">
    <w:p w:rsidR="00E02252" w:rsidRDefault="00E02252">
      <w:pPr>
        <w:pStyle w:val="ad"/>
        <w:spacing w:line="360" w:lineRule="auto"/>
        <w:rPr>
          <w:lang w:val="de-DE"/>
        </w:rPr>
      </w:pPr>
      <w:r>
        <w:rPr>
          <w:rStyle w:val="ae"/>
        </w:rPr>
        <w:footnoteRef/>
      </w:r>
      <w:r>
        <w:t xml:space="preserve"> </w:t>
      </w:r>
      <w:r>
        <w:rPr>
          <w:lang w:val="de-DE"/>
        </w:rPr>
        <w:t>Vgl. Schoch, VerwArch. 82 (1991), 148.</w:t>
      </w:r>
    </w:p>
  </w:footnote>
  <w:footnote w:id="168">
    <w:p w:rsidR="00E02252" w:rsidRDefault="00E02252">
      <w:pPr>
        <w:pStyle w:val="ad"/>
        <w:spacing w:line="360" w:lineRule="auto"/>
        <w:rPr>
          <w:lang w:val="de-DE"/>
        </w:rPr>
      </w:pPr>
      <w:r>
        <w:rPr>
          <w:rStyle w:val="ae"/>
        </w:rPr>
        <w:footnoteRef/>
      </w:r>
      <w:r>
        <w:t xml:space="preserve"> </w:t>
      </w:r>
      <w:r>
        <w:rPr>
          <w:lang w:val="de-DE"/>
        </w:rPr>
        <w:t>Vgl. BVerfG, B. v. 19.9.89, DVBl. 1989.</w:t>
      </w:r>
    </w:p>
  </w:footnote>
  <w:footnote w:id="169">
    <w:p w:rsidR="00E02252" w:rsidRDefault="00E02252">
      <w:pPr>
        <w:pStyle w:val="ad"/>
        <w:spacing w:line="360" w:lineRule="auto"/>
        <w:jc w:val="both"/>
        <w:rPr>
          <w:lang w:val="de-DE"/>
        </w:rPr>
      </w:pPr>
      <w:r>
        <w:rPr>
          <w:rStyle w:val="ae"/>
        </w:rPr>
        <w:footnoteRef/>
      </w:r>
      <w:r>
        <w:rPr>
          <w:lang w:val="de-DE"/>
        </w:rPr>
        <w:t xml:space="preserve"> </w:t>
      </w:r>
      <w:r>
        <w:rPr>
          <w:rFonts w:hAnsi="新細明體"/>
          <w:lang w:val="de-DE"/>
        </w:rPr>
        <w:t>參考</w:t>
      </w:r>
      <w:r>
        <w:rPr>
          <w:rFonts w:hAnsi="新細明體"/>
          <w:kern w:val="0"/>
        </w:rPr>
        <w:t>臺北高等行政法院</w:t>
      </w:r>
      <w:r>
        <w:rPr>
          <w:kern w:val="0"/>
        </w:rPr>
        <w:t>91</w:t>
      </w:r>
      <w:r>
        <w:rPr>
          <w:rFonts w:hAnsi="新細明體"/>
          <w:kern w:val="0"/>
        </w:rPr>
        <w:t>年訴字第</w:t>
      </w:r>
      <w:r>
        <w:rPr>
          <w:kern w:val="0"/>
        </w:rPr>
        <w:t>5284</w:t>
      </w:r>
      <w:r>
        <w:rPr>
          <w:rFonts w:hAnsi="新細明體"/>
          <w:kern w:val="0"/>
        </w:rPr>
        <w:t>號判決謂：「系爭處分經撤銷之結果，第三人應僅生其受調任處分之信賴保護而毋須撤銷或廢止該第三人之調任處分及其銓敘審定之問題而已。」</w:t>
      </w:r>
    </w:p>
  </w:footnote>
  <w:footnote w:id="170">
    <w:p w:rsidR="00E02252" w:rsidRDefault="00E02252">
      <w:pPr>
        <w:pStyle w:val="ad"/>
        <w:spacing w:line="360" w:lineRule="auto"/>
        <w:ind w:left="200" w:hanging="200"/>
        <w:jc w:val="both"/>
        <w:rPr>
          <w:lang w:val="de-DE"/>
        </w:rPr>
      </w:pPr>
      <w:r>
        <w:rPr>
          <w:rStyle w:val="ae"/>
        </w:rPr>
        <w:footnoteRef/>
      </w:r>
      <w:r>
        <w:rPr>
          <w:lang w:val="de-DE"/>
        </w:rPr>
        <w:t xml:space="preserve"> </w:t>
      </w:r>
      <w:r>
        <w:rPr>
          <w:rFonts w:hAnsi="新細明體"/>
        </w:rPr>
        <w:t>例如</w:t>
      </w:r>
      <w:r>
        <w:rPr>
          <w:lang w:val="de-DE"/>
        </w:rPr>
        <w:t xml:space="preserve">BVerwG vom 25.8.1988 – </w:t>
      </w:r>
      <w:smartTag w:uri="urn:schemas-microsoft-com:office:smarttags" w:element="chmetcnv">
        <w:smartTagPr>
          <w:attr w:name="TCSC" w:val="0"/>
          <w:attr w:name="NumberType" w:val="1"/>
          <w:attr w:name="Negative" w:val="False"/>
          <w:attr w:name="HasSpace" w:val="True"/>
          <w:attr w:name="SourceValue" w:val="2"/>
          <w:attr w:name="UnitName" w:val="C"/>
        </w:smartTagPr>
        <w:r>
          <w:rPr>
            <w:lang w:val="de-DE"/>
          </w:rPr>
          <w:t>2 C</w:t>
        </w:r>
      </w:smartTag>
      <w:r>
        <w:rPr>
          <w:lang w:val="de-DE"/>
        </w:rPr>
        <w:t xml:space="preserve"> 62.85 –, BverwGE 80, 127 ff.</w:t>
      </w:r>
    </w:p>
  </w:footnote>
  <w:footnote w:id="171">
    <w:p w:rsidR="00E02252" w:rsidRDefault="00E02252">
      <w:pPr>
        <w:pStyle w:val="ad"/>
        <w:spacing w:line="360" w:lineRule="auto"/>
        <w:ind w:left="200" w:hanging="200"/>
        <w:jc w:val="both"/>
        <w:rPr>
          <w:lang w:val="de-DE"/>
        </w:rPr>
      </w:pPr>
      <w:r>
        <w:rPr>
          <w:rStyle w:val="ae"/>
        </w:rPr>
        <w:footnoteRef/>
      </w:r>
      <w:r>
        <w:rPr>
          <w:lang w:val="de-DE"/>
        </w:rPr>
        <w:t xml:space="preserve"> BVerwG vom 13.9.2001 – </w:t>
      </w:r>
      <w:smartTag w:uri="urn:schemas-microsoft-com:office:smarttags" w:element="chmetcnv">
        <w:smartTagPr>
          <w:attr w:name="TCSC" w:val="0"/>
          <w:attr w:name="NumberType" w:val="1"/>
          <w:attr w:name="Negative" w:val="False"/>
          <w:attr w:name="HasSpace" w:val="True"/>
          <w:attr w:name="SourceValue" w:val="2"/>
          <w:attr w:name="UnitName" w:val="C"/>
        </w:smartTagPr>
        <w:r>
          <w:rPr>
            <w:lang w:val="de-DE"/>
          </w:rPr>
          <w:t>2 C</w:t>
        </w:r>
      </w:smartTag>
      <w:r>
        <w:rPr>
          <w:lang w:val="de-DE"/>
        </w:rPr>
        <w:t xml:space="preserve"> 39.00 – , </w:t>
      </w:r>
      <w:r>
        <w:rPr>
          <w:kern w:val="0"/>
          <w:lang w:val="de-DE"/>
        </w:rPr>
        <w:t>BVerwGE 115, 89 ff.; DVBl. 2002, S. 203 ff.</w:t>
      </w:r>
    </w:p>
  </w:footnote>
  <w:footnote w:id="172">
    <w:p w:rsidR="00E02252" w:rsidRDefault="00E02252">
      <w:pPr>
        <w:pStyle w:val="ad"/>
        <w:spacing w:line="360" w:lineRule="auto"/>
        <w:ind w:left="200" w:hanging="200"/>
        <w:jc w:val="both"/>
        <w:rPr>
          <w:lang w:val="de-DE"/>
        </w:rPr>
      </w:pPr>
      <w:r>
        <w:rPr>
          <w:rStyle w:val="ae"/>
        </w:rPr>
        <w:footnoteRef/>
      </w:r>
      <w:r>
        <w:rPr>
          <w:lang w:val="de-DE"/>
        </w:rPr>
        <w:t xml:space="preserve"> BVerwG vom 21.8.2003 – </w:t>
      </w:r>
      <w:smartTag w:uri="urn:schemas-microsoft-com:office:smarttags" w:element="chmetcnv">
        <w:smartTagPr>
          <w:attr w:name="TCSC" w:val="0"/>
          <w:attr w:name="NumberType" w:val="1"/>
          <w:attr w:name="Negative" w:val="False"/>
          <w:attr w:name="HasSpace" w:val="True"/>
          <w:attr w:name="SourceValue" w:val="2"/>
          <w:attr w:name="UnitName" w:val="C"/>
        </w:smartTagPr>
        <w:r>
          <w:rPr>
            <w:lang w:val="de-DE"/>
          </w:rPr>
          <w:t>2 C</w:t>
        </w:r>
      </w:smartTag>
      <w:r>
        <w:rPr>
          <w:lang w:val="de-DE"/>
        </w:rPr>
        <w:t xml:space="preserve"> 14.01 – , DVBl. 2004, 317 ff.</w:t>
      </w:r>
    </w:p>
  </w:footnote>
  <w:footnote w:id="173">
    <w:p w:rsidR="00E02252" w:rsidRDefault="00E02252">
      <w:pPr>
        <w:pStyle w:val="ad"/>
        <w:spacing w:line="360" w:lineRule="auto"/>
        <w:ind w:left="200" w:hanging="200"/>
        <w:jc w:val="both"/>
        <w:rPr>
          <w:lang w:val="de-DE"/>
        </w:rPr>
      </w:pPr>
      <w:r>
        <w:rPr>
          <w:rStyle w:val="ae"/>
        </w:rPr>
        <w:footnoteRef/>
      </w:r>
      <w:r>
        <w:rPr>
          <w:lang w:val="de-DE"/>
        </w:rPr>
        <w:t xml:space="preserve"> Vgl. </w:t>
      </w:r>
      <w:r>
        <w:rPr>
          <w:iCs/>
          <w:kern w:val="0"/>
          <w:lang w:val="de-DE"/>
        </w:rPr>
        <w:t>Ulrich Battis,</w:t>
      </w:r>
      <w:r>
        <w:rPr>
          <w:bCs/>
          <w:kern w:val="36"/>
          <w:lang w:val="de-DE"/>
        </w:rPr>
        <w:t xml:space="preserve"> Entwicklung des Beamtenrechts im Jahre 2001, </w:t>
      </w:r>
      <w:r>
        <w:rPr>
          <w:kern w:val="0"/>
          <w:lang w:val="de-DE"/>
        </w:rPr>
        <w:t>NJW 2002, 1089.</w:t>
      </w:r>
    </w:p>
  </w:footnote>
  <w:footnote w:id="174">
    <w:p w:rsidR="00E02252" w:rsidRDefault="00E02252">
      <w:pPr>
        <w:pStyle w:val="ad"/>
        <w:spacing w:line="360" w:lineRule="auto"/>
        <w:ind w:left="200" w:hanging="200"/>
        <w:jc w:val="both"/>
        <w:rPr>
          <w:lang w:val="de-DE"/>
        </w:rPr>
      </w:pPr>
      <w:r>
        <w:rPr>
          <w:rStyle w:val="ae"/>
        </w:rPr>
        <w:footnoteRef/>
      </w:r>
      <w:r>
        <w:rPr>
          <w:lang w:val="de-DE"/>
        </w:rPr>
        <w:t xml:space="preserve"> Vgl. Hufen, JuS 2002, </w:t>
      </w:r>
      <w:smartTag w:uri="urn:schemas-microsoft-com:office:smarttags" w:element="chmetcnv">
        <w:smartTagPr>
          <w:attr w:name="TCSC" w:val="0"/>
          <w:attr w:name="NumberType" w:val="1"/>
          <w:attr w:name="Negative" w:val="False"/>
          <w:attr w:name="HasSpace" w:val="True"/>
          <w:attr w:name="SourceValue" w:val="1237"/>
          <w:attr w:name="UnitName" w:val="F"/>
        </w:smartTagPr>
        <w:r>
          <w:rPr>
            <w:lang w:val="de-DE"/>
          </w:rPr>
          <w:t>1237 f</w:t>
        </w:r>
      </w:smartTag>
      <w:r>
        <w:rPr>
          <w:lang w:val="de-DE"/>
        </w:rPr>
        <w:t>.</w:t>
      </w:r>
    </w:p>
  </w:footnote>
  <w:footnote w:id="175">
    <w:p w:rsidR="00E02252" w:rsidRDefault="00E02252">
      <w:pPr>
        <w:pStyle w:val="ad"/>
        <w:spacing w:line="360" w:lineRule="auto"/>
        <w:ind w:left="200" w:hanging="200"/>
        <w:jc w:val="both"/>
        <w:rPr>
          <w:lang w:val="de-DE"/>
        </w:rPr>
      </w:pPr>
      <w:r>
        <w:rPr>
          <w:rStyle w:val="ae"/>
        </w:rPr>
        <w:footnoteRef/>
      </w:r>
      <w:r>
        <w:rPr>
          <w:lang w:val="de-DE"/>
        </w:rPr>
        <w:t xml:space="preserve"> Vgl. </w:t>
      </w:r>
      <w:r>
        <w:rPr>
          <w:rFonts w:hint="eastAsia"/>
          <w:color w:val="0000FF"/>
        </w:rPr>
        <w:t>Rainer</w:t>
      </w:r>
      <w:r>
        <w:rPr>
          <w:lang w:val="de-DE"/>
        </w:rPr>
        <w:t xml:space="preserve"> Wernsmann, Die Verwaltung, 2003, 68 ff.</w:t>
      </w:r>
    </w:p>
  </w:footnote>
  <w:footnote w:id="176">
    <w:p w:rsidR="00E02252" w:rsidRDefault="00E02252">
      <w:pPr>
        <w:pStyle w:val="ad"/>
        <w:spacing w:line="360" w:lineRule="auto"/>
        <w:ind w:left="200" w:hanging="200"/>
        <w:jc w:val="both"/>
      </w:pPr>
      <w:r>
        <w:rPr>
          <w:rStyle w:val="ae"/>
        </w:rPr>
        <w:footnoteRef/>
      </w:r>
      <w:r>
        <w:rPr>
          <w:kern w:val="0"/>
        </w:rPr>
        <w:t xml:space="preserve"> </w:t>
      </w:r>
      <w:r>
        <w:rPr>
          <w:rFonts w:hAnsi="新細明體"/>
          <w:kern w:val="0"/>
        </w:rPr>
        <w:t>根據基本法第</w:t>
      </w:r>
      <w:r>
        <w:rPr>
          <w:kern w:val="0"/>
        </w:rPr>
        <w:t>33</w:t>
      </w:r>
      <w:r>
        <w:rPr>
          <w:rFonts w:hAnsi="新細明體"/>
          <w:kern w:val="0"/>
        </w:rPr>
        <w:t>條第</w:t>
      </w:r>
      <w:r>
        <w:rPr>
          <w:kern w:val="0"/>
        </w:rPr>
        <w:t>2</w:t>
      </w:r>
      <w:r>
        <w:rPr>
          <w:rFonts w:hAnsi="新細明體"/>
          <w:kern w:val="0"/>
        </w:rPr>
        <w:t>項之規定，任何德國人根據他的資格、能力以及專業，有從事公職的同等機會。</w:t>
      </w:r>
    </w:p>
  </w:footnote>
  <w:footnote w:id="177">
    <w:p w:rsidR="00E02252" w:rsidRDefault="00E02252">
      <w:pPr>
        <w:pStyle w:val="ad"/>
        <w:spacing w:line="360" w:lineRule="auto"/>
        <w:ind w:left="200" w:hanging="200"/>
        <w:jc w:val="both"/>
        <w:rPr>
          <w:lang w:val="de-DE"/>
        </w:rPr>
      </w:pPr>
      <w:r>
        <w:rPr>
          <w:rStyle w:val="ae"/>
        </w:rPr>
        <w:footnoteRef/>
      </w:r>
      <w:r>
        <w:rPr>
          <w:lang w:val="de-DE"/>
        </w:rPr>
        <w:t xml:space="preserve"> BVerwGE 80, 127, </w:t>
      </w:r>
      <w:smartTag w:uri="urn:schemas-microsoft-com:office:smarttags" w:element="chmetcnv">
        <w:smartTagPr>
          <w:attr w:name="TCSC" w:val="0"/>
          <w:attr w:name="NumberType" w:val="1"/>
          <w:attr w:name="Negative" w:val="False"/>
          <w:attr w:name="HasSpace" w:val="True"/>
          <w:attr w:name="SourceValue" w:val="129"/>
          <w:attr w:name="UnitName" w:val="F"/>
        </w:smartTagPr>
        <w:r>
          <w:rPr>
            <w:lang w:val="de-DE"/>
          </w:rPr>
          <w:t>129 f</w:t>
        </w:r>
      </w:smartTag>
      <w:r>
        <w:rPr>
          <w:lang w:val="de-DE"/>
        </w:rPr>
        <w:t xml:space="preserve">.; Kunig, in: Schmidt-Aßmann, Besonderes Verwaltungsrecht, 12. Aufl., 2003, 6. Kap, Rn. 91; </w:t>
      </w:r>
      <w:r>
        <w:rPr>
          <w:rFonts w:hAnsi="新細明體"/>
        </w:rPr>
        <w:t>反對說</w:t>
      </w:r>
      <w:r>
        <w:rPr>
          <w:rFonts w:hAnsi="新細明體"/>
          <w:lang w:val="de-DE"/>
        </w:rPr>
        <w:t>，</w:t>
      </w:r>
      <w:r>
        <w:rPr>
          <w:color w:val="0000FF"/>
          <w:lang w:val="de-DE"/>
        </w:rPr>
        <w:t>vgl.</w:t>
      </w:r>
      <w:r>
        <w:rPr>
          <w:rFonts w:hint="eastAsia"/>
          <w:lang w:val="de-DE"/>
        </w:rPr>
        <w:t xml:space="preserve"> </w:t>
      </w:r>
      <w:r>
        <w:rPr>
          <w:lang w:val="de-DE"/>
        </w:rPr>
        <w:t>Schoch, Jura. 2002, 320</w:t>
      </w:r>
      <w:r>
        <w:rPr>
          <w:rFonts w:hAnsi="新細明體"/>
          <w:kern w:val="0"/>
          <w:lang w:val="de-DE"/>
        </w:rPr>
        <w:t xml:space="preserve">; </w:t>
      </w:r>
      <w:r>
        <w:rPr>
          <w:color w:val="0000FF"/>
          <w:szCs w:val="24"/>
          <w:lang w:val="de-DE"/>
        </w:rPr>
        <w:t>Dirk</w:t>
      </w:r>
      <w:r>
        <w:rPr>
          <w:lang w:val="de-DE"/>
        </w:rPr>
        <w:t xml:space="preserve"> Ehlers, in: </w:t>
      </w:r>
      <w:r w:rsidRPr="00E02252">
        <w:rPr>
          <w:bCs/>
          <w:iCs/>
          <w:color w:val="000000"/>
          <w:lang w:val="de-DE"/>
        </w:rPr>
        <w:t>F</w:t>
      </w:r>
      <w:r w:rsidRPr="00E02252">
        <w:rPr>
          <w:rFonts w:hint="eastAsia"/>
          <w:bCs/>
          <w:iCs/>
          <w:color w:val="000000"/>
          <w:lang w:val="de-DE"/>
        </w:rPr>
        <w:t>riedrich</w:t>
      </w:r>
      <w:r w:rsidRPr="00E02252">
        <w:rPr>
          <w:bCs/>
          <w:iCs/>
          <w:color w:val="000000"/>
          <w:lang w:val="de-DE"/>
        </w:rPr>
        <w:t xml:space="preserve"> K. Schoch/ E</w:t>
      </w:r>
      <w:r w:rsidRPr="00E02252">
        <w:rPr>
          <w:rFonts w:hint="eastAsia"/>
          <w:bCs/>
          <w:iCs/>
          <w:color w:val="000000"/>
          <w:lang w:val="de-DE"/>
        </w:rPr>
        <w:t>berhard</w:t>
      </w:r>
      <w:r w:rsidRPr="00E02252">
        <w:rPr>
          <w:bCs/>
          <w:iCs/>
          <w:color w:val="000000"/>
          <w:lang w:val="de-DE"/>
        </w:rPr>
        <w:t xml:space="preserve"> Schmidt-Aßmann/ R</w:t>
      </w:r>
      <w:r w:rsidRPr="00E02252">
        <w:rPr>
          <w:rFonts w:hint="eastAsia"/>
          <w:bCs/>
          <w:iCs/>
          <w:color w:val="000000"/>
          <w:lang w:val="de-DE"/>
        </w:rPr>
        <w:t>ainer</w:t>
      </w:r>
      <w:r w:rsidRPr="00E02252">
        <w:rPr>
          <w:bCs/>
          <w:iCs/>
          <w:color w:val="000000"/>
          <w:lang w:val="de-DE"/>
        </w:rPr>
        <w:t xml:space="preserve"> Pietzner</w:t>
      </w:r>
      <w:r w:rsidRPr="00E02252">
        <w:rPr>
          <w:rFonts w:hint="eastAsia"/>
          <w:bCs/>
          <w:iCs/>
          <w:color w:val="000000"/>
          <w:lang w:val="de-DE"/>
        </w:rPr>
        <w:t xml:space="preserve"> </w:t>
      </w:r>
      <w:r w:rsidRPr="00E02252">
        <w:rPr>
          <w:bCs/>
          <w:iCs/>
          <w:color w:val="000000"/>
          <w:lang w:val="de-DE"/>
        </w:rPr>
        <w:t>(Hrsg.), VwGO</w:t>
      </w:r>
      <w:r w:rsidRPr="00E02252">
        <w:rPr>
          <w:color w:val="000000"/>
          <w:lang w:val="de-DE"/>
        </w:rPr>
        <w:t>,</w:t>
      </w:r>
      <w:r w:rsidRPr="00E02252">
        <w:rPr>
          <w:rFonts w:hint="eastAsia"/>
          <w:color w:val="000000"/>
          <w:lang w:val="de-DE"/>
        </w:rPr>
        <w:t xml:space="preserve"> </w:t>
      </w:r>
      <w:r>
        <w:rPr>
          <w:color w:val="FF0000"/>
          <w:lang w:val="de-DE"/>
        </w:rPr>
        <w:t>Vorb</w:t>
      </w:r>
      <w:r>
        <w:rPr>
          <w:lang w:val="de-DE"/>
        </w:rPr>
        <w:t xml:space="preserve">. § 40 Rn. 92; </w:t>
      </w:r>
      <w:r>
        <w:rPr>
          <w:color w:val="000000"/>
          <w:lang w:val="de-DE"/>
        </w:rPr>
        <w:t>Friedhelm</w:t>
      </w:r>
      <w:r>
        <w:rPr>
          <w:lang w:val="de-DE"/>
        </w:rPr>
        <w:t xml:space="preserve"> Hufen,</w:t>
      </w:r>
      <w:r>
        <w:rPr>
          <w:color w:val="0000FF"/>
          <w:lang w:val="de-DE"/>
        </w:rPr>
        <w:t xml:space="preserve"> </w:t>
      </w:r>
      <w:r>
        <w:rPr>
          <w:rFonts w:hint="eastAsia"/>
          <w:color w:val="0000FF"/>
          <w:lang w:val="de-DE"/>
        </w:rPr>
        <w:t>a.a.O.(Anm. 117)</w:t>
      </w:r>
      <w:r>
        <w:rPr>
          <w:lang w:val="de-DE"/>
        </w:rPr>
        <w:t>, 2003, § 15 Rn. 7, 26.</w:t>
      </w:r>
      <w:r>
        <w:rPr>
          <w:rFonts w:hAnsi="新細明體"/>
        </w:rPr>
        <w:t>反對此時有課予義務訴訟的訴訟權能</w:t>
      </w:r>
      <w:r>
        <w:rPr>
          <w:rFonts w:hAnsi="新細明體"/>
          <w:kern w:val="0"/>
        </w:rPr>
        <w:t>。</w:t>
      </w:r>
    </w:p>
  </w:footnote>
  <w:footnote w:id="178">
    <w:p w:rsidR="00E02252" w:rsidRDefault="00E02252">
      <w:pPr>
        <w:pStyle w:val="ad"/>
        <w:spacing w:line="360" w:lineRule="auto"/>
        <w:ind w:left="200" w:hanging="200"/>
        <w:jc w:val="both"/>
        <w:rPr>
          <w:lang w:val="de-DE"/>
        </w:rPr>
      </w:pPr>
      <w:r>
        <w:rPr>
          <w:rStyle w:val="ae"/>
        </w:rPr>
        <w:footnoteRef/>
      </w:r>
      <w:r>
        <w:rPr>
          <w:lang w:val="de-DE"/>
        </w:rPr>
        <w:t xml:space="preserve"> Vgl. Hufen, </w:t>
      </w:r>
      <w:r>
        <w:rPr>
          <w:rFonts w:hint="eastAsia"/>
          <w:color w:val="0000FF"/>
          <w:lang w:val="de-DE"/>
        </w:rPr>
        <w:t>a.a.O.(Anm. 117)</w:t>
      </w:r>
      <w:r>
        <w:rPr>
          <w:lang w:val="de-DE"/>
        </w:rPr>
        <w:t>, § 14 Rn. 12.</w:t>
      </w:r>
    </w:p>
  </w:footnote>
  <w:footnote w:id="179">
    <w:p w:rsidR="00E02252" w:rsidRDefault="00E02252">
      <w:pPr>
        <w:pStyle w:val="ad"/>
        <w:spacing w:line="360" w:lineRule="auto"/>
        <w:ind w:left="200" w:hanging="200"/>
        <w:jc w:val="both"/>
        <w:rPr>
          <w:lang w:val="de-DE"/>
        </w:rPr>
      </w:pPr>
      <w:r>
        <w:rPr>
          <w:rStyle w:val="ae"/>
        </w:rPr>
        <w:footnoteRef/>
      </w:r>
      <w:r>
        <w:rPr>
          <w:lang w:val="de-DE"/>
        </w:rPr>
        <w:t xml:space="preserve"> Vgl. BVerwGe 80, 130; Erichsen, Jura 1984, 650.</w:t>
      </w:r>
    </w:p>
  </w:footnote>
  <w:footnote w:id="180">
    <w:p w:rsidR="00E02252" w:rsidRDefault="00E02252">
      <w:pPr>
        <w:pStyle w:val="ad"/>
        <w:spacing w:line="360" w:lineRule="auto"/>
        <w:ind w:left="200" w:hanging="200"/>
        <w:jc w:val="both"/>
        <w:rPr>
          <w:lang w:val="de-DE"/>
        </w:rPr>
      </w:pPr>
      <w:r>
        <w:rPr>
          <w:rStyle w:val="ae"/>
        </w:rPr>
        <w:footnoteRef/>
      </w:r>
      <w:r>
        <w:rPr>
          <w:lang w:val="de-DE"/>
        </w:rPr>
        <w:t xml:space="preserve"> Vgl. BVerwGe 80, 130.</w:t>
      </w:r>
    </w:p>
  </w:footnote>
  <w:footnote w:id="181">
    <w:p w:rsidR="00E02252" w:rsidRDefault="00E02252">
      <w:pPr>
        <w:pStyle w:val="ad"/>
        <w:spacing w:line="360" w:lineRule="auto"/>
        <w:ind w:left="200" w:hanging="200"/>
        <w:jc w:val="both"/>
        <w:rPr>
          <w:lang w:val="de-DE"/>
        </w:rPr>
      </w:pPr>
      <w:r>
        <w:rPr>
          <w:rStyle w:val="ae"/>
        </w:rPr>
        <w:footnoteRef/>
      </w:r>
      <w:r>
        <w:rPr>
          <w:lang w:val="de-DE"/>
        </w:rPr>
        <w:t xml:space="preserve"> Vgl. BVerwGE 81, 329, 347, Ehlers, Vorb. § 40 Rn. 101; Wernsmann, DVBl. 2005, 279.</w:t>
      </w:r>
    </w:p>
  </w:footnote>
  <w:footnote w:id="182">
    <w:p w:rsidR="00E02252" w:rsidRDefault="00E02252">
      <w:pPr>
        <w:pStyle w:val="ad"/>
        <w:spacing w:line="360" w:lineRule="auto"/>
        <w:ind w:left="200" w:hanging="200"/>
        <w:jc w:val="both"/>
        <w:rPr>
          <w:lang w:val="de-DE"/>
        </w:rPr>
      </w:pPr>
      <w:r>
        <w:rPr>
          <w:rStyle w:val="ae"/>
        </w:rPr>
        <w:footnoteRef/>
      </w:r>
      <w:r>
        <w:rPr>
          <w:lang w:val="de-DE"/>
        </w:rPr>
        <w:t xml:space="preserve"> Vgl. BVerwG vom 30.6.1993 – 2 B 64.93 –.</w:t>
      </w:r>
    </w:p>
  </w:footnote>
  <w:footnote w:id="183">
    <w:p w:rsidR="00E02252" w:rsidRDefault="00E02252">
      <w:pPr>
        <w:pStyle w:val="ad"/>
        <w:spacing w:line="360" w:lineRule="auto"/>
        <w:ind w:left="200" w:hanging="200"/>
        <w:jc w:val="both"/>
        <w:rPr>
          <w:lang w:val="de-DE"/>
        </w:rPr>
      </w:pPr>
      <w:r>
        <w:rPr>
          <w:rStyle w:val="ae"/>
        </w:rPr>
        <w:footnoteRef/>
      </w:r>
      <w:r>
        <w:rPr>
          <w:lang w:val="de-DE"/>
        </w:rPr>
        <w:t xml:space="preserve"> Vgl. Wernsmann, DVBl. 2005, 279.</w:t>
      </w:r>
    </w:p>
  </w:footnote>
  <w:footnote w:id="184">
    <w:p w:rsidR="00E02252" w:rsidRDefault="00E02252">
      <w:pPr>
        <w:pStyle w:val="ad"/>
        <w:spacing w:line="360" w:lineRule="auto"/>
        <w:ind w:left="200" w:hanging="200"/>
        <w:jc w:val="both"/>
        <w:rPr>
          <w:lang w:val="de-DE"/>
        </w:rPr>
      </w:pPr>
      <w:r>
        <w:rPr>
          <w:rStyle w:val="ae"/>
        </w:rPr>
        <w:footnoteRef/>
      </w:r>
      <w:r>
        <w:rPr>
          <w:lang w:val="de-DE"/>
        </w:rPr>
        <w:t xml:space="preserve"> Vgl. Schoch, in: Schoch/Schmidt-Aßmann/Pietzner (Hrsg.), </w:t>
      </w:r>
      <w:r>
        <w:rPr>
          <w:rFonts w:hint="eastAsia"/>
          <w:color w:val="0000FF"/>
          <w:lang w:val="de-DE"/>
        </w:rPr>
        <w:t>a.a.O.(Anm. 158)</w:t>
      </w:r>
      <w:r>
        <w:rPr>
          <w:lang w:val="de-DE"/>
        </w:rPr>
        <w:t>, Vorb. § 80 Rn. 34 f. (Stand: Jan. 2003).</w:t>
      </w:r>
    </w:p>
  </w:footnote>
  <w:footnote w:id="185">
    <w:p w:rsidR="00E02252" w:rsidRDefault="00E02252">
      <w:pPr>
        <w:pStyle w:val="ad"/>
        <w:spacing w:line="360" w:lineRule="auto"/>
        <w:ind w:left="200" w:hanging="200"/>
        <w:jc w:val="both"/>
        <w:rPr>
          <w:rFonts w:hint="eastAsia"/>
          <w:lang w:val="de-DE"/>
        </w:rPr>
      </w:pPr>
      <w:r>
        <w:rPr>
          <w:rStyle w:val="ae"/>
        </w:rPr>
        <w:footnoteRef/>
      </w:r>
      <w:r>
        <w:rPr>
          <w:lang w:val="de-DE"/>
        </w:rPr>
        <w:t xml:space="preserve"> </w:t>
      </w:r>
      <w:r>
        <w:rPr>
          <w:rFonts w:hAnsi="新細明體"/>
          <w:color w:val="FF0000"/>
        </w:rPr>
        <w:t>參考</w:t>
      </w:r>
      <w:r>
        <w:rPr>
          <w:rFonts w:hAnsi="新細明體"/>
          <w:color w:val="FF0000"/>
          <w:lang w:val="de-DE"/>
        </w:rPr>
        <w:t>，</w:t>
      </w:r>
      <w:r>
        <w:rPr>
          <w:rFonts w:hAnsi="新細明體"/>
          <w:color w:val="FF0000"/>
        </w:rPr>
        <w:t>林明昕</w:t>
      </w:r>
      <w:r>
        <w:rPr>
          <w:rFonts w:hAnsi="新細明體"/>
          <w:lang w:val="de-DE"/>
        </w:rPr>
        <w:t>，</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159)</w:t>
      </w:r>
      <w:r w:rsidR="00723226">
        <w:rPr>
          <w:rFonts w:hAnsi="新細明體" w:hint="eastAsia"/>
          <w:lang w:val="de-DE"/>
        </w:rPr>
        <w:t>。</w:t>
      </w:r>
    </w:p>
  </w:footnote>
  <w:footnote w:id="186">
    <w:p w:rsidR="00E02252" w:rsidRDefault="00E02252">
      <w:pPr>
        <w:pStyle w:val="ad"/>
        <w:spacing w:line="360" w:lineRule="auto"/>
        <w:ind w:left="200" w:hanging="200"/>
        <w:jc w:val="both"/>
        <w:rPr>
          <w:lang w:val="de-DE"/>
        </w:rPr>
      </w:pPr>
      <w:r>
        <w:rPr>
          <w:rStyle w:val="ae"/>
        </w:rPr>
        <w:footnoteRef/>
      </w:r>
      <w:r>
        <w:rPr>
          <w:lang w:val="de-DE"/>
        </w:rPr>
        <w:t xml:space="preserve"> Vgl.BVerfG (Kammer) vom 29.7.2003 – 2 BvR 311/ 03 – Rn. 16.</w:t>
      </w:r>
    </w:p>
  </w:footnote>
  <w:footnote w:id="187">
    <w:p w:rsidR="00E02252" w:rsidRDefault="00E02252">
      <w:pPr>
        <w:pStyle w:val="ad"/>
        <w:spacing w:line="360" w:lineRule="auto"/>
        <w:ind w:left="200" w:hanging="200"/>
        <w:jc w:val="both"/>
        <w:rPr>
          <w:lang w:val="de-DE"/>
        </w:rPr>
      </w:pPr>
      <w:r>
        <w:rPr>
          <w:rStyle w:val="ae"/>
        </w:rPr>
        <w:footnoteRef/>
      </w:r>
      <w:r>
        <w:rPr>
          <w:lang w:val="de-DE"/>
        </w:rPr>
        <w:t xml:space="preserve"> Vgl. Wernsmann, DVBl. 2005, 280.</w:t>
      </w:r>
    </w:p>
  </w:footnote>
  <w:footnote w:id="188">
    <w:p w:rsidR="00E02252" w:rsidRDefault="00E02252">
      <w:pPr>
        <w:pStyle w:val="ad"/>
        <w:spacing w:line="360" w:lineRule="auto"/>
        <w:ind w:left="200" w:hanging="200"/>
        <w:jc w:val="both"/>
        <w:rPr>
          <w:lang w:val="de-DE"/>
        </w:rPr>
      </w:pPr>
      <w:r>
        <w:rPr>
          <w:rStyle w:val="ae"/>
        </w:rPr>
        <w:footnoteRef/>
      </w:r>
      <w:r>
        <w:rPr>
          <w:lang w:val="de-DE"/>
        </w:rPr>
        <w:t xml:space="preserve"> Vgl. </w:t>
      </w:r>
      <w:r>
        <w:rPr>
          <w:color w:val="0000FF"/>
        </w:rPr>
        <w:t>Peter-Michael</w:t>
      </w:r>
      <w:r>
        <w:rPr>
          <w:lang w:val="de-DE"/>
        </w:rPr>
        <w:t xml:space="preserve"> Huber, Konkurrenzschutz</w:t>
      </w:r>
      <w:r>
        <w:rPr>
          <w:color w:val="000000"/>
        </w:rPr>
        <w:t xml:space="preserve"> </w:t>
      </w:r>
      <w:r>
        <w:rPr>
          <w:color w:val="0000FF"/>
        </w:rPr>
        <w:t>im Verwaltungsrecht</w:t>
      </w:r>
      <w:r>
        <w:rPr>
          <w:lang w:val="de-DE"/>
        </w:rPr>
        <w:t xml:space="preserve">, S. 477; Schenke, VerwP, 9. Aufl., 2004, Rn. 524; Wahl/ Schütz, </w:t>
      </w:r>
      <w:r>
        <w:rPr>
          <w:color w:val="0000FF"/>
        </w:rPr>
        <w:t>Schoch/Schmidt-Aßmann/Pietzner</w:t>
      </w:r>
      <w:r>
        <w:rPr>
          <w:lang w:val="de-DE"/>
        </w:rPr>
        <w:t>, VwGO, § 42 Rn. 325.</w:t>
      </w:r>
    </w:p>
  </w:footnote>
  <w:footnote w:id="189">
    <w:p w:rsidR="00E02252" w:rsidRDefault="00E02252">
      <w:pPr>
        <w:pStyle w:val="ad"/>
        <w:spacing w:line="360" w:lineRule="auto"/>
        <w:ind w:left="200" w:hanging="200"/>
        <w:jc w:val="both"/>
        <w:rPr>
          <w:lang w:val="de-DE"/>
        </w:rPr>
      </w:pPr>
      <w:r>
        <w:rPr>
          <w:rStyle w:val="ae"/>
        </w:rPr>
        <w:footnoteRef/>
      </w:r>
      <w:r>
        <w:rPr>
          <w:lang w:val="de-DE"/>
        </w:rPr>
        <w:t xml:space="preserve"> Vgl. Wernsmann, DVBl. 2005, 281.</w:t>
      </w:r>
    </w:p>
  </w:footnote>
  <w:footnote w:id="190">
    <w:p w:rsidR="00E02252" w:rsidRDefault="00E02252">
      <w:pPr>
        <w:pStyle w:val="ad"/>
        <w:spacing w:line="360" w:lineRule="auto"/>
        <w:ind w:left="200" w:hanging="200"/>
        <w:jc w:val="both"/>
        <w:rPr>
          <w:lang w:val="de-DE"/>
        </w:rPr>
      </w:pPr>
      <w:r>
        <w:rPr>
          <w:rStyle w:val="ae"/>
        </w:rPr>
        <w:footnoteRef/>
      </w:r>
      <w:r>
        <w:rPr>
          <w:lang w:val="de-DE"/>
        </w:rPr>
        <w:t xml:space="preserve"> Vgl. BVerfG vom 14.1.2004 – 1 BvR 506/ 03 –, DVBl. 2004, 431.</w:t>
      </w:r>
    </w:p>
  </w:footnote>
  <w:footnote w:id="191">
    <w:p w:rsidR="00E02252" w:rsidRDefault="00E02252">
      <w:pPr>
        <w:pStyle w:val="ad"/>
        <w:spacing w:line="360" w:lineRule="auto"/>
        <w:ind w:left="200" w:hanging="200"/>
        <w:jc w:val="both"/>
        <w:rPr>
          <w:lang w:val="de-DE"/>
        </w:rPr>
      </w:pPr>
      <w:r>
        <w:rPr>
          <w:rStyle w:val="ae"/>
        </w:rPr>
        <w:footnoteRef/>
      </w:r>
      <w:r>
        <w:rPr>
          <w:lang w:val="de-DE"/>
        </w:rPr>
        <w:t xml:space="preserve"> Vgl. Schoch, Vorläufiger Rechtsschutz und Risikoverteilung im Verwaltungsrtecht, 1988, S. </w:t>
      </w:r>
      <w:smartTag w:uri="urn:schemas-microsoft-com:office:smarttags" w:element="chmetcnv">
        <w:smartTagPr>
          <w:attr w:name="TCSC" w:val="0"/>
          <w:attr w:name="NumberType" w:val="1"/>
          <w:attr w:name="Negative" w:val="False"/>
          <w:attr w:name="HasSpace" w:val="True"/>
          <w:attr w:name="SourceValue" w:val="699"/>
          <w:attr w:name="UnitName" w:val="F"/>
        </w:smartTagPr>
        <w:r>
          <w:rPr>
            <w:lang w:val="de-DE"/>
          </w:rPr>
          <w:t>699 f</w:t>
        </w:r>
      </w:smartTag>
      <w:r>
        <w:rPr>
          <w:lang w:val="de-DE"/>
        </w:rPr>
        <w:t>.</w:t>
      </w:r>
    </w:p>
  </w:footnote>
  <w:footnote w:id="192">
    <w:p w:rsidR="00E02252" w:rsidRDefault="00E02252">
      <w:pPr>
        <w:pStyle w:val="ad"/>
        <w:spacing w:line="360" w:lineRule="auto"/>
        <w:ind w:left="200" w:hanging="200"/>
        <w:jc w:val="both"/>
        <w:rPr>
          <w:lang w:val="de-DE"/>
        </w:rPr>
      </w:pPr>
      <w:r>
        <w:rPr>
          <w:rStyle w:val="ae"/>
        </w:rPr>
        <w:footnoteRef/>
      </w:r>
      <w:r>
        <w:rPr>
          <w:lang w:val="de-DE"/>
        </w:rPr>
        <w:t xml:space="preserve"> Vgl. Wernsmann, DVBl. 2005, 282.</w:t>
      </w:r>
    </w:p>
  </w:footnote>
  <w:footnote w:id="193">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 xml:space="preserve">Kopp/ Schenke, </w:t>
      </w:r>
      <w:r>
        <w:rPr>
          <w:rFonts w:hint="eastAsia"/>
          <w:color w:val="0000FF"/>
          <w:lang w:val="de-DE"/>
        </w:rPr>
        <w:t>a.a.O.(Anm. 120)</w:t>
      </w:r>
      <w:r>
        <w:rPr>
          <w:lang w:val="de-DE" w:eastAsia="ja-JP"/>
        </w:rPr>
        <w:t>, § 113 Rn 6.</w:t>
      </w:r>
    </w:p>
  </w:footnote>
  <w:footnote w:id="194">
    <w:p w:rsidR="00E02252" w:rsidRDefault="00E02252">
      <w:pPr>
        <w:pStyle w:val="ad"/>
        <w:spacing w:line="360" w:lineRule="auto"/>
        <w:ind w:left="200" w:hanging="200"/>
        <w:jc w:val="both"/>
        <w:rPr>
          <w:lang w:val="de-DE"/>
        </w:rPr>
      </w:pPr>
      <w:r>
        <w:rPr>
          <w:rStyle w:val="ae"/>
        </w:rPr>
        <w:footnoteRef/>
      </w:r>
      <w:r>
        <w:rPr>
          <w:lang w:val="de-DE"/>
        </w:rPr>
        <w:t xml:space="preserve"> </w:t>
      </w:r>
      <w:r>
        <w:rPr>
          <w:rFonts w:hAnsi="新細明體"/>
        </w:rPr>
        <w:t>這包括源自於法治國完整性與民主正當性的政治中立原則</w:t>
      </w:r>
      <w:r>
        <w:rPr>
          <w:rFonts w:hAnsi="新細明體"/>
          <w:lang w:val="de-DE"/>
        </w:rPr>
        <w:t>（</w:t>
      </w:r>
      <w:r>
        <w:rPr>
          <w:lang w:val="de-DE" w:eastAsia="ja-JP"/>
        </w:rPr>
        <w:t>politische Neutralität</w:t>
      </w:r>
      <w:r>
        <w:rPr>
          <w:rFonts w:hAnsi="新細明體"/>
          <w:lang w:val="de-DE"/>
        </w:rPr>
        <w:t>）</w:t>
      </w:r>
      <w:r>
        <w:rPr>
          <w:rFonts w:hAnsi="新細明體"/>
        </w:rPr>
        <w:t>、嚴守職務秘密原則</w:t>
      </w:r>
      <w:r>
        <w:rPr>
          <w:rFonts w:hAnsi="新細明體"/>
          <w:lang w:val="de-DE"/>
        </w:rPr>
        <w:t>（</w:t>
      </w:r>
      <w:r>
        <w:rPr>
          <w:lang w:val="de-DE"/>
        </w:rPr>
        <w:t>Amtsverschwiegenheit</w:t>
      </w:r>
      <w:r>
        <w:rPr>
          <w:rFonts w:hAnsi="新細明體"/>
          <w:lang w:val="de-DE"/>
        </w:rPr>
        <w:t>）；</w:t>
      </w:r>
      <w:r>
        <w:rPr>
          <w:rFonts w:hAnsi="新細明體"/>
        </w:rPr>
        <w:t>源自於行政效率要求的功績原則</w:t>
      </w:r>
      <w:r>
        <w:rPr>
          <w:rFonts w:hAnsi="新細明體"/>
          <w:lang w:val="de-DE"/>
        </w:rPr>
        <w:t>（</w:t>
      </w:r>
      <w:r>
        <w:rPr>
          <w:lang w:val="de-DE" w:eastAsia="ja-JP"/>
        </w:rPr>
        <w:t>Leistungsprinzip</w:t>
      </w:r>
      <w:r>
        <w:rPr>
          <w:rFonts w:hAnsi="新細明體"/>
          <w:lang w:val="de-DE"/>
        </w:rPr>
        <w:t>，</w:t>
      </w:r>
      <w:r>
        <w:rPr>
          <w:rFonts w:hAnsi="新細明體"/>
        </w:rPr>
        <w:t>這個原則一般也被認為具有主觀權利的內涵</w:t>
      </w:r>
      <w:r>
        <w:rPr>
          <w:rFonts w:hAnsi="新細明體"/>
          <w:lang w:val="de-DE"/>
        </w:rPr>
        <w:t>）</w:t>
      </w:r>
      <w:r>
        <w:rPr>
          <w:rFonts w:hAnsi="新細明體"/>
        </w:rPr>
        <w:t>等等。</w:t>
      </w:r>
    </w:p>
  </w:footnote>
  <w:footnote w:id="195">
    <w:p w:rsidR="00E02252" w:rsidRDefault="00E02252">
      <w:pPr>
        <w:pStyle w:val="ad"/>
        <w:spacing w:line="360" w:lineRule="auto"/>
        <w:ind w:left="200" w:hanging="200"/>
        <w:jc w:val="both"/>
      </w:pPr>
      <w:r>
        <w:rPr>
          <w:rStyle w:val="ae"/>
        </w:rPr>
        <w:footnoteRef/>
      </w:r>
      <w:r>
        <w:rPr>
          <w:kern w:val="0"/>
          <w:lang w:val="de-DE"/>
        </w:rPr>
        <w:t xml:space="preserve"> </w:t>
      </w:r>
      <w:r>
        <w:rPr>
          <w:rFonts w:hAnsi="新細明體"/>
          <w:kern w:val="0"/>
        </w:rPr>
        <w:t>身分法上職務或</w:t>
      </w:r>
      <w:r>
        <w:rPr>
          <w:rFonts w:hAnsi="新細明體"/>
        </w:rPr>
        <w:t>地位法上的公務員職務原則上是透過官、職等的分類</w:t>
      </w:r>
      <w:r>
        <w:rPr>
          <w:rFonts w:hAnsi="新細明體"/>
          <w:lang w:val="de-DE"/>
        </w:rPr>
        <w:t>（</w:t>
      </w:r>
      <w:r>
        <w:rPr>
          <w:lang w:val="de-DE"/>
        </w:rPr>
        <w:t>die Zugehörigkeit zu einer Laufbahn und Laufbahngruppe</w:t>
      </w:r>
      <w:r>
        <w:rPr>
          <w:rFonts w:hAnsi="新細明體"/>
          <w:lang w:val="de-DE"/>
        </w:rPr>
        <w:t>）</w:t>
      </w:r>
      <w:r>
        <w:rPr>
          <w:rFonts w:hAnsi="新細明體"/>
        </w:rPr>
        <w:t>、俸級的基本俸給</w:t>
      </w:r>
      <w:r>
        <w:rPr>
          <w:rFonts w:hAnsi="新細明體"/>
          <w:lang w:val="de-DE"/>
        </w:rPr>
        <w:t>（</w:t>
      </w:r>
      <w:r>
        <w:rPr>
          <w:lang w:val="de-DE"/>
        </w:rPr>
        <w:t>das Endgrundgehalt der Besoldungsgruppe</w:t>
      </w:r>
      <w:r>
        <w:rPr>
          <w:rFonts w:hAnsi="新細明體"/>
          <w:lang w:val="de-DE"/>
        </w:rPr>
        <w:t>）</w:t>
      </w:r>
      <w:r>
        <w:rPr>
          <w:rFonts w:hAnsi="新細明體"/>
        </w:rPr>
        <w:t>以及賦與公務員的官銜</w:t>
      </w:r>
      <w:r>
        <w:rPr>
          <w:rFonts w:hAnsi="新細明體"/>
          <w:lang w:val="de-DE"/>
        </w:rPr>
        <w:t>（</w:t>
      </w:r>
      <w:r>
        <w:rPr>
          <w:lang w:val="de-DE"/>
        </w:rPr>
        <w:t>Amtsbezeichnung</w:t>
      </w:r>
      <w:r>
        <w:rPr>
          <w:rFonts w:hAnsi="新細明體"/>
          <w:lang w:val="de-DE"/>
        </w:rPr>
        <w:t>）</w:t>
      </w:r>
      <w:r>
        <w:rPr>
          <w:rFonts w:hAnsi="新細明體"/>
        </w:rPr>
        <w:t>加以認定。地位法上的公務員職務首先透過「任命（</w:t>
      </w:r>
      <w:r>
        <w:t>Ernennung</w:t>
      </w:r>
      <w:r>
        <w:rPr>
          <w:rFonts w:hAnsi="新細明體"/>
        </w:rPr>
        <w:t>）」賦予，其後之變動僅得透過「陞遷（</w:t>
      </w:r>
      <w:r>
        <w:t>Beförderung</w:t>
      </w:r>
      <w:r>
        <w:rPr>
          <w:rFonts w:hAnsi="新細明體"/>
        </w:rPr>
        <w:t>）」或透過懲戒程序的降級（</w:t>
      </w:r>
      <w:r>
        <w:t>Degradierung</w:t>
      </w:r>
      <w:r>
        <w:rPr>
          <w:rFonts w:hAnsi="新細明體"/>
        </w:rPr>
        <w:t>）為之。因此若是官等、職等或俸級的變動便屬「地位法上的公務員</w:t>
      </w:r>
      <w:r>
        <w:rPr>
          <w:rFonts w:hAnsi="新細明體"/>
          <w:color w:val="000000"/>
        </w:rPr>
        <w:t>職務」之變動。</w:t>
      </w:r>
    </w:p>
  </w:footnote>
  <w:footnote w:id="196">
    <w:p w:rsidR="00E02252" w:rsidRDefault="00E02252">
      <w:pPr>
        <w:pStyle w:val="ad"/>
        <w:spacing w:line="360" w:lineRule="auto"/>
        <w:ind w:left="200" w:hanging="200"/>
        <w:jc w:val="both"/>
        <w:rPr>
          <w:lang w:val="de-DE"/>
        </w:rPr>
      </w:pPr>
      <w:r>
        <w:rPr>
          <w:rStyle w:val="ae"/>
        </w:rPr>
        <w:footnoteRef/>
      </w:r>
      <w:r>
        <w:rPr>
          <w:lang w:val="de-DE"/>
        </w:rPr>
        <w:t xml:space="preserve"> BVerfGE 7, 155, 163; 70, 251, 267 ff.</w:t>
      </w:r>
    </w:p>
  </w:footnote>
  <w:footnote w:id="197">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Vgl. Schmidt-Preuß, Kollodoerende Privatintereessen im Verwaltungsrecht, 1992, S. 475 ff.; a.A. Wieland, FS Blümel, 1999, S. 655.</w:t>
      </w:r>
    </w:p>
  </w:footnote>
  <w:footnote w:id="198">
    <w:p w:rsidR="00E02252" w:rsidRDefault="00E02252">
      <w:pPr>
        <w:pStyle w:val="ad"/>
        <w:spacing w:line="360" w:lineRule="auto"/>
        <w:ind w:left="200" w:hanging="200"/>
        <w:jc w:val="both"/>
        <w:rPr>
          <w:lang w:val="de-DE"/>
        </w:rPr>
      </w:pPr>
      <w:r>
        <w:rPr>
          <w:rStyle w:val="ae"/>
        </w:rPr>
        <w:footnoteRef/>
      </w:r>
      <w:r>
        <w:rPr>
          <w:lang w:val="de-DE"/>
        </w:rPr>
        <w:t xml:space="preserve"> Vgl. </w:t>
      </w:r>
      <w:r>
        <w:rPr>
          <w:snapToGrid w:val="0"/>
          <w:color w:val="0000FF"/>
          <w:lang w:val="de-DE" w:eastAsia="de-DE"/>
        </w:rPr>
        <w:t>R</w:t>
      </w:r>
      <w:r>
        <w:rPr>
          <w:rFonts w:hint="eastAsia"/>
          <w:snapToGrid w:val="0"/>
          <w:color w:val="0000FF"/>
          <w:lang w:val="de-DE"/>
        </w:rPr>
        <w:t>obert</w:t>
      </w:r>
      <w:r>
        <w:rPr>
          <w:snapToGrid w:val="0"/>
          <w:lang w:val="de-DE" w:eastAsia="de-DE"/>
        </w:rPr>
        <w:t xml:space="preserve"> Alexy, Theorie der Grundrechte, </w:t>
      </w:r>
      <w:r>
        <w:rPr>
          <w:rFonts w:hint="eastAsia"/>
          <w:snapToGrid w:val="0"/>
          <w:color w:val="0000FF"/>
          <w:lang w:val="de-DE"/>
        </w:rPr>
        <w:t>1985</w:t>
      </w:r>
      <w:r>
        <w:rPr>
          <w:rFonts w:hint="eastAsia"/>
          <w:snapToGrid w:val="0"/>
          <w:color w:val="000000"/>
          <w:lang w:val="de-DE"/>
        </w:rPr>
        <w:t>,</w:t>
      </w:r>
      <w:r>
        <w:rPr>
          <w:snapToGrid w:val="0"/>
          <w:lang w:val="de-DE" w:eastAsia="de-DE"/>
        </w:rPr>
        <w:t xml:space="preserve"> S. 75</w:t>
      </w:r>
      <w:r>
        <w:rPr>
          <w:snapToGrid w:val="0"/>
          <w:lang w:val="de-DE"/>
        </w:rPr>
        <w:t xml:space="preserve"> </w:t>
      </w:r>
      <w:r>
        <w:rPr>
          <w:snapToGrid w:val="0"/>
          <w:lang w:val="de-DE" w:eastAsia="de-DE"/>
        </w:rPr>
        <w:t>f</w:t>
      </w:r>
      <w:r>
        <w:rPr>
          <w:snapToGrid w:val="0"/>
          <w:lang w:val="de-DE"/>
        </w:rPr>
        <w:t>f</w:t>
      </w:r>
      <w:r>
        <w:rPr>
          <w:snapToGrid w:val="0"/>
          <w:lang w:val="de-DE" w:eastAsia="de-DE"/>
        </w:rPr>
        <w:t>.</w:t>
      </w:r>
    </w:p>
  </w:footnote>
  <w:footnote w:id="199">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76.</w:t>
      </w:r>
    </w:p>
  </w:footnote>
  <w:footnote w:id="200">
    <w:p w:rsidR="00E02252" w:rsidRPr="00723226" w:rsidRDefault="00E02252">
      <w:pPr>
        <w:pStyle w:val="ad"/>
        <w:spacing w:line="360" w:lineRule="auto"/>
        <w:ind w:left="200" w:hanging="200"/>
        <w:jc w:val="both"/>
        <w:rPr>
          <w:rFonts w:eastAsia="MS Mincho" w:hint="eastAsia"/>
          <w:lang w:val="de-DE" w:eastAsia="ja-JP"/>
        </w:rPr>
      </w:pPr>
      <w:r>
        <w:rPr>
          <w:rStyle w:val="ae"/>
        </w:rPr>
        <w:footnoteRef/>
      </w:r>
      <w:r>
        <w:rPr>
          <w:lang w:val="de-DE"/>
        </w:rPr>
        <w:t xml:space="preserve"> </w:t>
      </w:r>
      <w:r w:rsidR="00723226">
        <w:rPr>
          <w:rFonts w:eastAsia="MS Mincho"/>
          <w:snapToGrid w:val="0"/>
          <w:color w:val="FF0000"/>
          <w:lang w:val="de-DE" w:eastAsia="ja-JP"/>
        </w:rPr>
        <w:t>E</w:t>
      </w:r>
      <w:r w:rsidR="00723226">
        <w:rPr>
          <w:rFonts w:eastAsia="MS Mincho" w:hint="eastAsia"/>
          <w:snapToGrid w:val="0"/>
          <w:color w:val="FF0000"/>
          <w:lang w:val="de-DE" w:eastAsia="ja-JP"/>
        </w:rPr>
        <w:t>benda.</w:t>
      </w:r>
    </w:p>
  </w:footnote>
  <w:footnote w:id="201">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76.</w:t>
      </w:r>
    </w:p>
  </w:footnote>
  <w:footnote w:id="202">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xml:space="preserve">, S. </w:t>
      </w:r>
      <w:smartTag w:uri="urn:schemas-microsoft-com:office:smarttags" w:element="chmetcnv">
        <w:smartTagPr>
          <w:attr w:name="TCSC" w:val="0"/>
          <w:attr w:name="NumberType" w:val="1"/>
          <w:attr w:name="Negative" w:val="False"/>
          <w:attr w:name="HasSpace" w:val="True"/>
          <w:attr w:name="SourceValue" w:val="76"/>
          <w:attr w:name="UnitName" w:val="F"/>
        </w:smartTagPr>
        <w:r>
          <w:rPr>
            <w:snapToGrid w:val="0"/>
            <w:lang w:val="de-DE" w:eastAsia="de-DE"/>
          </w:rPr>
          <w:t>76</w:t>
        </w:r>
        <w:r>
          <w:rPr>
            <w:snapToGrid w:val="0"/>
            <w:lang w:val="de-DE"/>
          </w:rPr>
          <w:t xml:space="preserve"> </w:t>
        </w:r>
        <w:r>
          <w:rPr>
            <w:snapToGrid w:val="0"/>
            <w:lang w:val="de-DE" w:eastAsia="de-DE"/>
          </w:rPr>
          <w:t>f</w:t>
        </w:r>
      </w:smartTag>
      <w:r>
        <w:rPr>
          <w:snapToGrid w:val="0"/>
          <w:lang w:val="de-DE" w:eastAsia="de-DE"/>
        </w:rPr>
        <w:t>.</w:t>
      </w:r>
    </w:p>
  </w:footnote>
  <w:footnote w:id="203">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79</w:t>
      </w:r>
      <w:r>
        <w:rPr>
          <w:snapToGrid w:val="0"/>
          <w:lang w:val="de-DE"/>
        </w:rPr>
        <w:t xml:space="preserve"> </w:t>
      </w:r>
      <w:r>
        <w:rPr>
          <w:snapToGrid w:val="0"/>
          <w:lang w:val="de-DE" w:eastAsia="de-DE"/>
        </w:rPr>
        <w:t>ff.</w:t>
      </w:r>
    </w:p>
  </w:footnote>
  <w:footnote w:id="204">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79.</w:t>
      </w:r>
    </w:p>
  </w:footnote>
  <w:footnote w:id="205">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80.</w:t>
      </w:r>
    </w:p>
  </w:footnote>
  <w:footnote w:id="206">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81.</w:t>
      </w:r>
    </w:p>
  </w:footnote>
  <w:footnote w:id="207">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Ders.,</w:t>
      </w:r>
      <w:r>
        <w:rPr>
          <w:snapToGrid w:val="0"/>
          <w:color w:val="0000FF"/>
          <w:lang w:val="de-DE" w:eastAsia="de-DE"/>
        </w:rPr>
        <w:t xml:space="preserve"> 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82.</w:t>
      </w:r>
    </w:p>
  </w:footnote>
  <w:footnote w:id="208">
    <w:p w:rsidR="00E02252" w:rsidRDefault="00E02252">
      <w:pPr>
        <w:pStyle w:val="ad"/>
        <w:spacing w:line="360" w:lineRule="auto"/>
        <w:ind w:left="200" w:hanging="200"/>
        <w:jc w:val="both"/>
        <w:rPr>
          <w:lang w:val="de-DE"/>
        </w:rPr>
      </w:pPr>
      <w:r>
        <w:rPr>
          <w:rStyle w:val="ae"/>
        </w:rPr>
        <w:footnoteRef/>
      </w:r>
      <w:r>
        <w:rPr>
          <w:lang w:val="de-DE"/>
        </w:rPr>
        <w:t xml:space="preserve"> </w:t>
      </w:r>
      <w:r>
        <w:rPr>
          <w:snapToGrid w:val="0"/>
          <w:lang w:val="de-DE" w:eastAsia="de-DE"/>
        </w:rPr>
        <w:t xml:space="preserve">Ders., </w:t>
      </w:r>
      <w:r>
        <w:rPr>
          <w:snapToGrid w:val="0"/>
          <w:color w:val="0000FF"/>
          <w:lang w:val="de-DE" w:eastAsia="de-DE"/>
        </w:rPr>
        <w:t>a</w:t>
      </w:r>
      <w:r>
        <w:rPr>
          <w:rFonts w:hint="eastAsia"/>
          <w:snapToGrid w:val="0"/>
          <w:color w:val="0000FF"/>
          <w:lang w:val="de-DE"/>
        </w:rPr>
        <w:t>.</w:t>
      </w:r>
      <w:r>
        <w:rPr>
          <w:snapToGrid w:val="0"/>
          <w:color w:val="0000FF"/>
          <w:lang w:val="de-DE" w:eastAsia="de-DE"/>
        </w:rPr>
        <w:t>a</w:t>
      </w:r>
      <w:r>
        <w:rPr>
          <w:rFonts w:hint="eastAsia"/>
          <w:snapToGrid w:val="0"/>
          <w:color w:val="0000FF"/>
          <w:lang w:val="de-DE"/>
        </w:rPr>
        <w:t>.</w:t>
      </w:r>
      <w:r>
        <w:rPr>
          <w:snapToGrid w:val="0"/>
          <w:color w:val="0000FF"/>
          <w:lang w:val="de-DE" w:eastAsia="de-DE"/>
        </w:rPr>
        <w:t>O</w:t>
      </w:r>
      <w:r>
        <w:rPr>
          <w:rFonts w:hint="eastAsia"/>
          <w:snapToGrid w:val="0"/>
          <w:color w:val="0000FF"/>
          <w:lang w:val="de-DE"/>
        </w:rPr>
        <w:t>.(Anm. 198)</w:t>
      </w:r>
      <w:r>
        <w:rPr>
          <w:snapToGrid w:val="0"/>
          <w:lang w:val="de-DE" w:eastAsia="de-DE"/>
        </w:rPr>
        <w:t>, S. 82</w:t>
      </w:r>
      <w:r>
        <w:rPr>
          <w:snapToGrid w:val="0"/>
          <w:lang w:val="de-DE"/>
        </w:rPr>
        <w:t xml:space="preserve"> </w:t>
      </w:r>
      <w:r>
        <w:rPr>
          <w:snapToGrid w:val="0"/>
          <w:lang w:val="de-DE" w:eastAsia="de-DE"/>
        </w:rPr>
        <w:t>ff.</w:t>
      </w:r>
    </w:p>
  </w:footnote>
  <w:footnote w:id="209">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 xml:space="preserve">Vgl. </w:t>
      </w:r>
      <w:r>
        <w:rPr>
          <w:color w:val="0000FF"/>
          <w:sz w:val="24"/>
          <w:szCs w:val="24"/>
          <w:lang w:val="de-DE"/>
        </w:rPr>
        <w:t>Dirk</w:t>
      </w:r>
      <w:r>
        <w:rPr>
          <w:lang w:val="de-DE" w:eastAsia="ja-JP"/>
        </w:rPr>
        <w:t xml:space="preserve"> Ehlers, VwGO, Vorb. § 40 Rn. </w:t>
      </w:r>
      <w:smartTag w:uri="urn:schemas-microsoft-com:office:smarttags" w:element="chmetcnv">
        <w:smartTagPr>
          <w:attr w:name="TCSC" w:val="0"/>
          <w:attr w:name="NumberType" w:val="1"/>
          <w:attr w:name="Negative" w:val="False"/>
          <w:attr w:name="HasSpace" w:val="True"/>
          <w:attr w:name="SourceValue" w:val="81"/>
          <w:attr w:name="UnitName" w:val="m"/>
        </w:smartTagPr>
        <w:r>
          <w:rPr>
            <w:lang w:val="de-DE" w:eastAsia="ja-JP"/>
          </w:rPr>
          <w:t>81 m</w:t>
        </w:r>
      </w:smartTag>
      <w:r>
        <w:rPr>
          <w:lang w:val="de-DE" w:eastAsia="ja-JP"/>
        </w:rPr>
        <w:t>.w.N.</w:t>
      </w:r>
    </w:p>
  </w:footnote>
  <w:footnote w:id="210">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Vgl. BVerwG, DVBl. 2004, 317; HessVGH, NVwZ 1994, 1231; NVwZ-RR 1992, 34, 35; NVwZ-RR 1996, 49, 50.</w:t>
      </w:r>
    </w:p>
  </w:footnote>
  <w:footnote w:id="211">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Vgl. Wernsann, DVBl. 2005, 283.</w:t>
      </w:r>
    </w:p>
  </w:footnote>
  <w:footnote w:id="212">
    <w:p w:rsidR="00E02252" w:rsidRDefault="00E02252">
      <w:pPr>
        <w:pStyle w:val="ad"/>
        <w:spacing w:line="360" w:lineRule="auto"/>
        <w:ind w:left="200" w:hanging="200"/>
        <w:jc w:val="both"/>
        <w:rPr>
          <w:lang w:val="de-DE" w:eastAsia="ja-JP"/>
        </w:rPr>
      </w:pPr>
      <w:r>
        <w:rPr>
          <w:rStyle w:val="ae"/>
        </w:rPr>
        <w:footnoteRef/>
      </w:r>
      <w:r>
        <w:rPr>
          <w:lang w:val="de-DE"/>
        </w:rPr>
        <w:t xml:space="preserve"> </w:t>
      </w:r>
      <w:r>
        <w:rPr>
          <w:lang w:val="de-DE" w:eastAsia="ja-JP"/>
        </w:rPr>
        <w:t>Vgl. BVerfG (Kamer), NJW 1990, 501; BVerwGE, DVBl. 2004, 317 (318).</w:t>
      </w:r>
    </w:p>
  </w:footnote>
  <w:footnote w:id="213">
    <w:p w:rsidR="00E02252" w:rsidRDefault="00E02252">
      <w:pPr>
        <w:pStyle w:val="ad"/>
        <w:spacing w:line="360" w:lineRule="auto"/>
        <w:ind w:left="200" w:hanging="200"/>
        <w:jc w:val="both"/>
        <w:rPr>
          <w:lang w:eastAsia="ja-JP"/>
        </w:rPr>
      </w:pPr>
      <w:r>
        <w:rPr>
          <w:rStyle w:val="ae"/>
        </w:rPr>
        <w:footnoteRef/>
      </w:r>
      <w:r>
        <w:t xml:space="preserve"> </w:t>
      </w:r>
      <w:r>
        <w:rPr>
          <w:lang w:eastAsia="ja-JP"/>
        </w:rPr>
        <w:t>Vgl. Wernsann, DVBl. 2005, 283.</w:t>
      </w:r>
    </w:p>
  </w:footnote>
  <w:footnote w:id="214">
    <w:p w:rsidR="00E02252" w:rsidRDefault="00E02252">
      <w:pPr>
        <w:pStyle w:val="ad"/>
        <w:spacing w:line="360" w:lineRule="auto"/>
        <w:jc w:val="both"/>
      </w:pPr>
      <w:r>
        <w:rPr>
          <w:rStyle w:val="ae"/>
        </w:rPr>
        <w:footnoteRef/>
      </w:r>
      <w:r>
        <w:t xml:space="preserve"> </w:t>
      </w:r>
      <w:r>
        <w:rPr>
          <w:rFonts w:hAnsi="新細明體"/>
        </w:rPr>
        <w:t>第九條（原告適格</w:t>
      </w:r>
      <w:r>
        <w:t>)</w:t>
      </w:r>
    </w:p>
    <w:p w:rsidR="00E02252" w:rsidRDefault="00E02252">
      <w:pPr>
        <w:pStyle w:val="ad"/>
        <w:spacing w:line="360" w:lineRule="auto"/>
        <w:jc w:val="both"/>
      </w:pPr>
      <w:r>
        <w:t>II.</w:t>
      </w:r>
      <w:r>
        <w:rPr>
          <w:rFonts w:hAnsi="新細明體"/>
        </w:rPr>
        <w:t>法院關於處分或裁決相對人以外之人於判斷是否有前項規定法律上之利益時</w:t>
      </w:r>
      <w:r>
        <w:t xml:space="preserve"> </w:t>
      </w:r>
      <w:r>
        <w:rPr>
          <w:rFonts w:hAnsi="新細明體"/>
        </w:rPr>
        <w:t>不僅該當處分或裁決之根據之法律規定</w:t>
      </w:r>
      <w:r>
        <w:t xml:space="preserve"> </w:t>
      </w:r>
      <w:r>
        <w:rPr>
          <w:rFonts w:hAnsi="新細明體"/>
        </w:rPr>
        <w:t>更應考慮該當法律之旨趣及目的，再者於該當處分中應被考慮利益之內容及性質。於此情形下，於考慮該當法律之旨趣及目的時與該當法令有共通目的之相關法令存在時，也須同時斟酌該相關法令之旨趣及目的。於考慮該當利益之內容及性質時，也應斟酌該當處分或裁決違反其依據法令時將遭受損害之利益之內容及性質、以及遭受損害之態樣及程度。</w:t>
      </w:r>
    </w:p>
  </w:footnote>
  <w:footnote w:id="215">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val="de-DE" w:eastAsia="ja-JP"/>
        </w:rPr>
        <w:t>74</w:t>
      </w:r>
      <w:r>
        <w:rPr>
          <w:rFonts w:hAnsi="新細明體"/>
          <w:lang w:eastAsia="ja-JP"/>
        </w:rPr>
        <w:t>頁以下。</w:t>
      </w:r>
    </w:p>
  </w:footnote>
  <w:footnote w:id="216">
    <w:p w:rsidR="00E02252" w:rsidRDefault="00E02252">
      <w:pPr>
        <w:pStyle w:val="ad"/>
        <w:spacing w:line="360" w:lineRule="auto"/>
        <w:jc w:val="both"/>
      </w:pPr>
      <w:r>
        <w:rPr>
          <w:rStyle w:val="ae"/>
        </w:rPr>
        <w:footnoteRef/>
      </w:r>
      <w:r>
        <w:t xml:space="preserve"> </w:t>
      </w:r>
      <w:r>
        <w:rPr>
          <w:rFonts w:hAnsi="新細明體"/>
        </w:rPr>
        <w:t>塩野宏『行政法</w:t>
      </w:r>
      <w:r>
        <w:rPr>
          <w:rFonts w:ascii="新細明體" w:hAnsi="新細明體"/>
        </w:rPr>
        <w:t>Ⅱ</w:t>
      </w:r>
      <w:r>
        <w:rPr>
          <w:rFonts w:hAnsi="新細明體"/>
        </w:rPr>
        <w:t xml:space="preserve">』有斐閣　</w:t>
      </w:r>
      <w:r>
        <w:t>85</w:t>
      </w:r>
      <w:r>
        <w:rPr>
          <w:rFonts w:hAnsi="新細明體"/>
        </w:rPr>
        <w:t>頁以下。</w:t>
      </w:r>
    </w:p>
  </w:footnote>
  <w:footnote w:id="217">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南</w:t>
      </w:r>
      <w:r>
        <w:rPr>
          <w:lang w:eastAsia="ja-JP"/>
        </w:rPr>
        <w:t>=</w:t>
      </w:r>
      <w:r>
        <w:rPr>
          <w:rFonts w:hAnsi="新細明體"/>
          <w:lang w:eastAsia="ja-JP"/>
        </w:rPr>
        <w:t>高橋編・条解</w:t>
      </w:r>
      <w:r>
        <w:rPr>
          <w:lang w:eastAsia="ja-JP"/>
        </w:rPr>
        <w:t>54</w:t>
      </w:r>
      <w:r>
        <w:rPr>
          <w:rFonts w:hAnsi="新細明體"/>
          <w:lang w:eastAsia="ja-JP"/>
        </w:rPr>
        <w:t>頁［高橋滋］</w:t>
      </w:r>
    </w:p>
  </w:footnote>
  <w:footnote w:id="218">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關於取消部分，南</w:t>
      </w:r>
      <w:r>
        <w:rPr>
          <w:lang w:eastAsia="ja-JP"/>
        </w:rPr>
        <w:t>=</w:t>
      </w:r>
      <w:r>
        <w:rPr>
          <w:rFonts w:hAnsi="新細明體"/>
          <w:lang w:eastAsia="ja-JP"/>
        </w:rPr>
        <w:t>高橋編・条解</w:t>
      </w:r>
      <w:r>
        <w:rPr>
          <w:lang w:eastAsia="ja-JP"/>
        </w:rPr>
        <w:t>54</w:t>
      </w:r>
      <w:r>
        <w:rPr>
          <w:rFonts w:hAnsi="新細明體"/>
          <w:lang w:eastAsia="ja-JP"/>
        </w:rPr>
        <w:t>頁［高木光］關於起訴期間部分塩野宏『行政法</w:t>
      </w:r>
      <w:r>
        <w:rPr>
          <w:rFonts w:ascii="新細明體" w:hAnsi="新細明體"/>
          <w:lang w:eastAsia="ja-JP"/>
        </w:rPr>
        <w:t>Ⅰ</w:t>
      </w:r>
      <w:r>
        <w:rPr>
          <w:rFonts w:hAnsi="新細明體"/>
          <w:lang w:eastAsia="ja-JP"/>
        </w:rPr>
        <w:t>』</w:t>
      </w:r>
      <w:r>
        <w:rPr>
          <w:lang w:eastAsia="ja-JP"/>
        </w:rPr>
        <w:t>225</w:t>
      </w:r>
      <w:r>
        <w:rPr>
          <w:rFonts w:hAnsi="新細明體"/>
          <w:lang w:eastAsia="ja-JP"/>
        </w:rPr>
        <w:t>頁『行政法</w:t>
      </w:r>
      <w:r>
        <w:rPr>
          <w:rFonts w:ascii="新細明體" w:hAnsi="新細明體"/>
          <w:lang w:eastAsia="ja-JP"/>
        </w:rPr>
        <w:t>Ⅱ</w:t>
      </w:r>
      <w:r>
        <w:rPr>
          <w:rFonts w:hAnsi="新細明體"/>
          <w:lang w:eastAsia="ja-JP"/>
        </w:rPr>
        <w:t>』</w:t>
      </w:r>
      <w:r>
        <w:rPr>
          <w:lang w:eastAsia="ja-JP"/>
        </w:rPr>
        <w:t>96</w:t>
      </w:r>
      <w:r>
        <w:rPr>
          <w:rFonts w:hAnsi="新細明體"/>
          <w:lang w:eastAsia="ja-JP"/>
        </w:rPr>
        <w:t>頁。</w:t>
      </w:r>
    </w:p>
  </w:footnote>
  <w:footnote w:id="219">
    <w:p w:rsidR="00E02252" w:rsidRDefault="00E02252">
      <w:pPr>
        <w:pStyle w:val="ad"/>
        <w:spacing w:line="360" w:lineRule="auto"/>
        <w:jc w:val="both"/>
      </w:pPr>
      <w:r>
        <w:rPr>
          <w:rStyle w:val="ae"/>
        </w:rPr>
        <w:footnoteRef/>
      </w:r>
      <w:r>
        <w:t xml:space="preserve"> </w:t>
      </w:r>
      <w:r>
        <w:rPr>
          <w:rFonts w:hAnsi="新細明體"/>
        </w:rPr>
        <w:t>第四十四條</w:t>
      </w:r>
      <w:r>
        <w:t xml:space="preserve"> </w:t>
      </w:r>
      <w:r>
        <w:rPr>
          <w:rFonts w:hAnsi="新細明體"/>
        </w:rPr>
        <w:t>假處分之排除</w:t>
      </w:r>
    </w:p>
    <w:p w:rsidR="00E02252" w:rsidRDefault="00E02252">
      <w:pPr>
        <w:pStyle w:val="ad"/>
        <w:spacing w:line="360" w:lineRule="auto"/>
        <w:jc w:val="both"/>
      </w:pPr>
      <w:r>
        <w:rPr>
          <w:rFonts w:hAnsi="新細明體"/>
        </w:rPr>
        <w:t>行政機關之處分以及其他該當於公權力行使之行為</w:t>
      </w:r>
      <w:r>
        <w:t xml:space="preserve"> </w:t>
      </w:r>
      <w:r>
        <w:rPr>
          <w:rFonts w:hAnsi="新細明體"/>
        </w:rPr>
        <w:t>不能行使民事保全法中有關假處分之規定。</w:t>
      </w:r>
    </w:p>
  </w:footnote>
  <w:footnote w:id="220">
    <w:p w:rsidR="00E02252" w:rsidRDefault="00E02252">
      <w:pPr>
        <w:pStyle w:val="ad"/>
        <w:spacing w:line="360" w:lineRule="auto"/>
        <w:jc w:val="both"/>
      </w:pPr>
      <w:r>
        <w:rPr>
          <w:rStyle w:val="ae"/>
        </w:rPr>
        <w:footnoteRef/>
      </w:r>
      <w:r>
        <w:t xml:space="preserve"> </w:t>
      </w:r>
      <w:r>
        <w:rPr>
          <w:rFonts w:hAnsi="新細明體"/>
        </w:rPr>
        <w:t>第二十五條</w:t>
      </w:r>
    </w:p>
    <w:p w:rsidR="00E02252" w:rsidRPr="00723226" w:rsidRDefault="00E02252">
      <w:pPr>
        <w:pStyle w:val="ad"/>
        <w:spacing w:line="360" w:lineRule="auto"/>
        <w:jc w:val="both"/>
        <w:rPr>
          <w:rFonts w:hint="eastAsia"/>
          <w:color w:val="FF0000"/>
          <w:lang w:val="de-DE"/>
        </w:rPr>
      </w:pPr>
      <w:r>
        <w:rPr>
          <w:rFonts w:hAnsi="新細明體"/>
          <w:color w:val="FF0000"/>
        </w:rPr>
        <w:t>處分之取消之訴之提起不妨礙處分之效力</w:t>
      </w:r>
      <w:r w:rsidR="00723226">
        <w:rPr>
          <w:rFonts w:ascii="新細明體" w:hAnsi="新細明體" w:hint="eastAsia"/>
          <w:color w:val="FF0000"/>
        </w:rPr>
        <w:t>、</w:t>
      </w:r>
      <w:r>
        <w:rPr>
          <w:rFonts w:hAnsi="新細明體"/>
          <w:color w:val="FF0000"/>
        </w:rPr>
        <w:t>處分之執行或手續之進行</w:t>
      </w:r>
      <w:r w:rsidR="00723226">
        <w:rPr>
          <w:rFonts w:hAnsi="新細明體" w:hint="eastAsia"/>
          <w:color w:val="FF0000"/>
          <w:lang w:val="de-DE"/>
        </w:rPr>
        <w:t>。</w:t>
      </w:r>
    </w:p>
    <w:p w:rsidR="00E02252" w:rsidRDefault="00E02252">
      <w:pPr>
        <w:pStyle w:val="ad"/>
        <w:spacing w:line="360" w:lineRule="auto"/>
        <w:jc w:val="both"/>
      </w:pPr>
      <w:r>
        <w:t xml:space="preserve">2 </w:t>
      </w:r>
      <w:r>
        <w:rPr>
          <w:rFonts w:hAnsi="新細明體"/>
        </w:rPr>
        <w:t>於提起處分之取消之訴之情況下，若為避免因處分處分之執行或手續之進行所產生重大損害而有緊急之必要時，法院可經由聲請以決定停止處分之效力處分之執行或手續之進行。但處分之效力之停止若因處分之執行或手續進行之停止而可達到該目的時不可為之。</w:t>
      </w:r>
    </w:p>
    <w:p w:rsidR="00E02252" w:rsidRDefault="00E02252">
      <w:pPr>
        <w:pStyle w:val="ad"/>
        <w:spacing w:line="360" w:lineRule="auto"/>
        <w:jc w:val="both"/>
      </w:pPr>
      <w:r>
        <w:t xml:space="preserve">3 </w:t>
      </w:r>
      <w:r>
        <w:rPr>
          <w:rFonts w:hAnsi="新細明體"/>
        </w:rPr>
        <w:t>法院於判斷是否前項規定重大損害之時，應考慮損害之回復困難之程度再者也須斟酌損害之性質及程度、處分之內容及性質。</w:t>
      </w:r>
    </w:p>
  </w:footnote>
  <w:footnote w:id="221">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山本・法関係</w:t>
      </w:r>
      <w:r>
        <w:rPr>
          <w:lang w:eastAsia="ja-JP"/>
        </w:rPr>
        <w:t>407</w:t>
      </w:r>
      <w:r>
        <w:rPr>
          <w:rFonts w:hAnsi="新細明體"/>
          <w:lang w:eastAsia="ja-JP"/>
        </w:rPr>
        <w:t>頁以下。高木・事実行為</w:t>
      </w:r>
      <w:r>
        <w:rPr>
          <w:lang w:eastAsia="ja-JP"/>
        </w:rPr>
        <w:t>18</w:t>
      </w:r>
      <w:r>
        <w:rPr>
          <w:rFonts w:hAnsi="新細明體"/>
          <w:lang w:eastAsia="ja-JP"/>
        </w:rPr>
        <w:t>頁、</w:t>
      </w:r>
      <w:r>
        <w:rPr>
          <w:lang w:eastAsia="ja-JP"/>
        </w:rPr>
        <w:t>48</w:t>
      </w:r>
      <w:r>
        <w:rPr>
          <w:rFonts w:hAnsi="新細明體"/>
          <w:lang w:eastAsia="ja-JP"/>
        </w:rPr>
        <w:t>頁以下。</w:t>
      </w:r>
    </w:p>
  </w:footnote>
  <w:footnote w:id="222">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塩野・統制</w:t>
      </w:r>
      <w:r>
        <w:rPr>
          <w:lang w:eastAsia="ja-JP"/>
        </w:rPr>
        <w:t>332</w:t>
      </w:r>
      <w:r>
        <w:rPr>
          <w:rFonts w:hAnsi="新細明體"/>
          <w:lang w:eastAsia="ja-JP"/>
        </w:rPr>
        <w:t>頁以下。塩野・『行政法</w:t>
      </w:r>
      <w:r>
        <w:rPr>
          <w:rFonts w:ascii="新細明體" w:hAnsi="新細明體"/>
          <w:lang w:eastAsia="ja-JP"/>
        </w:rPr>
        <w:t>Ⅱ</w:t>
      </w:r>
      <w:r>
        <w:rPr>
          <w:rFonts w:hAnsi="新細明體"/>
          <w:lang w:eastAsia="ja-JP"/>
        </w:rPr>
        <w:t>』</w:t>
      </w:r>
      <w:r>
        <w:rPr>
          <w:lang w:eastAsia="ja-JP"/>
        </w:rPr>
        <w:t>206</w:t>
      </w:r>
      <w:r>
        <w:rPr>
          <w:rFonts w:hAnsi="新細明體"/>
          <w:lang w:eastAsia="ja-JP"/>
        </w:rPr>
        <w:t>頁以下。</w:t>
      </w:r>
    </w:p>
  </w:footnote>
  <w:footnote w:id="223">
    <w:p w:rsidR="00E02252" w:rsidRDefault="00E02252">
      <w:pPr>
        <w:pStyle w:val="ad"/>
        <w:spacing w:line="360" w:lineRule="auto"/>
        <w:jc w:val="both"/>
      </w:pPr>
      <w:r>
        <w:rPr>
          <w:rStyle w:val="ae"/>
        </w:rPr>
        <w:footnoteRef/>
      </w:r>
      <w:r>
        <w:t xml:space="preserve"> </w:t>
      </w:r>
      <w:r>
        <w:rPr>
          <w:rFonts w:hAnsi="新細明體"/>
        </w:rPr>
        <w:t>當事者訴訟</w:t>
      </w:r>
    </w:p>
    <w:p w:rsidR="00E02252" w:rsidRDefault="00E02252">
      <w:pPr>
        <w:pStyle w:val="ad"/>
        <w:spacing w:line="360" w:lineRule="auto"/>
        <w:jc w:val="both"/>
      </w:pPr>
      <w:r>
        <w:rPr>
          <w:rFonts w:hAnsi="新細明體"/>
        </w:rPr>
        <w:t>本法之當事者訴訟</w:t>
      </w:r>
      <w:r>
        <w:t xml:space="preserve"> </w:t>
      </w:r>
      <w:r>
        <w:rPr>
          <w:rFonts w:hAnsi="新細明體"/>
        </w:rPr>
        <w:t>為關於確認法律關係或形成處分與裁決之訴訟，依據法令之規定將其法律關係之當事者之一方為被告之訴訟以及關於確認公法上法律關係之訴訟、其他公法上法律關係之訴訟。</w:t>
      </w:r>
    </w:p>
  </w:footnote>
  <w:footnote w:id="224">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南編・条解</w:t>
      </w:r>
      <w:r>
        <w:rPr>
          <w:lang w:eastAsia="ja-JP"/>
        </w:rPr>
        <w:t>40</w:t>
      </w:r>
      <w:r>
        <w:rPr>
          <w:rFonts w:hAnsi="新細明體"/>
          <w:lang w:eastAsia="ja-JP"/>
        </w:rPr>
        <w:t>頁［高木光］、高木光「処分性の概念」ジュリスト</w:t>
      </w:r>
      <w:r>
        <w:rPr>
          <w:lang w:eastAsia="ja-JP"/>
        </w:rPr>
        <w:t>1234</w:t>
      </w:r>
      <w:r>
        <w:rPr>
          <w:rFonts w:hAnsi="新細明體"/>
          <w:lang w:eastAsia="ja-JP"/>
        </w:rPr>
        <w:t>号</w:t>
      </w:r>
      <w:r>
        <w:rPr>
          <w:lang w:eastAsia="ja-JP"/>
        </w:rPr>
        <w:t>(2002)12</w:t>
      </w:r>
      <w:r>
        <w:rPr>
          <w:rFonts w:hAnsi="新細明體"/>
          <w:lang w:eastAsia="ja-JP"/>
        </w:rPr>
        <w:t>頁以下。</w:t>
      </w:r>
    </w:p>
  </w:footnote>
  <w:footnote w:id="225">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eastAsia="ja-JP"/>
        </w:rPr>
        <w:t>77</w:t>
      </w:r>
      <w:r>
        <w:rPr>
          <w:rFonts w:hAnsi="新細明體"/>
          <w:lang w:eastAsia="ja-JP"/>
        </w:rPr>
        <w:t>頁。</w:t>
      </w:r>
    </w:p>
  </w:footnote>
  <w:footnote w:id="226">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塩野宏「無効確認訴訟における訴えの利益」</w:t>
      </w:r>
      <w:r>
        <w:rPr>
          <w:lang w:eastAsia="ja-JP"/>
        </w:rPr>
        <w:t>(1970)</w:t>
      </w:r>
      <w:r>
        <w:rPr>
          <w:rFonts w:hAnsi="新細明體"/>
          <w:lang w:eastAsia="ja-JP"/>
        </w:rPr>
        <w:t>、塩野・統制</w:t>
      </w:r>
      <w:r>
        <w:rPr>
          <w:lang w:eastAsia="ja-JP"/>
        </w:rPr>
        <w:t>342</w:t>
      </w:r>
      <w:r>
        <w:rPr>
          <w:rFonts w:hAnsi="新細明體"/>
          <w:lang w:eastAsia="ja-JP"/>
        </w:rPr>
        <w:t>頁以下。</w:t>
      </w:r>
    </w:p>
  </w:footnote>
  <w:footnote w:id="227">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年）７４頁以下</w:t>
      </w:r>
    </w:p>
  </w:footnote>
  <w:footnote w:id="228">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eastAsia="ja-JP"/>
        </w:rPr>
        <w:t>79-80</w:t>
      </w:r>
      <w:r>
        <w:rPr>
          <w:rFonts w:hAnsi="新細明體"/>
          <w:lang w:eastAsia="ja-JP"/>
        </w:rPr>
        <w:t>頁。</w:t>
      </w:r>
    </w:p>
  </w:footnote>
  <w:footnote w:id="229">
    <w:p w:rsidR="00E02252" w:rsidRDefault="00E02252">
      <w:pPr>
        <w:pStyle w:val="ad"/>
        <w:spacing w:line="360" w:lineRule="auto"/>
        <w:jc w:val="both"/>
      </w:pPr>
      <w:r>
        <w:rPr>
          <w:rStyle w:val="ae"/>
        </w:rPr>
        <w:footnoteRef/>
      </w:r>
      <w:r>
        <w:t xml:space="preserve"> </w:t>
      </w:r>
      <w:r>
        <w:rPr>
          <w:rFonts w:hAnsi="新細明體"/>
        </w:rPr>
        <w:t>第二十五條</w:t>
      </w:r>
    </w:p>
    <w:p w:rsidR="00E02252" w:rsidRDefault="00E02252">
      <w:pPr>
        <w:pStyle w:val="ad"/>
        <w:spacing w:line="360" w:lineRule="auto"/>
        <w:jc w:val="both"/>
      </w:pPr>
      <w:r>
        <w:t xml:space="preserve">2 </w:t>
      </w:r>
      <w:r>
        <w:rPr>
          <w:rFonts w:hAnsi="新細明體"/>
        </w:rPr>
        <w:t>於提起處分之取消之訴之情況下，若為避免因處分處分之執行或手續之進行所產生重大損害而有緊急之必要時，法院可經由聲請以決定停止處分之效力處分之執行或手續之進行。但處分之效力之停止若因處分之執行或手續進行之停止而可達到該目的時不可為之。</w:t>
      </w:r>
    </w:p>
    <w:p w:rsidR="00E02252" w:rsidRDefault="00E02252">
      <w:pPr>
        <w:pStyle w:val="ad"/>
        <w:spacing w:line="360" w:lineRule="auto"/>
        <w:jc w:val="both"/>
      </w:pPr>
      <w:r>
        <w:t xml:space="preserve">3 </w:t>
      </w:r>
      <w:r>
        <w:rPr>
          <w:rFonts w:hAnsi="新細明體"/>
        </w:rPr>
        <w:t>法院於判斷是否前項規定重大損害之時，應考慮損害之回復困難之程度再者也須斟酌損害之性質及程度、處分之內容及性質。</w:t>
      </w:r>
    </w:p>
  </w:footnote>
  <w:footnote w:id="230">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eastAsia="ja-JP"/>
        </w:rPr>
        <w:t>81</w:t>
      </w:r>
      <w:r>
        <w:rPr>
          <w:rFonts w:hAnsi="新細明體"/>
          <w:lang w:eastAsia="ja-JP"/>
        </w:rPr>
        <w:t>頁。</w:t>
      </w:r>
    </w:p>
  </w:footnote>
  <w:footnote w:id="231">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高橋・重点</w:t>
      </w:r>
      <w:r>
        <w:rPr>
          <w:lang w:eastAsia="ja-JP"/>
        </w:rPr>
        <w:t>328</w:t>
      </w:r>
      <w:r>
        <w:rPr>
          <w:rFonts w:hAnsi="新細明體"/>
          <w:lang w:eastAsia="ja-JP"/>
        </w:rPr>
        <w:t>頁、山本和彦「民事訴訟法理論から見た行政訴訟改革論議」法律時報</w:t>
      </w:r>
      <w:r>
        <w:rPr>
          <w:lang w:eastAsia="ja-JP"/>
        </w:rPr>
        <w:t>76</w:t>
      </w:r>
      <w:r>
        <w:rPr>
          <w:rFonts w:hAnsi="新細明體"/>
          <w:lang w:eastAsia="ja-JP"/>
        </w:rPr>
        <w:t>巻</w:t>
      </w:r>
      <w:r>
        <w:rPr>
          <w:lang w:eastAsia="ja-JP"/>
        </w:rPr>
        <w:t>(2004</w:t>
      </w:r>
      <w:r>
        <w:rPr>
          <w:rFonts w:hAnsi="新細明體"/>
          <w:lang w:eastAsia="ja-JP"/>
        </w:rPr>
        <w:t>年</w:t>
      </w:r>
      <w:r>
        <w:rPr>
          <w:lang w:eastAsia="ja-JP"/>
        </w:rPr>
        <w:t>)108</w:t>
      </w:r>
      <w:r>
        <w:rPr>
          <w:rFonts w:hAnsi="新細明體"/>
          <w:lang w:eastAsia="ja-JP"/>
        </w:rPr>
        <w:t>頁以下。</w:t>
      </w:r>
    </w:p>
  </w:footnote>
  <w:footnote w:id="232">
    <w:p w:rsidR="00E02252" w:rsidRDefault="00E02252">
      <w:pPr>
        <w:pStyle w:val="ad"/>
        <w:spacing w:line="360" w:lineRule="auto"/>
        <w:jc w:val="both"/>
        <w:rPr>
          <w:lang w:eastAsia="ja-JP"/>
        </w:rPr>
      </w:pPr>
      <w:r>
        <w:rPr>
          <w:rStyle w:val="ae"/>
        </w:rPr>
        <w:footnoteRef/>
      </w:r>
      <w:r>
        <w:rPr>
          <w:rFonts w:hAnsi="新細明體"/>
          <w:lang w:eastAsia="ja-JP"/>
        </w:rPr>
        <w:t>山本和彦「民事訴訟法理論から見た行政訴訟改革論議」法律時報</w:t>
      </w:r>
      <w:r>
        <w:rPr>
          <w:lang w:eastAsia="ja-JP"/>
        </w:rPr>
        <w:t>76</w:t>
      </w:r>
      <w:r>
        <w:rPr>
          <w:rFonts w:hAnsi="新細明體"/>
          <w:lang w:eastAsia="ja-JP"/>
        </w:rPr>
        <w:t>巻</w:t>
      </w:r>
      <w:r>
        <w:rPr>
          <w:lang w:eastAsia="ja-JP"/>
        </w:rPr>
        <w:t>(2004</w:t>
      </w:r>
      <w:r>
        <w:rPr>
          <w:rFonts w:hAnsi="新細明體"/>
          <w:lang w:eastAsia="ja-JP"/>
        </w:rPr>
        <w:t>年</w:t>
      </w:r>
      <w:r>
        <w:rPr>
          <w:lang w:eastAsia="ja-JP"/>
        </w:rPr>
        <w:t>)110</w:t>
      </w:r>
      <w:r>
        <w:rPr>
          <w:rFonts w:hAnsi="新細明體"/>
          <w:lang w:eastAsia="ja-JP"/>
        </w:rPr>
        <w:t>頁以下。</w:t>
      </w:r>
    </w:p>
  </w:footnote>
  <w:footnote w:id="233">
    <w:p w:rsidR="00E02252" w:rsidRDefault="00E02252">
      <w:pPr>
        <w:pStyle w:val="ad"/>
        <w:spacing w:line="360" w:lineRule="auto"/>
        <w:jc w:val="both"/>
        <w:rPr>
          <w:lang w:eastAsia="ja-JP"/>
        </w:rPr>
      </w:pPr>
      <w:r>
        <w:rPr>
          <w:rStyle w:val="ae"/>
        </w:rPr>
        <w:footnoteRef/>
      </w:r>
      <w:r>
        <w:rPr>
          <w:rFonts w:hAnsi="新細明體"/>
          <w:lang w:eastAsia="ja-JP"/>
        </w:rPr>
        <w:t>南編・条解</w:t>
      </w:r>
      <w:r>
        <w:rPr>
          <w:lang w:eastAsia="ja-JP"/>
        </w:rPr>
        <w:t>118</w:t>
      </w:r>
      <w:r>
        <w:rPr>
          <w:rFonts w:hAnsi="新細明體"/>
          <w:lang w:eastAsia="ja-JP"/>
        </w:rPr>
        <w:t>頁［山本隆司］。</w:t>
      </w:r>
    </w:p>
  </w:footnote>
  <w:footnote w:id="234">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最高平</w:t>
      </w:r>
      <w:smartTag w:uri="urn:schemas-microsoft-com:office:smarttags" w:element="chsdate">
        <w:smartTagPr>
          <w:attr w:name="IsROCDate" w:val="False"/>
          <w:attr w:name="IsLunarDate" w:val="False"/>
          <w:attr w:name="Day" w:val="30"/>
          <w:attr w:name="Month" w:val="12"/>
          <w:attr w:name="Year" w:val="1899"/>
        </w:smartTagPr>
        <w:r>
          <w:rPr>
            <w:lang w:eastAsia="ja-JP"/>
          </w:rPr>
          <w:t>5.9.7</w:t>
        </w:r>
      </w:smartTag>
      <w:r>
        <w:rPr>
          <w:rFonts w:hAnsi="新細明體"/>
          <w:lang w:eastAsia="ja-JP"/>
        </w:rPr>
        <w:t>民集</w:t>
      </w:r>
      <w:r>
        <w:rPr>
          <w:lang w:eastAsia="ja-JP"/>
        </w:rPr>
        <w:t>47</w:t>
      </w:r>
      <w:r>
        <w:rPr>
          <w:rFonts w:hAnsi="新細明體"/>
          <w:lang w:eastAsia="ja-JP"/>
        </w:rPr>
        <w:t>巻</w:t>
      </w:r>
      <w:r>
        <w:rPr>
          <w:lang w:eastAsia="ja-JP"/>
        </w:rPr>
        <w:t>7</w:t>
      </w:r>
      <w:r>
        <w:rPr>
          <w:rFonts w:hAnsi="新細明體"/>
          <w:lang w:eastAsia="ja-JP"/>
        </w:rPr>
        <w:t>号</w:t>
      </w:r>
      <w:r>
        <w:rPr>
          <w:lang w:eastAsia="ja-JP"/>
        </w:rPr>
        <w:t>4755</w:t>
      </w:r>
      <w:r>
        <w:rPr>
          <w:rFonts w:hAnsi="新細明體"/>
          <w:lang w:eastAsia="ja-JP"/>
        </w:rPr>
        <w:t>頁。</w:t>
      </w:r>
    </w:p>
  </w:footnote>
  <w:footnote w:id="235">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高橋・重点</w:t>
      </w:r>
      <w:r>
        <w:rPr>
          <w:lang w:eastAsia="ja-JP"/>
        </w:rPr>
        <w:t>314</w:t>
      </w:r>
      <w:r>
        <w:rPr>
          <w:rFonts w:hAnsi="新細明體"/>
          <w:lang w:eastAsia="ja-JP"/>
        </w:rPr>
        <w:t>頁以下。</w:t>
      </w:r>
    </w:p>
  </w:footnote>
  <w:footnote w:id="236">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eastAsia="ja-JP"/>
        </w:rPr>
        <w:t>87</w:t>
      </w:r>
      <w:r>
        <w:rPr>
          <w:rFonts w:hAnsi="新細明體"/>
          <w:lang w:eastAsia="ja-JP"/>
        </w:rPr>
        <w:t>頁以下。</w:t>
      </w:r>
    </w:p>
  </w:footnote>
  <w:footnote w:id="237">
    <w:p w:rsidR="00E02252" w:rsidRDefault="00E02252">
      <w:pPr>
        <w:pStyle w:val="ad"/>
        <w:spacing w:line="360" w:lineRule="auto"/>
        <w:jc w:val="both"/>
        <w:rPr>
          <w:lang w:eastAsia="ja-JP"/>
        </w:rPr>
      </w:pPr>
      <w:r>
        <w:rPr>
          <w:rStyle w:val="ae"/>
        </w:rPr>
        <w:footnoteRef/>
      </w:r>
      <w:r>
        <w:rPr>
          <w:lang w:eastAsia="ja-JP"/>
        </w:rPr>
        <w:t xml:space="preserve"> </w:t>
      </w:r>
      <w:r>
        <w:rPr>
          <w:rFonts w:hAnsi="新細明體"/>
          <w:lang w:eastAsia="ja-JP"/>
        </w:rPr>
        <w:t>山本隆司「行政訴訟に関する外国法制調査－ドイツ</w:t>
      </w:r>
      <w:r>
        <w:rPr>
          <w:lang w:eastAsia="ja-JP"/>
        </w:rPr>
        <w:t>(</w:t>
      </w:r>
      <w:r>
        <w:rPr>
          <w:rFonts w:hAnsi="新細明體"/>
          <w:lang w:eastAsia="ja-JP"/>
        </w:rPr>
        <w:t>下</w:t>
      </w:r>
      <w:r>
        <w:rPr>
          <w:lang w:eastAsia="ja-JP"/>
        </w:rPr>
        <w:t>)</w:t>
      </w:r>
      <w:r>
        <w:rPr>
          <w:rFonts w:hAnsi="新細明體"/>
          <w:lang w:eastAsia="ja-JP"/>
        </w:rPr>
        <w:t>」ジュリスト</w:t>
      </w:r>
      <w:r>
        <w:rPr>
          <w:lang w:eastAsia="ja-JP"/>
        </w:rPr>
        <w:t>1239</w:t>
      </w:r>
      <w:r>
        <w:rPr>
          <w:rFonts w:hAnsi="新細明體"/>
          <w:lang w:eastAsia="ja-JP"/>
        </w:rPr>
        <w:t>号</w:t>
      </w:r>
      <w:r>
        <w:rPr>
          <w:lang w:eastAsia="ja-JP"/>
        </w:rPr>
        <w:t>[2003]108</w:t>
      </w:r>
      <w:r>
        <w:rPr>
          <w:rFonts w:hAnsi="新細明體"/>
          <w:lang w:eastAsia="ja-JP"/>
        </w:rPr>
        <w:t>頁以下。</w:t>
      </w:r>
    </w:p>
  </w:footnote>
  <w:footnote w:id="238">
    <w:p w:rsidR="00E02252" w:rsidRDefault="00E02252">
      <w:pPr>
        <w:pStyle w:val="ad"/>
        <w:spacing w:line="360" w:lineRule="auto"/>
        <w:jc w:val="both"/>
        <w:rPr>
          <w:lang w:eastAsia="ja-JP"/>
        </w:rPr>
      </w:pPr>
      <w:r>
        <w:rPr>
          <w:rStyle w:val="ae"/>
        </w:rPr>
        <w:footnoteRef/>
      </w:r>
      <w:r>
        <w:rPr>
          <w:rFonts w:hAnsi="新細明體"/>
          <w:lang w:eastAsia="ja-JP"/>
        </w:rPr>
        <w:t>山本隆司「差し止めの訴えの法定」『改正行政事件訴訟法』小早川光郎＝高橋滋（編著）（第一法規・</w:t>
      </w:r>
      <w:r>
        <w:rPr>
          <w:lang w:eastAsia="ja-JP"/>
        </w:rPr>
        <w:t>2003</w:t>
      </w:r>
      <w:r>
        <w:rPr>
          <w:rFonts w:hAnsi="新細明體"/>
          <w:lang w:eastAsia="ja-JP"/>
        </w:rPr>
        <w:t>年）</w:t>
      </w:r>
      <w:r>
        <w:rPr>
          <w:lang w:eastAsia="ja-JP"/>
        </w:rPr>
        <w:t>89</w:t>
      </w:r>
      <w:r>
        <w:rPr>
          <w:rFonts w:hAnsi="新細明體"/>
          <w:lang w:eastAsia="ja-JP"/>
        </w:rPr>
        <w:t>頁以下。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BD14513_"/>
      </v:shape>
    </w:pict>
  </w:numPicBullet>
  <w:abstractNum w:abstractNumId="0" w15:restartNumberingAfterBreak="0">
    <w:nsid w:val="FFFFFF7C"/>
    <w:multiLevelType w:val="singleLevel"/>
    <w:tmpl w:val="A9D005D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D1E8D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0A98C88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E081258"/>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D1C8627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07E973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F6AE13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656519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3961E5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7C6EFFE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7F1579"/>
    <w:multiLevelType w:val="hybridMultilevel"/>
    <w:tmpl w:val="FF72784A"/>
    <w:lvl w:ilvl="0" w:tplc="784C5B5A">
      <w:start w:val="13"/>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42F1E3A"/>
    <w:multiLevelType w:val="hybridMultilevel"/>
    <w:tmpl w:val="956CD016"/>
    <w:lvl w:ilvl="0" w:tplc="6A6E9994">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08F006FE"/>
    <w:multiLevelType w:val="hybridMultilevel"/>
    <w:tmpl w:val="ECC4D3AE"/>
    <w:lvl w:ilvl="0" w:tplc="254E763A">
      <w:start w:val="2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C0B4117"/>
    <w:multiLevelType w:val="hybridMultilevel"/>
    <w:tmpl w:val="A2644FFA"/>
    <w:lvl w:ilvl="0" w:tplc="FD56535E">
      <w:start w:val="1"/>
      <w:numFmt w:val="taiwaneseCountingThousand"/>
      <w:lvlText w:val="（%1）"/>
      <w:lvlJc w:val="left"/>
      <w:pPr>
        <w:tabs>
          <w:tab w:val="num" w:pos="1080"/>
        </w:tabs>
        <w:ind w:left="1080" w:hanging="1080"/>
      </w:pPr>
      <w:rPr>
        <w:rFonts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65620A5"/>
    <w:multiLevelType w:val="hybridMultilevel"/>
    <w:tmpl w:val="A14415D8"/>
    <w:lvl w:ilvl="0" w:tplc="F4B66D18">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868035B"/>
    <w:multiLevelType w:val="hybridMultilevel"/>
    <w:tmpl w:val="CE7AA770"/>
    <w:lvl w:ilvl="0" w:tplc="7E4A469A">
      <w:start w:val="26"/>
      <w:numFmt w:val="decimal"/>
      <w:lvlText w:val="%1."/>
      <w:lvlJc w:val="left"/>
      <w:pPr>
        <w:tabs>
          <w:tab w:val="num" w:pos="360"/>
        </w:tabs>
        <w:ind w:left="360" w:hanging="360"/>
      </w:pPr>
      <w:rPr>
        <w:rFonts w:eastAsia="新細明體"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6F5E1C"/>
    <w:multiLevelType w:val="hybridMultilevel"/>
    <w:tmpl w:val="B524AE04"/>
    <w:lvl w:ilvl="0" w:tplc="FFFFFFFF">
      <w:start w:val="1"/>
      <w:numFmt w:val="taiwaneseCountingThousand"/>
      <w:lvlText w:val="%1、"/>
      <w:lvlJc w:val="left"/>
      <w:pPr>
        <w:tabs>
          <w:tab w:val="num" w:pos="720"/>
        </w:tabs>
        <w:ind w:left="720" w:hanging="720"/>
      </w:pPr>
      <w:rPr>
        <w:rFonts w:hint="eastAsia"/>
        <w:b w:val="0"/>
        <w:u w:val="none"/>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19C83BB9"/>
    <w:multiLevelType w:val="hybridMultilevel"/>
    <w:tmpl w:val="A6F0E03E"/>
    <w:lvl w:ilvl="0" w:tplc="18EA46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EF43D9"/>
    <w:multiLevelType w:val="hybridMultilevel"/>
    <w:tmpl w:val="748828EC"/>
    <w:lvl w:ilvl="0" w:tplc="910C1978">
      <w:start w:val="1"/>
      <w:numFmt w:val="decimal"/>
      <w:lvlText w:val="%1."/>
      <w:lvlJc w:val="left"/>
      <w:pPr>
        <w:tabs>
          <w:tab w:val="num" w:pos="1140"/>
        </w:tabs>
        <w:ind w:left="1140" w:hanging="66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20D70612"/>
    <w:multiLevelType w:val="hybridMultilevel"/>
    <w:tmpl w:val="2E8C00EE"/>
    <w:lvl w:ilvl="0" w:tplc="80CA28D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C1712A"/>
    <w:multiLevelType w:val="hybridMultilevel"/>
    <w:tmpl w:val="A690598E"/>
    <w:lvl w:ilvl="0" w:tplc="37BEE66E">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A31304"/>
    <w:multiLevelType w:val="hybridMultilevel"/>
    <w:tmpl w:val="E8162A92"/>
    <w:lvl w:ilvl="0" w:tplc="4770E99E">
      <w:start w:val="3"/>
      <w:numFmt w:val="decimal"/>
      <w:lvlText w:val="%1."/>
      <w:lvlJc w:val="left"/>
      <w:pPr>
        <w:tabs>
          <w:tab w:val="num" w:pos="420"/>
        </w:tabs>
        <w:ind w:left="420" w:hanging="4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FA2955"/>
    <w:multiLevelType w:val="hybridMultilevel"/>
    <w:tmpl w:val="F53A38A4"/>
    <w:lvl w:ilvl="0" w:tplc="63284FFC">
      <w:start w:val="4"/>
      <w:numFmt w:val="decimal"/>
      <w:lvlText w:val="%1."/>
      <w:lvlJc w:val="left"/>
      <w:pPr>
        <w:tabs>
          <w:tab w:val="num" w:pos="420"/>
        </w:tabs>
        <w:ind w:left="420" w:hanging="4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A04CBD"/>
    <w:multiLevelType w:val="hybridMultilevel"/>
    <w:tmpl w:val="47283BE8"/>
    <w:lvl w:ilvl="0" w:tplc="6A6E9994">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7A42773"/>
    <w:multiLevelType w:val="hybridMultilevel"/>
    <w:tmpl w:val="C8446CE4"/>
    <w:lvl w:ilvl="0" w:tplc="4C641A72">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B00B77"/>
    <w:multiLevelType w:val="hybridMultilevel"/>
    <w:tmpl w:val="CF2A3916"/>
    <w:lvl w:ilvl="0" w:tplc="1922738A">
      <w:start w:val="6"/>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5B3826"/>
    <w:multiLevelType w:val="hybridMultilevel"/>
    <w:tmpl w:val="B1CA2E62"/>
    <w:lvl w:ilvl="0" w:tplc="6A6E9994">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4987200"/>
    <w:multiLevelType w:val="multilevel"/>
    <w:tmpl w:val="853CB26E"/>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389" w:hanging="83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28" w15:restartNumberingAfterBreak="0">
    <w:nsid w:val="64F1494D"/>
    <w:multiLevelType w:val="hybridMultilevel"/>
    <w:tmpl w:val="9DE6FE48"/>
    <w:lvl w:ilvl="0" w:tplc="A822CA9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7F6BB2"/>
    <w:multiLevelType w:val="hybridMultilevel"/>
    <w:tmpl w:val="AE98ACD8"/>
    <w:lvl w:ilvl="0" w:tplc="275E8CCA">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39317C"/>
    <w:multiLevelType w:val="multilevel"/>
    <w:tmpl w:val="A0EE4A16"/>
    <w:lvl w:ilvl="0">
      <w:start w:val="1"/>
      <w:numFmt w:val="decimal"/>
      <w:lvlText w:val="%1."/>
      <w:lvlJc w:val="left"/>
      <w:pPr>
        <w:tabs>
          <w:tab w:val="num" w:pos="840"/>
        </w:tabs>
        <w:ind w:left="840" w:hanging="360"/>
      </w:pPr>
      <w:rPr>
        <w:rFonts w:hint="eastAsia"/>
      </w:rPr>
    </w:lvl>
    <w:lvl w:ilvl="1">
      <w:start w:val="1"/>
      <w:numFmt w:val="decimal"/>
      <w:isLgl/>
      <w:lvlText w:val="%1.%2."/>
      <w:lvlJc w:val="left"/>
      <w:pPr>
        <w:tabs>
          <w:tab w:val="num" w:pos="1260"/>
        </w:tabs>
        <w:ind w:left="1260" w:hanging="720"/>
      </w:pPr>
      <w:rPr>
        <w:rFonts w:hint="eastAsia"/>
        <w:sz w:val="26"/>
        <w:szCs w:val="26"/>
      </w:rPr>
    </w:lvl>
    <w:lvl w:ilvl="2">
      <w:start w:val="1"/>
      <w:numFmt w:val="decimal"/>
      <w:isLgl/>
      <w:lvlText w:val="%1.%2.%3."/>
      <w:lvlJc w:val="left"/>
      <w:pPr>
        <w:tabs>
          <w:tab w:val="num" w:pos="1204"/>
        </w:tabs>
        <w:ind w:left="1204" w:hanging="720"/>
      </w:pPr>
      <w:rPr>
        <w:rFonts w:hint="eastAsia"/>
      </w:rPr>
    </w:lvl>
    <w:lvl w:ilvl="3">
      <w:start w:val="1"/>
      <w:numFmt w:val="decimal"/>
      <w:isLgl/>
      <w:lvlText w:val="%1.%2.%3.%4."/>
      <w:lvlJc w:val="left"/>
      <w:pPr>
        <w:tabs>
          <w:tab w:val="num" w:pos="1566"/>
        </w:tabs>
        <w:ind w:left="1566" w:hanging="1080"/>
      </w:pPr>
      <w:rPr>
        <w:rFonts w:hint="eastAsia"/>
      </w:rPr>
    </w:lvl>
    <w:lvl w:ilvl="4">
      <w:start w:val="1"/>
      <w:numFmt w:val="decimal"/>
      <w:isLgl/>
      <w:lvlText w:val="%1.%2.%3.%4.%5."/>
      <w:lvlJc w:val="left"/>
      <w:pPr>
        <w:tabs>
          <w:tab w:val="num" w:pos="1928"/>
        </w:tabs>
        <w:ind w:left="1928" w:hanging="1440"/>
      </w:pPr>
      <w:rPr>
        <w:rFonts w:hint="eastAsia"/>
      </w:rPr>
    </w:lvl>
    <w:lvl w:ilvl="5">
      <w:start w:val="1"/>
      <w:numFmt w:val="decimal"/>
      <w:isLgl/>
      <w:lvlText w:val="%1.%2.%3.%4.%5.%6."/>
      <w:lvlJc w:val="left"/>
      <w:pPr>
        <w:tabs>
          <w:tab w:val="num" w:pos="1930"/>
        </w:tabs>
        <w:ind w:left="1930" w:hanging="1440"/>
      </w:pPr>
      <w:rPr>
        <w:rFonts w:hint="eastAsia"/>
      </w:rPr>
    </w:lvl>
    <w:lvl w:ilvl="6">
      <w:start w:val="1"/>
      <w:numFmt w:val="decimal"/>
      <w:isLgl/>
      <w:lvlText w:val="%1.%2.%3.%4.%5.%6.%7."/>
      <w:lvlJc w:val="left"/>
      <w:pPr>
        <w:tabs>
          <w:tab w:val="num" w:pos="2292"/>
        </w:tabs>
        <w:ind w:left="2292" w:hanging="1800"/>
      </w:pPr>
      <w:rPr>
        <w:rFonts w:hint="eastAsia"/>
      </w:rPr>
    </w:lvl>
    <w:lvl w:ilvl="7">
      <w:start w:val="1"/>
      <w:numFmt w:val="decimal"/>
      <w:isLgl/>
      <w:lvlText w:val="%1.%2.%3.%4.%5.%6.%7.%8."/>
      <w:lvlJc w:val="left"/>
      <w:pPr>
        <w:tabs>
          <w:tab w:val="num" w:pos="2654"/>
        </w:tabs>
        <w:ind w:left="2654" w:hanging="2160"/>
      </w:pPr>
      <w:rPr>
        <w:rFonts w:hint="eastAsia"/>
      </w:rPr>
    </w:lvl>
    <w:lvl w:ilvl="8">
      <w:start w:val="1"/>
      <w:numFmt w:val="decimal"/>
      <w:isLgl/>
      <w:lvlText w:val="%1.%2.%3.%4.%5.%6.%7.%8.%9."/>
      <w:lvlJc w:val="left"/>
      <w:pPr>
        <w:tabs>
          <w:tab w:val="num" w:pos="2656"/>
        </w:tabs>
        <w:ind w:left="2656" w:hanging="2160"/>
      </w:pPr>
      <w:rPr>
        <w:rFonts w:hint="eastAsia"/>
      </w:rPr>
    </w:lvl>
  </w:abstractNum>
  <w:abstractNum w:abstractNumId="31" w15:restartNumberingAfterBreak="0">
    <w:nsid w:val="6E812CB2"/>
    <w:multiLevelType w:val="hybridMultilevel"/>
    <w:tmpl w:val="8DA80082"/>
    <w:lvl w:ilvl="0" w:tplc="4E0C8E3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652B20"/>
    <w:multiLevelType w:val="hybridMultilevel"/>
    <w:tmpl w:val="A4C2511A"/>
    <w:lvl w:ilvl="0" w:tplc="A6907088">
      <w:start w:val="1"/>
      <w:numFmt w:val="taiwaneseCountingThousand"/>
      <w:lvlText w:val="%1、"/>
      <w:lvlJc w:val="left"/>
      <w:pPr>
        <w:tabs>
          <w:tab w:val="num" w:pos="1587"/>
        </w:tabs>
        <w:ind w:left="1587" w:hanging="1035"/>
      </w:pPr>
    </w:lvl>
    <w:lvl w:ilvl="1" w:tplc="DBAA83BE">
      <w:start w:val="1"/>
      <w:numFmt w:val="taiwaneseCountingThousand"/>
      <w:lvlText w:val="（%2）"/>
      <w:lvlJc w:val="left"/>
      <w:pPr>
        <w:tabs>
          <w:tab w:val="num" w:pos="2307"/>
        </w:tabs>
        <w:ind w:left="2307" w:hanging="1275"/>
      </w:pPr>
    </w:lvl>
    <w:lvl w:ilvl="2" w:tplc="0409001B">
      <w:start w:val="1"/>
      <w:numFmt w:val="lowerRoman"/>
      <w:lvlText w:val="%3."/>
      <w:lvlJc w:val="right"/>
      <w:pPr>
        <w:tabs>
          <w:tab w:val="num" w:pos="1992"/>
        </w:tabs>
        <w:ind w:left="1992"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CBF6C43"/>
    <w:multiLevelType w:val="hybridMultilevel"/>
    <w:tmpl w:val="17F8F73A"/>
    <w:lvl w:ilvl="0" w:tplc="BD8C3338">
      <w:start w:val="19"/>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1"/>
  </w:num>
  <w:num w:numId="16">
    <w:abstractNumId w:val="23"/>
  </w:num>
  <w:num w:numId="17">
    <w:abstractNumId w:val="26"/>
  </w:num>
  <w:num w:numId="18">
    <w:abstractNumId w:val="17"/>
  </w:num>
  <w:num w:numId="19">
    <w:abstractNumId w:val="19"/>
  </w:num>
  <w:num w:numId="20">
    <w:abstractNumId w:val="20"/>
  </w:num>
  <w:num w:numId="21">
    <w:abstractNumId w:val="13"/>
  </w:num>
  <w:num w:numId="22">
    <w:abstractNumId w:val="31"/>
  </w:num>
  <w:num w:numId="23">
    <w:abstractNumId w:val="18"/>
  </w:num>
  <w:num w:numId="24">
    <w:abstractNumId w:val="22"/>
  </w:num>
  <w:num w:numId="25">
    <w:abstractNumId w:val="29"/>
  </w:num>
  <w:num w:numId="26">
    <w:abstractNumId w:val="21"/>
  </w:num>
  <w:num w:numId="27">
    <w:abstractNumId w:val="25"/>
  </w:num>
  <w:num w:numId="28">
    <w:abstractNumId w:val="24"/>
  </w:num>
  <w:num w:numId="29">
    <w:abstractNumId w:val="12"/>
  </w:num>
  <w:num w:numId="30">
    <w:abstractNumId w:val="33"/>
  </w:num>
  <w:num w:numId="31">
    <w:abstractNumId w:val="15"/>
  </w:num>
  <w:num w:numId="32">
    <w:abstractNumId w:val="10"/>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88"/>
    <w:rsid w:val="00003D2B"/>
    <w:rsid w:val="00014D85"/>
    <w:rsid w:val="0025747F"/>
    <w:rsid w:val="00597F52"/>
    <w:rsid w:val="00723226"/>
    <w:rsid w:val="007D6688"/>
    <w:rsid w:val="00E022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60B5A64-A37C-43B0-B1AB-B0FF55BB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napToGrid w:val="0"/>
      <w:spacing w:beforeLines="50" w:before="50" w:afterLines="50" w:after="50" w:line="360" w:lineRule="auto"/>
      <w:jc w:val="both"/>
      <w:outlineLvl w:val="0"/>
    </w:pPr>
    <w:rPr>
      <w:rFonts w:eastAsia="標楷體"/>
      <w:b/>
      <w:snapToGrid w:val="0"/>
      <w:kern w:val="0"/>
      <w:sz w:val="32"/>
      <w:szCs w:val="32"/>
    </w:rPr>
  </w:style>
  <w:style w:type="paragraph" w:styleId="2">
    <w:name w:val="heading 2"/>
    <w:basedOn w:val="a"/>
    <w:next w:val="a"/>
    <w:autoRedefine/>
    <w:qFormat/>
    <w:pPr>
      <w:keepNext/>
      <w:adjustRightInd w:val="0"/>
      <w:snapToGrid w:val="0"/>
      <w:spacing w:beforeLines="50" w:before="180" w:afterLines="50" w:after="180" w:line="360" w:lineRule="auto"/>
      <w:jc w:val="both"/>
      <w:outlineLvl w:val="1"/>
    </w:pPr>
    <w:rPr>
      <w:rFonts w:eastAsia="標楷體"/>
      <w:b/>
      <w:snapToGrid w:val="0"/>
      <w:kern w:val="0"/>
      <w:sz w:val="28"/>
      <w:szCs w:val="28"/>
    </w:rPr>
  </w:style>
  <w:style w:type="paragraph" w:styleId="3">
    <w:name w:val="heading 3"/>
    <w:basedOn w:val="a"/>
    <w:next w:val="a"/>
    <w:autoRedefine/>
    <w:qFormat/>
    <w:pPr>
      <w:keepNext/>
      <w:adjustRightInd w:val="0"/>
      <w:snapToGrid w:val="0"/>
      <w:spacing w:beforeLines="50" w:before="50" w:afterLines="50" w:after="50" w:line="360" w:lineRule="auto"/>
      <w:jc w:val="both"/>
      <w:outlineLvl w:val="2"/>
    </w:pPr>
    <w:rPr>
      <w:rFonts w:ascii="Arial" w:eastAsia="標楷體" w:hAnsi="Arial"/>
      <w:bCs/>
      <w:snapToGrid w:val="0"/>
      <w:kern w:val="0"/>
      <w:sz w:val="26"/>
      <w:szCs w:val="26"/>
    </w:rPr>
  </w:style>
  <w:style w:type="paragraph" w:styleId="4">
    <w:name w:val="heading 4"/>
    <w:basedOn w:val="a"/>
    <w:next w:val="a"/>
    <w:autoRedefine/>
    <w:qFormat/>
    <w:pPr>
      <w:keepNext/>
      <w:adjustRightInd w:val="0"/>
      <w:snapToGrid w:val="0"/>
      <w:spacing w:beforeLines="50" w:before="180" w:afterLines="50" w:after="180" w:line="360" w:lineRule="auto"/>
      <w:jc w:val="both"/>
      <w:outlineLvl w:val="3"/>
    </w:pPr>
    <w:rPr>
      <w:rFonts w:ascii="Arial" w:eastAsia="標楷體" w:hAnsi="Arial"/>
      <w:b/>
      <w:snapToGrid w:val="0"/>
      <w:kern w:val="0"/>
    </w:rPr>
  </w:style>
  <w:style w:type="paragraph" w:styleId="5">
    <w:name w:val="heading 5"/>
    <w:basedOn w:val="a"/>
    <w:next w:val="a0"/>
    <w:qFormat/>
    <w:pPr>
      <w:keepNext/>
      <w:spacing w:before="120" w:after="120"/>
      <w:ind w:left="425"/>
      <w:outlineLvl w:val="4"/>
    </w:pPr>
    <w:rPr>
      <w:rFonts w:ascii="Arial" w:eastAsia="標楷體" w:hAnsi="Arial"/>
      <w:b/>
      <w:spacing w:val="30"/>
      <w:sz w:val="2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480"/>
    </w:pPr>
    <w:rPr>
      <w:spacing w:val="30"/>
      <w:szCs w:val="20"/>
    </w:rPr>
  </w:style>
  <w:style w:type="paragraph" w:styleId="a4">
    <w:name w:val="Block Text"/>
    <w:basedOn w:val="a"/>
    <w:pPr>
      <w:widowControl/>
      <w:ind w:left="113" w:right="113"/>
    </w:pPr>
  </w:style>
  <w:style w:type="paragraph" w:styleId="a5">
    <w:name w:val="Body Text Indent"/>
    <w:basedOn w:val="a"/>
    <w:pPr>
      <w:ind w:left="560" w:hangingChars="200" w:hanging="560"/>
    </w:pPr>
    <w:rPr>
      <w:sz w:val="28"/>
    </w:rPr>
  </w:style>
  <w:style w:type="paragraph" w:styleId="a6">
    <w:name w:val="footer"/>
    <w:basedOn w:val="a"/>
    <w:pPr>
      <w:tabs>
        <w:tab w:val="center" w:pos="4153"/>
        <w:tab w:val="right" w:pos="8306"/>
      </w:tabs>
      <w:snapToGrid w:val="0"/>
    </w:pPr>
    <w:rPr>
      <w:sz w:val="20"/>
      <w:szCs w:val="20"/>
    </w:rPr>
  </w:style>
  <w:style w:type="character" w:styleId="a7">
    <w:name w:val="page number"/>
    <w:basedOn w:val="a1"/>
  </w:style>
  <w:style w:type="paragraph" w:customStyle="1" w:styleId="30">
    <w:name w:val="內文3"/>
    <w:basedOn w:val="a"/>
    <w:pPr>
      <w:widowControl/>
      <w:tabs>
        <w:tab w:val="left" w:pos="567"/>
      </w:tabs>
      <w:spacing w:before="120" w:after="120"/>
      <w:ind w:left="1644" w:hanging="1077"/>
    </w:pPr>
    <w:rPr>
      <w:rFonts w:eastAsia="標楷體"/>
      <w:noProof/>
      <w:spacing w:val="30"/>
      <w:kern w:val="0"/>
      <w:sz w:val="22"/>
      <w:szCs w:val="20"/>
    </w:rPr>
  </w:style>
  <w:style w:type="paragraph" w:customStyle="1" w:styleId="20">
    <w:name w:val="內文2"/>
    <w:pPr>
      <w:spacing w:before="120" w:after="120"/>
    </w:pPr>
    <w:rPr>
      <w:rFonts w:eastAsia="標楷體"/>
      <w:noProof/>
      <w:spacing w:val="20"/>
    </w:rPr>
  </w:style>
  <w:style w:type="character" w:styleId="a8">
    <w:name w:val="Hyperlink"/>
    <w:basedOn w:val="a1"/>
    <w:rPr>
      <w:color w:val="0000FF"/>
      <w:u w:val="single"/>
    </w:rPr>
  </w:style>
  <w:style w:type="character" w:styleId="a9">
    <w:name w:val="Strong"/>
    <w:basedOn w:val="a1"/>
    <w:qFormat/>
    <w:rPr>
      <w:b/>
      <w:bCs/>
    </w:rPr>
  </w:style>
  <w:style w:type="paragraph" w:styleId="aa">
    <w:name w:val="Date"/>
    <w:basedOn w:val="a"/>
    <w:next w:val="a"/>
    <w:pPr>
      <w:jc w:val="right"/>
    </w:pPr>
  </w:style>
  <w:style w:type="paragraph" w:styleId="ab">
    <w:name w:val="Body Text"/>
    <w:basedOn w:val="a"/>
    <w:pPr>
      <w:adjustRightInd w:val="0"/>
      <w:snapToGrid w:val="0"/>
      <w:spacing w:beforeLines="50" w:before="50" w:after="120" w:line="360" w:lineRule="auto"/>
      <w:ind w:firstLineChars="200" w:firstLine="200"/>
      <w:jc w:val="both"/>
    </w:pPr>
    <w:rPr>
      <w:lang w:val="de-DE"/>
    </w:rPr>
  </w:style>
  <w:style w:type="character" w:customStyle="1" w:styleId="ac">
    <w:name w:val=" 字元 字元"/>
    <w:basedOn w:val="a1"/>
    <w:rPr>
      <w:rFonts w:eastAsia="新細明體"/>
      <w:kern w:val="2"/>
      <w:sz w:val="24"/>
      <w:szCs w:val="24"/>
      <w:lang w:val="de-DE" w:eastAsia="zh-TW" w:bidi="ar-SA"/>
    </w:rPr>
  </w:style>
  <w:style w:type="paragraph" w:styleId="21">
    <w:name w:val="Body Text 2"/>
    <w:basedOn w:val="a"/>
    <w:pPr>
      <w:spacing w:after="120" w:line="480" w:lineRule="auto"/>
    </w:pPr>
  </w:style>
  <w:style w:type="paragraph" w:styleId="ad">
    <w:name w:val="footnote text"/>
    <w:basedOn w:val="a"/>
    <w:semiHidden/>
    <w:pPr>
      <w:snapToGrid w:val="0"/>
    </w:pPr>
    <w:rPr>
      <w:sz w:val="20"/>
      <w:szCs w:val="20"/>
    </w:rPr>
  </w:style>
  <w:style w:type="character" w:styleId="ae">
    <w:name w:val="footnote reference"/>
    <w:basedOn w:val="a1"/>
    <w:semiHidden/>
    <w:rPr>
      <w:vertAlign w:val="superscript"/>
    </w:rPr>
  </w:style>
  <w:style w:type="paragraph" w:styleId="31">
    <w:name w:val="Body Text 3"/>
    <w:basedOn w:val="a"/>
    <w:pPr>
      <w:spacing w:after="120"/>
    </w:pPr>
    <w:rPr>
      <w:sz w:val="16"/>
      <w:szCs w:val="16"/>
    </w:rPr>
  </w:style>
  <w:style w:type="paragraph" w:styleId="af">
    <w:name w:val="Note Heading"/>
    <w:basedOn w:val="a"/>
    <w:next w:val="a"/>
    <w:pPr>
      <w:jc w:val="center"/>
    </w:pPr>
  </w:style>
  <w:style w:type="paragraph" w:styleId="af0">
    <w:name w:val="Plain Text"/>
    <w:basedOn w:val="a"/>
    <w:rPr>
      <w:rFonts w:ascii="細明體" w:eastAsia="細明體" w:hAnsi="Courier New"/>
      <w:szCs w:val="20"/>
    </w:rPr>
  </w:style>
  <w:style w:type="paragraph" w:styleId="af1">
    <w:name w:val="Closing"/>
    <w:basedOn w:val="a"/>
    <w:pPr>
      <w:ind w:leftChars="1800" w:left="100"/>
    </w:pPr>
    <w:rPr>
      <w:lang w:val="de-DE"/>
    </w:rPr>
  </w:style>
  <w:style w:type="paragraph" w:styleId="32">
    <w:name w:val="Body Text Indent 3"/>
    <w:basedOn w:val="a"/>
    <w:pPr>
      <w:spacing w:after="120"/>
      <w:ind w:leftChars="200" w:left="480"/>
    </w:pPr>
    <w:rPr>
      <w:sz w:val="16"/>
      <w:szCs w:val="16"/>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stext1">
    <w:name w:val="stext1"/>
    <w:basedOn w:val="a1"/>
    <w:rPr>
      <w:sz w:val="19"/>
      <w:szCs w:val="19"/>
    </w:rPr>
  </w:style>
  <w:style w:type="character" w:customStyle="1" w:styleId="stext">
    <w:name w:val="stext"/>
    <w:basedOn w:val="a1"/>
  </w:style>
  <w:style w:type="paragraph" w:customStyle="1" w:styleId="af2">
    <w:name w:val="本文 + 新細明體"/>
    <w:basedOn w:val="ab"/>
    <w:pPr>
      <w:spacing w:before="180"/>
      <w:ind w:firstLine="480"/>
    </w:pPr>
    <w:rPr>
      <w:rFonts w:ascii="新細明體" w:hAnsi="新細明體"/>
    </w:rPr>
  </w:style>
  <w:style w:type="character" w:customStyle="1" w:styleId="af3">
    <w:name w:val="本文 + 新細明體 字元"/>
    <w:basedOn w:val="ac"/>
    <w:rPr>
      <w:rFonts w:ascii="新細明體" w:eastAsia="新細明體" w:hAnsi="新細明體"/>
      <w:kern w:val="2"/>
      <w:sz w:val="24"/>
      <w:szCs w:val="24"/>
      <w:lang w:val="de-DE" w:eastAsia="zh-TW" w:bidi="ar-SA"/>
    </w:rPr>
  </w:style>
  <w:style w:type="paragraph" w:customStyle="1" w:styleId="22">
    <w:name w:val="本文 + 第一行:  2 字元"/>
    <w:aliases w:val="套用前:  0.5 列"/>
    <w:basedOn w:val="ab"/>
    <w:pPr>
      <w:spacing w:before="180"/>
      <w:ind w:firstLine="480"/>
    </w:pPr>
  </w:style>
  <w:style w:type="character" w:customStyle="1" w:styleId="text">
    <w:name w:val="text"/>
    <w:basedOn w:val="a1"/>
  </w:style>
  <w:style w:type="paragraph" w:styleId="10">
    <w:name w:val="toc 1"/>
    <w:basedOn w:val="a"/>
    <w:next w:val="a"/>
    <w:autoRedefine/>
    <w:semiHidden/>
  </w:style>
  <w:style w:type="paragraph" w:customStyle="1" w:styleId="af4">
    <w:name w:val="(一)中黑"/>
    <w:basedOn w:val="a"/>
    <w:autoRedefine/>
    <w:pPr>
      <w:snapToGrid w:val="0"/>
      <w:spacing w:line="300" w:lineRule="auto"/>
      <w:ind w:left="1800" w:hanging="1800"/>
      <w:jc w:val="both"/>
    </w:pPr>
    <w:rPr>
      <w:rFonts w:ascii="標楷體" w:eastAsia="標楷體" w:hAnsi="標楷體"/>
      <w:b/>
      <w:bCs/>
      <w:spacing w:val="4"/>
      <w:sz w:val="40"/>
      <w:szCs w:val="40"/>
    </w:rPr>
  </w:style>
  <w:style w:type="paragraph" w:customStyle="1" w:styleId="11">
    <w:name w:val="(1)"/>
    <w:basedOn w:val="a"/>
    <w:autoRedefine/>
    <w:pPr>
      <w:snapToGrid w:val="0"/>
      <w:spacing w:line="300" w:lineRule="auto"/>
      <w:ind w:left="2160" w:hanging="1194"/>
      <w:jc w:val="both"/>
    </w:pPr>
    <w:rPr>
      <w:rFonts w:ascii="標楷體" w:eastAsia="標楷體" w:hAnsi="標楷體"/>
      <w:bCs/>
      <w:sz w:val="40"/>
      <w:szCs w:val="40"/>
    </w:rPr>
  </w:style>
  <w:style w:type="paragraph" w:customStyle="1" w:styleId="12">
    <w:name w:val="1.(本文)"/>
    <w:basedOn w:val="a"/>
    <w:autoRedefine/>
    <w:pPr>
      <w:kinsoku w:val="0"/>
      <w:overflowPunct w:val="0"/>
      <w:autoSpaceDE w:val="0"/>
      <w:autoSpaceDN w:val="0"/>
      <w:adjustRightInd w:val="0"/>
      <w:snapToGrid w:val="0"/>
      <w:spacing w:line="300" w:lineRule="auto"/>
      <w:ind w:left="1680" w:hanging="1680"/>
      <w:jc w:val="both"/>
    </w:pPr>
    <w:rPr>
      <w:rFonts w:ascii="標楷體" w:eastAsia="標楷體" w:hAnsi="標楷體"/>
      <w:sz w:val="22"/>
      <w:szCs w:val="40"/>
    </w:rPr>
  </w:style>
  <w:style w:type="paragraph" w:styleId="af5">
    <w:name w:val="header"/>
    <w:basedOn w:val="a"/>
    <w:pPr>
      <w:tabs>
        <w:tab w:val="center" w:pos="4153"/>
        <w:tab w:val="right" w:pos="8306"/>
      </w:tabs>
      <w:snapToGrid w:val="0"/>
    </w:pPr>
    <w:rPr>
      <w:sz w:val="20"/>
      <w:szCs w:val="20"/>
    </w:rPr>
  </w:style>
  <w:style w:type="paragraph" w:styleId="23">
    <w:name w:val="toc 2"/>
    <w:basedOn w:val="a"/>
    <w:next w:val="a"/>
    <w:autoRedefine/>
    <w:semiHidden/>
    <w:pPr>
      <w:ind w:leftChars="200" w:left="480"/>
    </w:pPr>
  </w:style>
  <w:style w:type="paragraph" w:styleId="33">
    <w:name w:val="toc 3"/>
    <w:basedOn w:val="a"/>
    <w:next w:val="a"/>
    <w:autoRedefine/>
    <w:semiHidden/>
    <w:pPr>
      <w:ind w:leftChars="400" w:left="960"/>
    </w:pPr>
  </w:style>
  <w:style w:type="paragraph" w:styleId="40">
    <w:name w:val="toc 4"/>
    <w:basedOn w:val="a"/>
    <w:next w:val="a"/>
    <w:autoRedefine/>
    <w:semiHidden/>
    <w:pPr>
      <w:ind w:leftChars="600" w:left="1440"/>
    </w:pPr>
  </w:style>
  <w:style w:type="paragraph" w:styleId="50">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styleId="af6">
    <w:name w:val="table of figures"/>
    <w:basedOn w:val="a"/>
    <w:next w:val="a"/>
    <w:semiHidden/>
    <w:pPr>
      <w:ind w:leftChars="400" w:left="960" w:hangingChars="20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mazon.co.jp/exec/obidos/search-handle-url/index=books-jp&amp;field-author=%E6%BB%8B%2C%20%E9%AB%98%E6%A9%8B/249-9529278-9106767" TargetMode="External"/><Relationship Id="rId13" Type="http://schemas.openxmlformats.org/officeDocument/2006/relationships/hyperlink" Target="http://www.amazon.co.jp/exec/obidos/search-handle-url/index=books-jp&amp;field-author=%E6%96%89%E5%BF%97%2C%20%E6%9D%91%E7%94%B0/249-9529278-9106767" TargetMode="External"/><Relationship Id="rId18" Type="http://schemas.openxmlformats.org/officeDocument/2006/relationships/hyperlink" Target="http://www.amazon.co.jp/exec/obidos/search-handle-url/index=books-jp&amp;field-author=%E7%BE%A9%E4%B8%80%2C%20%E8%8A%9D%E6%B1%A0/249-9529278-9106767" TargetMode="External"/><Relationship Id="rId26" Type="http://schemas.openxmlformats.org/officeDocument/2006/relationships/hyperlink" Target="http://law.moj.gov.tw/Scripts/Query1B.asp?no=1S01100341" TargetMode="External"/><Relationship Id="rId39" Type="http://schemas.openxmlformats.org/officeDocument/2006/relationships/hyperlink" Target="http://law.moj.gov.tw/Scripts/Query1B.asp?no=1S011003414" TargetMode="External"/><Relationship Id="rId3" Type="http://schemas.openxmlformats.org/officeDocument/2006/relationships/settings" Target="settings.xml"/><Relationship Id="rId21" Type="http://schemas.openxmlformats.org/officeDocument/2006/relationships/hyperlink" Target="http://www.amazon.co.jp/exec/obidos/search-handle-url/index=books-jp&amp;field-author=%E5%8A%9B%2C%20%E5%AE%A4%E4%BA%95/249-9529278-9106767" TargetMode="External"/><Relationship Id="rId34" Type="http://schemas.openxmlformats.org/officeDocument/2006/relationships/hyperlink" Target="http://law.moj.gov.tw/Scripts/Query1B.asp?no=1S01100349" TargetMode="External"/><Relationship Id="rId42" Type="http://schemas.openxmlformats.org/officeDocument/2006/relationships/footer" Target="footer1.xml"/><Relationship Id="rId7" Type="http://schemas.openxmlformats.org/officeDocument/2006/relationships/hyperlink" Target="http://www.amazon.co.jp/exec/obidos/search-handle-url/index=books-jp&amp;field-author=%E5%85%89%E9%83%8E%2C%20%E5%B0%8F%E6%97%A9%E5%B7%9D/249-9529278-9106767" TargetMode="External"/><Relationship Id="rId12" Type="http://schemas.openxmlformats.org/officeDocument/2006/relationships/hyperlink" Target="http://www.amazon.co.jp/exec/obidos/search-handle-url/index=books-jp&amp;field-author=%E7%A7%80%E5%A4%AB%2C%20%E7%A6%8F%E4%BA%95/249-9529278-9106767" TargetMode="External"/><Relationship Id="rId17" Type="http://schemas.openxmlformats.org/officeDocument/2006/relationships/hyperlink" Target="http://www.amazon.co.jp/exec/obidos/search-handle-url/index=books-jp&amp;field-author=%E5%AE%8F%2C%20%E5%A1%A9%E9%87%8E/249-9529278-9106767" TargetMode="External"/><Relationship Id="rId25" Type="http://schemas.openxmlformats.org/officeDocument/2006/relationships/hyperlink" Target="http://law.moj.gov.tw/Scripts/newsdetail.asp?no=1S0110034" TargetMode="External"/><Relationship Id="rId33" Type="http://schemas.openxmlformats.org/officeDocument/2006/relationships/hyperlink" Target="http://law.moj.gov.tw/Scripts/Query1B.asp?no=1S01100348" TargetMode="External"/><Relationship Id="rId38" Type="http://schemas.openxmlformats.org/officeDocument/2006/relationships/hyperlink" Target="http://law.moj.gov.tw/Scripts/Query1B.asp?no=1S011003413" TargetMode="External"/><Relationship Id="rId2" Type="http://schemas.openxmlformats.org/officeDocument/2006/relationships/styles" Target="styles.xml"/><Relationship Id="rId16" Type="http://schemas.openxmlformats.org/officeDocument/2006/relationships/hyperlink" Target="http://www.amazon.co.jp/exec/obidos/search-handle-url/index=books-jp&amp;field-author=%E5%BC%98%E4%B9%8B%E4%BA%AE%2C%20%E6%9C%A8%E6%9D%91/249-9529278-9106767" TargetMode="External"/><Relationship Id="rId20" Type="http://schemas.openxmlformats.org/officeDocument/2006/relationships/hyperlink" Target="http://www.amazon.co.jp/exec/obidos/search-handle-url/index=books-jp&amp;field-author=%E6%BB%8B%2C%20%E9%AB%98%E6%A9%8B/249-9529278-9106767" TargetMode="External"/><Relationship Id="rId29" Type="http://schemas.openxmlformats.org/officeDocument/2006/relationships/hyperlink" Target="http://law.moj.gov.tw/Scripts/Query1B.asp?no=1S01100344" TargetMode="External"/><Relationship Id="rId41" Type="http://schemas.openxmlformats.org/officeDocument/2006/relationships/hyperlink" Target="http://law.moj.gov.tw/Scripts/Query1B.asp?no=1S011003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jp/exec/obidos/search-handle-url/index=books-jp&amp;field-author=%E4%B9%85%E8%B5%B7%2C%20%E5%B0%8F%E6%9E%97/249-9529278-9106767" TargetMode="External"/><Relationship Id="rId24" Type="http://schemas.openxmlformats.org/officeDocument/2006/relationships/hyperlink" Target="http://www.amazon.co.jp/exec/obidos/search-handle-url/index=books-jp&amp;field-author=%E6%B3%B0%E9%9A%86%2C%20%E9%98%BF%E9%83%A8/249-9529278-9106767" TargetMode="External"/><Relationship Id="rId32" Type="http://schemas.openxmlformats.org/officeDocument/2006/relationships/hyperlink" Target="http://law.moj.gov.tw/Scripts/Query1B.asp?no=1S01100347" TargetMode="External"/><Relationship Id="rId37" Type="http://schemas.openxmlformats.org/officeDocument/2006/relationships/hyperlink" Target="http://law.moj.gov.tw/Scripts/Query1B.asp?no=1S011003412" TargetMode="External"/><Relationship Id="rId40" Type="http://schemas.openxmlformats.org/officeDocument/2006/relationships/hyperlink" Target="http://law.moj.gov.tw/Scripts/Query1B.asp?no=1S01100341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azon.co.jp/exec/obidos/search-handle-url/index=books-jp&amp;field-author=%E9%9B%85%E8%A1%8C%2C%20%E8%97%A4%E5%B1%B1/249-9529278-9106767" TargetMode="External"/><Relationship Id="rId23" Type="http://schemas.openxmlformats.org/officeDocument/2006/relationships/hyperlink" Target="http://www.amazon.co.jp/exec/obidos/search-handle-url/index=books-jp&amp;field-author=%E7%BE%A9%E4%B8%80%2C%20%E8%8A%9D%E6%B1%A0/249-9529278-9106767" TargetMode="External"/><Relationship Id="rId28" Type="http://schemas.openxmlformats.org/officeDocument/2006/relationships/hyperlink" Target="http://law.moj.gov.tw/Scripts/Query1B.asp?no=1S01100343" TargetMode="External"/><Relationship Id="rId36" Type="http://schemas.openxmlformats.org/officeDocument/2006/relationships/hyperlink" Target="http://law.moj.gov.tw/Scripts/Query1B.asp?no=1S011003411" TargetMode="External"/><Relationship Id="rId10" Type="http://schemas.openxmlformats.org/officeDocument/2006/relationships/hyperlink" Target="http://www.amazon.co.jp/exec/obidos/search-handle-url/index=books-jp&amp;field-author=%E5%85%8B%E4%B9%9F%2C%20%E5%AE%87%E8%B3%80/249-9529278-9106767" TargetMode="External"/><Relationship Id="rId19" Type="http://schemas.openxmlformats.org/officeDocument/2006/relationships/hyperlink" Target="http://www.amazon.co.jp/exec/obidos/search-handle-url/index=books-jp&amp;field-author=%E5%8D%9A%E6%96%B9%2C%20%E5%8D%97/249-9529278-9106767" TargetMode="External"/><Relationship Id="rId31" Type="http://schemas.openxmlformats.org/officeDocument/2006/relationships/hyperlink" Target="http://law.moj.gov.tw/Scripts/Query1B.asp?no=1S0110034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jp/exec/obidos/search-handle-url/index=books-jp&amp;field-author=%E5%8D%9A%E4%B9%8B%2C%20%E6%A9%8B%E6%9C%AC/249-9529278-9106767" TargetMode="External"/><Relationship Id="rId14" Type="http://schemas.openxmlformats.org/officeDocument/2006/relationships/hyperlink" Target="http://www.amazon.co.jp/exec/obidos/search-handle-url/index=books-jp&amp;field-author=%E6%95%8F%E8%A3%95%2C%20%E8%B6%8A%E6%99%BA/249-9529278-9106767" TargetMode="External"/><Relationship Id="rId22" Type="http://schemas.openxmlformats.org/officeDocument/2006/relationships/hyperlink" Target="http://www.amazon.co.jp/exec/obidos/search-handle-url/index=books-jp&amp;field-author=%E6%B8%85%2C%20%E6%B5%9C%E5%B7%9D/249-9529278-9106767" TargetMode="External"/><Relationship Id="rId27" Type="http://schemas.openxmlformats.org/officeDocument/2006/relationships/hyperlink" Target="http://law.moj.gov.tw/Scripts/Query1B.asp?no=1S01100342" TargetMode="External"/><Relationship Id="rId30" Type="http://schemas.openxmlformats.org/officeDocument/2006/relationships/hyperlink" Target="http://law.moj.gov.tw/Scripts/Query1B.asp?no=1S01100345" TargetMode="External"/><Relationship Id="rId35" Type="http://schemas.openxmlformats.org/officeDocument/2006/relationships/hyperlink" Target="http://law.moj.gov.tw/Scripts/Query1B.asp?no=1S011003410"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beck2-gross.digibib.net/bib/bin/reference.asp?Y=300&amp;Z=Jura&amp;B=1985&amp;S=61&amp;I=63" TargetMode="External"/><Relationship Id="rId13" Type="http://schemas.openxmlformats.org/officeDocument/2006/relationships/hyperlink" Target="http://beck2-gross.digibib.net/bib/bin/reference.asp?Y=300&amp;Z=NJW&amp;B=1984&amp;S=2652" TargetMode="External"/><Relationship Id="rId3" Type="http://schemas.openxmlformats.org/officeDocument/2006/relationships/hyperlink" Target="http://beck2-gross.digibib.net/bib/bin/reference.asp?Y=300&amp;Z=DOeV&amp;B=1971&amp;S=397" TargetMode="External"/><Relationship Id="rId7" Type="http://schemas.openxmlformats.org/officeDocument/2006/relationships/hyperlink" Target="http://beck2-gross.digibib.net/bib/bin/reference.asp?Y=300&amp;Z=Jura&amp;B=1985&amp;S=61" TargetMode="External"/><Relationship Id="rId12" Type="http://schemas.openxmlformats.org/officeDocument/2006/relationships/hyperlink" Target="http://beck2-gross.digibib.net/bib/bin/reference.asp?Y=300&amp;Z=BayVBl&amp;B=2000&amp;S=594&amp;I=595" TargetMode="External"/><Relationship Id="rId2" Type="http://schemas.openxmlformats.org/officeDocument/2006/relationships/hyperlink" Target="http://beck2-gross.digibib.net/bib/bin/reference.asp?Y=300&amp;Z=NVwZ&amp;B=1993&amp;S=678&amp;I=681" TargetMode="External"/><Relationship Id="rId1" Type="http://schemas.openxmlformats.org/officeDocument/2006/relationships/hyperlink" Target="http://beck2-gross.digibib.net/bib/bin/reference.asp?Y=300&amp;Z=NVwZ&amp;B=1993&amp;S=678" TargetMode="External"/><Relationship Id="rId6" Type="http://schemas.openxmlformats.org/officeDocument/2006/relationships/hyperlink" Target="http://beck2-gross.digibib.net/bib/bin/reference.asp?Y=300&amp;Z=NVwZ&amp;B=2002&amp;S=984" TargetMode="External"/><Relationship Id="rId11" Type="http://schemas.openxmlformats.org/officeDocument/2006/relationships/hyperlink" Target="http://beck2-gross.digibib.net/bib/bin/reference.asp?Y=300&amp;Z=BayVBl&amp;B=2000&amp;S=594" TargetMode="External"/><Relationship Id="rId5" Type="http://schemas.openxmlformats.org/officeDocument/2006/relationships/hyperlink" Target="http://beck2-gross.digibib.net/bib/bin/reference.asp?Y=300&amp;Z=BVerwGE&amp;B=115&amp;S=373&amp;I=379" TargetMode="External"/><Relationship Id="rId10" Type="http://schemas.openxmlformats.org/officeDocument/2006/relationships/hyperlink" Target="http://beck2-gross.digibib.net/bib/bin/reference.asp?Y=300&amp;Z=NJW&amp;B=1979&amp;S=2382" TargetMode="External"/><Relationship Id="rId4" Type="http://schemas.openxmlformats.org/officeDocument/2006/relationships/hyperlink" Target="http://beck2-gross.digibib.net/bib/bin/reference.asp?Y=300&amp;Z=BVerwGE&amp;B=115&amp;S=373" TargetMode="External"/><Relationship Id="rId9" Type="http://schemas.openxmlformats.org/officeDocument/2006/relationships/hyperlink" Target="http://beck2-gross.digibib.net/bib/bin/reference.asp?Y=300&amp;Z=NJW&amp;B=1982&amp;S=113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17223</Words>
  <Characters>98172</Characters>
  <Application>Microsoft Office Word</Application>
  <DocSecurity>0</DocSecurity>
  <Lines>818</Lines>
  <Paragraphs>230</Paragraphs>
  <ScaleCrop>false</ScaleCrop>
  <Company>CCU</Company>
  <LinksUpToDate>false</LinksUpToDate>
  <CharactersWithSpaces>115165</CharactersWithSpaces>
  <SharedDoc>false</SharedDoc>
  <HLinks>
    <vt:vector size="630" baseType="variant">
      <vt:variant>
        <vt:i4>1376270</vt:i4>
      </vt:variant>
      <vt:variant>
        <vt:i4>447</vt:i4>
      </vt:variant>
      <vt:variant>
        <vt:i4>0</vt:i4>
      </vt:variant>
      <vt:variant>
        <vt:i4>5</vt:i4>
      </vt:variant>
      <vt:variant>
        <vt:lpwstr>http://law.moj.gov.tw/Scripts/Query1B.asp?no=1S011003416</vt:lpwstr>
      </vt:variant>
      <vt:variant>
        <vt:lpwstr/>
      </vt:variant>
      <vt:variant>
        <vt:i4>1441806</vt:i4>
      </vt:variant>
      <vt:variant>
        <vt:i4>444</vt:i4>
      </vt:variant>
      <vt:variant>
        <vt:i4>0</vt:i4>
      </vt:variant>
      <vt:variant>
        <vt:i4>5</vt:i4>
      </vt:variant>
      <vt:variant>
        <vt:lpwstr>http://law.moj.gov.tw/Scripts/Query1B.asp?no=1S011003415</vt:lpwstr>
      </vt:variant>
      <vt:variant>
        <vt:lpwstr/>
      </vt:variant>
      <vt:variant>
        <vt:i4>1507342</vt:i4>
      </vt:variant>
      <vt:variant>
        <vt:i4>441</vt:i4>
      </vt:variant>
      <vt:variant>
        <vt:i4>0</vt:i4>
      </vt:variant>
      <vt:variant>
        <vt:i4>5</vt:i4>
      </vt:variant>
      <vt:variant>
        <vt:lpwstr>http://law.moj.gov.tw/Scripts/Query1B.asp?no=1S011003414</vt:lpwstr>
      </vt:variant>
      <vt:variant>
        <vt:lpwstr/>
      </vt:variant>
      <vt:variant>
        <vt:i4>1048590</vt:i4>
      </vt:variant>
      <vt:variant>
        <vt:i4>438</vt:i4>
      </vt:variant>
      <vt:variant>
        <vt:i4>0</vt:i4>
      </vt:variant>
      <vt:variant>
        <vt:i4>5</vt:i4>
      </vt:variant>
      <vt:variant>
        <vt:lpwstr>http://law.moj.gov.tw/Scripts/Query1B.asp?no=1S011003413</vt:lpwstr>
      </vt:variant>
      <vt:variant>
        <vt:lpwstr/>
      </vt:variant>
      <vt:variant>
        <vt:i4>1114126</vt:i4>
      </vt:variant>
      <vt:variant>
        <vt:i4>435</vt:i4>
      </vt:variant>
      <vt:variant>
        <vt:i4>0</vt:i4>
      </vt:variant>
      <vt:variant>
        <vt:i4>5</vt:i4>
      </vt:variant>
      <vt:variant>
        <vt:lpwstr>http://law.moj.gov.tw/Scripts/Query1B.asp?no=1S011003412</vt:lpwstr>
      </vt:variant>
      <vt:variant>
        <vt:lpwstr/>
      </vt:variant>
      <vt:variant>
        <vt:i4>1179662</vt:i4>
      </vt:variant>
      <vt:variant>
        <vt:i4>432</vt:i4>
      </vt:variant>
      <vt:variant>
        <vt:i4>0</vt:i4>
      </vt:variant>
      <vt:variant>
        <vt:i4>5</vt:i4>
      </vt:variant>
      <vt:variant>
        <vt:lpwstr>http://law.moj.gov.tw/Scripts/Query1B.asp?no=1S011003411</vt:lpwstr>
      </vt:variant>
      <vt:variant>
        <vt:lpwstr/>
      </vt:variant>
      <vt:variant>
        <vt:i4>1245198</vt:i4>
      </vt:variant>
      <vt:variant>
        <vt:i4>429</vt:i4>
      </vt:variant>
      <vt:variant>
        <vt:i4>0</vt:i4>
      </vt:variant>
      <vt:variant>
        <vt:i4>5</vt:i4>
      </vt:variant>
      <vt:variant>
        <vt:lpwstr>http://law.moj.gov.tw/Scripts/Query1B.asp?no=1S011003410</vt:lpwstr>
      </vt:variant>
      <vt:variant>
        <vt:lpwstr/>
      </vt:variant>
      <vt:variant>
        <vt:i4>2293823</vt:i4>
      </vt:variant>
      <vt:variant>
        <vt:i4>426</vt:i4>
      </vt:variant>
      <vt:variant>
        <vt:i4>0</vt:i4>
      </vt:variant>
      <vt:variant>
        <vt:i4>5</vt:i4>
      </vt:variant>
      <vt:variant>
        <vt:lpwstr>http://law.moj.gov.tw/Scripts/Query1B.asp?no=1S01100349</vt:lpwstr>
      </vt:variant>
      <vt:variant>
        <vt:lpwstr/>
      </vt:variant>
      <vt:variant>
        <vt:i4>2293823</vt:i4>
      </vt:variant>
      <vt:variant>
        <vt:i4>423</vt:i4>
      </vt:variant>
      <vt:variant>
        <vt:i4>0</vt:i4>
      </vt:variant>
      <vt:variant>
        <vt:i4>5</vt:i4>
      </vt:variant>
      <vt:variant>
        <vt:lpwstr>http://law.moj.gov.tw/Scripts/Query1B.asp?no=1S01100348</vt:lpwstr>
      </vt:variant>
      <vt:variant>
        <vt:lpwstr/>
      </vt:variant>
      <vt:variant>
        <vt:i4>2293823</vt:i4>
      </vt:variant>
      <vt:variant>
        <vt:i4>420</vt:i4>
      </vt:variant>
      <vt:variant>
        <vt:i4>0</vt:i4>
      </vt:variant>
      <vt:variant>
        <vt:i4>5</vt:i4>
      </vt:variant>
      <vt:variant>
        <vt:lpwstr>http://law.moj.gov.tw/Scripts/Query1B.asp?no=1S01100347</vt:lpwstr>
      </vt:variant>
      <vt:variant>
        <vt:lpwstr/>
      </vt:variant>
      <vt:variant>
        <vt:i4>2293823</vt:i4>
      </vt:variant>
      <vt:variant>
        <vt:i4>417</vt:i4>
      </vt:variant>
      <vt:variant>
        <vt:i4>0</vt:i4>
      </vt:variant>
      <vt:variant>
        <vt:i4>5</vt:i4>
      </vt:variant>
      <vt:variant>
        <vt:lpwstr>http://law.moj.gov.tw/Scripts/Query1B.asp?no=1S01100346</vt:lpwstr>
      </vt:variant>
      <vt:variant>
        <vt:lpwstr/>
      </vt:variant>
      <vt:variant>
        <vt:i4>2293823</vt:i4>
      </vt:variant>
      <vt:variant>
        <vt:i4>414</vt:i4>
      </vt:variant>
      <vt:variant>
        <vt:i4>0</vt:i4>
      </vt:variant>
      <vt:variant>
        <vt:i4>5</vt:i4>
      </vt:variant>
      <vt:variant>
        <vt:lpwstr>http://law.moj.gov.tw/Scripts/Query1B.asp?no=1S01100345</vt:lpwstr>
      </vt:variant>
      <vt:variant>
        <vt:lpwstr/>
      </vt:variant>
      <vt:variant>
        <vt:i4>2293823</vt:i4>
      </vt:variant>
      <vt:variant>
        <vt:i4>411</vt:i4>
      </vt:variant>
      <vt:variant>
        <vt:i4>0</vt:i4>
      </vt:variant>
      <vt:variant>
        <vt:i4>5</vt:i4>
      </vt:variant>
      <vt:variant>
        <vt:lpwstr>http://law.moj.gov.tw/Scripts/Query1B.asp?no=1S01100344</vt:lpwstr>
      </vt:variant>
      <vt:variant>
        <vt:lpwstr/>
      </vt:variant>
      <vt:variant>
        <vt:i4>2293823</vt:i4>
      </vt:variant>
      <vt:variant>
        <vt:i4>408</vt:i4>
      </vt:variant>
      <vt:variant>
        <vt:i4>0</vt:i4>
      </vt:variant>
      <vt:variant>
        <vt:i4>5</vt:i4>
      </vt:variant>
      <vt:variant>
        <vt:lpwstr>http://law.moj.gov.tw/Scripts/Query1B.asp?no=1S01100343</vt:lpwstr>
      </vt:variant>
      <vt:variant>
        <vt:lpwstr/>
      </vt:variant>
      <vt:variant>
        <vt:i4>2293823</vt:i4>
      </vt:variant>
      <vt:variant>
        <vt:i4>405</vt:i4>
      </vt:variant>
      <vt:variant>
        <vt:i4>0</vt:i4>
      </vt:variant>
      <vt:variant>
        <vt:i4>5</vt:i4>
      </vt:variant>
      <vt:variant>
        <vt:lpwstr>http://law.moj.gov.tw/Scripts/Query1B.asp?no=1S01100342</vt:lpwstr>
      </vt:variant>
      <vt:variant>
        <vt:lpwstr/>
      </vt:variant>
      <vt:variant>
        <vt:i4>2293823</vt:i4>
      </vt:variant>
      <vt:variant>
        <vt:i4>402</vt:i4>
      </vt:variant>
      <vt:variant>
        <vt:i4>0</vt:i4>
      </vt:variant>
      <vt:variant>
        <vt:i4>5</vt:i4>
      </vt:variant>
      <vt:variant>
        <vt:lpwstr>http://law.moj.gov.tw/Scripts/Query1B.asp?no=1S01100341</vt:lpwstr>
      </vt:variant>
      <vt:variant>
        <vt:lpwstr/>
      </vt:variant>
      <vt:variant>
        <vt:i4>5308510</vt:i4>
      </vt:variant>
      <vt:variant>
        <vt:i4>399</vt:i4>
      </vt:variant>
      <vt:variant>
        <vt:i4>0</vt:i4>
      </vt:variant>
      <vt:variant>
        <vt:i4>5</vt:i4>
      </vt:variant>
      <vt:variant>
        <vt:lpwstr>http://law.moj.gov.tw/Scripts/newsdetail.asp?no=1S0110034</vt:lpwstr>
      </vt:variant>
      <vt:variant>
        <vt:lpwstr/>
      </vt:variant>
      <vt:variant>
        <vt:i4>2228277</vt:i4>
      </vt:variant>
      <vt:variant>
        <vt:i4>396</vt:i4>
      </vt:variant>
      <vt:variant>
        <vt:i4>0</vt:i4>
      </vt:variant>
      <vt:variant>
        <vt:i4>5</vt:i4>
      </vt:variant>
      <vt:variant>
        <vt:lpwstr>http://www.amazon.co.jp/exec/obidos/search-handle-url/index=books-jp&amp;field-author=%E6%B3%B0%E9%9A%86%2C %E9%98%BF%E9%83%A8/249-9529278-9106767</vt:lpwstr>
      </vt:variant>
      <vt:variant>
        <vt:lpwstr/>
      </vt:variant>
      <vt:variant>
        <vt:i4>7864420</vt:i4>
      </vt:variant>
      <vt:variant>
        <vt:i4>393</vt:i4>
      </vt:variant>
      <vt:variant>
        <vt:i4>0</vt:i4>
      </vt:variant>
      <vt:variant>
        <vt:i4>5</vt:i4>
      </vt:variant>
      <vt:variant>
        <vt:lpwstr>http://www.amazon.co.jp/exec/obidos/search-handle-url/index=books-jp&amp;field-author=%E7%BE%A9%E4%B8%80%2C %E8%8A%9D%E6%B1%A0/249-9529278-9106767</vt:lpwstr>
      </vt:variant>
      <vt:variant>
        <vt:lpwstr/>
      </vt:variant>
      <vt:variant>
        <vt:i4>5832787</vt:i4>
      </vt:variant>
      <vt:variant>
        <vt:i4>390</vt:i4>
      </vt:variant>
      <vt:variant>
        <vt:i4>0</vt:i4>
      </vt:variant>
      <vt:variant>
        <vt:i4>5</vt:i4>
      </vt:variant>
      <vt:variant>
        <vt:lpwstr>http://www.amazon.co.jp/exec/obidos/search-handle-url/index=books-jp&amp;field-author=%E6%B8%85%2C %E6%B5%9C%E5%B7%9D/249-9529278-9106767</vt:lpwstr>
      </vt:variant>
      <vt:variant>
        <vt:lpwstr/>
      </vt:variant>
      <vt:variant>
        <vt:i4>5</vt:i4>
      </vt:variant>
      <vt:variant>
        <vt:i4>387</vt:i4>
      </vt:variant>
      <vt:variant>
        <vt:i4>0</vt:i4>
      </vt:variant>
      <vt:variant>
        <vt:i4>5</vt:i4>
      </vt:variant>
      <vt:variant>
        <vt:lpwstr>http://www.amazon.co.jp/exec/obidos/search-handle-url/index=books-jp&amp;field-author=%E5%8A%9B%2C %E5%AE%A4%E4%BA%95/249-9529278-9106767</vt:lpwstr>
      </vt:variant>
      <vt:variant>
        <vt:lpwstr/>
      </vt:variant>
      <vt:variant>
        <vt:i4>5963861</vt:i4>
      </vt:variant>
      <vt:variant>
        <vt:i4>384</vt:i4>
      </vt:variant>
      <vt:variant>
        <vt:i4>0</vt:i4>
      </vt:variant>
      <vt:variant>
        <vt:i4>5</vt:i4>
      </vt:variant>
      <vt:variant>
        <vt:lpwstr>http://www.amazon.co.jp/exec/obidos/search-handle-url/index=books-jp&amp;field-author=%E6%BB%8B%2C %E9%AB%98%E6%A9%8B/249-9529278-9106767</vt:lpwstr>
      </vt:variant>
      <vt:variant>
        <vt:lpwstr/>
      </vt:variant>
      <vt:variant>
        <vt:i4>131163</vt:i4>
      </vt:variant>
      <vt:variant>
        <vt:i4>381</vt:i4>
      </vt:variant>
      <vt:variant>
        <vt:i4>0</vt:i4>
      </vt:variant>
      <vt:variant>
        <vt:i4>5</vt:i4>
      </vt:variant>
      <vt:variant>
        <vt:lpwstr>http://www.amazon.co.jp/exec/obidos/search-handle-url/index=books-jp&amp;field-author=%E5%8D%9A%E6%96%B9%2C %E5%8D%97/249-9529278-9106767</vt:lpwstr>
      </vt:variant>
      <vt:variant>
        <vt:lpwstr/>
      </vt:variant>
      <vt:variant>
        <vt:i4>7864420</vt:i4>
      </vt:variant>
      <vt:variant>
        <vt:i4>378</vt:i4>
      </vt:variant>
      <vt:variant>
        <vt:i4>0</vt:i4>
      </vt:variant>
      <vt:variant>
        <vt:i4>5</vt:i4>
      </vt:variant>
      <vt:variant>
        <vt:lpwstr>http://www.amazon.co.jp/exec/obidos/search-handle-url/index=books-jp&amp;field-author=%E7%BE%A9%E4%B8%80%2C %E8%8A%9D%E6%B1%A0/249-9529278-9106767</vt:lpwstr>
      </vt:variant>
      <vt:variant>
        <vt:lpwstr/>
      </vt:variant>
      <vt:variant>
        <vt:i4>6225931</vt:i4>
      </vt:variant>
      <vt:variant>
        <vt:i4>375</vt:i4>
      </vt:variant>
      <vt:variant>
        <vt:i4>0</vt:i4>
      </vt:variant>
      <vt:variant>
        <vt:i4>5</vt:i4>
      </vt:variant>
      <vt:variant>
        <vt:lpwstr>http://www.amazon.co.jp/exec/obidos/search-handle-url/index=books-jp&amp;field-author=%E5%AE%8F%2C %E5%A1%A9%E9%87%8E/249-9529278-9106767</vt:lpwstr>
      </vt:variant>
      <vt:variant>
        <vt:lpwstr/>
      </vt:variant>
      <vt:variant>
        <vt:i4>2359340</vt:i4>
      </vt:variant>
      <vt:variant>
        <vt:i4>372</vt:i4>
      </vt:variant>
      <vt:variant>
        <vt:i4>0</vt:i4>
      </vt:variant>
      <vt:variant>
        <vt:i4>5</vt:i4>
      </vt:variant>
      <vt:variant>
        <vt:lpwstr>http://www.amazon.co.jp/exec/obidos/search-handle-url/index=books-jp&amp;field-author=%E5%BC%98%E4%B9%8B%E4%BA%AE%2C %E6%9C%A8%E6%9D%91/249-9529278-9106767</vt:lpwstr>
      </vt:variant>
      <vt:variant>
        <vt:lpwstr/>
      </vt:variant>
      <vt:variant>
        <vt:i4>7733350</vt:i4>
      </vt:variant>
      <vt:variant>
        <vt:i4>369</vt:i4>
      </vt:variant>
      <vt:variant>
        <vt:i4>0</vt:i4>
      </vt:variant>
      <vt:variant>
        <vt:i4>5</vt:i4>
      </vt:variant>
      <vt:variant>
        <vt:lpwstr>http://www.amazon.co.jp/exec/obidos/search-handle-url/index=books-jp&amp;field-author=%E9%9B%85%E8%A1%8C%2C %E8%97%A4%E5%B1%B1/249-9529278-9106767</vt:lpwstr>
      </vt:variant>
      <vt:variant>
        <vt:lpwstr/>
      </vt:variant>
      <vt:variant>
        <vt:i4>2555967</vt:i4>
      </vt:variant>
      <vt:variant>
        <vt:i4>366</vt:i4>
      </vt:variant>
      <vt:variant>
        <vt:i4>0</vt:i4>
      </vt:variant>
      <vt:variant>
        <vt:i4>5</vt:i4>
      </vt:variant>
      <vt:variant>
        <vt:lpwstr>http://www.amazon.co.jp/exec/obidos/search-handle-url/index=books-jp&amp;field-author=%E6%95%8F%E8%A3%95%2C %E8%B6%8A%E6%99%BA/249-9529278-9106767</vt:lpwstr>
      </vt:variant>
      <vt:variant>
        <vt:lpwstr/>
      </vt:variant>
      <vt:variant>
        <vt:i4>2818109</vt:i4>
      </vt:variant>
      <vt:variant>
        <vt:i4>363</vt:i4>
      </vt:variant>
      <vt:variant>
        <vt:i4>0</vt:i4>
      </vt:variant>
      <vt:variant>
        <vt:i4>5</vt:i4>
      </vt:variant>
      <vt:variant>
        <vt:lpwstr>http://www.amazon.co.jp/exec/obidos/search-handle-url/index=books-jp&amp;field-author=%E6%96%89%E5%BF%97%2C %E6%9D%91%E7%94%B0/249-9529278-9106767</vt:lpwstr>
      </vt:variant>
      <vt:variant>
        <vt:lpwstr/>
      </vt:variant>
      <vt:variant>
        <vt:i4>7471207</vt:i4>
      </vt:variant>
      <vt:variant>
        <vt:i4>360</vt:i4>
      </vt:variant>
      <vt:variant>
        <vt:i4>0</vt:i4>
      </vt:variant>
      <vt:variant>
        <vt:i4>5</vt:i4>
      </vt:variant>
      <vt:variant>
        <vt:lpwstr>http://www.amazon.co.jp/exec/obidos/search-handle-url/index=books-jp&amp;field-author=%E7%A7%80%E5%A4%AB%2C %E7%A6%8F%E4%BA%95/249-9529278-9106767</vt:lpwstr>
      </vt:variant>
      <vt:variant>
        <vt:lpwstr/>
      </vt:variant>
      <vt:variant>
        <vt:i4>7995493</vt:i4>
      </vt:variant>
      <vt:variant>
        <vt:i4>357</vt:i4>
      </vt:variant>
      <vt:variant>
        <vt:i4>0</vt:i4>
      </vt:variant>
      <vt:variant>
        <vt:i4>5</vt:i4>
      </vt:variant>
      <vt:variant>
        <vt:lpwstr>http://www.amazon.co.jp/exec/obidos/search-handle-url/index=books-jp&amp;field-author=%E4%B9%85%E8%B5%B7%2C %E5%B0%8F%E6%9E%97/249-9529278-9106767</vt:lpwstr>
      </vt:variant>
      <vt:variant>
        <vt:lpwstr/>
      </vt:variant>
      <vt:variant>
        <vt:i4>2883643</vt:i4>
      </vt:variant>
      <vt:variant>
        <vt:i4>354</vt:i4>
      </vt:variant>
      <vt:variant>
        <vt:i4>0</vt:i4>
      </vt:variant>
      <vt:variant>
        <vt:i4>5</vt:i4>
      </vt:variant>
      <vt:variant>
        <vt:lpwstr>http://www.amazon.co.jp/exec/obidos/search-handle-url/index=books-jp&amp;field-author=%E5%85%8B%E4%B9%9F%2C %E5%AE%87%E8%B3%80/249-9529278-9106767</vt:lpwstr>
      </vt:variant>
      <vt:variant>
        <vt:lpwstr/>
      </vt:variant>
      <vt:variant>
        <vt:i4>2228326</vt:i4>
      </vt:variant>
      <vt:variant>
        <vt:i4>351</vt:i4>
      </vt:variant>
      <vt:variant>
        <vt:i4>0</vt:i4>
      </vt:variant>
      <vt:variant>
        <vt:i4>5</vt:i4>
      </vt:variant>
      <vt:variant>
        <vt:lpwstr>http://www.amazon.co.jp/exec/obidos/search-handle-url/index=books-jp&amp;field-author=%E5%8D%9A%E4%B9%8B%2C %E6%A9%8B%E6%9C%AC/249-9529278-9106767</vt:lpwstr>
      </vt:variant>
      <vt:variant>
        <vt:lpwstr/>
      </vt:variant>
      <vt:variant>
        <vt:i4>5963861</vt:i4>
      </vt:variant>
      <vt:variant>
        <vt:i4>348</vt:i4>
      </vt:variant>
      <vt:variant>
        <vt:i4>0</vt:i4>
      </vt:variant>
      <vt:variant>
        <vt:i4>5</vt:i4>
      </vt:variant>
      <vt:variant>
        <vt:lpwstr>http://www.amazon.co.jp/exec/obidos/search-handle-url/index=books-jp&amp;field-author=%E6%BB%8B%2C %E9%AB%98%E6%A9%8B/249-9529278-9106767</vt:lpwstr>
      </vt:variant>
      <vt:variant>
        <vt:lpwstr/>
      </vt:variant>
      <vt:variant>
        <vt:i4>2949234</vt:i4>
      </vt:variant>
      <vt:variant>
        <vt:i4>345</vt:i4>
      </vt:variant>
      <vt:variant>
        <vt:i4>0</vt:i4>
      </vt:variant>
      <vt:variant>
        <vt:i4>5</vt:i4>
      </vt:variant>
      <vt:variant>
        <vt:lpwstr>http://www.amazon.co.jp/exec/obidos/search-handle-url/index=books-jp&amp;field-author=%E5%85%89%E9%83%8E%2C %E5%B0%8F%E6%97%A9%E5%B7%9D/249-9529278-9106767</vt:lpwstr>
      </vt:variant>
      <vt:variant>
        <vt:lpwstr/>
      </vt:variant>
      <vt:variant>
        <vt:i4>1900600</vt:i4>
      </vt:variant>
      <vt:variant>
        <vt:i4>338</vt:i4>
      </vt:variant>
      <vt:variant>
        <vt:i4>0</vt:i4>
      </vt:variant>
      <vt:variant>
        <vt:i4>5</vt:i4>
      </vt:variant>
      <vt:variant>
        <vt:lpwstr/>
      </vt:variant>
      <vt:variant>
        <vt:lpwstr>_Toc121212981</vt:lpwstr>
      </vt:variant>
      <vt:variant>
        <vt:i4>1900600</vt:i4>
      </vt:variant>
      <vt:variant>
        <vt:i4>332</vt:i4>
      </vt:variant>
      <vt:variant>
        <vt:i4>0</vt:i4>
      </vt:variant>
      <vt:variant>
        <vt:i4>5</vt:i4>
      </vt:variant>
      <vt:variant>
        <vt:lpwstr/>
      </vt:variant>
      <vt:variant>
        <vt:lpwstr>_Toc121212980</vt:lpwstr>
      </vt:variant>
      <vt:variant>
        <vt:i4>1179704</vt:i4>
      </vt:variant>
      <vt:variant>
        <vt:i4>326</vt:i4>
      </vt:variant>
      <vt:variant>
        <vt:i4>0</vt:i4>
      </vt:variant>
      <vt:variant>
        <vt:i4>5</vt:i4>
      </vt:variant>
      <vt:variant>
        <vt:lpwstr/>
      </vt:variant>
      <vt:variant>
        <vt:lpwstr>_Toc121212979</vt:lpwstr>
      </vt:variant>
      <vt:variant>
        <vt:i4>1179704</vt:i4>
      </vt:variant>
      <vt:variant>
        <vt:i4>320</vt:i4>
      </vt:variant>
      <vt:variant>
        <vt:i4>0</vt:i4>
      </vt:variant>
      <vt:variant>
        <vt:i4>5</vt:i4>
      </vt:variant>
      <vt:variant>
        <vt:lpwstr/>
      </vt:variant>
      <vt:variant>
        <vt:lpwstr>_Toc121212978</vt:lpwstr>
      </vt:variant>
      <vt:variant>
        <vt:i4>1179704</vt:i4>
      </vt:variant>
      <vt:variant>
        <vt:i4>314</vt:i4>
      </vt:variant>
      <vt:variant>
        <vt:i4>0</vt:i4>
      </vt:variant>
      <vt:variant>
        <vt:i4>5</vt:i4>
      </vt:variant>
      <vt:variant>
        <vt:lpwstr/>
      </vt:variant>
      <vt:variant>
        <vt:lpwstr>_Toc121212977</vt:lpwstr>
      </vt:variant>
      <vt:variant>
        <vt:i4>1179704</vt:i4>
      </vt:variant>
      <vt:variant>
        <vt:i4>308</vt:i4>
      </vt:variant>
      <vt:variant>
        <vt:i4>0</vt:i4>
      </vt:variant>
      <vt:variant>
        <vt:i4>5</vt:i4>
      </vt:variant>
      <vt:variant>
        <vt:lpwstr/>
      </vt:variant>
      <vt:variant>
        <vt:lpwstr>_Toc121212976</vt:lpwstr>
      </vt:variant>
      <vt:variant>
        <vt:i4>1179704</vt:i4>
      </vt:variant>
      <vt:variant>
        <vt:i4>302</vt:i4>
      </vt:variant>
      <vt:variant>
        <vt:i4>0</vt:i4>
      </vt:variant>
      <vt:variant>
        <vt:i4>5</vt:i4>
      </vt:variant>
      <vt:variant>
        <vt:lpwstr/>
      </vt:variant>
      <vt:variant>
        <vt:lpwstr>_Toc121212975</vt:lpwstr>
      </vt:variant>
      <vt:variant>
        <vt:i4>1179704</vt:i4>
      </vt:variant>
      <vt:variant>
        <vt:i4>296</vt:i4>
      </vt:variant>
      <vt:variant>
        <vt:i4>0</vt:i4>
      </vt:variant>
      <vt:variant>
        <vt:i4>5</vt:i4>
      </vt:variant>
      <vt:variant>
        <vt:lpwstr/>
      </vt:variant>
      <vt:variant>
        <vt:lpwstr>_Toc121212974</vt:lpwstr>
      </vt:variant>
      <vt:variant>
        <vt:i4>1179704</vt:i4>
      </vt:variant>
      <vt:variant>
        <vt:i4>290</vt:i4>
      </vt:variant>
      <vt:variant>
        <vt:i4>0</vt:i4>
      </vt:variant>
      <vt:variant>
        <vt:i4>5</vt:i4>
      </vt:variant>
      <vt:variant>
        <vt:lpwstr/>
      </vt:variant>
      <vt:variant>
        <vt:lpwstr>_Toc121212973</vt:lpwstr>
      </vt:variant>
      <vt:variant>
        <vt:i4>1179704</vt:i4>
      </vt:variant>
      <vt:variant>
        <vt:i4>284</vt:i4>
      </vt:variant>
      <vt:variant>
        <vt:i4>0</vt:i4>
      </vt:variant>
      <vt:variant>
        <vt:i4>5</vt:i4>
      </vt:variant>
      <vt:variant>
        <vt:lpwstr/>
      </vt:variant>
      <vt:variant>
        <vt:lpwstr>_Toc121212972</vt:lpwstr>
      </vt:variant>
      <vt:variant>
        <vt:i4>1179704</vt:i4>
      </vt:variant>
      <vt:variant>
        <vt:i4>278</vt:i4>
      </vt:variant>
      <vt:variant>
        <vt:i4>0</vt:i4>
      </vt:variant>
      <vt:variant>
        <vt:i4>5</vt:i4>
      </vt:variant>
      <vt:variant>
        <vt:lpwstr/>
      </vt:variant>
      <vt:variant>
        <vt:lpwstr>_Toc121212971</vt:lpwstr>
      </vt:variant>
      <vt:variant>
        <vt:i4>1179704</vt:i4>
      </vt:variant>
      <vt:variant>
        <vt:i4>272</vt:i4>
      </vt:variant>
      <vt:variant>
        <vt:i4>0</vt:i4>
      </vt:variant>
      <vt:variant>
        <vt:i4>5</vt:i4>
      </vt:variant>
      <vt:variant>
        <vt:lpwstr/>
      </vt:variant>
      <vt:variant>
        <vt:lpwstr>_Toc121212970</vt:lpwstr>
      </vt:variant>
      <vt:variant>
        <vt:i4>1245240</vt:i4>
      </vt:variant>
      <vt:variant>
        <vt:i4>266</vt:i4>
      </vt:variant>
      <vt:variant>
        <vt:i4>0</vt:i4>
      </vt:variant>
      <vt:variant>
        <vt:i4>5</vt:i4>
      </vt:variant>
      <vt:variant>
        <vt:lpwstr/>
      </vt:variant>
      <vt:variant>
        <vt:lpwstr>_Toc121212969</vt:lpwstr>
      </vt:variant>
      <vt:variant>
        <vt:i4>1245240</vt:i4>
      </vt:variant>
      <vt:variant>
        <vt:i4>260</vt:i4>
      </vt:variant>
      <vt:variant>
        <vt:i4>0</vt:i4>
      </vt:variant>
      <vt:variant>
        <vt:i4>5</vt:i4>
      </vt:variant>
      <vt:variant>
        <vt:lpwstr/>
      </vt:variant>
      <vt:variant>
        <vt:lpwstr>_Toc121212968</vt:lpwstr>
      </vt:variant>
      <vt:variant>
        <vt:i4>1245240</vt:i4>
      </vt:variant>
      <vt:variant>
        <vt:i4>254</vt:i4>
      </vt:variant>
      <vt:variant>
        <vt:i4>0</vt:i4>
      </vt:variant>
      <vt:variant>
        <vt:i4>5</vt:i4>
      </vt:variant>
      <vt:variant>
        <vt:lpwstr/>
      </vt:variant>
      <vt:variant>
        <vt:lpwstr>_Toc121212967</vt:lpwstr>
      </vt:variant>
      <vt:variant>
        <vt:i4>1245240</vt:i4>
      </vt:variant>
      <vt:variant>
        <vt:i4>248</vt:i4>
      </vt:variant>
      <vt:variant>
        <vt:i4>0</vt:i4>
      </vt:variant>
      <vt:variant>
        <vt:i4>5</vt:i4>
      </vt:variant>
      <vt:variant>
        <vt:lpwstr/>
      </vt:variant>
      <vt:variant>
        <vt:lpwstr>_Toc121212966</vt:lpwstr>
      </vt:variant>
      <vt:variant>
        <vt:i4>1245240</vt:i4>
      </vt:variant>
      <vt:variant>
        <vt:i4>242</vt:i4>
      </vt:variant>
      <vt:variant>
        <vt:i4>0</vt:i4>
      </vt:variant>
      <vt:variant>
        <vt:i4>5</vt:i4>
      </vt:variant>
      <vt:variant>
        <vt:lpwstr/>
      </vt:variant>
      <vt:variant>
        <vt:lpwstr>_Toc121212965</vt:lpwstr>
      </vt:variant>
      <vt:variant>
        <vt:i4>1245240</vt:i4>
      </vt:variant>
      <vt:variant>
        <vt:i4>236</vt:i4>
      </vt:variant>
      <vt:variant>
        <vt:i4>0</vt:i4>
      </vt:variant>
      <vt:variant>
        <vt:i4>5</vt:i4>
      </vt:variant>
      <vt:variant>
        <vt:lpwstr/>
      </vt:variant>
      <vt:variant>
        <vt:lpwstr>_Toc121212964</vt:lpwstr>
      </vt:variant>
      <vt:variant>
        <vt:i4>1245240</vt:i4>
      </vt:variant>
      <vt:variant>
        <vt:i4>230</vt:i4>
      </vt:variant>
      <vt:variant>
        <vt:i4>0</vt:i4>
      </vt:variant>
      <vt:variant>
        <vt:i4>5</vt:i4>
      </vt:variant>
      <vt:variant>
        <vt:lpwstr/>
      </vt:variant>
      <vt:variant>
        <vt:lpwstr>_Toc121212963</vt:lpwstr>
      </vt:variant>
      <vt:variant>
        <vt:i4>1245240</vt:i4>
      </vt:variant>
      <vt:variant>
        <vt:i4>224</vt:i4>
      </vt:variant>
      <vt:variant>
        <vt:i4>0</vt:i4>
      </vt:variant>
      <vt:variant>
        <vt:i4>5</vt:i4>
      </vt:variant>
      <vt:variant>
        <vt:lpwstr/>
      </vt:variant>
      <vt:variant>
        <vt:lpwstr>_Toc121212962</vt:lpwstr>
      </vt:variant>
      <vt:variant>
        <vt:i4>1245240</vt:i4>
      </vt:variant>
      <vt:variant>
        <vt:i4>218</vt:i4>
      </vt:variant>
      <vt:variant>
        <vt:i4>0</vt:i4>
      </vt:variant>
      <vt:variant>
        <vt:i4>5</vt:i4>
      </vt:variant>
      <vt:variant>
        <vt:lpwstr/>
      </vt:variant>
      <vt:variant>
        <vt:lpwstr>_Toc121212961</vt:lpwstr>
      </vt:variant>
      <vt:variant>
        <vt:i4>1245240</vt:i4>
      </vt:variant>
      <vt:variant>
        <vt:i4>212</vt:i4>
      </vt:variant>
      <vt:variant>
        <vt:i4>0</vt:i4>
      </vt:variant>
      <vt:variant>
        <vt:i4>5</vt:i4>
      </vt:variant>
      <vt:variant>
        <vt:lpwstr/>
      </vt:variant>
      <vt:variant>
        <vt:lpwstr>_Toc121212960</vt:lpwstr>
      </vt:variant>
      <vt:variant>
        <vt:i4>1048632</vt:i4>
      </vt:variant>
      <vt:variant>
        <vt:i4>206</vt:i4>
      </vt:variant>
      <vt:variant>
        <vt:i4>0</vt:i4>
      </vt:variant>
      <vt:variant>
        <vt:i4>5</vt:i4>
      </vt:variant>
      <vt:variant>
        <vt:lpwstr/>
      </vt:variant>
      <vt:variant>
        <vt:lpwstr>_Toc121212959</vt:lpwstr>
      </vt:variant>
      <vt:variant>
        <vt:i4>1048632</vt:i4>
      </vt:variant>
      <vt:variant>
        <vt:i4>200</vt:i4>
      </vt:variant>
      <vt:variant>
        <vt:i4>0</vt:i4>
      </vt:variant>
      <vt:variant>
        <vt:i4>5</vt:i4>
      </vt:variant>
      <vt:variant>
        <vt:lpwstr/>
      </vt:variant>
      <vt:variant>
        <vt:lpwstr>_Toc121212958</vt:lpwstr>
      </vt:variant>
      <vt:variant>
        <vt:i4>1048632</vt:i4>
      </vt:variant>
      <vt:variant>
        <vt:i4>194</vt:i4>
      </vt:variant>
      <vt:variant>
        <vt:i4>0</vt:i4>
      </vt:variant>
      <vt:variant>
        <vt:i4>5</vt:i4>
      </vt:variant>
      <vt:variant>
        <vt:lpwstr/>
      </vt:variant>
      <vt:variant>
        <vt:lpwstr>_Toc121212957</vt:lpwstr>
      </vt:variant>
      <vt:variant>
        <vt:i4>1048632</vt:i4>
      </vt:variant>
      <vt:variant>
        <vt:i4>188</vt:i4>
      </vt:variant>
      <vt:variant>
        <vt:i4>0</vt:i4>
      </vt:variant>
      <vt:variant>
        <vt:i4>5</vt:i4>
      </vt:variant>
      <vt:variant>
        <vt:lpwstr/>
      </vt:variant>
      <vt:variant>
        <vt:lpwstr>_Toc121212956</vt:lpwstr>
      </vt:variant>
      <vt:variant>
        <vt:i4>1048632</vt:i4>
      </vt:variant>
      <vt:variant>
        <vt:i4>182</vt:i4>
      </vt:variant>
      <vt:variant>
        <vt:i4>0</vt:i4>
      </vt:variant>
      <vt:variant>
        <vt:i4>5</vt:i4>
      </vt:variant>
      <vt:variant>
        <vt:lpwstr/>
      </vt:variant>
      <vt:variant>
        <vt:lpwstr>_Toc121212955</vt:lpwstr>
      </vt:variant>
      <vt:variant>
        <vt:i4>1048632</vt:i4>
      </vt:variant>
      <vt:variant>
        <vt:i4>176</vt:i4>
      </vt:variant>
      <vt:variant>
        <vt:i4>0</vt:i4>
      </vt:variant>
      <vt:variant>
        <vt:i4>5</vt:i4>
      </vt:variant>
      <vt:variant>
        <vt:lpwstr/>
      </vt:variant>
      <vt:variant>
        <vt:lpwstr>_Toc121212954</vt:lpwstr>
      </vt:variant>
      <vt:variant>
        <vt:i4>1048632</vt:i4>
      </vt:variant>
      <vt:variant>
        <vt:i4>170</vt:i4>
      </vt:variant>
      <vt:variant>
        <vt:i4>0</vt:i4>
      </vt:variant>
      <vt:variant>
        <vt:i4>5</vt:i4>
      </vt:variant>
      <vt:variant>
        <vt:lpwstr/>
      </vt:variant>
      <vt:variant>
        <vt:lpwstr>_Toc121212953</vt:lpwstr>
      </vt:variant>
      <vt:variant>
        <vt:i4>1048632</vt:i4>
      </vt:variant>
      <vt:variant>
        <vt:i4>164</vt:i4>
      </vt:variant>
      <vt:variant>
        <vt:i4>0</vt:i4>
      </vt:variant>
      <vt:variant>
        <vt:i4>5</vt:i4>
      </vt:variant>
      <vt:variant>
        <vt:lpwstr/>
      </vt:variant>
      <vt:variant>
        <vt:lpwstr>_Toc121212952</vt:lpwstr>
      </vt:variant>
      <vt:variant>
        <vt:i4>1048632</vt:i4>
      </vt:variant>
      <vt:variant>
        <vt:i4>158</vt:i4>
      </vt:variant>
      <vt:variant>
        <vt:i4>0</vt:i4>
      </vt:variant>
      <vt:variant>
        <vt:i4>5</vt:i4>
      </vt:variant>
      <vt:variant>
        <vt:lpwstr/>
      </vt:variant>
      <vt:variant>
        <vt:lpwstr>_Toc121212951</vt:lpwstr>
      </vt:variant>
      <vt:variant>
        <vt:i4>1048632</vt:i4>
      </vt:variant>
      <vt:variant>
        <vt:i4>152</vt:i4>
      </vt:variant>
      <vt:variant>
        <vt:i4>0</vt:i4>
      </vt:variant>
      <vt:variant>
        <vt:i4>5</vt:i4>
      </vt:variant>
      <vt:variant>
        <vt:lpwstr/>
      </vt:variant>
      <vt:variant>
        <vt:lpwstr>_Toc121212950</vt:lpwstr>
      </vt:variant>
      <vt:variant>
        <vt:i4>1114168</vt:i4>
      </vt:variant>
      <vt:variant>
        <vt:i4>146</vt:i4>
      </vt:variant>
      <vt:variant>
        <vt:i4>0</vt:i4>
      </vt:variant>
      <vt:variant>
        <vt:i4>5</vt:i4>
      </vt:variant>
      <vt:variant>
        <vt:lpwstr/>
      </vt:variant>
      <vt:variant>
        <vt:lpwstr>_Toc121212949</vt:lpwstr>
      </vt:variant>
      <vt:variant>
        <vt:i4>1114168</vt:i4>
      </vt:variant>
      <vt:variant>
        <vt:i4>140</vt:i4>
      </vt:variant>
      <vt:variant>
        <vt:i4>0</vt:i4>
      </vt:variant>
      <vt:variant>
        <vt:i4>5</vt:i4>
      </vt:variant>
      <vt:variant>
        <vt:lpwstr/>
      </vt:variant>
      <vt:variant>
        <vt:lpwstr>_Toc121212948</vt:lpwstr>
      </vt:variant>
      <vt:variant>
        <vt:i4>1114168</vt:i4>
      </vt:variant>
      <vt:variant>
        <vt:i4>134</vt:i4>
      </vt:variant>
      <vt:variant>
        <vt:i4>0</vt:i4>
      </vt:variant>
      <vt:variant>
        <vt:i4>5</vt:i4>
      </vt:variant>
      <vt:variant>
        <vt:lpwstr/>
      </vt:variant>
      <vt:variant>
        <vt:lpwstr>_Toc121212947</vt:lpwstr>
      </vt:variant>
      <vt:variant>
        <vt:i4>1114168</vt:i4>
      </vt:variant>
      <vt:variant>
        <vt:i4>128</vt:i4>
      </vt:variant>
      <vt:variant>
        <vt:i4>0</vt:i4>
      </vt:variant>
      <vt:variant>
        <vt:i4>5</vt:i4>
      </vt:variant>
      <vt:variant>
        <vt:lpwstr/>
      </vt:variant>
      <vt:variant>
        <vt:lpwstr>_Toc121212946</vt:lpwstr>
      </vt:variant>
      <vt:variant>
        <vt:i4>1114168</vt:i4>
      </vt:variant>
      <vt:variant>
        <vt:i4>122</vt:i4>
      </vt:variant>
      <vt:variant>
        <vt:i4>0</vt:i4>
      </vt:variant>
      <vt:variant>
        <vt:i4>5</vt:i4>
      </vt:variant>
      <vt:variant>
        <vt:lpwstr/>
      </vt:variant>
      <vt:variant>
        <vt:lpwstr>_Toc121212945</vt:lpwstr>
      </vt:variant>
      <vt:variant>
        <vt:i4>1114168</vt:i4>
      </vt:variant>
      <vt:variant>
        <vt:i4>116</vt:i4>
      </vt:variant>
      <vt:variant>
        <vt:i4>0</vt:i4>
      </vt:variant>
      <vt:variant>
        <vt:i4>5</vt:i4>
      </vt:variant>
      <vt:variant>
        <vt:lpwstr/>
      </vt:variant>
      <vt:variant>
        <vt:lpwstr>_Toc121212944</vt:lpwstr>
      </vt:variant>
      <vt:variant>
        <vt:i4>1114168</vt:i4>
      </vt:variant>
      <vt:variant>
        <vt:i4>110</vt:i4>
      </vt:variant>
      <vt:variant>
        <vt:i4>0</vt:i4>
      </vt:variant>
      <vt:variant>
        <vt:i4>5</vt:i4>
      </vt:variant>
      <vt:variant>
        <vt:lpwstr/>
      </vt:variant>
      <vt:variant>
        <vt:lpwstr>_Toc121212943</vt:lpwstr>
      </vt:variant>
      <vt:variant>
        <vt:i4>1114168</vt:i4>
      </vt:variant>
      <vt:variant>
        <vt:i4>104</vt:i4>
      </vt:variant>
      <vt:variant>
        <vt:i4>0</vt:i4>
      </vt:variant>
      <vt:variant>
        <vt:i4>5</vt:i4>
      </vt:variant>
      <vt:variant>
        <vt:lpwstr/>
      </vt:variant>
      <vt:variant>
        <vt:lpwstr>_Toc121212942</vt:lpwstr>
      </vt:variant>
      <vt:variant>
        <vt:i4>1114168</vt:i4>
      </vt:variant>
      <vt:variant>
        <vt:i4>98</vt:i4>
      </vt:variant>
      <vt:variant>
        <vt:i4>0</vt:i4>
      </vt:variant>
      <vt:variant>
        <vt:i4>5</vt:i4>
      </vt:variant>
      <vt:variant>
        <vt:lpwstr/>
      </vt:variant>
      <vt:variant>
        <vt:lpwstr>_Toc121212941</vt:lpwstr>
      </vt:variant>
      <vt:variant>
        <vt:i4>1114168</vt:i4>
      </vt:variant>
      <vt:variant>
        <vt:i4>92</vt:i4>
      </vt:variant>
      <vt:variant>
        <vt:i4>0</vt:i4>
      </vt:variant>
      <vt:variant>
        <vt:i4>5</vt:i4>
      </vt:variant>
      <vt:variant>
        <vt:lpwstr/>
      </vt:variant>
      <vt:variant>
        <vt:lpwstr>_Toc121212940</vt:lpwstr>
      </vt:variant>
      <vt:variant>
        <vt:i4>1441848</vt:i4>
      </vt:variant>
      <vt:variant>
        <vt:i4>86</vt:i4>
      </vt:variant>
      <vt:variant>
        <vt:i4>0</vt:i4>
      </vt:variant>
      <vt:variant>
        <vt:i4>5</vt:i4>
      </vt:variant>
      <vt:variant>
        <vt:lpwstr/>
      </vt:variant>
      <vt:variant>
        <vt:lpwstr>_Toc121212939</vt:lpwstr>
      </vt:variant>
      <vt:variant>
        <vt:i4>1441848</vt:i4>
      </vt:variant>
      <vt:variant>
        <vt:i4>80</vt:i4>
      </vt:variant>
      <vt:variant>
        <vt:i4>0</vt:i4>
      </vt:variant>
      <vt:variant>
        <vt:i4>5</vt:i4>
      </vt:variant>
      <vt:variant>
        <vt:lpwstr/>
      </vt:variant>
      <vt:variant>
        <vt:lpwstr>_Toc121212938</vt:lpwstr>
      </vt:variant>
      <vt:variant>
        <vt:i4>1441848</vt:i4>
      </vt:variant>
      <vt:variant>
        <vt:i4>74</vt:i4>
      </vt:variant>
      <vt:variant>
        <vt:i4>0</vt:i4>
      </vt:variant>
      <vt:variant>
        <vt:i4>5</vt:i4>
      </vt:variant>
      <vt:variant>
        <vt:lpwstr/>
      </vt:variant>
      <vt:variant>
        <vt:lpwstr>_Toc121212937</vt:lpwstr>
      </vt:variant>
      <vt:variant>
        <vt:i4>1441848</vt:i4>
      </vt:variant>
      <vt:variant>
        <vt:i4>68</vt:i4>
      </vt:variant>
      <vt:variant>
        <vt:i4>0</vt:i4>
      </vt:variant>
      <vt:variant>
        <vt:i4>5</vt:i4>
      </vt:variant>
      <vt:variant>
        <vt:lpwstr/>
      </vt:variant>
      <vt:variant>
        <vt:lpwstr>_Toc121212936</vt:lpwstr>
      </vt:variant>
      <vt:variant>
        <vt:i4>1441848</vt:i4>
      </vt:variant>
      <vt:variant>
        <vt:i4>62</vt:i4>
      </vt:variant>
      <vt:variant>
        <vt:i4>0</vt:i4>
      </vt:variant>
      <vt:variant>
        <vt:i4>5</vt:i4>
      </vt:variant>
      <vt:variant>
        <vt:lpwstr/>
      </vt:variant>
      <vt:variant>
        <vt:lpwstr>_Toc121212935</vt:lpwstr>
      </vt:variant>
      <vt:variant>
        <vt:i4>1441848</vt:i4>
      </vt:variant>
      <vt:variant>
        <vt:i4>56</vt:i4>
      </vt:variant>
      <vt:variant>
        <vt:i4>0</vt:i4>
      </vt:variant>
      <vt:variant>
        <vt:i4>5</vt:i4>
      </vt:variant>
      <vt:variant>
        <vt:lpwstr/>
      </vt:variant>
      <vt:variant>
        <vt:lpwstr>_Toc121212934</vt:lpwstr>
      </vt:variant>
      <vt:variant>
        <vt:i4>1441848</vt:i4>
      </vt:variant>
      <vt:variant>
        <vt:i4>50</vt:i4>
      </vt:variant>
      <vt:variant>
        <vt:i4>0</vt:i4>
      </vt:variant>
      <vt:variant>
        <vt:i4>5</vt:i4>
      </vt:variant>
      <vt:variant>
        <vt:lpwstr/>
      </vt:variant>
      <vt:variant>
        <vt:lpwstr>_Toc121212933</vt:lpwstr>
      </vt:variant>
      <vt:variant>
        <vt:i4>1441848</vt:i4>
      </vt:variant>
      <vt:variant>
        <vt:i4>44</vt:i4>
      </vt:variant>
      <vt:variant>
        <vt:i4>0</vt:i4>
      </vt:variant>
      <vt:variant>
        <vt:i4>5</vt:i4>
      </vt:variant>
      <vt:variant>
        <vt:lpwstr/>
      </vt:variant>
      <vt:variant>
        <vt:lpwstr>_Toc121212932</vt:lpwstr>
      </vt:variant>
      <vt:variant>
        <vt:i4>1441848</vt:i4>
      </vt:variant>
      <vt:variant>
        <vt:i4>38</vt:i4>
      </vt:variant>
      <vt:variant>
        <vt:i4>0</vt:i4>
      </vt:variant>
      <vt:variant>
        <vt:i4>5</vt:i4>
      </vt:variant>
      <vt:variant>
        <vt:lpwstr/>
      </vt:variant>
      <vt:variant>
        <vt:lpwstr>_Toc121212931</vt:lpwstr>
      </vt:variant>
      <vt:variant>
        <vt:i4>1441848</vt:i4>
      </vt:variant>
      <vt:variant>
        <vt:i4>32</vt:i4>
      </vt:variant>
      <vt:variant>
        <vt:i4>0</vt:i4>
      </vt:variant>
      <vt:variant>
        <vt:i4>5</vt:i4>
      </vt:variant>
      <vt:variant>
        <vt:lpwstr/>
      </vt:variant>
      <vt:variant>
        <vt:lpwstr>_Toc121212930</vt:lpwstr>
      </vt:variant>
      <vt:variant>
        <vt:i4>1507384</vt:i4>
      </vt:variant>
      <vt:variant>
        <vt:i4>26</vt:i4>
      </vt:variant>
      <vt:variant>
        <vt:i4>0</vt:i4>
      </vt:variant>
      <vt:variant>
        <vt:i4>5</vt:i4>
      </vt:variant>
      <vt:variant>
        <vt:lpwstr/>
      </vt:variant>
      <vt:variant>
        <vt:lpwstr>_Toc121212929</vt:lpwstr>
      </vt:variant>
      <vt:variant>
        <vt:i4>1507384</vt:i4>
      </vt:variant>
      <vt:variant>
        <vt:i4>20</vt:i4>
      </vt:variant>
      <vt:variant>
        <vt:i4>0</vt:i4>
      </vt:variant>
      <vt:variant>
        <vt:i4>5</vt:i4>
      </vt:variant>
      <vt:variant>
        <vt:lpwstr/>
      </vt:variant>
      <vt:variant>
        <vt:lpwstr>_Toc121212928</vt:lpwstr>
      </vt:variant>
      <vt:variant>
        <vt:i4>1507384</vt:i4>
      </vt:variant>
      <vt:variant>
        <vt:i4>14</vt:i4>
      </vt:variant>
      <vt:variant>
        <vt:i4>0</vt:i4>
      </vt:variant>
      <vt:variant>
        <vt:i4>5</vt:i4>
      </vt:variant>
      <vt:variant>
        <vt:lpwstr/>
      </vt:variant>
      <vt:variant>
        <vt:lpwstr>_Toc121212927</vt:lpwstr>
      </vt:variant>
      <vt:variant>
        <vt:i4>1507384</vt:i4>
      </vt:variant>
      <vt:variant>
        <vt:i4>8</vt:i4>
      </vt:variant>
      <vt:variant>
        <vt:i4>0</vt:i4>
      </vt:variant>
      <vt:variant>
        <vt:i4>5</vt:i4>
      </vt:variant>
      <vt:variant>
        <vt:lpwstr/>
      </vt:variant>
      <vt:variant>
        <vt:lpwstr>_Toc121212926</vt:lpwstr>
      </vt:variant>
      <vt:variant>
        <vt:i4>1507384</vt:i4>
      </vt:variant>
      <vt:variant>
        <vt:i4>2</vt:i4>
      </vt:variant>
      <vt:variant>
        <vt:i4>0</vt:i4>
      </vt:variant>
      <vt:variant>
        <vt:i4>5</vt:i4>
      </vt:variant>
      <vt:variant>
        <vt:lpwstr/>
      </vt:variant>
      <vt:variant>
        <vt:lpwstr>_Toc121212925</vt:lpwstr>
      </vt:variant>
      <vt:variant>
        <vt:i4>6750322</vt:i4>
      </vt:variant>
      <vt:variant>
        <vt:i4>36</vt:i4>
      </vt:variant>
      <vt:variant>
        <vt:i4>0</vt:i4>
      </vt:variant>
      <vt:variant>
        <vt:i4>5</vt:i4>
      </vt:variant>
      <vt:variant>
        <vt:lpwstr>http://beck2-gross.digibib.net/bib/bin/reference.asp?Y=300&amp;Z=NJW&amp;B=1984&amp;S=2652</vt:lpwstr>
      </vt:variant>
      <vt:variant>
        <vt:lpwstr/>
      </vt:variant>
      <vt:variant>
        <vt:i4>7536737</vt:i4>
      </vt:variant>
      <vt:variant>
        <vt:i4>33</vt:i4>
      </vt:variant>
      <vt:variant>
        <vt:i4>0</vt:i4>
      </vt:variant>
      <vt:variant>
        <vt:i4>5</vt:i4>
      </vt:variant>
      <vt:variant>
        <vt:lpwstr>http://beck2-gross.digibib.net/bib/bin/reference.asp?Y=300&amp;Z=BayVBl&amp;B=2000&amp;S=594&amp;I=595</vt:lpwstr>
      </vt:variant>
      <vt:variant>
        <vt:lpwstr/>
      </vt:variant>
      <vt:variant>
        <vt:i4>1704003</vt:i4>
      </vt:variant>
      <vt:variant>
        <vt:i4>30</vt:i4>
      </vt:variant>
      <vt:variant>
        <vt:i4>0</vt:i4>
      </vt:variant>
      <vt:variant>
        <vt:i4>5</vt:i4>
      </vt:variant>
      <vt:variant>
        <vt:lpwstr>http://beck2-gross.digibib.net/bib/bin/reference.asp?Y=300&amp;Z=BayVBl&amp;B=2000&amp;S=594</vt:lpwstr>
      </vt:variant>
      <vt:variant>
        <vt:lpwstr/>
      </vt:variant>
      <vt:variant>
        <vt:i4>7143538</vt:i4>
      </vt:variant>
      <vt:variant>
        <vt:i4>27</vt:i4>
      </vt:variant>
      <vt:variant>
        <vt:i4>0</vt:i4>
      </vt:variant>
      <vt:variant>
        <vt:i4>5</vt:i4>
      </vt:variant>
      <vt:variant>
        <vt:lpwstr>http://beck2-gross.digibib.net/bib/bin/reference.asp?Y=300&amp;Z=NJW&amp;B=1979&amp;S=2382</vt:lpwstr>
      </vt:variant>
      <vt:variant>
        <vt:lpwstr/>
      </vt:variant>
      <vt:variant>
        <vt:i4>6619249</vt:i4>
      </vt:variant>
      <vt:variant>
        <vt:i4>24</vt:i4>
      </vt:variant>
      <vt:variant>
        <vt:i4>0</vt:i4>
      </vt:variant>
      <vt:variant>
        <vt:i4>5</vt:i4>
      </vt:variant>
      <vt:variant>
        <vt:lpwstr>http://beck2-gross.digibib.net/bib/bin/reference.asp?Y=300&amp;Z=NJW&amp;B=1982&amp;S=1137</vt:lpwstr>
      </vt:variant>
      <vt:variant>
        <vt:lpwstr/>
      </vt:variant>
      <vt:variant>
        <vt:i4>6815856</vt:i4>
      </vt:variant>
      <vt:variant>
        <vt:i4>21</vt:i4>
      </vt:variant>
      <vt:variant>
        <vt:i4>0</vt:i4>
      </vt:variant>
      <vt:variant>
        <vt:i4>5</vt:i4>
      </vt:variant>
      <vt:variant>
        <vt:lpwstr>http://beck2-gross.digibib.net/bib/bin/reference.asp?Y=300&amp;Z=Jura&amp;B=1985&amp;S=61&amp;I=63</vt:lpwstr>
      </vt:variant>
      <vt:variant>
        <vt:lpwstr/>
      </vt:variant>
      <vt:variant>
        <vt:i4>4194334</vt:i4>
      </vt:variant>
      <vt:variant>
        <vt:i4>18</vt:i4>
      </vt:variant>
      <vt:variant>
        <vt:i4>0</vt:i4>
      </vt:variant>
      <vt:variant>
        <vt:i4>5</vt:i4>
      </vt:variant>
      <vt:variant>
        <vt:lpwstr>http://beck2-gross.digibib.net/bib/bin/reference.asp?Y=300&amp;Z=Jura&amp;B=1985&amp;S=61</vt:lpwstr>
      </vt:variant>
      <vt:variant>
        <vt:lpwstr/>
      </vt:variant>
      <vt:variant>
        <vt:i4>7602229</vt:i4>
      </vt:variant>
      <vt:variant>
        <vt:i4>15</vt:i4>
      </vt:variant>
      <vt:variant>
        <vt:i4>0</vt:i4>
      </vt:variant>
      <vt:variant>
        <vt:i4>5</vt:i4>
      </vt:variant>
      <vt:variant>
        <vt:lpwstr>http://beck2-gross.digibib.net/bib/bin/reference.asp?Y=300&amp;Z=NVwZ&amp;B=2002&amp;S=984</vt:lpwstr>
      </vt:variant>
      <vt:variant>
        <vt:lpwstr/>
      </vt:variant>
      <vt:variant>
        <vt:i4>6881331</vt:i4>
      </vt:variant>
      <vt:variant>
        <vt:i4>12</vt:i4>
      </vt:variant>
      <vt:variant>
        <vt:i4>0</vt:i4>
      </vt:variant>
      <vt:variant>
        <vt:i4>5</vt:i4>
      </vt:variant>
      <vt:variant>
        <vt:lpwstr>http://beck2-gross.digibib.net/bib/bin/reference.asp?Y=300&amp;Z=BVerwGE&amp;B=115&amp;S=373&amp;I=379</vt:lpwstr>
      </vt:variant>
      <vt:variant>
        <vt:lpwstr/>
      </vt:variant>
      <vt:variant>
        <vt:i4>655391</vt:i4>
      </vt:variant>
      <vt:variant>
        <vt:i4>9</vt:i4>
      </vt:variant>
      <vt:variant>
        <vt:i4>0</vt:i4>
      </vt:variant>
      <vt:variant>
        <vt:i4>5</vt:i4>
      </vt:variant>
      <vt:variant>
        <vt:lpwstr>http://beck2-gross.digibib.net/bib/bin/reference.asp?Y=300&amp;Z=BVerwGE&amp;B=115&amp;S=373</vt:lpwstr>
      </vt:variant>
      <vt:variant>
        <vt:lpwstr/>
      </vt:variant>
      <vt:variant>
        <vt:i4>7274533</vt:i4>
      </vt:variant>
      <vt:variant>
        <vt:i4>6</vt:i4>
      </vt:variant>
      <vt:variant>
        <vt:i4>0</vt:i4>
      </vt:variant>
      <vt:variant>
        <vt:i4>5</vt:i4>
      </vt:variant>
      <vt:variant>
        <vt:lpwstr>http://beck2-gross.digibib.net/bib/bin/reference.asp?Y=300&amp;Z=DOeV&amp;B=1971&amp;S=397</vt:lpwstr>
      </vt:variant>
      <vt:variant>
        <vt:lpwstr/>
      </vt:variant>
      <vt:variant>
        <vt:i4>1114131</vt:i4>
      </vt:variant>
      <vt:variant>
        <vt:i4>3</vt:i4>
      </vt:variant>
      <vt:variant>
        <vt:i4>0</vt:i4>
      </vt:variant>
      <vt:variant>
        <vt:i4>5</vt:i4>
      </vt:variant>
      <vt:variant>
        <vt:lpwstr>http://beck2-gross.digibib.net/bib/bin/reference.asp?Y=300&amp;Z=NVwZ&amp;B=1993&amp;S=678&amp;I=681</vt:lpwstr>
      </vt:variant>
      <vt:variant>
        <vt:lpwstr/>
      </vt:variant>
      <vt:variant>
        <vt:i4>8323120</vt:i4>
      </vt:variant>
      <vt:variant>
        <vt:i4>0</vt:i4>
      </vt:variant>
      <vt:variant>
        <vt:i4>0</vt:i4>
      </vt:variant>
      <vt:variant>
        <vt:i4>5</vt:i4>
      </vt:variant>
      <vt:variant>
        <vt:lpwstr>http://beck2-gross.digibib.net/bib/bin/reference.asp?Y=300&amp;Z=NVwZ&amp;B=1993&amp;S=678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一、研究人員經費</dc:title>
  <dc:subject/>
  <dc:creator>CCU</dc:creator>
  <cp:keywords/>
  <dc:description/>
  <cp:lastModifiedBy>卓卿雲</cp:lastModifiedBy>
  <cp:revision>2</cp:revision>
  <cp:lastPrinted>2004-04-08T14:27:00Z</cp:lastPrinted>
  <dcterms:created xsi:type="dcterms:W3CDTF">2021-09-22T10:42:00Z</dcterms:created>
  <dcterms:modified xsi:type="dcterms:W3CDTF">2021-09-22T10:42:00Z</dcterms:modified>
</cp:coreProperties>
</file>