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00B67">
      <w:pPr>
        <w:pStyle w:val="1"/>
        <w:spacing w:before="180" w:after="180" w:line="480" w:lineRule="auto"/>
        <w:rPr>
          <w:lang w:val="de-DE"/>
        </w:rPr>
      </w:pPr>
      <w:bookmarkStart w:id="0" w:name="_Toc121199222"/>
      <w:bookmarkStart w:id="1" w:name="_Toc121212694"/>
      <w:bookmarkStart w:id="2" w:name="_Toc121212957"/>
      <w:bookmarkStart w:id="3" w:name="_GoBack"/>
      <w:bookmarkEnd w:id="3"/>
      <w:r>
        <w:rPr>
          <w:rFonts w:hint="eastAsia"/>
          <w:lang w:val="de-DE"/>
        </w:rPr>
        <w:t>4.</w:t>
      </w:r>
      <w:r>
        <w:rPr>
          <w:lang w:val="de-DE"/>
        </w:rPr>
        <w:t>陞遷決定之法律性質</w:t>
      </w:r>
      <w:bookmarkEnd w:id="0"/>
      <w:bookmarkEnd w:id="1"/>
      <w:bookmarkEnd w:id="2"/>
    </w:p>
    <w:p w:rsidR="00000000" w:rsidRDefault="00600B67">
      <w:pPr>
        <w:pStyle w:val="2"/>
        <w:spacing w:line="480" w:lineRule="auto"/>
        <w:rPr>
          <w:rFonts w:hint="eastAsia"/>
          <w:lang w:val="de-DE"/>
        </w:rPr>
      </w:pPr>
      <w:bookmarkStart w:id="4" w:name="_Toc121199223"/>
      <w:bookmarkStart w:id="5" w:name="_Toc121212695"/>
      <w:bookmarkStart w:id="6" w:name="_Toc121212958"/>
      <w:r>
        <w:rPr>
          <w:rFonts w:hint="eastAsia"/>
          <w:lang w:val="de-DE"/>
        </w:rPr>
        <w:t>4.1.</w:t>
      </w:r>
      <w:r>
        <w:rPr>
          <w:lang w:val="de-DE"/>
        </w:rPr>
        <w:t>管理措施</w:t>
      </w:r>
      <w:r>
        <w:rPr>
          <w:lang w:val="de-DE"/>
        </w:rPr>
        <w:t>v.s.</w:t>
      </w:r>
      <w:r>
        <w:rPr>
          <w:lang w:val="de-DE"/>
        </w:rPr>
        <w:t>不利處分</w:t>
      </w:r>
      <w:bookmarkEnd w:id="4"/>
      <w:bookmarkEnd w:id="5"/>
      <w:bookmarkEnd w:id="6"/>
    </w:p>
    <w:p w:rsidR="00000000" w:rsidRDefault="00600B67">
      <w:pPr>
        <w:pStyle w:val="22"/>
        <w:spacing w:line="480" w:lineRule="auto"/>
        <w:rPr>
          <w:rStyle w:val="af3"/>
          <w:rFonts w:ascii="Times New Roman" w:hAnsi="Times New Roman" w:hint="eastAsia"/>
          <w:lang w:val="en-US"/>
        </w:rPr>
      </w:pPr>
      <w:r>
        <w:rPr>
          <w:rStyle w:val="stext1"/>
          <w:rFonts w:ascii="sөũ" w:hAnsi="sөũ" w:hint="eastAsia"/>
          <w:sz w:val="24"/>
          <w:szCs w:val="24"/>
        </w:rPr>
        <w:t>根據保障法第</w:t>
      </w:r>
      <w:r>
        <w:rPr>
          <w:rStyle w:val="stext1"/>
          <w:rFonts w:ascii="sөũ" w:hAnsi="sөũ" w:hint="eastAsia"/>
          <w:sz w:val="24"/>
          <w:szCs w:val="24"/>
        </w:rPr>
        <w:t>77</w:t>
      </w:r>
      <w:r>
        <w:rPr>
          <w:rStyle w:val="stext1"/>
          <w:rFonts w:ascii="sөũ" w:hAnsi="sөũ" w:hint="eastAsia"/>
          <w:sz w:val="24"/>
          <w:szCs w:val="24"/>
        </w:rPr>
        <w:t>條之規定，</w:t>
      </w:r>
      <w:r>
        <w:rPr>
          <w:rFonts w:ascii="sөũ" w:hAnsi="sөũ"/>
        </w:rPr>
        <w:t>公務人員對於服務機關所為之管理措施或有關工作條件之處置認為不當，致影響其權益者，得依本法提起申訴、再申訴。</w:t>
      </w:r>
      <w:r>
        <w:rPr>
          <w:rFonts w:ascii="sөũ" w:hAnsi="sөũ" w:hint="eastAsia"/>
        </w:rPr>
        <w:t>歷來保訓會的見解認為，</w:t>
      </w:r>
      <w:r>
        <w:rPr>
          <w:rStyle w:val="stext1"/>
          <w:rFonts w:ascii="sөũ" w:hAnsi="sөũ"/>
          <w:sz w:val="24"/>
          <w:szCs w:val="24"/>
        </w:rPr>
        <w:t>除屬復審範圍之事項外，機關為達行政目的所為之作為或不作為，其有具體事實存在者，均屬管理措施之範疇，如機關長官或主管所為不同區域職務之調任、工作指派、不改變公務人員身分關係之記過、申誡懲處、考績評定或機關長官所發之職務命令均屬之</w:t>
      </w:r>
      <w:r>
        <w:rPr>
          <w:rStyle w:val="ae"/>
          <w:rFonts w:ascii="sөũ" w:hAnsi="sөũ" w:hint="eastAsia"/>
        </w:rPr>
        <w:footnoteReference w:id="1"/>
      </w:r>
      <w:r>
        <w:rPr>
          <w:rStyle w:val="stext1"/>
          <w:rFonts w:ascii="sөũ" w:hAnsi="sөũ"/>
          <w:sz w:val="24"/>
          <w:szCs w:val="24"/>
        </w:rPr>
        <w:t>。</w:t>
      </w:r>
      <w:r>
        <w:rPr>
          <w:rStyle w:val="stext1"/>
          <w:rFonts w:ascii="sөũ" w:hAnsi="sөũ" w:hint="eastAsia"/>
          <w:sz w:val="24"/>
          <w:szCs w:val="24"/>
        </w:rPr>
        <w:t>由此立場可知，保障法上作為申訴程序標的之管理措施，保訓會是將之限縮在「</w:t>
      </w:r>
      <w:r>
        <w:rPr>
          <w:rStyle w:val="stext1"/>
          <w:rFonts w:ascii="sөũ" w:hAnsi="sөũ"/>
          <w:sz w:val="24"/>
          <w:szCs w:val="24"/>
        </w:rPr>
        <w:t>有</w:t>
      </w:r>
      <w:r>
        <w:rPr>
          <w:rStyle w:val="stext1"/>
          <w:rFonts w:ascii="sөũ" w:hAnsi="sөũ" w:hint="eastAsia"/>
          <w:sz w:val="24"/>
          <w:szCs w:val="24"/>
        </w:rPr>
        <w:t>『</w:t>
      </w:r>
      <w:r>
        <w:rPr>
          <w:rStyle w:val="stext1"/>
          <w:rFonts w:ascii="sөũ" w:hAnsi="sөũ"/>
          <w:sz w:val="24"/>
          <w:szCs w:val="24"/>
        </w:rPr>
        <w:t>具體</w:t>
      </w:r>
      <w:r>
        <w:rPr>
          <w:rStyle w:val="stext1"/>
          <w:rFonts w:ascii="sөũ" w:hAnsi="sөũ" w:hint="eastAsia"/>
          <w:sz w:val="24"/>
          <w:szCs w:val="24"/>
        </w:rPr>
        <w:t>』</w:t>
      </w:r>
      <w:r>
        <w:rPr>
          <w:rStyle w:val="stext1"/>
          <w:rFonts w:ascii="sөũ" w:hAnsi="sөũ"/>
          <w:sz w:val="24"/>
          <w:szCs w:val="24"/>
        </w:rPr>
        <w:t>事實存在</w:t>
      </w:r>
      <w:r>
        <w:rPr>
          <w:rStyle w:val="stext1"/>
          <w:rFonts w:ascii="sөũ" w:hAnsi="sөũ" w:hint="eastAsia"/>
          <w:sz w:val="24"/>
          <w:szCs w:val="24"/>
        </w:rPr>
        <w:t>之管理措施」，一般抽象之管理行為並不屬之</w:t>
      </w:r>
      <w:r>
        <w:rPr>
          <w:rStyle w:val="ae"/>
          <w:rFonts w:ascii="sөũ" w:hAnsi="sөũ" w:hint="eastAsia"/>
        </w:rPr>
        <w:footnoteReference w:id="2"/>
      </w:r>
      <w:r>
        <w:rPr>
          <w:rStyle w:val="stext1"/>
          <w:rFonts w:ascii="sөũ" w:hAnsi="sөũ" w:hint="eastAsia"/>
          <w:sz w:val="24"/>
          <w:szCs w:val="24"/>
        </w:rPr>
        <w:t>；同時也將公務員懲處甚至有可能可以將懲戒</w:t>
      </w:r>
      <w:r>
        <w:rPr>
          <w:rStyle w:val="ae"/>
          <w:rFonts w:ascii="sөũ" w:hAnsi="sөũ" w:hint="eastAsia"/>
        </w:rPr>
        <w:footnoteReference w:id="3"/>
      </w:r>
      <w:r>
        <w:rPr>
          <w:rStyle w:val="stext1"/>
          <w:rFonts w:ascii="sөũ" w:hAnsi="sөũ" w:hint="eastAsia"/>
          <w:sz w:val="24"/>
          <w:szCs w:val="24"/>
        </w:rPr>
        <w:t>之不</w:t>
      </w:r>
      <w:r>
        <w:rPr>
          <w:rStyle w:val="stext1"/>
          <w:rFonts w:ascii="sөũ" w:hAnsi="sөũ" w:hint="eastAsia"/>
          <w:sz w:val="24"/>
          <w:szCs w:val="24"/>
        </w:rPr>
        <w:lastRenderedPageBreak/>
        <w:t>利處分包含在內。例如</w:t>
      </w:r>
      <w:r>
        <w:rPr>
          <w:rFonts w:hint="eastAsia"/>
        </w:rPr>
        <w:t>因公務員違反公務員服務法或各機關單位所定之特別規則，依「公務員考績法」規定，予以記大過、記過、申誡等處分均屬之。</w:t>
      </w:r>
    </w:p>
    <w:p w:rsidR="00000000" w:rsidRDefault="00600B67">
      <w:pPr>
        <w:pStyle w:val="2"/>
        <w:spacing w:line="480" w:lineRule="auto"/>
        <w:rPr>
          <w:rFonts w:hint="eastAsia"/>
          <w:lang w:val="de-DE"/>
        </w:rPr>
      </w:pPr>
      <w:bookmarkStart w:id="7" w:name="_Toc121199224"/>
      <w:bookmarkStart w:id="8" w:name="_Toc121212696"/>
      <w:bookmarkStart w:id="9" w:name="_Toc121212959"/>
      <w:r>
        <w:rPr>
          <w:rFonts w:hint="eastAsia"/>
          <w:lang w:val="de-DE"/>
        </w:rPr>
        <w:t>4.2.</w:t>
      </w:r>
      <w:r>
        <w:rPr>
          <w:lang w:val="de-DE"/>
        </w:rPr>
        <w:t>不利處分</w:t>
      </w:r>
      <w:r>
        <w:rPr>
          <w:lang w:val="de-DE"/>
        </w:rPr>
        <w:t>v.s.</w:t>
      </w:r>
      <w:r>
        <w:rPr>
          <w:lang w:val="de-DE"/>
        </w:rPr>
        <w:t>行政處分</w:t>
      </w:r>
      <w:bookmarkEnd w:id="7"/>
      <w:bookmarkEnd w:id="8"/>
      <w:bookmarkEnd w:id="9"/>
    </w:p>
    <w:p w:rsidR="00000000" w:rsidRDefault="00600B67">
      <w:pPr>
        <w:pStyle w:val="22"/>
        <w:spacing w:line="480" w:lineRule="auto"/>
        <w:rPr>
          <w:rStyle w:val="stext1"/>
          <w:rFonts w:ascii="sөũ" w:hAnsi="sөũ" w:hint="eastAsia"/>
          <w:color w:val="000000"/>
          <w:sz w:val="24"/>
          <w:szCs w:val="24"/>
        </w:rPr>
      </w:pPr>
      <w:r>
        <w:rPr>
          <w:rStyle w:val="stext1"/>
          <w:rFonts w:ascii="sөũ" w:hAnsi="sөũ" w:hint="eastAsia"/>
          <w:sz w:val="24"/>
          <w:szCs w:val="24"/>
        </w:rPr>
        <w:t>根據保障法</w:t>
      </w:r>
      <w:r>
        <w:rPr>
          <w:rFonts w:ascii="sөũ" w:hAnsi="sөũ"/>
          <w:color w:val="000000"/>
        </w:rPr>
        <w:t>第</w:t>
      </w:r>
      <w:r>
        <w:rPr>
          <w:rFonts w:ascii="sөũ" w:hAnsi="sөũ" w:hint="eastAsia"/>
          <w:color w:val="000000"/>
        </w:rPr>
        <w:t>25</w:t>
      </w:r>
      <w:r>
        <w:rPr>
          <w:rFonts w:ascii="sөũ" w:hAnsi="sөũ"/>
          <w:color w:val="000000"/>
        </w:rPr>
        <w:t>條</w:t>
      </w:r>
      <w:r>
        <w:rPr>
          <w:rFonts w:ascii="sөũ" w:hAnsi="sөũ" w:hint="eastAsia"/>
          <w:color w:val="000000"/>
        </w:rPr>
        <w:t>規定，</w:t>
      </w:r>
      <w:r>
        <w:rPr>
          <w:rFonts w:ascii="sөũ" w:hAnsi="sөũ"/>
          <w:color w:val="000000"/>
        </w:rPr>
        <w:t>公務人員對於服務機關或人事主管機關所為之行政處分，認為違法或顯然不當，致損害其權利或利益者，得依本法提起復審。</w:t>
      </w:r>
      <w:r>
        <w:rPr>
          <w:rFonts w:ascii="sөũ" w:hAnsi="sөũ" w:hint="eastAsia"/>
          <w:color w:val="000000"/>
        </w:rPr>
        <w:t>這種撤銷類型的復審程序標的，依保訓會歷來的解釋，</w:t>
      </w:r>
      <w:r>
        <w:rPr>
          <w:rStyle w:val="stext1"/>
          <w:rFonts w:ascii="sөũ" w:hAnsi="sөũ" w:hint="eastAsia"/>
          <w:color w:val="000000"/>
          <w:sz w:val="24"/>
          <w:szCs w:val="24"/>
        </w:rPr>
        <w:t>此</w:t>
      </w:r>
      <w:r>
        <w:rPr>
          <w:rStyle w:val="stext1"/>
          <w:rFonts w:ascii="sөũ" w:hAnsi="sөũ"/>
          <w:color w:val="000000"/>
          <w:sz w:val="24"/>
          <w:szCs w:val="24"/>
        </w:rPr>
        <w:t>所稱行政處分，除參照行政程序法第</w:t>
      </w:r>
      <w:r>
        <w:rPr>
          <w:rStyle w:val="stext1"/>
          <w:rFonts w:ascii="sөũ" w:hAnsi="sөũ"/>
          <w:color w:val="000000"/>
          <w:sz w:val="24"/>
          <w:szCs w:val="24"/>
        </w:rPr>
        <w:t>92</w:t>
      </w:r>
      <w:r>
        <w:rPr>
          <w:rStyle w:val="stext1"/>
          <w:rFonts w:ascii="sөũ" w:hAnsi="sөũ"/>
          <w:color w:val="000000"/>
          <w:sz w:val="24"/>
          <w:szCs w:val="24"/>
        </w:rPr>
        <w:t>條第</w:t>
      </w:r>
      <w:r>
        <w:rPr>
          <w:rStyle w:val="stext1"/>
          <w:rFonts w:ascii="sөũ" w:hAnsi="sөũ"/>
          <w:color w:val="000000"/>
          <w:sz w:val="24"/>
          <w:szCs w:val="24"/>
        </w:rPr>
        <w:t>1</w:t>
      </w:r>
      <w:r>
        <w:rPr>
          <w:rStyle w:val="stext1"/>
          <w:rFonts w:ascii="sөũ" w:hAnsi="sөũ"/>
          <w:color w:val="000000"/>
          <w:sz w:val="24"/>
          <w:szCs w:val="24"/>
        </w:rPr>
        <w:t>項規定，係指</w:t>
      </w:r>
      <w:r>
        <w:rPr>
          <w:rStyle w:val="stext1"/>
          <w:rFonts w:ascii="sөũ" w:hAnsi="sөũ"/>
          <w:color w:val="000000"/>
          <w:sz w:val="24"/>
          <w:szCs w:val="24"/>
        </w:rPr>
        <w:t>行政機關就公法上具體事件所為之決定或其他公權力措施而對外直接發生法律效果之單方行政行為外，依司法院歷次相關解釋意旨，</w:t>
      </w:r>
      <w:r>
        <w:rPr>
          <w:rStyle w:val="stext1"/>
          <w:rFonts w:ascii="sөũ" w:hAnsi="sөũ"/>
          <w:b/>
          <w:color w:val="000000"/>
          <w:sz w:val="24"/>
          <w:szCs w:val="24"/>
          <w:u w:val="single"/>
        </w:rPr>
        <w:t>尚以足以改變公務人員身分關係，或於公務人員權利有重大影響，或基於公務人員身分所產生之公法上財產請求權遭受侵害等事項，為得提起復審之範圍</w:t>
      </w:r>
      <w:r>
        <w:rPr>
          <w:rStyle w:val="ae"/>
          <w:rFonts w:ascii="sөũ" w:hAnsi="sөũ" w:hint="eastAsia"/>
          <w:color w:val="000000"/>
        </w:rPr>
        <w:footnoteReference w:id="4"/>
      </w:r>
      <w:r>
        <w:rPr>
          <w:rStyle w:val="stext1"/>
          <w:rFonts w:ascii="sөũ" w:hAnsi="sөũ"/>
          <w:color w:val="000000"/>
          <w:sz w:val="24"/>
          <w:szCs w:val="24"/>
        </w:rPr>
        <w:t>。</w:t>
      </w:r>
      <w:r>
        <w:rPr>
          <w:rStyle w:val="stext1"/>
          <w:rFonts w:ascii="sөũ" w:hAnsi="sөũ" w:hint="eastAsia"/>
          <w:color w:val="000000"/>
          <w:sz w:val="24"/>
          <w:szCs w:val="24"/>
        </w:rPr>
        <w:t>因此對於公務人員所為之不利處分，倘若對</w:t>
      </w:r>
      <w:r>
        <w:rPr>
          <w:rStyle w:val="stext1"/>
          <w:rFonts w:ascii="sөũ" w:hAnsi="sөũ"/>
          <w:color w:val="000000"/>
          <w:sz w:val="24"/>
          <w:szCs w:val="24"/>
        </w:rPr>
        <w:t>於公務人員權利</w:t>
      </w:r>
      <w:r>
        <w:rPr>
          <w:rStyle w:val="stext1"/>
          <w:rFonts w:ascii="sөũ" w:hAnsi="sөũ" w:hint="eastAsia"/>
          <w:color w:val="000000"/>
          <w:sz w:val="24"/>
          <w:szCs w:val="24"/>
        </w:rPr>
        <w:t>產生</w:t>
      </w:r>
      <w:r>
        <w:rPr>
          <w:rStyle w:val="stext1"/>
          <w:rFonts w:ascii="sөũ" w:hAnsi="sөũ"/>
          <w:color w:val="000000"/>
          <w:sz w:val="24"/>
          <w:szCs w:val="24"/>
        </w:rPr>
        <w:t>重大影響</w:t>
      </w:r>
      <w:r>
        <w:rPr>
          <w:rStyle w:val="stext1"/>
          <w:rFonts w:ascii="sөũ" w:hAnsi="sөũ" w:hint="eastAsia"/>
          <w:color w:val="000000"/>
          <w:sz w:val="24"/>
          <w:szCs w:val="24"/>
        </w:rPr>
        <w:t>時，亦得作為復審程序標的。</w:t>
      </w:r>
    </w:p>
    <w:p w:rsidR="00000000" w:rsidRDefault="00600B67">
      <w:pPr>
        <w:pStyle w:val="22"/>
        <w:spacing w:line="480" w:lineRule="auto"/>
        <w:rPr>
          <w:rStyle w:val="af3"/>
        </w:rPr>
      </w:pPr>
      <w:r>
        <w:rPr>
          <w:rFonts w:ascii="sөũ" w:hAnsi="sөũ" w:hint="eastAsia"/>
          <w:color w:val="000000"/>
        </w:rPr>
        <w:t>另根據保障法第</w:t>
      </w:r>
      <w:r>
        <w:rPr>
          <w:rFonts w:ascii="sөũ" w:hAnsi="sөũ" w:hint="eastAsia"/>
          <w:color w:val="000000"/>
        </w:rPr>
        <w:t>26</w:t>
      </w:r>
      <w:r>
        <w:rPr>
          <w:rFonts w:ascii="sөũ" w:hAnsi="sөũ"/>
          <w:color w:val="000000"/>
        </w:rPr>
        <w:t>條</w:t>
      </w:r>
      <w:r>
        <w:rPr>
          <w:rFonts w:ascii="sөũ" w:hAnsi="sөũ" w:hint="eastAsia"/>
          <w:color w:val="000000"/>
        </w:rPr>
        <w:t>規定，</w:t>
      </w:r>
      <w:r>
        <w:rPr>
          <w:rFonts w:ascii="sөũ" w:hAnsi="sөũ"/>
          <w:color w:val="000000"/>
        </w:rPr>
        <w:t>公務人員因原處分機關對其依法申請之案件，於法定期間內</w:t>
      </w:r>
      <w:r>
        <w:rPr>
          <w:rFonts w:ascii="sөũ" w:hAnsi="sөũ"/>
          <w:b/>
          <w:color w:val="000000"/>
        </w:rPr>
        <w:t>應作為而不作為</w:t>
      </w:r>
      <w:r>
        <w:rPr>
          <w:rFonts w:ascii="sөũ" w:hAnsi="sөũ"/>
          <w:color w:val="000000"/>
        </w:rPr>
        <w:t>，認為損害其權利或利益者，亦得提起復審。</w:t>
      </w:r>
      <w:r>
        <w:rPr>
          <w:rFonts w:ascii="sөũ" w:hAnsi="sөũ" w:hint="eastAsia"/>
          <w:color w:val="000000"/>
        </w:rPr>
        <w:t>這是一種課予義務的復審類型。保訓會</w:t>
      </w:r>
      <w:r>
        <w:rPr>
          <w:rFonts w:ascii="sөũ" w:hAnsi="sөũ" w:hint="eastAsia"/>
          <w:color w:val="000000"/>
        </w:rPr>
        <w:t>的立場似乎也將行政機關應作為的形式，限於</w:t>
      </w:r>
      <w:r>
        <w:rPr>
          <w:rFonts w:ascii="sөũ" w:hAnsi="sөũ" w:hint="eastAsia"/>
          <w:color w:val="000000"/>
        </w:rPr>
        <w:lastRenderedPageBreak/>
        <w:t>作成行政處分。換言之，行政機關受理作成行政處分之申請後，</w:t>
      </w:r>
      <w:r>
        <w:rPr>
          <w:rFonts w:ascii="sөũ" w:hAnsi="sөũ"/>
          <w:color w:val="000000"/>
        </w:rPr>
        <w:t>於法定期間內應作為而不作為</w:t>
      </w:r>
      <w:r>
        <w:rPr>
          <w:rFonts w:ascii="sөũ" w:hAnsi="sөũ" w:hint="eastAsia"/>
          <w:color w:val="000000"/>
        </w:rPr>
        <w:t>，公務人員亦得提起復審救濟</w:t>
      </w:r>
      <w:r>
        <w:rPr>
          <w:rStyle w:val="ae"/>
          <w:rFonts w:ascii="sөũ" w:hAnsi="sөũ" w:hint="eastAsia"/>
          <w:color w:val="000000"/>
        </w:rPr>
        <w:footnoteReference w:id="5"/>
      </w:r>
      <w:r>
        <w:rPr>
          <w:rFonts w:ascii="sөũ" w:hAnsi="sөũ" w:hint="eastAsia"/>
          <w:color w:val="000000"/>
        </w:rPr>
        <w:t>。</w:t>
      </w:r>
    </w:p>
    <w:p w:rsidR="00000000" w:rsidRDefault="00600B67">
      <w:pPr>
        <w:pStyle w:val="2"/>
        <w:spacing w:line="480" w:lineRule="auto"/>
        <w:rPr>
          <w:rFonts w:hint="eastAsia"/>
          <w:lang w:val="de-DE"/>
        </w:rPr>
      </w:pPr>
      <w:bookmarkStart w:id="10" w:name="_Toc121199225"/>
      <w:bookmarkStart w:id="11" w:name="_Toc121212697"/>
      <w:bookmarkStart w:id="12" w:name="_Toc121212960"/>
      <w:r>
        <w:rPr>
          <w:rFonts w:hint="eastAsia"/>
          <w:lang w:val="de-DE"/>
        </w:rPr>
        <w:t>4.3.</w:t>
      </w:r>
      <w:r>
        <w:rPr>
          <w:sz w:val="26"/>
          <w:lang w:val="de-DE"/>
        </w:rPr>
        <w:t>行政處分</w:t>
      </w:r>
      <w:r>
        <w:rPr>
          <w:sz w:val="26"/>
          <w:lang w:val="de-DE"/>
        </w:rPr>
        <w:t>v.s.</w:t>
      </w:r>
      <w:r>
        <w:rPr>
          <w:rFonts w:hint="eastAsia"/>
          <w:sz w:val="26"/>
          <w:lang w:val="de-DE"/>
        </w:rPr>
        <w:t>附第三人效力之行政</w:t>
      </w:r>
      <w:r>
        <w:rPr>
          <w:sz w:val="26"/>
          <w:lang w:val="de-DE"/>
        </w:rPr>
        <w:t>處分</w:t>
      </w:r>
      <w:bookmarkEnd w:id="10"/>
      <w:bookmarkEnd w:id="11"/>
      <w:bookmarkEnd w:id="12"/>
    </w:p>
    <w:p w:rsidR="00000000" w:rsidRDefault="00600B67">
      <w:pPr>
        <w:pStyle w:val="22"/>
        <w:spacing w:line="480" w:lineRule="auto"/>
        <w:rPr>
          <w:rFonts w:hint="eastAsia"/>
          <w:kern w:val="0"/>
        </w:rPr>
      </w:pPr>
      <w:r>
        <w:rPr>
          <w:rFonts w:hint="eastAsia"/>
          <w:kern w:val="0"/>
        </w:rPr>
        <w:t>由於保障法救濟體系的二元區分，管理措施與行政處分的認定成了最重要的救濟先決條件。實務上一般將管理措施涵蓋對於公務人員所為之不利處分。同時又將行政處分的概念外延超過行政程序法第</w:t>
      </w:r>
      <w:r>
        <w:rPr>
          <w:kern w:val="0"/>
        </w:rPr>
        <w:t>92</w:t>
      </w:r>
      <w:r>
        <w:rPr>
          <w:kern w:val="0"/>
        </w:rPr>
        <w:t>條第</w:t>
      </w:r>
      <w:r>
        <w:rPr>
          <w:kern w:val="0"/>
        </w:rPr>
        <w:t>1</w:t>
      </w:r>
      <w:r>
        <w:rPr>
          <w:rFonts w:hint="eastAsia"/>
          <w:kern w:val="0"/>
        </w:rPr>
        <w:t>項定義之行政處分概念。如此兩邊夾擊的結果，使得原本不易界分的這兩個概念界線更加模糊。</w:t>
      </w:r>
    </w:p>
    <w:p w:rsidR="00000000" w:rsidRDefault="00600B67">
      <w:pPr>
        <w:pStyle w:val="22"/>
        <w:spacing w:line="480" w:lineRule="auto"/>
        <w:rPr>
          <w:rFonts w:hint="eastAsia"/>
        </w:rPr>
      </w:pPr>
      <w:r>
        <w:rPr>
          <w:rFonts w:hint="eastAsia"/>
        </w:rPr>
        <w:t>過去囿於特別權力關係之理論，幾乎全盤否定</w:t>
      </w:r>
      <w:r>
        <w:rPr>
          <w:rFonts w:hint="eastAsia"/>
        </w:rPr>
        <w:t>行政機關內部管理措施會是發生「權利」作用的行為，更遑論將之理解為行政處分。但所幸實務上自大法官解釋釋字第</w:t>
      </w:r>
      <w:r>
        <w:rPr>
          <w:rFonts w:hint="eastAsia"/>
        </w:rPr>
        <w:t>187</w:t>
      </w:r>
      <w:r>
        <w:rPr>
          <w:rFonts w:hint="eastAsia"/>
        </w:rPr>
        <w:t>號解釋以降，逐步承認公務員的權利地位，突破特別權力關係理論後，更在釋字第</w:t>
      </w:r>
      <w:r>
        <w:rPr>
          <w:rFonts w:hint="eastAsia"/>
        </w:rPr>
        <w:t>243</w:t>
      </w:r>
      <w:r>
        <w:rPr>
          <w:rFonts w:hint="eastAsia"/>
        </w:rPr>
        <w:t>號解釋中，接受所謂經營關係與基礎關係的區分，認為行政機關對於公務員所為之不利處分應據此分別論斷其法律救濟之可能性。倘若直接影響其憲法所保障之服公職權利，已經造成公務員之基礎關係變動，受處分之公務員自得行使憲法第</w:t>
      </w:r>
      <w:r>
        <w:rPr>
          <w:rFonts w:hint="eastAsia"/>
        </w:rPr>
        <w:t>16</w:t>
      </w:r>
      <w:r>
        <w:rPr>
          <w:rFonts w:hint="eastAsia"/>
        </w:rPr>
        <w:t>條訴願及訴訟之權，方符有權利即有救濟之法理。但是若僅屬於經營關係下之管理措施，並未改變公務員之身分關係，不直接</w:t>
      </w:r>
      <w:r>
        <w:rPr>
          <w:rFonts w:hint="eastAsia"/>
        </w:rPr>
        <w:t>影響人民服公職之權利，仍不許其以訴訟請求救濟。其後，大法官更在釋字第</w:t>
      </w:r>
      <w:r>
        <w:rPr>
          <w:rFonts w:hint="eastAsia"/>
        </w:rPr>
        <w:t>298</w:t>
      </w:r>
      <w:r>
        <w:rPr>
          <w:rFonts w:hint="eastAsia"/>
        </w:rPr>
        <w:t>號解釋中，放棄基礎關係與經營關係之區分方式，主張關於足以改變公務員身分或對於公務員有重大影響之不利處分，受處分人均得向司法機關聲明不服，由該司法機關就原處分是否違法加以審查，以資救濟。由於彼時行政訴訟僅撤銷訴訟一類，其訴訟之程序標的有僅限於行政處分，故而會讓我們反推認定這些足以改變公務</w:t>
      </w:r>
      <w:r>
        <w:rPr>
          <w:rFonts w:hint="eastAsia"/>
        </w:rPr>
        <w:lastRenderedPageBreak/>
        <w:t>員身分或對於公務員有重大影響之不利處分即為行政處分。一時之間，對於公務員是否有重大影響的浮動游標，反成為決定行政處分的要素是否具備的最重要客觀基準。果如</w:t>
      </w:r>
      <w:r>
        <w:rPr>
          <w:rFonts w:hint="eastAsia"/>
        </w:rPr>
        <w:t>此，行政處分的判斷發生相對化的現象</w:t>
      </w:r>
      <w:r>
        <w:rPr>
          <w:rStyle w:val="ae"/>
        </w:rPr>
        <w:footnoteReference w:id="6"/>
      </w:r>
      <w:r>
        <w:rPr>
          <w:rFonts w:hint="eastAsia"/>
        </w:rPr>
        <w:t>，並不足為奇。</w:t>
      </w:r>
    </w:p>
    <w:p w:rsidR="00000000" w:rsidRDefault="00600B67">
      <w:pPr>
        <w:pStyle w:val="22"/>
        <w:spacing w:line="480" w:lineRule="auto"/>
        <w:rPr>
          <w:rFonts w:hint="eastAsia"/>
        </w:rPr>
      </w:pPr>
      <w:r>
        <w:rPr>
          <w:rFonts w:hint="eastAsia"/>
        </w:rPr>
        <w:t>對於此一問題，李建良教授在檢討公務人員保障法復審標的範圍的大作</w:t>
      </w:r>
      <w:r>
        <w:rPr>
          <w:rStyle w:val="ae"/>
          <w:rFonts w:ascii="Arial" w:hAnsi="Arial" w:cs="Arial"/>
        </w:rPr>
        <w:footnoteReference w:id="7"/>
      </w:r>
      <w:r>
        <w:rPr>
          <w:rFonts w:hint="eastAsia"/>
        </w:rPr>
        <w:t>中，有令人深省的回應。李教授在本文中首先就公務人員保障法第</w:t>
      </w:r>
      <w:r>
        <w:rPr>
          <w:rFonts w:hint="eastAsia"/>
        </w:rPr>
        <w:t>25</w:t>
      </w:r>
      <w:r>
        <w:rPr>
          <w:rFonts w:hint="eastAsia"/>
        </w:rPr>
        <w:t>條（舊第</w:t>
      </w:r>
      <w:r>
        <w:rPr>
          <w:rFonts w:hint="eastAsia"/>
        </w:rPr>
        <w:t>18</w:t>
      </w:r>
      <w:r>
        <w:rPr>
          <w:rFonts w:hint="eastAsia"/>
        </w:rPr>
        <w:t>條）中「行政處分」規定之意涵加以詮釋。學說與實務上對於本法之規定是否與訴願法第</w:t>
      </w:r>
      <w:r>
        <w:rPr>
          <w:rFonts w:hint="eastAsia"/>
        </w:rPr>
        <w:t>3</w:t>
      </w:r>
      <w:r>
        <w:rPr>
          <w:rFonts w:hint="eastAsia"/>
        </w:rPr>
        <w:t>條第</w:t>
      </w:r>
      <w:r>
        <w:rPr>
          <w:rFonts w:hint="eastAsia"/>
        </w:rPr>
        <w:t>1</w:t>
      </w:r>
      <w:r>
        <w:rPr>
          <w:rFonts w:hint="eastAsia"/>
        </w:rPr>
        <w:t>項有關行政處分之定義內容相同，依李教授之見，略有認為本法既無規定，自應從訴願法規定者</w:t>
      </w:r>
      <w:r>
        <w:rPr>
          <w:rStyle w:val="ae"/>
          <w:rFonts w:ascii="Arial" w:hAnsi="Arial" w:cs="Arial"/>
        </w:rPr>
        <w:footnoteReference w:id="8"/>
      </w:r>
      <w:r>
        <w:rPr>
          <w:rFonts w:hint="eastAsia"/>
        </w:rPr>
        <w:t>；以及有認為兩法規定有別，其內涵應參酌歷來大法官解釋與行政法院裁判見解者</w:t>
      </w:r>
      <w:r>
        <w:rPr>
          <w:rStyle w:val="ae"/>
          <w:rFonts w:ascii="Arial" w:hAnsi="Arial" w:cs="Arial"/>
        </w:rPr>
        <w:footnoteReference w:id="9"/>
      </w:r>
      <w:r>
        <w:rPr>
          <w:rFonts w:hint="eastAsia"/>
        </w:rPr>
        <w:t>。但李教授認為，這兩種看法似異而實同。作為複審標的的「行政處分」必須符合（一</w:t>
      </w:r>
      <w:r>
        <w:rPr>
          <w:rFonts w:hint="eastAsia"/>
        </w:rPr>
        <w:t>）須為行政機關之行為、（二）須為行政機關之公法行為、（三）須為行政機關之單方行為、（四）須針對具體事件之行政行為、（五）須對外直接發生法律效果、（六）須為行政機關之決定或公權利措施等特徵方屬之。而在公務員勤務關係下，服務機關對於公務員之行為，尤以是否具備「須對外直接發生法律效果」之要素最難判斷。李教授在此讚許大法官解釋中，建構出以「對於公務員權益有重大影響」作為認定行政處分之基礎，突破特</w:t>
      </w:r>
      <w:r>
        <w:rPr>
          <w:rFonts w:hint="eastAsia"/>
        </w:rPr>
        <w:lastRenderedPageBreak/>
        <w:t>別權力關係不具「外部效力」之藩籬</w:t>
      </w:r>
      <w:r>
        <w:rPr>
          <w:rStyle w:val="ae"/>
          <w:rFonts w:ascii="Arial" w:hAnsi="Arial" w:cs="Arial"/>
        </w:rPr>
        <w:footnoteReference w:id="10"/>
      </w:r>
      <w:r>
        <w:rPr>
          <w:rFonts w:hint="eastAsia"/>
        </w:rPr>
        <w:t>。李教授在文後，並以法官免兼庭長職務的決定為例印證說明。在此李教授一方面接受如德國學界普</w:t>
      </w:r>
      <w:r>
        <w:rPr>
          <w:rFonts w:hint="eastAsia"/>
        </w:rPr>
        <w:t>遍的看法，認為行政處分特徵中有關是否「直接發生法律上對外效力」的判準，應從客觀規範內容的目標設定，而非取決於個該措施的事實上效應</w:t>
      </w:r>
      <w:r>
        <w:rPr>
          <w:rStyle w:val="ae"/>
          <w:rFonts w:ascii="Arial" w:hAnsi="Arial" w:cs="Arial"/>
        </w:rPr>
        <w:footnoteReference w:id="11"/>
      </w:r>
      <w:r>
        <w:rPr>
          <w:rFonts w:hint="eastAsia"/>
        </w:rPr>
        <w:t>。若公務員的職務調動，雖在同一機關之內，且未改變職等或職系，其若影響到公務員的權益者，為行政處分。而是否影響公務員的權益，則須從系爭決定的規範內容，並參酌相關規定及事實綜合判斷之。此時應依其客觀的內涵，審究其是否僅是機關內部的職務調整，抑或以形成改變公務員個人權利地位為目的，至於「事實上」的效應，非在考慮之列。而對於法官免兼庭長之決定，李教授進一步認為，「庭長」乃法院組織法及行政</w:t>
      </w:r>
      <w:r>
        <w:rPr>
          <w:rFonts w:hint="eastAsia"/>
        </w:rPr>
        <w:t>法院組織法所明定的職位（「法定職位」），而非司法行政機關本於其組織權限所設置。而在晉敘的起點上，庭長亦較一般法官為高。再者，庭長一職通常被視為一種榮譽職，庭長職位的免除，對當事人之外在觀瞻，難免影響。基於以上理由，應屬行政處分</w:t>
      </w:r>
      <w:r>
        <w:rPr>
          <w:rStyle w:val="ae"/>
          <w:rFonts w:ascii="Arial" w:hAnsi="Arial" w:cs="Arial"/>
        </w:rPr>
        <w:footnoteReference w:id="12"/>
      </w:r>
      <w:r>
        <w:rPr>
          <w:rFonts w:hint="eastAsia"/>
        </w:rPr>
        <w:t>。</w:t>
      </w:r>
    </w:p>
    <w:p w:rsidR="00000000" w:rsidRDefault="00600B67">
      <w:pPr>
        <w:pStyle w:val="22"/>
        <w:spacing w:line="480" w:lineRule="auto"/>
        <w:rPr>
          <w:rFonts w:hint="eastAsia"/>
        </w:rPr>
      </w:pPr>
      <w:r>
        <w:rPr>
          <w:rFonts w:hint="eastAsia"/>
        </w:rPr>
        <w:t>對於李教授的主張，許宗力大法官則呼應指出，對於公務員權益的重大影響，在行政處分的判斷上，比起公務員身分是否因而改變的判準，具有較關鍵的地位。而所謂的「權益」重大影響，並不限於財產權的重大影響。以法官免兼庭長的決定而言，應該還包括憲法保障的名譽基本權。許大法官並引大法官釋字第</w:t>
      </w:r>
      <w:r>
        <w:rPr>
          <w:rFonts w:hint="eastAsia"/>
        </w:rPr>
        <w:lastRenderedPageBreak/>
        <w:t>187</w:t>
      </w:r>
      <w:r>
        <w:rPr>
          <w:rFonts w:hint="eastAsia"/>
        </w:rPr>
        <w:t>號解釋對照，在此號解釋中不論金額大小，只要涉及對於公務員的公法上財產權的決定均屬行政處分，否定涉及名譽權的免兼庭長決定為行政處分的看法，似乎並不公平。因此如果可以名譽權來作為判斷的話，對於過去同屬特別權利關係下之學生的「記過」處分，也應該認為是一個行政處分，至於對於學生之「警告、申誡」，則只是對於學生名譽權微不足道的輕微干預</w:t>
      </w:r>
      <w:r>
        <w:rPr>
          <w:rStyle w:val="ae"/>
          <w:rFonts w:ascii="Arial" w:hAnsi="Arial" w:cs="Arial"/>
        </w:rPr>
        <w:footnoteReference w:id="13"/>
      </w:r>
      <w:r>
        <w:rPr>
          <w:rFonts w:hint="eastAsia"/>
        </w:rPr>
        <w:t>。</w:t>
      </w:r>
    </w:p>
    <w:p w:rsidR="00000000" w:rsidRDefault="00600B67">
      <w:pPr>
        <w:pStyle w:val="22"/>
        <w:spacing w:line="480" w:lineRule="auto"/>
        <w:rPr>
          <w:rFonts w:hint="eastAsia"/>
        </w:rPr>
      </w:pPr>
      <w:r>
        <w:rPr>
          <w:rFonts w:hint="eastAsia"/>
        </w:rPr>
        <w:t>對於學者們之見解，似乎有進一步說明之必要。首先應該肯定的是，複審標的之行政處分的判斷，應該與訴願法第</w:t>
      </w:r>
      <w:r>
        <w:rPr>
          <w:rFonts w:hint="eastAsia"/>
        </w:rPr>
        <w:t>3</w:t>
      </w:r>
      <w:r>
        <w:rPr>
          <w:rFonts w:hint="eastAsia"/>
        </w:rPr>
        <w:t>條第</w:t>
      </w:r>
      <w:r>
        <w:rPr>
          <w:rFonts w:hint="eastAsia"/>
        </w:rPr>
        <w:t>1</w:t>
      </w:r>
      <w:r>
        <w:rPr>
          <w:rFonts w:hint="eastAsia"/>
        </w:rPr>
        <w:t>項，甚至行政程序法第</w:t>
      </w:r>
      <w:r>
        <w:rPr>
          <w:rFonts w:hint="eastAsia"/>
        </w:rPr>
        <w:t>92</w:t>
      </w:r>
      <w:r>
        <w:rPr>
          <w:rFonts w:hint="eastAsia"/>
        </w:rPr>
        <w:t>條第</w:t>
      </w:r>
      <w:r>
        <w:rPr>
          <w:rFonts w:hint="eastAsia"/>
        </w:rPr>
        <w:t>1</w:t>
      </w:r>
      <w:r>
        <w:rPr>
          <w:rFonts w:hint="eastAsia"/>
        </w:rPr>
        <w:t>項的定義無異。不過是不是跟大法官解釋的認定</w:t>
      </w:r>
      <w:r>
        <w:rPr>
          <w:rFonts w:hint="eastAsia"/>
        </w:rPr>
        <w:t>絕對吻合，一如李教授前文所指，兩者間似異而實同，本文仍有質疑。因為根據訴願法第</w:t>
      </w:r>
      <w:r>
        <w:rPr>
          <w:rFonts w:hint="eastAsia"/>
        </w:rPr>
        <w:t>3</w:t>
      </w:r>
      <w:r>
        <w:rPr>
          <w:rFonts w:hint="eastAsia"/>
        </w:rPr>
        <w:t>條第</w:t>
      </w:r>
      <w:r>
        <w:rPr>
          <w:rFonts w:hint="eastAsia"/>
        </w:rPr>
        <w:t>1</w:t>
      </w:r>
      <w:r>
        <w:rPr>
          <w:rFonts w:hint="eastAsia"/>
        </w:rPr>
        <w:t>項或行政程序法第</w:t>
      </w:r>
      <w:r>
        <w:rPr>
          <w:rFonts w:hint="eastAsia"/>
        </w:rPr>
        <w:t>92</w:t>
      </w:r>
      <w:r>
        <w:rPr>
          <w:rFonts w:hint="eastAsia"/>
        </w:rPr>
        <w:t>條第</w:t>
      </w:r>
      <w:r>
        <w:rPr>
          <w:rFonts w:hint="eastAsia"/>
        </w:rPr>
        <w:t>1</w:t>
      </w:r>
      <w:r>
        <w:rPr>
          <w:rFonts w:hint="eastAsia"/>
        </w:rPr>
        <w:t>項的定義，在公務員法上，行政處分的判斷的確如李教授前文所稱，以是否發生「對外直接法律效果」的認定最具爭議。但是不論大法官的解釋或者如前揭學者之主張，似乎都傾向認同以「是否對於公務員權益重大影響」取代此一要素的判斷。所以在公務員法上，行政處分的定義，其實會被理解成「</w:t>
      </w:r>
      <w:r>
        <w:rPr>
          <w:rFonts w:hint="eastAsia"/>
          <w:b/>
          <w:bCs/>
        </w:rPr>
        <w:t>行政機關就公法上具體事件所為之決定或其他公權力之措施而『對公務員造成重大權益影響』之單方法律行為</w:t>
      </w:r>
      <w:r>
        <w:rPr>
          <w:rFonts w:hint="eastAsia"/>
        </w:rPr>
        <w:t>」。這一個意義上的轉折，使得原本行政處分</w:t>
      </w:r>
      <w:r>
        <w:rPr>
          <w:rFonts w:hint="eastAsia"/>
        </w:rPr>
        <w:t>定義中「外部性」與「直接法效性」的判斷一次被取代掉。但是我們如果仔細思考，是否對於公務員權益發生重大影響，也必須再區分三個層面判斷。第一，必須涉及公務員「權益」，第二是這個權益受到影響，第三這個影響必須「重大」。前者的思考與行政處分具備法效性的思考似乎類似，行政處分的法律效果，客觀上必須是對於公務員法律上的地位造成影響。這必須「從系爭決定的規範內容，並參酌</w:t>
      </w:r>
      <w:r>
        <w:rPr>
          <w:rFonts w:hint="eastAsia"/>
        </w:rPr>
        <w:lastRenderedPageBreak/>
        <w:t>相關規定及事實綜合判斷之」，以類似保護規範理論的理解方式加以判斷，當可接受。所以在法官免兼庭長的決定上，客觀上去解釋相關法規上對於「庭長」一職的規定具有賦</w:t>
      </w:r>
      <w:r>
        <w:rPr>
          <w:rFonts w:hint="eastAsia"/>
        </w:rPr>
        <w:t>予其特定法律上地位的操作方式，固可接受。但是即使如李教授所論，「庭長一職在整個法官公務生涯上，較之通常法官具有較高的職等</w:t>
      </w:r>
      <w:r>
        <w:rPr>
          <w:rStyle w:val="ae"/>
          <w:rFonts w:ascii="Arial" w:hAnsi="Arial" w:cs="Arial"/>
        </w:rPr>
        <w:footnoteReference w:id="14"/>
      </w:r>
      <w:r>
        <w:rPr>
          <w:rFonts w:hint="eastAsia"/>
        </w:rPr>
        <w:t>」，這是否即為法律上欲加以保護之地位，仍有疑問。同時免兼庭長的決定是否對於這個法律上的地位給予任何的形成或確認的影響，似乎並未發生。以此即推論該決定為行政處分，恐怕還是值得斟酌。就第二點而言，前述論者之處理方式並無法完全涵蓋行政處分作為一種具有規制效果的公法上意思表示，在主觀面上，應該強調的法效意思，或者行政機關或主管長官作成該處分之主觀目的性</w:t>
      </w:r>
      <w:r>
        <w:rPr>
          <w:rStyle w:val="ae"/>
          <w:rFonts w:ascii="Arial" w:hAnsi="Arial" w:cs="Arial"/>
        </w:rPr>
        <w:footnoteReference w:id="15"/>
      </w:r>
      <w:r>
        <w:rPr>
          <w:rFonts w:hint="eastAsia"/>
        </w:rPr>
        <w:t>。</w:t>
      </w:r>
    </w:p>
    <w:p w:rsidR="00000000" w:rsidRDefault="00600B67">
      <w:pPr>
        <w:pStyle w:val="22"/>
        <w:spacing w:line="480" w:lineRule="auto"/>
        <w:rPr>
          <w:rFonts w:hint="eastAsia"/>
        </w:rPr>
      </w:pPr>
      <w:r>
        <w:rPr>
          <w:rFonts w:hint="eastAsia"/>
        </w:rPr>
        <w:t>至於許宗力大法官的立場，則是直接以基本</w:t>
      </w:r>
      <w:r>
        <w:rPr>
          <w:rFonts w:hint="eastAsia"/>
        </w:rPr>
        <w:t>權理論的論述（李教授亦兼採之），主張對於法官免兼庭長的決定直接影響到法官的隱私權，因此即認定該決定為行政處分。許大法官的說法其實也只是回答了此時該決定對於法官是否有「權益」影響，其進一步直接援引基本權作為請求權，承認所謂「基本權在規範外的效力（</w:t>
      </w:r>
      <w:r>
        <w:rPr>
          <w:rFonts w:hint="eastAsia"/>
        </w:rPr>
        <w:t>normexterne Wirkung</w:t>
      </w:r>
      <w:r>
        <w:rPr>
          <w:rFonts w:hint="eastAsia"/>
        </w:rPr>
        <w:t>）」而已</w:t>
      </w:r>
      <w:r>
        <w:rPr>
          <w:rStyle w:val="ae"/>
          <w:rFonts w:ascii="Arial" w:hAnsi="Arial" w:cs="Arial"/>
        </w:rPr>
        <w:footnoteReference w:id="16"/>
      </w:r>
      <w:r>
        <w:rPr>
          <w:rFonts w:hint="eastAsia"/>
        </w:rPr>
        <w:t>。姑且不論方法論的問題，我們也承認所謂的權益重大影響，並不限於財產權的重大影響，而應該還包括憲法保障的名譽基本權。只是權益受侵害與否跟造成權益侵害的公權力行為是否為行政處分並非同一問題。</w:t>
      </w:r>
    </w:p>
    <w:p w:rsidR="00000000" w:rsidRDefault="00600B67">
      <w:pPr>
        <w:pStyle w:val="22"/>
        <w:spacing w:line="480" w:lineRule="auto"/>
        <w:rPr>
          <w:rFonts w:hint="eastAsia"/>
        </w:rPr>
      </w:pPr>
      <w:r>
        <w:rPr>
          <w:rFonts w:hint="eastAsia"/>
        </w:rPr>
        <w:t>本文在此否定涉及名譽權的免兼庭長</w:t>
      </w:r>
      <w:r>
        <w:rPr>
          <w:rFonts w:hint="eastAsia"/>
        </w:rPr>
        <w:t>決定為行政處分。其之所以不被認定為</w:t>
      </w:r>
      <w:r>
        <w:rPr>
          <w:rFonts w:hint="eastAsia"/>
        </w:rPr>
        <w:lastRenderedPageBreak/>
        <w:t>行政處分的原因應該是因為「外部性」與「直接法效性」的要素不具備使然。若以論者與實務的解釋，行政處分的判斷必須取決於公權力措施是否對於公務員權益發生重大影響，於此必須再判斷是否涉及公務員「權益」、是否權益受到影響，以及這個影響是否「重大」。正因為這種奇特的判準，才會有對於公務員或學生的「記過」處分，被認定為是一個行政處分，至於「警告、申誡」行為，則只是對於公務員或學生名譽權微不足道的輕微干預的說法（論者似乎在此規避是否為行政處分的回答）。如果對於公務員或學生為記過處分是一個重</w:t>
      </w:r>
      <w:r>
        <w:rPr>
          <w:rFonts w:hint="eastAsia"/>
        </w:rPr>
        <w:t>大影響名譽權的措施，何以對於公務員或學生的警告或申誡就僅是微不足道的干預。對於一個過犯無數的學生而言，再記上一個大過的處分或許對他毫無感覺，但是對於一個從無過犯的品行優良學生來說，一個申誡處分恐怕即會令之痛不欲生。如何輕言這是一種微不足道的干預？行政處分定義的判斷其實並無意識到權益影響的重大與否，因此，以高度不確定的「重大影響」與否判斷是否為行政處分，並進一步論斷是否給予權利救濟的作法，其實仍有疑問</w:t>
      </w:r>
      <w:r>
        <w:rPr>
          <w:rStyle w:val="ae"/>
          <w:rFonts w:ascii="Arial" w:hAnsi="Arial" w:cs="Arial"/>
        </w:rPr>
        <w:footnoteReference w:id="17"/>
      </w:r>
      <w:r>
        <w:rPr>
          <w:rFonts w:hint="eastAsia"/>
        </w:rPr>
        <w:t>（參附圖三）。</w:t>
      </w:r>
    </w:p>
    <w:p w:rsidR="00000000" w:rsidRDefault="00600B67">
      <w:pPr>
        <w:pStyle w:val="22"/>
        <w:spacing w:line="480" w:lineRule="auto"/>
        <w:ind w:firstLineChars="0" w:firstLine="0"/>
        <w:rPr>
          <w:rFonts w:ascii="標楷體" w:eastAsia="標楷體" w:hAnsi="標楷體" w:hint="eastAsia"/>
        </w:rPr>
      </w:pPr>
      <w:r>
        <w:rPr>
          <w:rFonts w:ascii="標楷體" w:eastAsia="標楷體" w:hAnsi="標楷體" w:hint="eastAsia"/>
        </w:rPr>
        <w:t>附圖三：權利重大影響與行政處分屬性的演繹</w:t>
      </w:r>
    </w:p>
    <w:tbl>
      <w:tblPr>
        <w:tblW w:w="0" w:type="auto"/>
        <w:tblCellMar>
          <w:left w:w="28" w:type="dxa"/>
          <w:right w:w="28" w:type="dxa"/>
        </w:tblCellMar>
        <w:tblLook w:val="0000" w:firstRow="0" w:lastRow="0" w:firstColumn="0" w:lastColumn="0" w:noHBand="0" w:noVBand="0"/>
      </w:tblPr>
      <w:tblGrid>
        <w:gridCol w:w="1672"/>
        <w:gridCol w:w="1416"/>
        <w:gridCol w:w="1620"/>
        <w:gridCol w:w="1981"/>
        <w:gridCol w:w="1673"/>
      </w:tblGrid>
      <w:tr w:rsidR="00000000">
        <w:tblPrEx>
          <w:tblCellMar>
            <w:top w:w="0" w:type="dxa"/>
            <w:bottom w:w="0" w:type="dxa"/>
          </w:tblCellMar>
        </w:tblPrEx>
        <w:tc>
          <w:tcPr>
            <w:tcW w:w="1672" w:type="dxa"/>
            <w:tcBorders>
              <w:top w:val="single" w:sz="12" w:space="0" w:color="auto"/>
              <w:left w:val="single" w:sz="12" w:space="0" w:color="auto"/>
              <w:bottom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eastAsia="標楷體" w:hint="eastAsia"/>
              </w:rPr>
              <w:t>足以改變公務員身分或對於公務員有重大影響之處分</w:t>
            </w:r>
          </w:p>
        </w:tc>
        <w:tc>
          <w:tcPr>
            <w:tcW w:w="1416" w:type="dxa"/>
            <w:tcBorders>
              <w:left w:val="single" w:sz="12" w:space="0" w:color="auto"/>
              <w:right w:val="single" w:sz="12" w:space="0" w:color="auto"/>
            </w:tcBorders>
          </w:tcPr>
          <w:p w:rsidR="00000000" w:rsidRDefault="002A7705">
            <w:pPr>
              <w:jc w:val="cente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81280</wp:posOffset>
                      </wp:positionH>
                      <wp:positionV relativeFrom="paragraph">
                        <wp:posOffset>243840</wp:posOffset>
                      </wp:positionV>
                      <wp:extent cx="685800" cy="342900"/>
                      <wp:effectExtent l="11430" t="20320" r="17145" b="1778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striped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9BBF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4" o:spid="_x0000_s1026" type="#_x0000_t93" style="position:absolute;margin-left:6.4pt;margin-top:19.2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"/>
                  </w:pict>
                </mc:Fallback>
              </mc:AlternateContent>
            </w:r>
          </w:p>
        </w:tc>
        <w:tc>
          <w:tcPr>
            <w:tcW w:w="1620" w:type="dxa"/>
            <w:tcBorders>
              <w:top w:val="single" w:sz="12" w:space="0" w:color="auto"/>
              <w:left w:val="single" w:sz="12" w:space="0" w:color="auto"/>
              <w:bottom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ascii="Arial" w:eastAsia="標楷體" w:hAnsi="Arial" w:cs="Arial" w:hint="eastAsia"/>
              </w:rPr>
              <w:t>有救濟必要</w:t>
            </w:r>
          </w:p>
          <w:p w:rsidR="00000000" w:rsidRDefault="00600B67">
            <w:pPr>
              <w:jc w:val="center"/>
              <w:rPr>
                <w:rFonts w:ascii="Arial" w:eastAsia="標楷體" w:hAnsi="Arial" w:cs="Arial" w:hint="eastAsia"/>
              </w:rPr>
            </w:pPr>
          </w:p>
        </w:tc>
        <w:tc>
          <w:tcPr>
            <w:tcW w:w="1981" w:type="dxa"/>
            <w:tcBorders>
              <w:left w:val="single" w:sz="12" w:space="0" w:color="auto"/>
              <w:right w:val="single" w:sz="12" w:space="0" w:color="auto"/>
            </w:tcBorders>
            <w:vAlign w:val="center"/>
          </w:tcPr>
          <w:p w:rsidR="00000000" w:rsidRDefault="00600B67">
            <w:pPr>
              <w:jc w:val="center"/>
              <w:rPr>
                <w:rFonts w:ascii="Arial" w:eastAsia="標楷體" w:hAnsi="Arial" w:cs="Arial" w:hint="eastAsia"/>
                <w:sz w:val="104"/>
              </w:rPr>
            </w:pPr>
            <w:r>
              <w:rPr>
                <w:rFonts w:ascii="Arial" w:hAnsi="Arial" w:cs="Arial"/>
                <w:sz w:val="104"/>
              </w:rPr>
              <w:t>?</w:t>
            </w:r>
            <w:r w:rsidR="002A7705">
              <w:rPr>
                <w:rFonts w:ascii="Arial" w:eastAsia="標楷體" w:hAnsi="Arial" w:cs="Arial"/>
                <w:noProof/>
                <w:sz w:val="104"/>
              </w:rPr>
              <mc:AlternateContent>
                <mc:Choice Requires="wps">
                  <w:drawing>
                    <wp:anchor distT="0" distB="0" distL="114300" distR="114300" simplePos="0" relativeHeight="251655168" behindDoc="1" locked="0" layoutInCell="1" allowOverlap="1">
                      <wp:simplePos x="0" y="0"/>
                      <wp:positionH relativeFrom="column">
                        <wp:posOffset>210820</wp:posOffset>
                      </wp:positionH>
                      <wp:positionV relativeFrom="paragraph">
                        <wp:posOffset>267970</wp:posOffset>
                      </wp:positionV>
                      <wp:extent cx="914400" cy="342900"/>
                      <wp:effectExtent l="11430" t="15875" r="17145" b="2222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stripedRightArrow">
                                <a:avLst>
                                  <a:gd name="adj1" fmla="val 50000"/>
                                  <a:gd name="adj2"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1B36" id="AutoShape 63" o:spid="_x0000_s1026" type="#_x0000_t93" style="position:absolute;margin-left:16.6pt;margin-top:21.1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"/>
                  </w:pict>
                </mc:Fallback>
              </mc:AlternateContent>
            </w:r>
          </w:p>
        </w:tc>
        <w:tc>
          <w:tcPr>
            <w:tcW w:w="1673" w:type="dxa"/>
            <w:tcBorders>
              <w:top w:val="single" w:sz="12" w:space="0" w:color="auto"/>
              <w:left w:val="single" w:sz="12" w:space="0" w:color="auto"/>
              <w:bottom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ascii="Arial" w:eastAsia="標楷體" w:hAnsi="Arial" w:cs="Arial" w:hint="eastAsia"/>
              </w:rPr>
              <w:t>對於公務員權益之重大影響行為＝行政處分</w:t>
            </w:r>
          </w:p>
        </w:tc>
      </w:tr>
      <w:tr w:rsidR="00000000">
        <w:tblPrEx>
          <w:tblCellMar>
            <w:top w:w="0" w:type="dxa"/>
            <w:bottom w:w="0" w:type="dxa"/>
          </w:tblCellMar>
        </w:tblPrEx>
        <w:tc>
          <w:tcPr>
            <w:tcW w:w="1672" w:type="dxa"/>
            <w:tcBorders>
              <w:top w:val="single" w:sz="12" w:space="0" w:color="auto"/>
            </w:tcBorders>
          </w:tcPr>
          <w:p w:rsidR="00000000" w:rsidRDefault="00600B67">
            <w:pPr>
              <w:jc w:val="center"/>
              <w:rPr>
                <w:rFonts w:ascii="Arial" w:eastAsia="標楷體" w:hAnsi="Arial" w:cs="Arial" w:hint="eastAsia"/>
              </w:rPr>
            </w:pPr>
          </w:p>
        </w:tc>
        <w:tc>
          <w:tcPr>
            <w:tcW w:w="1416" w:type="dxa"/>
          </w:tcPr>
          <w:p w:rsidR="00000000" w:rsidRDefault="00600B67">
            <w:pPr>
              <w:jc w:val="center"/>
              <w:rPr>
                <w:rFonts w:ascii="Arial" w:eastAsia="標楷體" w:hAnsi="Arial" w:cs="Arial" w:hint="eastAsia"/>
              </w:rPr>
            </w:pPr>
            <w:r>
              <w:rPr>
                <w:rFonts w:ascii="Arial" w:eastAsia="標楷體" w:hAnsi="Arial" w:cs="Arial" w:hint="eastAsia"/>
              </w:rPr>
              <w:t>正確的突破</w:t>
            </w:r>
          </w:p>
        </w:tc>
        <w:tc>
          <w:tcPr>
            <w:tcW w:w="1620" w:type="dxa"/>
            <w:tcBorders>
              <w:top w:val="single" w:sz="12" w:space="0" w:color="auto"/>
            </w:tcBorders>
          </w:tcPr>
          <w:p w:rsidR="00000000" w:rsidRDefault="00600B67">
            <w:pPr>
              <w:jc w:val="center"/>
              <w:rPr>
                <w:rFonts w:ascii="Arial" w:eastAsia="標楷體" w:hAnsi="Arial" w:cs="Arial" w:hint="eastAsia"/>
              </w:rPr>
            </w:pPr>
          </w:p>
        </w:tc>
        <w:tc>
          <w:tcPr>
            <w:tcW w:w="1981" w:type="dxa"/>
          </w:tcPr>
          <w:p w:rsidR="00000000" w:rsidRDefault="00600B67">
            <w:pPr>
              <w:jc w:val="center"/>
              <w:rPr>
                <w:rFonts w:ascii="Arial" w:eastAsia="標楷體" w:hAnsi="Arial" w:cs="Arial" w:hint="eastAsia"/>
              </w:rPr>
            </w:pPr>
            <w:r>
              <w:rPr>
                <w:rFonts w:ascii="Arial" w:eastAsia="標楷體" w:hAnsi="Arial" w:cs="Arial" w:hint="eastAsia"/>
              </w:rPr>
              <w:t>未必正確的演繹</w:t>
            </w:r>
          </w:p>
        </w:tc>
        <w:tc>
          <w:tcPr>
            <w:tcW w:w="1673" w:type="dxa"/>
            <w:tcBorders>
              <w:top w:val="single" w:sz="12" w:space="0" w:color="auto"/>
            </w:tcBorders>
          </w:tcPr>
          <w:p w:rsidR="00000000" w:rsidRDefault="00600B67">
            <w:pPr>
              <w:jc w:val="center"/>
              <w:rPr>
                <w:rFonts w:ascii="Arial" w:eastAsia="標楷體" w:hAnsi="Arial" w:cs="Arial" w:hint="eastAsia"/>
              </w:rPr>
            </w:pPr>
          </w:p>
        </w:tc>
      </w:tr>
    </w:tbl>
    <w:p w:rsidR="00000000" w:rsidRDefault="00600B67">
      <w:pPr>
        <w:pStyle w:val="22"/>
        <w:spacing w:line="480" w:lineRule="auto"/>
        <w:rPr>
          <w:rFonts w:hint="eastAsia"/>
        </w:rPr>
      </w:pPr>
      <w:r>
        <w:rPr>
          <w:rFonts w:hint="eastAsia"/>
        </w:rPr>
        <w:t>本文認為，即令對於公務員權益（財產權或名譽權均無等差）造成影響，而有給予權利救濟之必要，亦不必然回答了對於權益造成影響的行政行為必須為行</w:t>
      </w:r>
      <w:r>
        <w:rPr>
          <w:rFonts w:hint="eastAsia"/>
        </w:rPr>
        <w:lastRenderedPageBreak/>
        <w:t>政處分</w:t>
      </w:r>
      <w:r>
        <w:rPr>
          <w:rStyle w:val="ae"/>
          <w:rFonts w:ascii="Arial" w:hAnsi="Arial" w:cs="Arial"/>
        </w:rPr>
        <w:footnoteReference w:id="18"/>
      </w:r>
      <w:r>
        <w:rPr>
          <w:rFonts w:hint="eastAsia"/>
        </w:rPr>
        <w:t>。以「重大影響」的判斷其實頂多只能回答有無給予權利保護之必要（</w:t>
      </w:r>
      <w:r>
        <w:t>Rechtsschutzbedürfnis</w:t>
      </w:r>
      <w:r>
        <w:rPr>
          <w:rFonts w:hint="eastAsia"/>
        </w:rPr>
        <w:t>）。至於行政處分這個即使被認為技術層次的要件判斷，應該還是回到實體法（訴願法或行政程序法的實體定義）上操作。否則不具規制內容（</w:t>
      </w:r>
      <w:r>
        <w:t>Regelung</w:t>
      </w:r>
      <w:r>
        <w:rPr>
          <w:rFonts w:hint="eastAsia"/>
        </w:rPr>
        <w:t>）的事實行為也可能會造</w:t>
      </w:r>
      <w:r>
        <w:rPr>
          <w:rFonts w:hint="eastAsia"/>
        </w:rPr>
        <w:t>成權利重大影響，難不成也要將之認定為行政處分。將行政訴訟上的其他實體判決要件納入行政處分的概念判斷中，不但無必要，同時也會造成行政處分的過度負擔</w:t>
      </w:r>
      <w:r>
        <w:rPr>
          <w:rStyle w:val="ae"/>
          <w:rFonts w:ascii="Arial" w:eastAsia="標楷體" w:hAnsi="Arial"/>
        </w:rPr>
        <w:footnoteReference w:id="19"/>
      </w:r>
      <w:r>
        <w:rPr>
          <w:rFonts w:eastAsia="標楷體" w:hint="eastAsia"/>
        </w:rPr>
        <w:t>。</w:t>
      </w:r>
      <w:r>
        <w:rPr>
          <w:rFonts w:hint="eastAsia"/>
        </w:rPr>
        <w:t>行政措施是否為行政處分的判斷，應該嚴格地依照行政程序法第</w:t>
      </w:r>
      <w:r>
        <w:rPr>
          <w:rFonts w:hint="eastAsia"/>
        </w:rPr>
        <w:t>92</w:t>
      </w:r>
      <w:r>
        <w:rPr>
          <w:rFonts w:hint="eastAsia"/>
        </w:rPr>
        <w:t>條第</w:t>
      </w:r>
      <w:r>
        <w:rPr>
          <w:rFonts w:hint="eastAsia"/>
        </w:rPr>
        <w:t>1</w:t>
      </w:r>
      <w:r>
        <w:rPr>
          <w:rFonts w:hint="eastAsia"/>
        </w:rPr>
        <w:t>項或訴願法有關行政處分的定義規定加以認定，而非先考慮到這個措施所造成的結果是否應該給予救濟的問題</w:t>
      </w:r>
      <w:r>
        <w:rPr>
          <w:rStyle w:val="ae"/>
          <w:rFonts w:ascii="Arial" w:hAnsi="Arial"/>
        </w:rPr>
        <w:footnoteReference w:id="20"/>
      </w:r>
      <w:r>
        <w:rPr>
          <w:rFonts w:hint="eastAsia"/>
        </w:rPr>
        <w:t>。</w:t>
      </w:r>
    </w:p>
    <w:p w:rsidR="00000000" w:rsidRDefault="00600B67">
      <w:pPr>
        <w:pStyle w:val="22"/>
        <w:spacing w:line="480" w:lineRule="auto"/>
      </w:pPr>
      <w:r>
        <w:rPr>
          <w:rFonts w:hint="eastAsia"/>
        </w:rPr>
        <w:t>至於保訓會在</w:t>
      </w:r>
      <w:r>
        <w:rPr>
          <w:rFonts w:hint="eastAsia"/>
        </w:rPr>
        <w:t>92</w:t>
      </w:r>
      <w:r>
        <w:rPr>
          <w:rFonts w:hint="eastAsia"/>
        </w:rPr>
        <w:t>年</w:t>
      </w:r>
      <w:r>
        <w:rPr>
          <w:rFonts w:hint="eastAsia"/>
        </w:rPr>
        <w:t>10</w:t>
      </w:r>
      <w:r>
        <w:rPr>
          <w:rFonts w:hint="eastAsia"/>
        </w:rPr>
        <w:t>月</w:t>
      </w:r>
      <w:r>
        <w:rPr>
          <w:rFonts w:hint="eastAsia"/>
        </w:rPr>
        <w:t>17</w:t>
      </w:r>
      <w:r>
        <w:rPr>
          <w:rFonts w:hint="eastAsia"/>
        </w:rPr>
        <w:t>日後，對於復審標的不利益處分的認定，更明確地並非僅以行政程序法第</w:t>
      </w:r>
      <w:r>
        <w:rPr>
          <w:rFonts w:hint="eastAsia"/>
        </w:rPr>
        <w:t>92</w:t>
      </w:r>
      <w:r>
        <w:rPr>
          <w:rFonts w:hint="eastAsia"/>
        </w:rPr>
        <w:t>條第</w:t>
      </w:r>
      <w:r>
        <w:rPr>
          <w:rFonts w:hint="eastAsia"/>
        </w:rPr>
        <w:t>1</w:t>
      </w:r>
      <w:r>
        <w:rPr>
          <w:rFonts w:hint="eastAsia"/>
        </w:rPr>
        <w:t>項行政處分為限，而擴大至所有對於公務人員權利會產生重大影響的不利益決定上，在現有復審類型的有限</w:t>
      </w:r>
      <w:r>
        <w:rPr>
          <w:rFonts w:hint="eastAsia"/>
        </w:rPr>
        <w:t>情形下，為使公務人員權利救濟更符合全面完善的要求，其正當性當應予以肯任。惟若從制度的設計層面而言，目前法制對照行政訴訟法之規定，應該有速謀調整的必要</w:t>
      </w:r>
      <w:r>
        <w:rPr>
          <w:rStyle w:val="ae"/>
        </w:rPr>
        <w:footnoteReference w:id="21"/>
      </w:r>
      <w:r>
        <w:rPr>
          <w:rFonts w:hint="eastAsia"/>
        </w:rPr>
        <w:t>。（參附圖四）</w:t>
      </w:r>
    </w:p>
    <w:p w:rsidR="00000000" w:rsidRDefault="00600B67">
      <w:pPr>
        <w:pStyle w:val="22"/>
        <w:ind w:firstLineChars="0" w:firstLine="0"/>
        <w:rPr>
          <w:rFonts w:ascii="標楷體" w:eastAsia="標楷體" w:hAnsi="標楷體" w:hint="eastAsia"/>
        </w:rPr>
      </w:pPr>
      <w:r>
        <w:br w:type="page"/>
      </w:r>
      <w:r>
        <w:rPr>
          <w:rFonts w:ascii="標楷體" w:eastAsia="標楷體" w:hAnsi="標楷體" w:hint="eastAsia"/>
        </w:rPr>
        <w:lastRenderedPageBreak/>
        <w:t>附圖四：保障法救濟類型的不足</w:t>
      </w:r>
    </w:p>
    <w:tbl>
      <w:tblPr>
        <w:tblW w:w="0" w:type="auto"/>
        <w:tblCellMar>
          <w:left w:w="28" w:type="dxa"/>
          <w:right w:w="28" w:type="dxa"/>
        </w:tblCellMar>
        <w:tblLook w:val="0000" w:firstRow="0" w:lastRow="0" w:firstColumn="0" w:lastColumn="0" w:noHBand="0" w:noVBand="0"/>
      </w:tblPr>
      <w:tblGrid>
        <w:gridCol w:w="1746"/>
        <w:gridCol w:w="1677"/>
        <w:gridCol w:w="1674"/>
        <w:gridCol w:w="995"/>
        <w:gridCol w:w="2354"/>
      </w:tblGrid>
      <w:tr w:rsidR="00000000">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tcPr>
          <w:p w:rsidR="00000000" w:rsidRDefault="00600B67">
            <w:pPr>
              <w:jc w:val="center"/>
              <w:rPr>
                <w:rFonts w:ascii="Arial" w:eastAsia="標楷體" w:hAnsi="Arial" w:cs="Arial" w:hint="eastAsia"/>
              </w:rPr>
            </w:pPr>
            <w:r>
              <w:rPr>
                <w:rFonts w:eastAsia="標楷體" w:hint="eastAsia"/>
              </w:rPr>
              <w:t>足以改變公務員身分或對於公務員有重大影響之決定</w:t>
            </w:r>
            <w:r>
              <w:rPr>
                <w:rFonts w:ascii="Arial" w:eastAsia="標楷體" w:hAnsi="Arial" w:cs="Arial" w:hint="eastAsia"/>
              </w:rPr>
              <w:t>（</w:t>
            </w:r>
            <w:r>
              <w:rPr>
                <w:rFonts w:ascii="Arial" w:eastAsia="標楷體" w:hAnsi="Arial" w:cs="Arial" w:hint="eastAsia"/>
              </w:rPr>
              <w:t>VA</w:t>
            </w:r>
            <w:r>
              <w:rPr>
                <w:rFonts w:ascii="Arial" w:eastAsia="標楷體" w:hAnsi="Arial" w:cs="Arial" w:hint="eastAsia"/>
              </w:rPr>
              <w:t>）</w:t>
            </w:r>
          </w:p>
        </w:tc>
        <w:tc>
          <w:tcPr>
            <w:tcW w:w="1800" w:type="dxa"/>
            <w:vMerge w:val="restart"/>
            <w:tcBorders>
              <w:left w:val="single" w:sz="12" w:space="0" w:color="auto"/>
              <w:right w:val="single" w:sz="12" w:space="0" w:color="auto"/>
            </w:tcBorders>
            <w:vAlign w:val="center"/>
          </w:tcPr>
          <w:p w:rsidR="00000000" w:rsidRDefault="00600B67">
            <w:pPr>
              <w:jc w:val="center"/>
              <w:rPr>
                <w:rFonts w:ascii="Arial" w:eastAsia="標楷體" w:hAnsi="Arial" w:cs="Arial"/>
              </w:rPr>
            </w:pPr>
          </w:p>
          <w:p w:rsidR="00000000" w:rsidRDefault="002A7705">
            <w:pP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64770</wp:posOffset>
                      </wp:positionV>
                      <wp:extent cx="909955" cy="228600"/>
                      <wp:effectExtent l="10795" t="17145" r="22225" b="1143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228600"/>
                              </a:xfrm>
                              <a:prstGeom prst="rightArrow">
                                <a:avLst>
                                  <a:gd name="adj1" fmla="val 50000"/>
                                  <a:gd name="adj2" fmla="val 99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D6B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8" o:spid="_x0000_s1026" type="#_x0000_t13" style="position:absolute;margin-left:6.4pt;margin-top:5.1pt;width:7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"/>
                  </w:pict>
                </mc:Fallback>
              </mc:AlternateContent>
            </w:r>
          </w:p>
          <w:p w:rsidR="00000000" w:rsidRDefault="00600B67">
            <w:pPr>
              <w:rPr>
                <w:rFonts w:ascii="Arial" w:eastAsia="標楷體" w:hAnsi="Arial" w:cs="Arial" w:hint="eastAsia"/>
              </w:rPr>
            </w:pPr>
          </w:p>
          <w:p w:rsidR="00000000" w:rsidRDefault="002A7705">
            <w:pPr>
              <w:jc w:val="center"/>
              <w:rPr>
                <w:rFonts w:ascii="Arial" w:eastAsia="標楷體" w:hAnsi="Arial" w:cs="Arial" w:hint="eastAsia"/>
              </w:rPr>
            </w:pPr>
            <w:r>
              <w:rPr>
                <w:rFonts w:ascii="Arial" w:eastAsia="標楷體" w:hAnsi="Arial" w:cs="Arial"/>
                <w:noProof/>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899160</wp:posOffset>
                      </wp:positionV>
                      <wp:extent cx="914400" cy="228600"/>
                      <wp:effectExtent l="10160" t="13335" r="18415" b="5715"/>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1397" id="AutoShape 80" o:spid="_x0000_s1026" type="#_x0000_t13" style="position:absolute;margin-left:7.85pt;margin-top:70.8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"/>
                  </w:pict>
                </mc:Fallback>
              </mc:AlternateContent>
            </w:r>
            <w:r>
              <w:rPr>
                <w:rFonts w:ascii="Arial" w:eastAsia="標楷體"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441960</wp:posOffset>
                      </wp:positionV>
                      <wp:extent cx="914400" cy="228600"/>
                      <wp:effectExtent l="10160" t="13335" r="18415" b="571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C8C7F" id="AutoShape 79" o:spid="_x0000_s1026" type="#_x0000_t13" style="position:absolute;margin-left:7.85pt;margin-top:34.8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"/>
                  </w:pict>
                </mc:Fallback>
              </mc:AlternateContent>
            </w:r>
            <w:r w:rsidR="00600B67">
              <w:rPr>
                <w:rFonts w:ascii="Arial" w:eastAsia="標楷體" w:hAnsi="Arial" w:cs="Arial" w:hint="eastAsia"/>
              </w:rPr>
              <w:t xml:space="preserve"> </w:t>
            </w:r>
            <w:r w:rsidR="00600B67">
              <w:rPr>
                <w:rFonts w:ascii="Arial" w:eastAsia="標楷體" w:hAnsi="Arial" w:cs="Arial"/>
              </w:rPr>
              <w:t xml:space="preserve">§ 92 I </w:t>
            </w:r>
            <w:r w:rsidR="00600B67">
              <w:rPr>
                <w:rFonts w:ascii="Arial" w:eastAsia="標楷體" w:hAnsi="Arial" w:cs="Arial" w:hint="eastAsia"/>
              </w:rPr>
              <w:t>行政程序法</w:t>
            </w:r>
          </w:p>
        </w:tc>
        <w:tc>
          <w:tcPr>
            <w:tcW w:w="1800" w:type="dxa"/>
            <w:vMerge w:val="restart"/>
            <w:tcBorders>
              <w:top w:val="single" w:sz="12" w:space="0" w:color="auto"/>
              <w:left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ascii="Arial" w:eastAsia="標楷體" w:hAnsi="Arial" w:cs="Arial" w:hint="eastAsia"/>
              </w:rPr>
              <w:t>有救濟必要</w:t>
            </w:r>
          </w:p>
        </w:tc>
        <w:tc>
          <w:tcPr>
            <w:tcW w:w="1080" w:type="dxa"/>
            <w:vMerge w:val="restart"/>
            <w:tcBorders>
              <w:left w:val="single" w:sz="12" w:space="0" w:color="auto"/>
              <w:right w:val="single" w:sz="12" w:space="0" w:color="auto"/>
            </w:tcBorders>
          </w:tcPr>
          <w:p w:rsidR="00000000" w:rsidRDefault="002A7705">
            <w:pPr>
              <w:jc w:val="center"/>
              <w:rPr>
                <w:rFonts w:ascii="Arial" w:eastAsia="標楷體" w:hAnsi="Arial" w:cs="Arial" w:hint="eastAsia"/>
              </w:rPr>
            </w:pPr>
            <w:r>
              <w:rPr>
                <w:rFonts w:ascii="Arial" w:eastAsia="標楷體"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96520</wp:posOffset>
                      </wp:positionH>
                      <wp:positionV relativeFrom="paragraph">
                        <wp:posOffset>438150</wp:posOffset>
                      </wp:positionV>
                      <wp:extent cx="803910" cy="795020"/>
                      <wp:effectExtent l="29845" t="85725" r="0" b="90805"/>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8335">
                                <a:off x="0" y="0"/>
                                <a:ext cx="803910" cy="795020"/>
                              </a:xfrm>
                              <a:custGeom>
                                <a:avLst/>
                                <a:gdLst>
                                  <a:gd name="G0" fmla="+- 14288 0 0"/>
                                  <a:gd name="G1" fmla="+- 18666 0 0"/>
                                  <a:gd name="G2" fmla="+- 4152 0 0"/>
                                  <a:gd name="G3" fmla="*/ 14288 1 2"/>
                                  <a:gd name="G4" fmla="+- G3 10800 0"/>
                                  <a:gd name="G5" fmla="+- 21600 14288 18666"/>
                                  <a:gd name="G6" fmla="+- 18666 4152 0"/>
                                  <a:gd name="G7" fmla="*/ G6 1 2"/>
                                  <a:gd name="G8" fmla="*/ 18666 2 1"/>
                                  <a:gd name="G9" fmla="+- G8 0 21600"/>
                                  <a:gd name="G10" fmla="+- G5 0 G4"/>
                                  <a:gd name="G11" fmla="+- 14288 0 G4"/>
                                  <a:gd name="G12" fmla="*/ G2 G10 G11"/>
                                  <a:gd name="T0" fmla="*/ 17944 w 21600"/>
                                  <a:gd name="T1" fmla="*/ 0 h 21600"/>
                                  <a:gd name="T2" fmla="*/ 14288 w 21600"/>
                                  <a:gd name="T3" fmla="*/ 4152 h 21600"/>
                                  <a:gd name="T4" fmla="*/ 4152 w 21600"/>
                                  <a:gd name="T5" fmla="*/ 14288 h 21600"/>
                                  <a:gd name="T6" fmla="*/ 0 w 21600"/>
                                  <a:gd name="T7" fmla="*/ 17944 h 21600"/>
                                  <a:gd name="T8" fmla="*/ 4152 w 21600"/>
                                  <a:gd name="T9" fmla="*/ 21600 h 21600"/>
                                  <a:gd name="T10" fmla="*/ 11409 w 21600"/>
                                  <a:gd name="T11" fmla="*/ 18666 h 21600"/>
                                  <a:gd name="T12" fmla="*/ 18666 w 21600"/>
                                  <a:gd name="T13" fmla="*/ 11409 h 21600"/>
                                  <a:gd name="T14" fmla="*/ 21600 w 21600"/>
                                  <a:gd name="T15" fmla="*/ 4152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7944" y="0"/>
                                    </a:moveTo>
                                    <a:lnTo>
                                      <a:pt x="14288" y="4152"/>
                                    </a:lnTo>
                                    <a:lnTo>
                                      <a:pt x="17222" y="4152"/>
                                    </a:lnTo>
                                    <a:lnTo>
                                      <a:pt x="17222" y="17222"/>
                                    </a:lnTo>
                                    <a:lnTo>
                                      <a:pt x="4152" y="17222"/>
                                    </a:lnTo>
                                    <a:lnTo>
                                      <a:pt x="4152" y="14288"/>
                                    </a:lnTo>
                                    <a:lnTo>
                                      <a:pt x="0" y="17944"/>
                                    </a:lnTo>
                                    <a:lnTo>
                                      <a:pt x="4152" y="21600"/>
                                    </a:lnTo>
                                    <a:lnTo>
                                      <a:pt x="4152" y="18666"/>
                                    </a:lnTo>
                                    <a:lnTo>
                                      <a:pt x="18666" y="18666"/>
                                    </a:lnTo>
                                    <a:lnTo>
                                      <a:pt x="18666" y="4152"/>
                                    </a:lnTo>
                                    <a:lnTo>
                                      <a:pt x="21600" y="4152"/>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3BB0" id="AutoShape 77" o:spid="_x0000_s1026" style="position:absolute;margin-left:7.6pt;margin-top:34.5pt;width:63.3pt;height:62.6pt;rotation:885646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" path="m17944,l14288,4152r2934,l17222,17222r-13070,l4152,14288,,17944r4152,3656l4152,18666r14514,l18666,4152r2934,l17944,xe">
                      <v:stroke joinstyle="miter"/>
                      <v:path o:connecttype="custom" o:connectlocs="667841,0;531772,152821;154529,525891;0,660456;154529,795020;424621,687030;694712,419925;803910,152821" o:connectangles="270,180,270,180,90,90,0,0" textboxrect="820,17222,18666,18666"/>
                    </v:shape>
                  </w:pict>
                </mc:Fallback>
              </mc:AlternateContent>
            </w:r>
          </w:p>
        </w:tc>
        <w:tc>
          <w:tcPr>
            <w:tcW w:w="2520" w:type="dxa"/>
            <w:tcBorders>
              <w:top w:val="single" w:sz="12" w:space="0" w:color="auto"/>
              <w:left w:val="single" w:sz="12" w:space="0" w:color="auto"/>
              <w:bottom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ascii="Arial" w:eastAsia="標楷體" w:hAnsi="Arial" w:cs="Arial" w:hint="eastAsia"/>
              </w:rPr>
              <w:t>復審、撤銷訴訟或課予義務訴訟</w:t>
            </w:r>
          </w:p>
        </w:tc>
      </w:tr>
      <w:tr w:rsidR="00000000">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shd w:val="clear" w:color="auto" w:fill="E6E6E6"/>
          </w:tcPr>
          <w:p w:rsidR="00000000" w:rsidRDefault="00600B67">
            <w:pPr>
              <w:jc w:val="center"/>
              <w:rPr>
                <w:rFonts w:eastAsia="標楷體" w:hint="eastAsia"/>
              </w:rPr>
            </w:pPr>
            <w:r>
              <w:rPr>
                <w:rFonts w:eastAsia="標楷體" w:hint="eastAsia"/>
              </w:rPr>
              <w:t>對於公務員有重大影響之決定</w:t>
            </w:r>
          </w:p>
          <w:p w:rsidR="00000000" w:rsidRDefault="00600B67">
            <w:pPr>
              <w:jc w:val="center"/>
              <w:rPr>
                <w:rFonts w:ascii="Arial" w:eastAsia="標楷體" w:hAnsi="Arial" w:cs="Arial" w:hint="eastAsia"/>
              </w:rPr>
            </w:pPr>
            <w:r>
              <w:rPr>
                <w:rFonts w:ascii="Arial" w:eastAsia="標楷體" w:hAnsi="Arial" w:cs="Arial" w:hint="eastAsia"/>
              </w:rPr>
              <w:t>（但非</w:t>
            </w:r>
            <w:r>
              <w:rPr>
                <w:rFonts w:ascii="Arial" w:eastAsia="標楷體" w:hAnsi="Arial" w:cs="Arial" w:hint="eastAsia"/>
              </w:rPr>
              <w:t>VA</w:t>
            </w:r>
            <w:r>
              <w:rPr>
                <w:rFonts w:ascii="Arial" w:eastAsia="標楷體" w:hAnsi="Arial" w:cs="Arial" w:hint="eastAsia"/>
              </w:rPr>
              <w:t>者）</w:t>
            </w:r>
          </w:p>
        </w:tc>
        <w:tc>
          <w:tcPr>
            <w:tcW w:w="1800" w:type="dxa"/>
            <w:vMerge/>
            <w:tcBorders>
              <w:left w:val="single" w:sz="12" w:space="0" w:color="auto"/>
              <w:right w:val="single" w:sz="12" w:space="0" w:color="auto"/>
            </w:tcBorders>
          </w:tcPr>
          <w:p w:rsidR="00000000" w:rsidRDefault="00600B67">
            <w:pPr>
              <w:jc w:val="center"/>
              <w:rPr>
                <w:rFonts w:ascii="Arial" w:eastAsia="標楷體" w:hAnsi="Arial" w:cs="Arial"/>
              </w:rPr>
            </w:pPr>
          </w:p>
        </w:tc>
        <w:tc>
          <w:tcPr>
            <w:tcW w:w="1800" w:type="dxa"/>
            <w:vMerge/>
            <w:tcBorders>
              <w:left w:val="single" w:sz="12" w:space="0" w:color="auto"/>
              <w:right w:val="single" w:sz="12" w:space="0" w:color="auto"/>
            </w:tcBorders>
          </w:tcPr>
          <w:p w:rsidR="00000000" w:rsidRDefault="00600B67">
            <w:pPr>
              <w:jc w:val="center"/>
              <w:rPr>
                <w:rFonts w:ascii="Arial" w:eastAsia="標楷體" w:hAnsi="Arial" w:cs="Arial" w:hint="eastAsia"/>
              </w:rPr>
            </w:pPr>
          </w:p>
        </w:tc>
        <w:tc>
          <w:tcPr>
            <w:tcW w:w="1080" w:type="dxa"/>
            <w:vMerge/>
            <w:tcBorders>
              <w:left w:val="single" w:sz="12" w:space="0" w:color="auto"/>
              <w:right w:val="single" w:sz="12" w:space="0" w:color="auto"/>
            </w:tcBorders>
            <w:shd w:val="clear" w:color="auto" w:fill="E6E6E6"/>
          </w:tcPr>
          <w:p w:rsidR="00000000" w:rsidRDefault="00600B67">
            <w:pPr>
              <w:jc w:val="center"/>
              <w:rPr>
                <w:rFonts w:ascii="Arial" w:eastAsia="標楷體" w:hAnsi="Arial" w:cs="Arial" w:hint="eastAsia"/>
              </w:rPr>
            </w:pPr>
          </w:p>
        </w:tc>
        <w:tc>
          <w:tcPr>
            <w:tcW w:w="2520" w:type="dxa"/>
            <w:tcBorders>
              <w:top w:val="single" w:sz="12" w:space="0" w:color="auto"/>
              <w:left w:val="single" w:sz="12" w:space="0" w:color="auto"/>
              <w:bottom w:val="single" w:sz="12" w:space="0" w:color="auto"/>
              <w:right w:val="single" w:sz="12" w:space="0" w:color="auto"/>
            </w:tcBorders>
            <w:shd w:val="clear" w:color="auto" w:fill="E6E6E6"/>
            <w:vAlign w:val="center"/>
          </w:tcPr>
          <w:p w:rsidR="00000000" w:rsidRDefault="00600B67">
            <w:pPr>
              <w:jc w:val="center"/>
              <w:rPr>
                <w:rFonts w:ascii="Arial" w:eastAsia="標楷體" w:hAnsi="Arial" w:cs="Arial" w:hint="eastAsia"/>
              </w:rPr>
            </w:pPr>
            <w:r>
              <w:rPr>
                <w:rFonts w:ascii="Arial" w:eastAsia="標楷體" w:hAnsi="Arial" w:cs="Arial" w:hint="eastAsia"/>
              </w:rPr>
              <w:t>？</w:t>
            </w:r>
          </w:p>
          <w:p w:rsidR="00000000" w:rsidRDefault="00600B67">
            <w:pPr>
              <w:jc w:val="center"/>
              <w:rPr>
                <w:rFonts w:ascii="Arial" w:eastAsia="標楷體" w:hAnsi="Arial" w:cs="Arial" w:hint="eastAsia"/>
              </w:rPr>
            </w:pPr>
            <w:r>
              <w:rPr>
                <w:rFonts w:ascii="Arial" w:eastAsia="標楷體" w:hAnsi="Arial" w:cs="Arial" w:hint="eastAsia"/>
              </w:rPr>
              <w:t>（保障法救濟類型可能不足）</w:t>
            </w:r>
          </w:p>
        </w:tc>
      </w:tr>
      <w:tr w:rsidR="00000000">
        <w:tblPrEx>
          <w:tblCellMar>
            <w:top w:w="0" w:type="dxa"/>
            <w:bottom w:w="0" w:type="dxa"/>
          </w:tblCellMar>
        </w:tblPrEx>
        <w:trPr>
          <w:cantSplit/>
        </w:trPr>
        <w:tc>
          <w:tcPr>
            <w:tcW w:w="1828" w:type="dxa"/>
            <w:tcBorders>
              <w:top w:val="single" w:sz="12" w:space="0" w:color="auto"/>
              <w:left w:val="single" w:sz="12" w:space="0" w:color="auto"/>
              <w:bottom w:val="single" w:sz="12" w:space="0" w:color="auto"/>
              <w:right w:val="single" w:sz="12" w:space="0" w:color="auto"/>
            </w:tcBorders>
          </w:tcPr>
          <w:p w:rsidR="00000000" w:rsidRDefault="00600B67">
            <w:pPr>
              <w:jc w:val="center"/>
              <w:rPr>
                <w:rFonts w:eastAsia="標楷體" w:hint="eastAsia"/>
              </w:rPr>
            </w:pPr>
            <w:r>
              <w:rPr>
                <w:rFonts w:eastAsia="標楷體" w:hint="eastAsia"/>
              </w:rPr>
              <w:t>內部管理措施</w:t>
            </w:r>
          </w:p>
        </w:tc>
        <w:tc>
          <w:tcPr>
            <w:tcW w:w="1800" w:type="dxa"/>
            <w:tcBorders>
              <w:left w:val="single" w:sz="12" w:space="0" w:color="auto"/>
              <w:right w:val="single" w:sz="12" w:space="0" w:color="auto"/>
            </w:tcBorders>
          </w:tcPr>
          <w:p w:rsidR="00000000" w:rsidRDefault="00600B67">
            <w:pPr>
              <w:jc w:val="center"/>
              <w:rPr>
                <w:rFonts w:ascii="Arial" w:eastAsia="標楷體" w:hAnsi="Arial" w:cs="Arial"/>
              </w:rPr>
            </w:pPr>
          </w:p>
        </w:tc>
        <w:tc>
          <w:tcPr>
            <w:tcW w:w="1800" w:type="dxa"/>
            <w:vMerge/>
            <w:tcBorders>
              <w:left w:val="single" w:sz="12" w:space="0" w:color="auto"/>
              <w:bottom w:val="single" w:sz="12" w:space="0" w:color="auto"/>
              <w:right w:val="single" w:sz="12" w:space="0" w:color="auto"/>
            </w:tcBorders>
          </w:tcPr>
          <w:p w:rsidR="00000000" w:rsidRDefault="00600B67">
            <w:pPr>
              <w:jc w:val="center"/>
              <w:rPr>
                <w:rFonts w:ascii="Arial" w:eastAsia="標楷體" w:hAnsi="Arial" w:cs="Arial" w:hint="eastAsia"/>
              </w:rPr>
            </w:pPr>
          </w:p>
        </w:tc>
        <w:tc>
          <w:tcPr>
            <w:tcW w:w="1080" w:type="dxa"/>
            <w:tcBorders>
              <w:left w:val="single" w:sz="12" w:space="0" w:color="auto"/>
              <w:right w:val="single" w:sz="12" w:space="0" w:color="auto"/>
            </w:tcBorders>
          </w:tcPr>
          <w:p w:rsidR="00000000" w:rsidRDefault="00600B67">
            <w:pPr>
              <w:jc w:val="center"/>
              <w:rPr>
                <w:rFonts w:ascii="Arial" w:eastAsia="標楷體" w:hAnsi="Arial" w:cs="Arial" w:hint="eastAsia"/>
              </w:rPr>
            </w:pPr>
          </w:p>
        </w:tc>
        <w:tc>
          <w:tcPr>
            <w:tcW w:w="2520" w:type="dxa"/>
            <w:tcBorders>
              <w:top w:val="single" w:sz="12" w:space="0" w:color="auto"/>
              <w:left w:val="single" w:sz="12" w:space="0" w:color="auto"/>
              <w:bottom w:val="single" w:sz="12" w:space="0" w:color="auto"/>
              <w:right w:val="single" w:sz="12" w:space="0" w:color="auto"/>
            </w:tcBorders>
            <w:vAlign w:val="center"/>
          </w:tcPr>
          <w:p w:rsidR="00000000" w:rsidRDefault="00600B67">
            <w:pPr>
              <w:jc w:val="center"/>
              <w:rPr>
                <w:rFonts w:ascii="Arial" w:eastAsia="標楷體" w:hAnsi="Arial" w:cs="Arial" w:hint="eastAsia"/>
              </w:rPr>
            </w:pPr>
            <w:r>
              <w:rPr>
                <w:rFonts w:ascii="Arial" w:eastAsia="標楷體" w:hAnsi="Arial" w:cs="Arial" w:hint="eastAsia"/>
              </w:rPr>
              <w:t>申訴、再申訴</w:t>
            </w:r>
          </w:p>
        </w:tc>
      </w:tr>
    </w:tbl>
    <w:p w:rsidR="00000000" w:rsidRDefault="00600B67">
      <w:pPr>
        <w:pStyle w:val="22"/>
        <w:spacing w:line="480" w:lineRule="auto"/>
        <w:rPr>
          <w:rFonts w:hint="eastAsia"/>
        </w:rPr>
      </w:pPr>
      <w:r>
        <w:rPr>
          <w:rFonts w:hint="eastAsia"/>
        </w:rPr>
        <w:t>目前實務的作法無非是一種「扣除法」。一方面擴大行政</w:t>
      </w:r>
      <w:r>
        <w:rPr>
          <w:rFonts w:hint="eastAsia"/>
        </w:rPr>
        <w:t>處分的認定到所有</w:t>
      </w:r>
      <w:r>
        <w:rPr>
          <w:rFonts w:hint="eastAsia"/>
          <w:bCs/>
        </w:rPr>
        <w:t>對公務員造成重大權益影響之單方法律行為</w:t>
      </w:r>
      <w:r>
        <w:rPr>
          <w:rFonts w:hint="eastAsia"/>
        </w:rPr>
        <w:t>，另一方面則將其他的「具體」措施則劃歸管理措施，排除於行政處分之外。雖有目前救濟務實需求的正當性，但畢竟與行政法學理仍有若干不符之處。同時將申訴標的的管理措施限於具體措施，而排除一般抽象的管理行為，如此也可能忽略像是行政規則其實是一種「直接發生對內法律效果」的一般抽象規範（行政程序法第</w:t>
      </w:r>
      <w:r>
        <w:rPr>
          <w:rFonts w:hint="eastAsia"/>
        </w:rPr>
        <w:t>159</w:t>
      </w:r>
      <w:r>
        <w:rPr>
          <w:rFonts w:hint="eastAsia"/>
        </w:rPr>
        <w:t>條第</w:t>
      </w:r>
      <w:r>
        <w:rPr>
          <w:rFonts w:hint="eastAsia"/>
        </w:rPr>
        <w:t>1</w:t>
      </w:r>
      <w:r>
        <w:rPr>
          <w:rFonts w:hint="eastAsia"/>
        </w:rPr>
        <w:t>項）。難謂其對公務人員無任何權益之影響，而否定其救濟之機會</w:t>
      </w:r>
      <w:r>
        <w:rPr>
          <w:rStyle w:val="ae"/>
        </w:rPr>
        <w:footnoteReference w:id="22"/>
      </w:r>
      <w:r>
        <w:rPr>
          <w:rFonts w:hint="eastAsia"/>
        </w:rPr>
        <w:t>。</w:t>
      </w:r>
    </w:p>
    <w:p w:rsidR="00000000" w:rsidRDefault="00600B67">
      <w:pPr>
        <w:pStyle w:val="22"/>
        <w:spacing w:line="480" w:lineRule="auto"/>
        <w:rPr>
          <w:rFonts w:eastAsia="細明體" w:hAnsi="細明體"/>
        </w:rPr>
      </w:pPr>
      <w:r>
        <w:t>行政程序法第</w:t>
      </w:r>
      <w:r>
        <w:t>92</w:t>
      </w:r>
      <w:r>
        <w:t>條第</w:t>
      </w:r>
      <w:r>
        <w:t>1</w:t>
      </w:r>
      <w:r>
        <w:t>項規定：「本法所稱行政處分，係指行政機關就公法上具體事件所為之決定或其他公</w:t>
      </w:r>
      <w:r>
        <w:t>權力措施而</w:t>
      </w:r>
      <w:r>
        <w:rPr>
          <w:b/>
          <w:bCs/>
        </w:rPr>
        <w:t>對外直接發生法律效果</w:t>
      </w:r>
      <w:r>
        <w:t>之單方行政行為。」由反面解釋推知，行政處分一如法規範乃是一種直接作用在外部法領域（</w:t>
      </w:r>
      <w:r>
        <w:t>Wirkung nach draußen</w:t>
      </w:r>
      <w:r>
        <w:t>）的行政措施</w:t>
      </w:r>
      <w:r>
        <w:rPr>
          <w:vertAlign w:val="superscript"/>
        </w:rPr>
        <w:footnoteReference w:id="23"/>
      </w:r>
      <w:r>
        <w:t>。行政程序法有關行政處分的定義規定也等於宣告了，在行政領域中存在了「內部領域」與「外部領域（</w:t>
      </w:r>
      <w:r>
        <w:t>Außenbereich</w:t>
      </w:r>
      <w:r>
        <w:t>）」的區分。只有作用在後者中的行政措施才可能是行政處分，至於前者，僅具有行</w:t>
      </w:r>
      <w:r>
        <w:lastRenderedPageBreak/>
        <w:t>政內部法律效果的法律行為性質則鮮有人關注</w:t>
      </w:r>
      <w:r>
        <w:rPr>
          <w:vertAlign w:val="superscript"/>
        </w:rPr>
        <w:footnoteReference w:id="24"/>
      </w:r>
      <w:r>
        <w:t>。同時行政處分的法律效果必須是直接對外部領域發生，如果行政行為僅是「間接」發生外部效果，或者只是在行政外部領域發生</w:t>
      </w:r>
      <w:r>
        <w:t>事實上效果（</w:t>
      </w:r>
      <w:r>
        <w:t>tatsächliche Wirkung</w:t>
      </w:r>
      <w:r>
        <w:t>）時</w:t>
      </w:r>
      <w:r>
        <w:rPr>
          <w:vertAlign w:val="superscript"/>
        </w:rPr>
        <w:footnoteReference w:id="25"/>
      </w:r>
      <w:r>
        <w:t>，則仍非一行政處分。</w:t>
      </w:r>
      <w:r>
        <w:rPr>
          <w:rFonts w:eastAsia="細明體" w:hAnsi="細明體"/>
        </w:rPr>
        <w:t>但是對於行政處分的「外部性」要件判斷，一般學說見解仍然堅守內部法與外部法區分的前提，卻無法提出一個精確與「內部領域」區分的界限。行政措施在何種情況下，僅僅意欲停留於「內部領域」內作用？這種理念上擬制的內外界線實在難以劃定</w:t>
      </w:r>
      <w:r>
        <w:rPr>
          <w:rFonts w:eastAsia="細明體"/>
          <w:vertAlign w:val="superscript"/>
        </w:rPr>
        <w:footnoteReference w:id="26"/>
      </w:r>
      <w:r>
        <w:rPr>
          <w:rFonts w:eastAsia="細明體" w:hAnsi="細明體"/>
        </w:rPr>
        <w:t>。甚至我們可以說，如果根據上述學說見解，對於行政措施是否滿足行政處分要件之一之「對外性」的判斷，其實還是停留在另一個要件「直接法效性」的操作認定之上</w:t>
      </w:r>
      <w:r>
        <w:rPr>
          <w:rFonts w:eastAsia="細明體"/>
          <w:vertAlign w:val="superscript"/>
        </w:rPr>
        <w:footnoteReference w:id="27"/>
      </w:r>
      <w:r>
        <w:rPr>
          <w:rFonts w:eastAsia="細明體" w:hAnsi="細明體"/>
        </w:rPr>
        <w:t>。例如一個上級機關對於公務人員所意欲其直接發生法律效果的監督指</w:t>
      </w:r>
      <w:r>
        <w:rPr>
          <w:rFonts w:eastAsia="細明體" w:hAnsi="細明體"/>
        </w:rPr>
        <w:t>令，其實就已經回答了「對外性」的問題</w:t>
      </w:r>
      <w:r>
        <w:rPr>
          <w:rStyle w:val="ae"/>
          <w:rFonts w:eastAsia="細明體" w:hAnsi="細明體"/>
        </w:rPr>
        <w:footnoteReference w:id="28"/>
      </w:r>
      <w:r>
        <w:rPr>
          <w:rFonts w:eastAsia="細明體" w:hAnsi="細明體"/>
        </w:rPr>
        <w:t>。換言之，行政程序法第</w:t>
      </w:r>
      <w:r>
        <w:rPr>
          <w:rFonts w:eastAsia="細明體"/>
        </w:rPr>
        <w:t>92</w:t>
      </w:r>
      <w:r>
        <w:rPr>
          <w:rFonts w:eastAsia="細明體" w:hAnsi="細明體"/>
        </w:rPr>
        <w:t>條中所要求的「對外法律效果」是處分涉及到其權利與義務之人的「權利相關性（</w:t>
      </w:r>
      <w:r>
        <w:rPr>
          <w:rFonts w:eastAsia="細明體"/>
        </w:rPr>
        <w:t>Rechtsbetroffenheit</w:t>
      </w:r>
      <w:r>
        <w:rPr>
          <w:rFonts w:eastAsia="細明體" w:hAnsi="細明體"/>
        </w:rPr>
        <w:t>）」所需要的「連結關係詞（</w:t>
      </w:r>
      <w:r>
        <w:rPr>
          <w:rFonts w:eastAsia="細明體"/>
        </w:rPr>
        <w:t>Korrelat</w:t>
      </w:r>
      <w:r>
        <w:rPr>
          <w:rFonts w:eastAsia="細明體" w:hAnsi="細明體"/>
        </w:rPr>
        <w:t>）」</w:t>
      </w:r>
      <w:r>
        <w:rPr>
          <w:rStyle w:val="ae"/>
          <w:rFonts w:eastAsia="細明體"/>
        </w:rPr>
        <w:footnoteReference w:id="29"/>
      </w:r>
      <w:r>
        <w:rPr>
          <w:rFonts w:eastAsia="細明體" w:hAnsi="細明體"/>
        </w:rPr>
        <w:t>。亦即透過「對外法律效果」指涉該行政行為之相對人（或利害關係人）與其「權利」得、喪、變更之間的關連性。因此，行政處分所應具備的「對外性」，似乎可以透過權利或法律上地位之相關性的判斷加以取代。</w:t>
      </w:r>
      <w:r>
        <w:rPr>
          <w:rFonts w:eastAsia="細明體" w:hAnsi="細明體" w:hint="eastAsia"/>
        </w:rPr>
        <w:t>針對公務人員而言，應視其身分係</w:t>
      </w:r>
      <w:r>
        <w:rPr>
          <w:rFonts w:eastAsia="細明體" w:hAnsi="細明體" w:hint="eastAsia"/>
        </w:rPr>
        <w:lastRenderedPageBreak/>
        <w:t>屬於職務執行者（</w:t>
      </w:r>
      <w:r>
        <w:rPr>
          <w:rFonts w:eastAsia="細明體" w:hAnsi="細明體" w:hint="eastAsia"/>
        </w:rPr>
        <w:t>Amtswalter</w:t>
      </w:r>
      <w:r>
        <w:rPr>
          <w:rFonts w:eastAsia="細明體" w:hAnsi="細明體" w:hint="eastAsia"/>
        </w:rPr>
        <w:t>）</w:t>
      </w:r>
      <w:r>
        <w:rPr>
          <w:rFonts w:ascii="新細明體" w:hAnsi="新細明體" w:hint="eastAsia"/>
        </w:rPr>
        <w:t>、</w:t>
      </w:r>
      <w:r>
        <w:rPr>
          <w:rFonts w:eastAsia="細明體" w:hAnsi="細明體" w:hint="eastAsia"/>
        </w:rPr>
        <w:t>公行政之機關或一般人民個人之法</w:t>
      </w:r>
      <w:r>
        <w:rPr>
          <w:rFonts w:eastAsia="細明體" w:hAnsi="細明體" w:hint="eastAsia"/>
        </w:rPr>
        <w:t>律地位（</w:t>
      </w:r>
      <w:r>
        <w:rPr>
          <w:rFonts w:eastAsia="MS Mincho" w:hAnsi="細明體"/>
        </w:rPr>
        <w:t>in seiner pers</w:t>
      </w:r>
      <w:r>
        <w:rPr>
          <w:rFonts w:eastAsia="MS Mincho" w:hAnsi="細明體"/>
        </w:rPr>
        <w:t>ö</w:t>
      </w:r>
      <w:r>
        <w:rPr>
          <w:rFonts w:eastAsia="MS Mincho" w:hAnsi="細明體"/>
        </w:rPr>
        <w:t>nlichen Rechhtstellung</w:t>
      </w:r>
      <w:r>
        <w:rPr>
          <w:rFonts w:eastAsia="細明體" w:hAnsi="細明體" w:hint="eastAsia"/>
        </w:rPr>
        <w:t>）（且不論在職務關係內或職務關係外）分別而定其所受行政行為之屬性。如果公務人員是居於職務執行者的身分，並無主張基本權的可能性，因為基本權保障的一般人民而非國家機關</w:t>
      </w:r>
      <w:r>
        <w:rPr>
          <w:rStyle w:val="ae"/>
          <w:rFonts w:eastAsia="細明體" w:hAnsi="細明體"/>
        </w:rPr>
        <w:footnoteReference w:id="30"/>
      </w:r>
      <w:r>
        <w:rPr>
          <w:rFonts w:eastAsia="細明體" w:hAnsi="細明體" w:hint="eastAsia"/>
        </w:rPr>
        <w:t>。</w:t>
      </w:r>
      <w:r>
        <w:rPr>
          <w:rFonts w:eastAsia="細明體" w:hAnsi="細明體"/>
        </w:rPr>
        <w:t>但是須注意的是，權利相關性具備，並不足以直接推論行政處分存在，因為是否具備前揭之「直接性」要素，仍須進一步判斷</w:t>
      </w:r>
      <w:r>
        <w:rPr>
          <w:rStyle w:val="ae"/>
          <w:rFonts w:eastAsia="細明體"/>
        </w:rPr>
        <w:footnoteReference w:id="31"/>
      </w:r>
      <w:r>
        <w:rPr>
          <w:rFonts w:eastAsia="細明體" w:hAnsi="細明體"/>
        </w:rPr>
        <w:t>。這裡涉及到行政處分的存在要素與訴訟權能乃提起撤銷訴訟的兩個分別獨立的要件，即使作為原告的公務員可以主張自己權利或法律上利益因上級機關的具體措施而受損，</w:t>
      </w:r>
      <w:r>
        <w:rPr>
          <w:rFonts w:eastAsia="細明體" w:hAnsi="細明體"/>
        </w:rPr>
        <w:t>也未必同時解答了該措施是否為一行政處分的問題</w:t>
      </w:r>
      <w:r>
        <w:rPr>
          <w:rStyle w:val="ae"/>
          <w:rFonts w:eastAsia="細明體"/>
        </w:rPr>
        <w:footnoteReference w:id="32"/>
      </w:r>
      <w:r>
        <w:rPr>
          <w:rFonts w:eastAsia="細明體" w:hAnsi="細明體"/>
        </w:rPr>
        <w:t>。</w:t>
      </w:r>
    </w:p>
    <w:p w:rsidR="00000000" w:rsidRDefault="00600B67">
      <w:pPr>
        <w:pStyle w:val="22"/>
        <w:spacing w:line="480" w:lineRule="auto"/>
        <w:rPr>
          <w:rFonts w:hint="eastAsia"/>
        </w:rPr>
      </w:pPr>
      <w:r>
        <w:rPr>
          <w:rFonts w:hint="eastAsia"/>
        </w:rPr>
        <w:t>行政機關對於特定之申請陞遷之公務人員所為之拒絕決定，形式上屬「機關內」之決定，若該公務人員本無法律上之陞遷請求權存在（請求權是否存在之進一步討論，見下文），而此一拒絕決定實質上又未對於公務人員之權利產生直接規制的法效性存在（現有權利狀態未受直接影響），同時依公務人員身分而論，此刻他係以職務執行者而非一般人民個人權利地位身分受此拒絕決定，故此決定之性質可能即非行政處分</w:t>
      </w:r>
      <w:r>
        <w:rPr>
          <w:rStyle w:val="ae"/>
        </w:rPr>
        <w:footnoteReference w:id="33"/>
      </w:r>
      <w:r>
        <w:rPr>
          <w:rFonts w:hint="eastAsia"/>
        </w:rPr>
        <w:t>。而且事實上，此一拒絕決定是否為行政處分本非爭執重心，因為此刻的權利救濟目的往往是會透過課予</w:t>
      </w:r>
      <w:r>
        <w:rPr>
          <w:rFonts w:hint="eastAsia"/>
        </w:rPr>
        <w:t>義務型的救濟型態加以實</w:t>
      </w:r>
      <w:r>
        <w:rPr>
          <w:rFonts w:hint="eastAsia"/>
        </w:rPr>
        <w:lastRenderedPageBreak/>
        <w:t>現，而提起此類的救濟，並不需要理會原本申請遭拒絕的行為屬性為何。亦即，即使行政機關之拒絕行為並非一個行政處分，但是原告訴訟或者救濟的目的是希望行政機關作成一個行政處分時，本來就是適用課予義務型救濟的類型。但是我國公務人員保障法中並無如同行政訴訟法第</w:t>
      </w:r>
      <w:r>
        <w:rPr>
          <w:rFonts w:hint="eastAsia"/>
        </w:rPr>
        <w:t>5</w:t>
      </w:r>
      <w:r>
        <w:rPr>
          <w:rFonts w:hint="eastAsia"/>
        </w:rPr>
        <w:t>條般有所謂拒為處分之復審，而僅有怠為決定之復審（第</w:t>
      </w:r>
      <w:r>
        <w:rPr>
          <w:rFonts w:hint="eastAsia"/>
        </w:rPr>
        <w:t>26</w:t>
      </w:r>
      <w:r>
        <w:rPr>
          <w:rFonts w:hint="eastAsia"/>
        </w:rPr>
        <w:t>條），致使此類救濟可能還是得透過公務人員保障法第</w:t>
      </w:r>
      <w:r>
        <w:rPr>
          <w:rFonts w:hint="eastAsia"/>
        </w:rPr>
        <w:t>25</w:t>
      </w:r>
      <w:r>
        <w:rPr>
          <w:rFonts w:hint="eastAsia"/>
        </w:rPr>
        <w:t>條實現，致使其救濟前提所需的不利益行政處分，反成爭執重心。</w:t>
      </w:r>
    </w:p>
    <w:p w:rsidR="00600B67" w:rsidRDefault="00600B67">
      <w:pPr>
        <w:pStyle w:val="22"/>
        <w:spacing w:line="480" w:lineRule="auto"/>
        <w:rPr>
          <w:rFonts w:ascii="Arial" w:hAnsi="Arial" w:cs="Arial"/>
          <w:sz w:val="16"/>
          <w:szCs w:val="16"/>
        </w:rPr>
      </w:pPr>
      <w:r>
        <w:rPr>
          <w:rFonts w:hint="eastAsia"/>
        </w:rPr>
        <w:t>相反地，對於特定公務人員給予同意陞遷之決定，此一決定應屬一授益行政處分（已</w:t>
      </w:r>
      <w:r>
        <w:rPr>
          <w:rFonts w:hint="eastAsia"/>
        </w:rPr>
        <w:t>經造成身分上的變動，故具有直接對外之法效性），但對於競爭關係下的其他未獲陞遷之公務人員而言，卻可能相反地是一項侵益的決定，因此有可能被理解成一個「附第三人效力之行政處分（</w:t>
      </w:r>
      <w:r>
        <w:t>Verwaltungsakt mit Drittwirkung</w:t>
      </w:r>
      <w:r>
        <w:rPr>
          <w:rFonts w:hint="eastAsia"/>
        </w:rPr>
        <w:t>）」</w:t>
      </w:r>
      <w:r>
        <w:rPr>
          <w:rStyle w:val="ae"/>
        </w:rPr>
        <w:footnoteReference w:id="34"/>
      </w:r>
      <w:r>
        <w:rPr>
          <w:rFonts w:hint="eastAsia"/>
        </w:rPr>
        <w:t>。此競爭關係下之第三人提起以這個附第三人效力之行政處分作為前提的救濟（如撤銷型的復審，更進一步言之，這是一種消極的競爭關係救濟）也就可以想像。不過需注意的是，在此並非意指所有的任何其他公務人員均會因該陞遷而受侵害，所謂附「第三人」效力之行政處分，受其不利益影響的「人」的範圍</w:t>
      </w:r>
      <w:r>
        <w:rPr>
          <w:rFonts w:hint="eastAsia"/>
        </w:rPr>
        <w:t>還需要進一步確認，如果根本不會因此有法律上保護之權益受影響的公務人員，其不論個別申請陞遷遭拒絕，或者因為他人獲致陞遷，均不會有成立行政處分（不論是單純行政處分或者附第三人效力行政處分）的機會。</w:t>
      </w:r>
    </w:p>
    <w:sectPr w:rsidR="00600B67">
      <w:footerReference w:type="even" r:id="rId7"/>
      <w:footerReference w:type="default" r:id="rId8"/>
      <w:pgSz w:w="11906" w:h="16838"/>
      <w:pgMar w:top="1418" w:right="1758" w:bottom="1418"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67" w:rsidRDefault="00600B67">
      <w:r>
        <w:separator/>
      </w:r>
    </w:p>
  </w:endnote>
  <w:endnote w:type="continuationSeparator" w:id="0">
    <w:p w:rsidR="00600B67" w:rsidRDefault="0060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0B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600B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00B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7705">
      <w:rPr>
        <w:rStyle w:val="a7"/>
        <w:noProof/>
      </w:rPr>
      <w:t>13</w:t>
    </w:r>
    <w:r>
      <w:rPr>
        <w:rStyle w:val="a7"/>
      </w:rPr>
      <w:fldChar w:fldCharType="end"/>
    </w:r>
  </w:p>
  <w:p w:rsidR="00000000" w:rsidRDefault="00600B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67" w:rsidRDefault="00600B67">
      <w:pPr>
        <w:snapToGrid w:val="0"/>
        <w:spacing w:beforeLines="50" w:before="120" w:afterLines="50" w:after="120" w:line="360" w:lineRule="auto"/>
      </w:pPr>
      <w:r>
        <w:separator/>
      </w:r>
    </w:p>
  </w:footnote>
  <w:footnote w:type="continuationSeparator" w:id="0">
    <w:p w:rsidR="00600B67" w:rsidRDefault="00600B67">
      <w:pPr>
        <w:snapToGrid w:val="0"/>
        <w:spacing w:beforeLines="50" w:before="120" w:afterLines="50" w:after="120" w:line="360" w:lineRule="auto"/>
      </w:pPr>
      <w:r>
        <w:continuationSeparator/>
      </w:r>
    </w:p>
  </w:footnote>
  <w:footnote w:id="1">
    <w:p w:rsidR="00000000" w:rsidRDefault="00600B67">
      <w:pPr>
        <w:pStyle w:val="ad"/>
        <w:spacing w:line="360" w:lineRule="auto"/>
        <w:jc w:val="both"/>
        <w:rPr>
          <w:b/>
          <w:u w:val="single"/>
          <w:lang w:val="de-DE"/>
        </w:rPr>
      </w:pPr>
      <w:r>
        <w:rPr>
          <w:rStyle w:val="ae"/>
        </w:rPr>
        <w:footnoteRef/>
      </w:r>
      <w:r>
        <w:t xml:space="preserve"> </w:t>
      </w:r>
      <w:r>
        <w:rPr>
          <w:rFonts w:hAnsi="新細明體"/>
        </w:rPr>
        <w:t>例如</w:t>
      </w:r>
      <w:r>
        <w:rPr>
          <w:rStyle w:val="af3"/>
          <w:rFonts w:ascii="Times New Roman"/>
          <w:b/>
          <w:sz w:val="20"/>
          <w:szCs w:val="20"/>
          <w:u w:val="single"/>
        </w:rPr>
        <w:t>保訓會</w:t>
      </w:r>
      <w:r>
        <w:rPr>
          <w:rStyle w:val="stext"/>
          <w:rFonts w:hAnsi="新細明體"/>
          <w:b/>
          <w:u w:val="single"/>
        </w:rPr>
        <w:t>（</w:t>
      </w:r>
      <w:r>
        <w:rPr>
          <w:rStyle w:val="stext"/>
          <w:b/>
          <w:u w:val="single"/>
        </w:rPr>
        <w:t>94</w:t>
      </w:r>
      <w:r>
        <w:rPr>
          <w:rStyle w:val="stext"/>
          <w:rFonts w:hAnsi="新細明體"/>
          <w:b/>
          <w:u w:val="single"/>
        </w:rPr>
        <w:t>）公審決字第</w:t>
      </w:r>
      <w:r>
        <w:rPr>
          <w:rStyle w:val="stext"/>
          <w:b/>
          <w:u w:val="single"/>
        </w:rPr>
        <w:t>0176</w:t>
      </w:r>
      <w:r>
        <w:rPr>
          <w:rStyle w:val="stext"/>
          <w:rFonts w:hAnsi="新細明體"/>
          <w:b/>
          <w:u w:val="single"/>
        </w:rPr>
        <w:t>號</w:t>
      </w:r>
      <w:r>
        <w:rPr>
          <w:rFonts w:hAnsi="新細明體"/>
          <w:b/>
          <w:color w:val="000000"/>
          <w:kern w:val="0"/>
          <w:u w:val="single"/>
        </w:rPr>
        <w:t>決定</w:t>
      </w:r>
      <w:r>
        <w:rPr>
          <w:rStyle w:val="af3"/>
          <w:rFonts w:ascii="Times New Roman"/>
          <w:b/>
          <w:sz w:val="20"/>
          <w:szCs w:val="20"/>
          <w:u w:val="single"/>
        </w:rPr>
        <w:t>（「</w:t>
      </w:r>
      <w:r>
        <w:rPr>
          <w:rFonts w:hAnsi="新細明體"/>
          <w:b/>
          <w:color w:val="000000"/>
          <w:u w:val="single"/>
        </w:rPr>
        <w:t>莊震隆</w:t>
      </w:r>
      <w:r>
        <w:rPr>
          <w:rStyle w:val="af3"/>
          <w:rFonts w:ascii="Times New Roman"/>
          <w:b/>
          <w:sz w:val="20"/>
          <w:szCs w:val="20"/>
          <w:u w:val="single"/>
        </w:rPr>
        <w:t>案」）</w:t>
      </w:r>
      <w:r>
        <w:rPr>
          <w:rStyle w:val="af3"/>
          <w:rFonts w:ascii="Times New Roman"/>
          <w:sz w:val="20"/>
          <w:szCs w:val="20"/>
        </w:rPr>
        <w:t>。</w:t>
      </w:r>
    </w:p>
  </w:footnote>
  <w:footnote w:id="2">
    <w:p w:rsidR="00000000" w:rsidRDefault="00600B67">
      <w:pPr>
        <w:pStyle w:val="ad"/>
        <w:spacing w:line="360" w:lineRule="auto"/>
        <w:jc w:val="both"/>
      </w:pPr>
      <w:r>
        <w:rPr>
          <w:rStyle w:val="ae"/>
        </w:rPr>
        <w:footnoteRef/>
      </w:r>
      <w:r>
        <w:rPr>
          <w:color w:val="000000"/>
          <w:kern w:val="0"/>
        </w:rPr>
        <w:t xml:space="preserve"> </w:t>
      </w:r>
      <w:r>
        <w:rPr>
          <w:rFonts w:hAnsi="新細明體"/>
          <w:color w:val="000000"/>
          <w:kern w:val="0"/>
        </w:rPr>
        <w:t>例如</w:t>
      </w:r>
      <w:r>
        <w:rPr>
          <w:rFonts w:hAnsi="新細明體"/>
          <w:b/>
          <w:color w:val="000000"/>
          <w:kern w:val="0"/>
          <w:u w:val="single"/>
        </w:rPr>
        <w:t>保訓會（</w:t>
      </w:r>
      <w:r>
        <w:rPr>
          <w:b/>
          <w:color w:val="000000"/>
          <w:kern w:val="0"/>
          <w:u w:val="single"/>
        </w:rPr>
        <w:t>90</w:t>
      </w:r>
      <w:r>
        <w:rPr>
          <w:rFonts w:hAnsi="新細明體"/>
          <w:b/>
          <w:color w:val="000000"/>
          <w:kern w:val="0"/>
          <w:u w:val="single"/>
        </w:rPr>
        <w:t>）公申決字第</w:t>
      </w:r>
      <w:r>
        <w:rPr>
          <w:b/>
          <w:color w:val="000000"/>
          <w:kern w:val="0"/>
          <w:u w:val="single"/>
        </w:rPr>
        <w:t>0190</w:t>
      </w:r>
      <w:r>
        <w:rPr>
          <w:rFonts w:hAnsi="新細明體"/>
          <w:b/>
          <w:color w:val="000000"/>
          <w:kern w:val="0"/>
          <w:u w:val="single"/>
        </w:rPr>
        <w:t>號決定（「吳台生案」）</w:t>
      </w:r>
    </w:p>
  </w:footnote>
  <w:footnote w:id="3">
    <w:p w:rsidR="00000000" w:rsidRDefault="00600B67">
      <w:pPr>
        <w:pStyle w:val="ad"/>
        <w:spacing w:line="360" w:lineRule="auto"/>
        <w:jc w:val="both"/>
      </w:pPr>
      <w:r>
        <w:rPr>
          <w:rStyle w:val="ae"/>
        </w:rPr>
        <w:footnoteRef/>
      </w:r>
      <w:r>
        <w:t xml:space="preserve"> </w:t>
      </w:r>
      <w:r>
        <w:rPr>
          <w:rFonts w:hAnsi="新細明體"/>
        </w:rPr>
        <w:t>根據現行公務員懲戒法第</w:t>
      </w:r>
      <w:r>
        <w:t>9</w:t>
      </w:r>
      <w:r>
        <w:rPr>
          <w:rFonts w:hAnsi="新細明體"/>
        </w:rPr>
        <w:t>條第</w:t>
      </w:r>
      <w:r>
        <w:t>3</w:t>
      </w:r>
      <w:r>
        <w:rPr>
          <w:rFonts w:hAnsi="新細明體"/>
        </w:rPr>
        <w:t>項之規定，九職等或相當於九職等以下公務員之記過與申誡，得逕由主管長官行之。理論上而言，主管機關得不經過公務員懲戒委員會，直接對此類公務員逕自作成記過或申誡</w:t>
      </w:r>
      <w:r>
        <w:rPr>
          <w:rFonts w:hAnsi="新細明體"/>
        </w:rPr>
        <w:t>之懲戒處分。在目前公務人員考績法復規定，主管長官得對公務人員為免職、記大過、記過、申誡等實質意義為懲戒處分之懲處處分情況下，姑不論實務上，主管機關是否依懲戒法作成此類懲戒處分，在本法中，針對此類懲戒處分並無任何法律救濟途徑之設計（參考，高愈杰，「論公務員懲戒制度一元化之建構</w:t>
      </w:r>
      <w:r>
        <w:t xml:space="preserve"> - </w:t>
      </w:r>
      <w:r>
        <w:rPr>
          <w:rFonts w:hAnsi="新細明體"/>
        </w:rPr>
        <w:t>以司法院大法官解釋為核心」，司法院，公務員懲戒制度相關論文彙編，</w:t>
      </w:r>
      <w:r>
        <w:t>2004.12</w:t>
      </w:r>
      <w:r>
        <w:rPr>
          <w:rFonts w:hAnsi="新細明體"/>
        </w:rPr>
        <w:t>，頁</w:t>
      </w:r>
      <w:r>
        <w:t>272</w:t>
      </w:r>
      <w:r>
        <w:rPr>
          <w:rFonts w:hAnsi="新細明體"/>
        </w:rPr>
        <w:t>）。雖然大法官解釋在釋字第</w:t>
      </w:r>
      <w:r>
        <w:t>298</w:t>
      </w:r>
      <w:r>
        <w:rPr>
          <w:rFonts w:hAnsi="新細明體"/>
        </w:rPr>
        <w:t>號與第</w:t>
      </w:r>
      <w:r>
        <w:t>491</w:t>
      </w:r>
      <w:r>
        <w:rPr>
          <w:rFonts w:hAnsi="新細明體"/>
        </w:rPr>
        <w:t>號解釋中指出，憲法第</w:t>
      </w:r>
      <w:r>
        <w:t>77</w:t>
      </w:r>
      <w:r>
        <w:rPr>
          <w:rFonts w:hAnsi="新細明體"/>
        </w:rPr>
        <w:t>條雖規定：「司法院為國家最高司法機關，掌理民事﹑刑事﹑行政訴訟之審判及公務員</w:t>
      </w:r>
      <w:r>
        <w:rPr>
          <w:rFonts w:hAnsi="新細明體"/>
        </w:rPr>
        <w:t>之懲戒」，可知司法院為公務員懲戒之最高機關。但並非指國家對公務員懲戒權之行使，一律均應由司法院直接掌理。公務員之懲戒乃國家對其違法﹑失職行為之制裁，此項懲戒為維持長官監督權所必要，自得視懲戒處分之性質，於合理範圍內，以法律規定由長官為之。因此，不論在懲戒法中或考績法中，規定由主管機關行使對於公務員之懲戒權，基本上應可接受。但是，針對主管長官所為之懲戒處分如何設計其救濟的途徑，則仍隱晦不明。這不僅指強度嚴重至改變公務員身份關係的免職處分，即或強度最為輕微的記過或申誡處分亦然。如果我們將主管長官所為之記過或申誡</w:t>
      </w:r>
      <w:r>
        <w:rPr>
          <w:rFonts w:hAnsi="新細明體"/>
        </w:rPr>
        <w:t>之懲戒處分對比考績法上平時考核之記大過、記過、申誡等處分，後者在不擴大公務員保障法第</w:t>
      </w:r>
      <w:r>
        <w:t>25</w:t>
      </w:r>
      <w:r>
        <w:rPr>
          <w:rFonts w:hAnsi="新細明體"/>
        </w:rPr>
        <w:t>條復審救濟標的範圍的前提下，或許可以容許公務人員提起第</w:t>
      </w:r>
      <w:r>
        <w:t>77</w:t>
      </w:r>
      <w:r>
        <w:rPr>
          <w:rFonts w:hAnsi="新細明體"/>
        </w:rPr>
        <w:t>條之申訴與再申訴的救濟。但是可能因為實務上始終囿於「懲戒、懲處不同，可並行，不可混用」之形式論理，不許記過或申誡之懲戒處分利用屬於懲處之申訴與再申訴救濟途徑。受懲戒處分之公務員，除有懲戒法第</w:t>
      </w:r>
      <w:r>
        <w:t>33</w:t>
      </w:r>
      <w:r>
        <w:rPr>
          <w:rFonts w:hAnsi="新細明體"/>
        </w:rPr>
        <w:t>條再審議情事外，幾無救濟機會。不過實務上，事實上也幾未見有長官依懲戒法對所屬九職等以下公務員為記過或申誡者。懲戒法第</w:t>
      </w:r>
      <w:r>
        <w:t>9</w:t>
      </w:r>
      <w:r>
        <w:rPr>
          <w:rFonts w:hAnsi="新細明體"/>
        </w:rPr>
        <w:t>條第</w:t>
      </w:r>
      <w:r>
        <w:t>3</w:t>
      </w:r>
      <w:r>
        <w:rPr>
          <w:rFonts w:hAnsi="新細明體"/>
        </w:rPr>
        <w:t>項雖仍為有效規定，但已幾乎形成具文（參考，湯德宗</w:t>
      </w:r>
      <w:r>
        <w:rPr>
          <w:rFonts w:hAnsi="新細明體"/>
        </w:rPr>
        <w:t>，「論公務人員不利人事處分的正當程序」，同作者，行政程序法論，</w:t>
      </w:r>
      <w:r>
        <w:t>2003</w:t>
      </w:r>
      <w:r>
        <w:rPr>
          <w:rFonts w:hAnsi="新細明體"/>
        </w:rPr>
        <w:t>，</w:t>
      </w:r>
      <w:r>
        <w:t>2</w:t>
      </w:r>
      <w:r>
        <w:rPr>
          <w:rFonts w:hAnsi="新細明體"/>
        </w:rPr>
        <w:t>版，頁</w:t>
      </w:r>
      <w:r>
        <w:t>348</w:t>
      </w:r>
      <w:r>
        <w:rPr>
          <w:rFonts w:hAnsi="新細明體"/>
        </w:rPr>
        <w:t>以下）。目前保訓會似亦尚無受理而作成申訴決定之例。</w:t>
      </w:r>
    </w:p>
  </w:footnote>
  <w:footnote w:id="4">
    <w:p w:rsidR="00000000" w:rsidRDefault="00600B67">
      <w:pPr>
        <w:pStyle w:val="ad"/>
        <w:spacing w:line="360" w:lineRule="auto"/>
        <w:jc w:val="both"/>
      </w:pPr>
      <w:r>
        <w:rPr>
          <w:rStyle w:val="ae"/>
        </w:rPr>
        <w:footnoteRef/>
      </w:r>
      <w:r>
        <w:t xml:space="preserve"> </w:t>
      </w:r>
      <w:r>
        <w:rPr>
          <w:rFonts w:hAnsi="新細明體"/>
        </w:rPr>
        <w:t>例如</w:t>
      </w:r>
      <w:r>
        <w:rPr>
          <w:rStyle w:val="af3"/>
          <w:rFonts w:ascii="Times New Roman"/>
          <w:b/>
          <w:sz w:val="20"/>
          <w:szCs w:val="20"/>
          <w:u w:val="single"/>
        </w:rPr>
        <w:t>保訓會</w:t>
      </w:r>
      <w:r>
        <w:rPr>
          <w:rStyle w:val="stext"/>
          <w:rFonts w:hAnsi="新細明體"/>
          <w:b/>
          <w:u w:val="single"/>
        </w:rPr>
        <w:t>（</w:t>
      </w:r>
      <w:r>
        <w:rPr>
          <w:rStyle w:val="stext"/>
          <w:b/>
          <w:u w:val="single"/>
        </w:rPr>
        <w:t>94</w:t>
      </w:r>
      <w:r>
        <w:rPr>
          <w:rStyle w:val="stext"/>
          <w:rFonts w:hAnsi="新細明體"/>
          <w:b/>
          <w:u w:val="single"/>
        </w:rPr>
        <w:t>）公審決字第</w:t>
      </w:r>
      <w:r>
        <w:rPr>
          <w:rStyle w:val="stext"/>
          <w:b/>
          <w:u w:val="single"/>
        </w:rPr>
        <w:t>0176</w:t>
      </w:r>
      <w:r>
        <w:rPr>
          <w:rStyle w:val="stext"/>
          <w:rFonts w:hAnsi="新細明體"/>
          <w:b/>
          <w:u w:val="single"/>
        </w:rPr>
        <w:t>號</w:t>
      </w:r>
      <w:r>
        <w:rPr>
          <w:rFonts w:hAnsi="新細明體"/>
          <w:b/>
          <w:color w:val="000000"/>
          <w:kern w:val="0"/>
          <w:u w:val="single"/>
        </w:rPr>
        <w:t>決定</w:t>
      </w:r>
      <w:r>
        <w:rPr>
          <w:rStyle w:val="af3"/>
          <w:rFonts w:ascii="Times New Roman"/>
          <w:b/>
          <w:sz w:val="20"/>
          <w:szCs w:val="20"/>
          <w:u w:val="single"/>
        </w:rPr>
        <w:t>（「</w:t>
      </w:r>
      <w:r>
        <w:rPr>
          <w:rFonts w:hAnsi="新細明體"/>
          <w:b/>
          <w:color w:val="000000"/>
          <w:u w:val="single"/>
        </w:rPr>
        <w:t>莊震隆</w:t>
      </w:r>
      <w:r>
        <w:rPr>
          <w:rStyle w:val="af3"/>
          <w:rFonts w:ascii="Times New Roman"/>
          <w:b/>
          <w:sz w:val="20"/>
          <w:szCs w:val="20"/>
          <w:u w:val="single"/>
        </w:rPr>
        <w:t>案」）</w:t>
      </w:r>
      <w:r>
        <w:rPr>
          <w:rStyle w:val="af3"/>
          <w:rFonts w:ascii="Times New Roman"/>
          <w:sz w:val="20"/>
          <w:szCs w:val="20"/>
        </w:rPr>
        <w:t>。</w:t>
      </w:r>
    </w:p>
  </w:footnote>
  <w:footnote w:id="5">
    <w:p w:rsidR="00000000" w:rsidRDefault="00600B67">
      <w:pPr>
        <w:pStyle w:val="ad"/>
        <w:spacing w:line="360" w:lineRule="auto"/>
        <w:jc w:val="both"/>
      </w:pPr>
      <w:r>
        <w:rPr>
          <w:rStyle w:val="ae"/>
        </w:rPr>
        <w:footnoteRef/>
      </w:r>
      <w:r>
        <w:t xml:space="preserve"> </w:t>
      </w:r>
      <w:r>
        <w:rPr>
          <w:rFonts w:hAnsi="新細明體"/>
        </w:rPr>
        <w:t>例如</w:t>
      </w:r>
      <w:r>
        <w:rPr>
          <w:rStyle w:val="af3"/>
          <w:rFonts w:ascii="Times New Roman"/>
          <w:b/>
          <w:sz w:val="20"/>
          <w:szCs w:val="20"/>
          <w:u w:val="single"/>
        </w:rPr>
        <w:t>保訓會</w:t>
      </w:r>
      <w:r>
        <w:rPr>
          <w:rStyle w:val="stext1"/>
          <w:rFonts w:hAnsi="新細明體"/>
          <w:b/>
          <w:color w:val="000000"/>
          <w:sz w:val="20"/>
          <w:szCs w:val="20"/>
          <w:u w:val="single"/>
        </w:rPr>
        <w:t>（</w:t>
      </w:r>
      <w:r>
        <w:rPr>
          <w:rStyle w:val="stext1"/>
          <w:b/>
          <w:color w:val="000000"/>
          <w:sz w:val="20"/>
          <w:szCs w:val="20"/>
          <w:u w:val="single"/>
        </w:rPr>
        <w:t>93</w:t>
      </w:r>
      <w:r>
        <w:rPr>
          <w:rStyle w:val="stext1"/>
          <w:rFonts w:hAnsi="新細明體"/>
          <w:b/>
          <w:color w:val="000000"/>
          <w:sz w:val="20"/>
          <w:szCs w:val="20"/>
          <w:u w:val="single"/>
        </w:rPr>
        <w:t>）公審決字第</w:t>
      </w:r>
      <w:r>
        <w:rPr>
          <w:rStyle w:val="stext1"/>
          <w:b/>
          <w:color w:val="000000"/>
          <w:sz w:val="20"/>
          <w:szCs w:val="20"/>
          <w:u w:val="single"/>
        </w:rPr>
        <w:t xml:space="preserve">0138 </w:t>
      </w:r>
      <w:r>
        <w:rPr>
          <w:rStyle w:val="stext1"/>
          <w:rFonts w:hAnsi="新細明體"/>
          <w:b/>
          <w:color w:val="000000"/>
          <w:sz w:val="20"/>
          <w:szCs w:val="20"/>
          <w:u w:val="single"/>
        </w:rPr>
        <w:t>號</w:t>
      </w:r>
      <w:r>
        <w:rPr>
          <w:rFonts w:hAnsi="新細明體"/>
          <w:b/>
          <w:color w:val="000000"/>
          <w:kern w:val="0"/>
          <w:u w:val="single"/>
        </w:rPr>
        <w:t>決定</w:t>
      </w:r>
      <w:r>
        <w:rPr>
          <w:rStyle w:val="af3"/>
          <w:rFonts w:ascii="Times New Roman"/>
          <w:b/>
          <w:sz w:val="20"/>
          <w:szCs w:val="20"/>
          <w:u w:val="single"/>
        </w:rPr>
        <w:t>（「</w:t>
      </w:r>
      <w:r>
        <w:rPr>
          <w:rFonts w:hAnsi="新細明體"/>
          <w:b/>
          <w:u w:val="single"/>
        </w:rPr>
        <w:t>林華彥</w:t>
      </w:r>
      <w:r>
        <w:rPr>
          <w:rStyle w:val="af3"/>
          <w:rFonts w:ascii="Times New Roman"/>
          <w:b/>
          <w:sz w:val="20"/>
          <w:szCs w:val="20"/>
          <w:u w:val="single"/>
        </w:rPr>
        <w:t>案」）</w:t>
      </w:r>
    </w:p>
  </w:footnote>
  <w:footnote w:id="6">
    <w:p w:rsidR="00000000" w:rsidRDefault="00600B67">
      <w:pPr>
        <w:pStyle w:val="ad"/>
        <w:spacing w:line="360" w:lineRule="auto"/>
        <w:jc w:val="both"/>
      </w:pPr>
      <w:r>
        <w:rPr>
          <w:rStyle w:val="ae"/>
        </w:rPr>
        <w:footnoteRef/>
      </w:r>
      <w:r>
        <w:t xml:space="preserve"> </w:t>
      </w:r>
      <w:r>
        <w:rPr>
          <w:rFonts w:hAnsi="新細明體"/>
        </w:rPr>
        <w:t>「行政處分相對化」的概念，參考，程明修，「</w:t>
      </w:r>
      <w:r>
        <w:rPr>
          <w:rFonts w:hAnsi="新細明體"/>
          <w:szCs w:val="28"/>
        </w:rPr>
        <w:t>針對地方自治『內部法律關係』與『外部法律關係』監督措施之行政訴訟</w:t>
      </w:r>
      <w:r>
        <w:rPr>
          <w:rFonts w:hAnsi="新細明體"/>
        </w:rPr>
        <w:t>」，同作者，</w:t>
      </w:r>
      <w:r>
        <w:rPr>
          <w:rFonts w:hAnsi="新細明體"/>
          <w:color w:val="000000"/>
        </w:rPr>
        <w:t>行政法之行為與法律關係理論，</w:t>
      </w:r>
      <w:r>
        <w:rPr>
          <w:color w:val="000000"/>
        </w:rPr>
        <w:t>2005.2</w:t>
      </w:r>
      <w:r>
        <w:rPr>
          <w:rFonts w:hAnsi="新細明體"/>
          <w:color w:val="000000"/>
        </w:rPr>
        <w:t>，頁</w:t>
      </w:r>
      <w:r>
        <w:rPr>
          <w:color w:val="000000"/>
        </w:rPr>
        <w:t>380</w:t>
      </w:r>
      <w:r>
        <w:rPr>
          <w:rFonts w:hAnsi="新細明體"/>
          <w:color w:val="000000"/>
        </w:rPr>
        <w:t>以下。</w:t>
      </w:r>
    </w:p>
  </w:footnote>
  <w:footnote w:id="7">
    <w:p w:rsidR="00000000" w:rsidRDefault="00600B67">
      <w:pPr>
        <w:pStyle w:val="ad"/>
        <w:spacing w:line="360" w:lineRule="auto"/>
        <w:jc w:val="both"/>
      </w:pPr>
      <w:r>
        <w:rPr>
          <w:rStyle w:val="ae"/>
        </w:rPr>
        <w:footnoteRef/>
      </w:r>
      <w:r>
        <w:t xml:space="preserve"> </w:t>
      </w:r>
      <w:r>
        <w:rPr>
          <w:rFonts w:hAnsi="新細明體"/>
        </w:rPr>
        <w:t>參考，李建良，「公務人員保障法及申訴標的之探討」，月旦法學</w:t>
      </w:r>
      <w:r>
        <w:rPr>
          <w:rFonts w:hAnsi="新細明體"/>
        </w:rPr>
        <w:t>雜誌第</w:t>
      </w:r>
      <w:r>
        <w:t>90</w:t>
      </w:r>
      <w:r>
        <w:rPr>
          <w:rFonts w:hAnsi="新細明體"/>
        </w:rPr>
        <w:t>期，</w:t>
      </w:r>
      <w:r>
        <w:t>2002.11</w:t>
      </w:r>
      <w:r>
        <w:rPr>
          <w:rFonts w:hAnsi="新細明體"/>
        </w:rPr>
        <w:t>，頁</w:t>
      </w:r>
      <w:r>
        <w:t>112</w:t>
      </w:r>
      <w:r>
        <w:rPr>
          <w:rFonts w:hAnsi="新細明體"/>
        </w:rPr>
        <w:t>以下。</w:t>
      </w:r>
    </w:p>
  </w:footnote>
  <w:footnote w:id="8">
    <w:p w:rsidR="00000000" w:rsidRDefault="00600B67">
      <w:pPr>
        <w:pStyle w:val="ad"/>
        <w:spacing w:line="360" w:lineRule="auto"/>
        <w:jc w:val="both"/>
      </w:pPr>
      <w:r>
        <w:rPr>
          <w:rStyle w:val="ae"/>
        </w:rPr>
        <w:footnoteRef/>
      </w:r>
      <w:r>
        <w:t xml:space="preserve"> </w:t>
      </w:r>
      <w:r>
        <w:rPr>
          <w:rFonts w:hAnsi="新細明體"/>
        </w:rPr>
        <w:t>例如，林明鏘，「公務人員複審與訴願程序之比較研究」，公務員法研究（一），</w:t>
      </w:r>
      <w:r>
        <w:t>2000.3</w:t>
      </w:r>
      <w:r>
        <w:rPr>
          <w:rFonts w:hAnsi="新細明體"/>
        </w:rPr>
        <w:t>，頁</w:t>
      </w:r>
      <w:r>
        <w:t>231</w:t>
      </w:r>
      <w:r>
        <w:rPr>
          <w:rFonts w:hAnsi="新細明體"/>
        </w:rPr>
        <w:t>；陳敏，行政法總論，</w:t>
      </w:r>
      <w:r>
        <w:t>2004.11</w:t>
      </w:r>
      <w:r>
        <w:rPr>
          <w:rFonts w:hAnsi="新細明體"/>
        </w:rPr>
        <w:t>，</w:t>
      </w:r>
      <w:r>
        <w:t>4</w:t>
      </w:r>
      <w:r>
        <w:rPr>
          <w:rFonts w:hAnsi="新細明體"/>
        </w:rPr>
        <w:t>版，頁</w:t>
      </w:r>
      <w:r>
        <w:t>1090</w:t>
      </w:r>
      <w:r>
        <w:rPr>
          <w:rFonts w:hAnsi="新細明體"/>
        </w:rPr>
        <w:t>。</w:t>
      </w:r>
    </w:p>
  </w:footnote>
  <w:footnote w:id="9">
    <w:p w:rsidR="00000000" w:rsidRDefault="00600B67">
      <w:pPr>
        <w:pStyle w:val="ad"/>
        <w:spacing w:line="360" w:lineRule="auto"/>
        <w:jc w:val="both"/>
      </w:pPr>
      <w:r>
        <w:rPr>
          <w:rStyle w:val="ae"/>
        </w:rPr>
        <w:footnoteRef/>
      </w:r>
      <w:r>
        <w:t xml:space="preserve"> </w:t>
      </w:r>
      <w:r>
        <w:rPr>
          <w:rFonts w:hAnsi="新細明體"/>
        </w:rPr>
        <w:t>依李教授文中說明，此為實務上所採，見之於公務人員保障暨培訓委員會</w:t>
      </w:r>
      <w:r>
        <w:t>86</w:t>
      </w:r>
      <w:r>
        <w:rPr>
          <w:rFonts w:hAnsi="新細明體"/>
        </w:rPr>
        <w:t>公保字第</w:t>
      </w:r>
      <w:r>
        <w:t>0538</w:t>
      </w:r>
      <w:r>
        <w:rPr>
          <w:rFonts w:hAnsi="新細明體"/>
        </w:rPr>
        <w:t>號函，引自，李建良，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121</w:t>
      </w:r>
      <w:r>
        <w:rPr>
          <w:rFonts w:hAnsi="新細明體"/>
        </w:rPr>
        <w:t>註</w:t>
      </w:r>
      <w:r>
        <w:t>69</w:t>
      </w:r>
      <w:r>
        <w:rPr>
          <w:rFonts w:hAnsi="新細明體"/>
        </w:rPr>
        <w:t>。</w:t>
      </w:r>
    </w:p>
  </w:footnote>
  <w:footnote w:id="10">
    <w:p w:rsidR="00000000" w:rsidRDefault="00600B67">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121</w:t>
      </w:r>
      <w:r>
        <w:rPr>
          <w:rFonts w:hAnsi="新細明體"/>
        </w:rPr>
        <w:t>。</w:t>
      </w:r>
    </w:p>
  </w:footnote>
  <w:footnote w:id="11">
    <w:p w:rsidR="00000000" w:rsidRDefault="00600B67">
      <w:pPr>
        <w:pStyle w:val="ad"/>
        <w:spacing w:line="360" w:lineRule="auto"/>
        <w:jc w:val="both"/>
      </w:pPr>
      <w:r>
        <w:rPr>
          <w:rStyle w:val="ae"/>
        </w:rPr>
        <w:footnoteRef/>
      </w:r>
      <w:r>
        <w:t xml:space="preserve"> Vgl. Eberhard Schwerdtner, Die Weisung - innerdienstlicher</w:t>
      </w:r>
      <w:r>
        <w:t xml:space="preserve"> Rechtsakt oder anfechtbarer Verwaltungsakt?, VBlBW 1996, 209. </w:t>
      </w:r>
      <w:r>
        <w:rPr>
          <w:rFonts w:hAnsi="新細明體"/>
        </w:rPr>
        <w:t>另亦有學者如艾立森，改以所涉及之法規範是否賦予公務員主觀權利，以及所涉之職務措施是否將公務員當作一個獨立權利主體而影響其權利或義務，來認定外部效果的存在與否。</w:t>
      </w:r>
      <w:r>
        <w:t>Vgl. Hans-Uwe Erichsen, Die Umsetzung von Beamten, DVBl. 1982, 98.</w:t>
      </w:r>
    </w:p>
  </w:footnote>
  <w:footnote w:id="12">
    <w:p w:rsidR="00000000" w:rsidRDefault="00600B67">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138</w:t>
      </w:r>
      <w:r>
        <w:rPr>
          <w:rFonts w:hAnsi="新細明體"/>
        </w:rPr>
        <w:t>以下。</w:t>
      </w:r>
    </w:p>
  </w:footnote>
  <w:footnote w:id="13">
    <w:p w:rsidR="00000000" w:rsidRDefault="00600B67">
      <w:pPr>
        <w:pStyle w:val="ad"/>
        <w:spacing w:line="360" w:lineRule="auto"/>
        <w:jc w:val="both"/>
      </w:pPr>
      <w:r>
        <w:rPr>
          <w:rStyle w:val="ae"/>
        </w:rPr>
        <w:footnoteRef/>
      </w:r>
      <w:r>
        <w:t xml:space="preserve"> </w:t>
      </w:r>
      <w:r>
        <w:rPr>
          <w:rFonts w:hAnsi="新細明體"/>
        </w:rPr>
        <w:t>公務人員保障暨培訓委員會主辦，「公務人</w:t>
      </w:r>
      <w:r>
        <w:rPr>
          <w:rFonts w:hAnsi="新細明體"/>
        </w:rPr>
        <w:t>員保障法制」研討會，</w:t>
      </w:r>
      <w:r>
        <w:t>2002.6.28</w:t>
      </w:r>
      <w:r>
        <w:rPr>
          <w:rFonts w:hAnsi="新細明體"/>
        </w:rPr>
        <w:t>，許宗力大法官之發言，月旦法學雜誌第</w:t>
      </w:r>
      <w:r>
        <w:t>90</w:t>
      </w:r>
      <w:r>
        <w:rPr>
          <w:rFonts w:hAnsi="新細明體"/>
        </w:rPr>
        <w:t>期，</w:t>
      </w:r>
      <w:r>
        <w:t>2002.11</w:t>
      </w:r>
      <w:r>
        <w:rPr>
          <w:rFonts w:hAnsi="新細明體"/>
        </w:rPr>
        <w:t>，頁</w:t>
      </w:r>
      <w:r>
        <w:t>170</w:t>
      </w:r>
      <w:r>
        <w:rPr>
          <w:rFonts w:hAnsi="新細明體"/>
        </w:rPr>
        <w:t>以下。</w:t>
      </w:r>
    </w:p>
  </w:footnote>
  <w:footnote w:id="14">
    <w:p w:rsidR="00000000" w:rsidRDefault="00600B67">
      <w:pPr>
        <w:pStyle w:val="ad"/>
        <w:spacing w:line="360" w:lineRule="auto"/>
        <w:jc w:val="both"/>
      </w:pPr>
      <w:r>
        <w:rPr>
          <w:rStyle w:val="ae"/>
        </w:rPr>
        <w:footnoteRef/>
      </w:r>
      <w:r>
        <w:t xml:space="preserve"> </w:t>
      </w:r>
      <w:r>
        <w:rPr>
          <w:rFonts w:hAnsi="新細明體"/>
        </w:rPr>
        <w:t>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139</w:t>
      </w:r>
      <w:r>
        <w:rPr>
          <w:rFonts w:hAnsi="新細明體"/>
        </w:rPr>
        <w:t>註</w:t>
      </w:r>
      <w:r>
        <w:t>206</w:t>
      </w:r>
      <w:r>
        <w:rPr>
          <w:rFonts w:hAnsi="新細明體"/>
        </w:rPr>
        <w:t>。</w:t>
      </w:r>
    </w:p>
  </w:footnote>
  <w:footnote w:id="15">
    <w:p w:rsidR="00000000" w:rsidRDefault="00600B67">
      <w:pPr>
        <w:pStyle w:val="ad"/>
        <w:spacing w:line="360" w:lineRule="auto"/>
        <w:jc w:val="both"/>
      </w:pPr>
      <w:r>
        <w:rPr>
          <w:rStyle w:val="ae"/>
        </w:rPr>
        <w:footnoteRef/>
      </w:r>
      <w:r>
        <w:t xml:space="preserve"> </w:t>
      </w:r>
      <w:r>
        <w:rPr>
          <w:rFonts w:hAnsi="新細明體"/>
        </w:rPr>
        <w:t>參考，程明修，「</w:t>
      </w:r>
      <w:r>
        <w:rPr>
          <w:rFonts w:hAnsi="新細明體"/>
          <w:bCs/>
          <w:szCs w:val="28"/>
        </w:rPr>
        <w:t>行政法上之意思表示、法律行為與行政處分</w:t>
      </w:r>
      <w:r>
        <w:rPr>
          <w:rFonts w:hAnsi="新細明體"/>
        </w:rPr>
        <w:t>」，同作者，</w:t>
      </w:r>
      <w:r>
        <w:rPr>
          <w:rFonts w:hAnsi="新細明體"/>
          <w:color w:val="000000"/>
        </w:rPr>
        <w:t>行政法之行為與法律關係理論，</w:t>
      </w:r>
      <w:r>
        <w:rPr>
          <w:color w:val="000000"/>
        </w:rPr>
        <w:t>2005.2</w:t>
      </w:r>
      <w:r>
        <w:rPr>
          <w:rFonts w:hAnsi="新細明體"/>
          <w:color w:val="000000"/>
        </w:rPr>
        <w:t>，頁</w:t>
      </w:r>
      <w:r>
        <w:rPr>
          <w:color w:val="000000"/>
        </w:rPr>
        <w:t>73</w:t>
      </w:r>
      <w:r>
        <w:rPr>
          <w:rFonts w:hAnsi="新細明體"/>
          <w:color w:val="000000"/>
        </w:rPr>
        <w:t>以下。</w:t>
      </w:r>
    </w:p>
  </w:footnote>
  <w:footnote w:id="16">
    <w:p w:rsidR="00000000" w:rsidRDefault="00600B67">
      <w:pPr>
        <w:pStyle w:val="ad"/>
        <w:spacing w:line="360" w:lineRule="auto"/>
        <w:jc w:val="both"/>
        <w:rPr>
          <w:lang w:val="de-DE"/>
        </w:rPr>
      </w:pPr>
      <w:r>
        <w:rPr>
          <w:rStyle w:val="ae"/>
        </w:rPr>
        <w:footnoteRef/>
      </w:r>
      <w:r>
        <w:rPr>
          <w:lang w:val="de-DE"/>
        </w:rPr>
        <w:t xml:space="preserve"> Vgl. </w:t>
      </w:r>
      <w:r>
        <w:rPr>
          <w:bCs/>
          <w:iCs/>
          <w:lang w:val="de-DE"/>
        </w:rPr>
        <w:t xml:space="preserve">Eberhard Schmidt-Aßmann, </w:t>
      </w:r>
      <w:r>
        <w:rPr>
          <w:lang w:val="de-DE"/>
        </w:rPr>
        <w:t>Das allgemeine Verwaltungsrecht als Ordnungsidee, 1998, 2/ 60 ff.</w:t>
      </w:r>
    </w:p>
  </w:footnote>
  <w:footnote w:id="17">
    <w:p w:rsidR="00000000" w:rsidRDefault="00600B67">
      <w:pPr>
        <w:pStyle w:val="ad"/>
        <w:spacing w:line="360" w:lineRule="auto"/>
        <w:jc w:val="both"/>
      </w:pPr>
      <w:r>
        <w:rPr>
          <w:rStyle w:val="ae"/>
        </w:rPr>
        <w:footnoteRef/>
      </w:r>
      <w:r>
        <w:t xml:space="preserve"> </w:t>
      </w:r>
      <w:r>
        <w:rPr>
          <w:rFonts w:hAnsi="新細明體"/>
        </w:rPr>
        <w:t>早在</w:t>
      </w:r>
      <w:r>
        <w:t>1964</w:t>
      </w:r>
      <w:r>
        <w:rPr>
          <w:rFonts w:hAnsi="新細明體"/>
        </w:rPr>
        <w:t>年，</w:t>
      </w:r>
      <w:r>
        <w:rPr>
          <w:rFonts w:hAnsi="新細明體"/>
        </w:rPr>
        <w:t>學者提姆即已指出，傳統特別權力關係區分經營關係與基礎關係而異其權利救濟可能性，無異是主張「輕微權利侵害即不用給予保護（</w:t>
      </w:r>
      <w:r>
        <w:t>minima non curat praetor</w:t>
      </w:r>
      <w:r>
        <w:rPr>
          <w:rFonts w:hAnsi="新細明體"/>
        </w:rPr>
        <w:t>）」。</w:t>
      </w:r>
      <w:r>
        <w:t>Vgl. Werner Thieme, Der Gesetzvorbehalt im besonderen Gewaltverhältnis, JZ 1964, 83.</w:t>
      </w:r>
    </w:p>
  </w:footnote>
  <w:footnote w:id="18">
    <w:p w:rsidR="00000000" w:rsidRDefault="00600B67">
      <w:pPr>
        <w:pStyle w:val="ad"/>
        <w:spacing w:line="360" w:lineRule="auto"/>
        <w:jc w:val="both"/>
      </w:pPr>
      <w:r>
        <w:rPr>
          <w:rStyle w:val="ae"/>
        </w:rPr>
        <w:footnoteRef/>
      </w:r>
      <w:r>
        <w:t xml:space="preserve"> </w:t>
      </w:r>
      <w:r>
        <w:rPr>
          <w:rFonts w:hAnsi="新細明體"/>
        </w:rPr>
        <w:t>參考，程明修，「對公務人員職務調動處分的行政訴訟」，司法院，行政訴訟論文彙編</w:t>
      </w:r>
      <w:r>
        <w:t xml:space="preserve"> - </w:t>
      </w:r>
      <w:r>
        <w:rPr>
          <w:rFonts w:hAnsi="新細明體"/>
        </w:rPr>
        <w:t>人事行政爭訟，</w:t>
      </w:r>
      <w:r>
        <w:t>2002.11</w:t>
      </w:r>
      <w:r>
        <w:rPr>
          <w:rFonts w:hAnsi="新細明體"/>
        </w:rPr>
        <w:t>，頁</w:t>
      </w:r>
      <w:r>
        <w:t>444</w:t>
      </w:r>
      <w:r>
        <w:rPr>
          <w:rFonts w:hAnsi="新細明體"/>
        </w:rPr>
        <w:t>；</w:t>
      </w:r>
      <w:r>
        <w:t>Henning Leupold, Recht</w:t>
      </w:r>
      <w:r>
        <w:t>sschutz bei beamtenrechtlichen Umsetzungen, DÖD 2002, 136 ff.</w:t>
      </w:r>
    </w:p>
  </w:footnote>
  <w:footnote w:id="19">
    <w:p w:rsidR="00000000" w:rsidRDefault="00600B67">
      <w:pPr>
        <w:pStyle w:val="ad"/>
        <w:spacing w:line="360" w:lineRule="auto"/>
        <w:jc w:val="both"/>
      </w:pPr>
      <w:r>
        <w:rPr>
          <w:rStyle w:val="ae"/>
        </w:rPr>
        <w:footnoteRef/>
      </w:r>
      <w:r>
        <w:rPr>
          <w:lang w:val="de-DE"/>
        </w:rPr>
        <w:t xml:space="preserve"> Vgl. Frank Stollberg (Hrsg.), Beamtrecht in der Fallbearbeitung, 1993, 2. </w:t>
      </w:r>
      <w:r>
        <w:t>Aufl., S. 118.</w:t>
      </w:r>
    </w:p>
  </w:footnote>
  <w:footnote w:id="20">
    <w:p w:rsidR="00000000" w:rsidRDefault="00600B67">
      <w:pPr>
        <w:pStyle w:val="ad"/>
        <w:spacing w:line="360" w:lineRule="auto"/>
        <w:jc w:val="both"/>
        <w:rPr>
          <w:lang w:val="de-DE"/>
        </w:rPr>
      </w:pPr>
      <w:r>
        <w:rPr>
          <w:rStyle w:val="ae"/>
        </w:rPr>
        <w:footnoteRef/>
      </w:r>
      <w:r>
        <w:rPr>
          <w:lang w:val="de-DE"/>
        </w:rPr>
        <w:t xml:space="preserve"> Vgl. Judith Schwarplys, Die allgemeine Gestaltungsklage als Rechtsschutzform gegen verwaltungsinterne</w:t>
      </w:r>
      <w:r>
        <w:rPr>
          <w:lang w:val="de-DE"/>
        </w:rPr>
        <w:t xml:space="preserve"> Regelungen, 1996, S. 34.</w:t>
      </w:r>
    </w:p>
  </w:footnote>
  <w:footnote w:id="21">
    <w:p w:rsidR="00000000" w:rsidRDefault="00600B67">
      <w:pPr>
        <w:pStyle w:val="ad"/>
        <w:spacing w:line="360" w:lineRule="auto"/>
        <w:jc w:val="both"/>
      </w:pPr>
      <w:r>
        <w:rPr>
          <w:rStyle w:val="ae"/>
        </w:rPr>
        <w:footnoteRef/>
      </w:r>
      <w:r>
        <w:t xml:space="preserve"> </w:t>
      </w:r>
      <w:r>
        <w:rPr>
          <w:rFonts w:hAnsi="新細明體"/>
        </w:rPr>
        <w:t>此一問題若不從制度面解決，實務上認知之紛擾恐難平息。例如高雄行政法院</w:t>
      </w:r>
      <w:r>
        <w:t>94</w:t>
      </w:r>
      <w:r>
        <w:rPr>
          <w:rFonts w:hAnsi="新細明體"/>
        </w:rPr>
        <w:t>年訴字第</w:t>
      </w:r>
      <w:r>
        <w:t>483</w:t>
      </w:r>
      <w:r>
        <w:rPr>
          <w:rFonts w:hAnsi="新細明體"/>
        </w:rPr>
        <w:t>號裁定，對於行政機關免除公務人員主管之行政兼職，認屬機關行政業務之調整，未改變公務人員身份上之法律地位，對其權利並無重大影響，此種職務命令並非影響公務人員之不利益處分，僅得提起申訴、再申訴之見解，與保訓會認知之落差，即屬適例。</w:t>
      </w:r>
    </w:p>
  </w:footnote>
  <w:footnote w:id="22">
    <w:p w:rsidR="00000000" w:rsidRDefault="00600B67">
      <w:pPr>
        <w:pStyle w:val="ad"/>
        <w:spacing w:line="360" w:lineRule="auto"/>
        <w:jc w:val="both"/>
        <w:rPr>
          <w:lang w:val="de-DE"/>
        </w:rPr>
      </w:pPr>
      <w:r>
        <w:rPr>
          <w:rStyle w:val="ae"/>
        </w:rPr>
        <w:footnoteRef/>
      </w:r>
      <w:r>
        <w:rPr>
          <w:lang w:val="de-DE"/>
        </w:rPr>
        <w:t xml:space="preserve"> </w:t>
      </w:r>
      <w:r>
        <w:rPr>
          <w:rFonts w:hAnsi="新細明體"/>
          <w:lang w:val="de-DE"/>
        </w:rPr>
        <w:t>相同的批判，參考，李建良，保障制度復審範圍之研究，公務人員保障暨培訓委員會委託研究計畫，</w:t>
      </w:r>
      <w:r>
        <w:rPr>
          <w:lang w:val="de-DE"/>
        </w:rPr>
        <w:t>2003.12</w:t>
      </w:r>
      <w:r>
        <w:rPr>
          <w:rFonts w:hAnsi="新細明體"/>
          <w:lang w:val="de-DE"/>
        </w:rPr>
        <w:t>，頁</w:t>
      </w:r>
      <w:r>
        <w:rPr>
          <w:lang w:val="de-DE"/>
        </w:rPr>
        <w:t>143</w:t>
      </w:r>
      <w:r>
        <w:rPr>
          <w:rFonts w:hAnsi="新細明體"/>
          <w:lang w:val="de-DE"/>
        </w:rPr>
        <w:t>以下。</w:t>
      </w:r>
    </w:p>
  </w:footnote>
  <w:footnote w:id="23">
    <w:p w:rsidR="00000000" w:rsidRDefault="00600B67">
      <w:pPr>
        <w:pStyle w:val="ad"/>
        <w:spacing w:line="360" w:lineRule="auto"/>
        <w:rPr>
          <w:lang w:val="de-DE"/>
        </w:rPr>
      </w:pPr>
      <w:r>
        <w:rPr>
          <w:rStyle w:val="ae"/>
        </w:rPr>
        <w:footnoteRef/>
      </w:r>
      <w:r>
        <w:rPr>
          <w:lang w:val="de-DE"/>
        </w:rPr>
        <w:t xml:space="preserve"> </w:t>
      </w:r>
      <w:r>
        <w:rPr>
          <w:rFonts w:hAnsi="新細明體"/>
        </w:rPr>
        <w:t>蔡志方</w:t>
      </w:r>
      <w:r>
        <w:rPr>
          <w:rFonts w:hAnsi="新細明體"/>
          <w:lang w:val="de-DE"/>
        </w:rPr>
        <w:t>，</w:t>
      </w:r>
      <w:r>
        <w:rPr>
          <w:rFonts w:hAnsi="新細明體"/>
        </w:rPr>
        <w:t>行政法三十六講</w:t>
      </w:r>
      <w:r>
        <w:rPr>
          <w:rFonts w:hAnsi="新細明體"/>
          <w:lang w:val="de-DE"/>
        </w:rPr>
        <w:t>，</w:t>
      </w:r>
      <w:r>
        <w:rPr>
          <w:lang w:val="de-DE"/>
        </w:rPr>
        <w:t>1997</w:t>
      </w:r>
      <w:r>
        <w:rPr>
          <w:rFonts w:hAnsi="新細明體"/>
          <w:lang w:val="de-DE"/>
        </w:rPr>
        <w:t>，</w:t>
      </w:r>
      <w:r>
        <w:rPr>
          <w:rFonts w:hAnsi="新細明體"/>
        </w:rPr>
        <w:t>頁</w:t>
      </w:r>
      <w:r>
        <w:rPr>
          <w:lang w:val="de-DE"/>
        </w:rPr>
        <w:t>195</w:t>
      </w:r>
      <w:r>
        <w:rPr>
          <w:rFonts w:hAnsi="新細明體"/>
          <w:lang w:val="de-DE"/>
        </w:rPr>
        <w:t>；</w:t>
      </w:r>
      <w:r>
        <w:rPr>
          <w:lang w:val="de-DE"/>
        </w:rPr>
        <w:t>Hartmut</w:t>
      </w:r>
      <w:r>
        <w:rPr>
          <w:bCs/>
          <w:iCs/>
          <w:lang w:val="de-DE"/>
        </w:rPr>
        <w:t xml:space="preserve"> Maure</w:t>
      </w:r>
      <w:r>
        <w:rPr>
          <w:bCs/>
          <w:iCs/>
          <w:lang w:val="de-DE"/>
        </w:rPr>
        <w:t>r,</w:t>
      </w:r>
      <w:r>
        <w:rPr>
          <w:lang w:val="de-DE"/>
        </w:rPr>
        <w:t xml:space="preserve"> Allgemeines Verwaltungsrecht, 2000, 13. Aufl., § 9 Rn. 26.</w:t>
      </w:r>
    </w:p>
  </w:footnote>
  <w:footnote w:id="24">
    <w:p w:rsidR="00000000" w:rsidRDefault="00600B67">
      <w:pPr>
        <w:pStyle w:val="ad"/>
        <w:spacing w:line="360" w:lineRule="auto"/>
        <w:rPr>
          <w:lang w:val="de-DE"/>
        </w:rPr>
      </w:pPr>
      <w:r>
        <w:rPr>
          <w:rStyle w:val="ae"/>
        </w:rPr>
        <w:footnoteRef/>
      </w:r>
      <w:r>
        <w:rPr>
          <w:lang w:val="de-DE"/>
        </w:rPr>
        <w:t xml:space="preserve"> Vgl. </w:t>
      </w:r>
      <w:r>
        <w:rPr>
          <w:bCs/>
          <w:iCs/>
          <w:lang w:val="de-DE"/>
        </w:rPr>
        <w:t>Rudolf Schweickdardt</w:t>
      </w:r>
      <w:r>
        <w:rPr>
          <w:lang w:val="de-DE"/>
        </w:rPr>
        <w:t>, Allgemeines Verwaltungsrecht, 1983, 3. Aufl., Rn. 326.</w:t>
      </w:r>
    </w:p>
  </w:footnote>
  <w:footnote w:id="25">
    <w:p w:rsidR="00000000" w:rsidRDefault="00600B67">
      <w:pPr>
        <w:pStyle w:val="ad"/>
        <w:spacing w:line="360" w:lineRule="auto"/>
        <w:rPr>
          <w:lang w:val="de-DE"/>
        </w:rPr>
      </w:pPr>
      <w:r>
        <w:rPr>
          <w:rStyle w:val="ae"/>
        </w:rPr>
        <w:footnoteRef/>
      </w:r>
      <w:r>
        <w:rPr>
          <w:lang w:val="de-DE"/>
        </w:rPr>
        <w:t xml:space="preserve"> Vgl. Hartmut</w:t>
      </w:r>
      <w:r>
        <w:rPr>
          <w:bCs/>
          <w:iCs/>
          <w:lang w:val="de-DE"/>
        </w:rPr>
        <w:t xml:space="preserve"> Maurer,</w:t>
      </w:r>
      <w:r>
        <w:rPr>
          <w:lang w:val="de-DE"/>
        </w:rPr>
        <w:t xml:space="preserve"> </w:t>
      </w:r>
      <w:r>
        <w:rPr>
          <w:rFonts w:hint="eastAsia"/>
          <w:color w:val="0000FF"/>
          <w:lang w:val="de-DE"/>
        </w:rPr>
        <w:t>a.a.O.(Anm.36)</w:t>
      </w:r>
      <w:r>
        <w:rPr>
          <w:lang w:val="de-DE"/>
        </w:rPr>
        <w:t>, § 9 Rn. 26.</w:t>
      </w:r>
    </w:p>
  </w:footnote>
  <w:footnote w:id="26">
    <w:p w:rsidR="00000000" w:rsidRDefault="00600B67">
      <w:pPr>
        <w:pStyle w:val="ad"/>
        <w:spacing w:line="360" w:lineRule="auto"/>
        <w:rPr>
          <w:lang w:val="de-DE"/>
        </w:rPr>
      </w:pPr>
      <w:r>
        <w:rPr>
          <w:rStyle w:val="ae"/>
        </w:rPr>
        <w:footnoteRef/>
      </w:r>
      <w:r>
        <w:rPr>
          <w:lang w:val="de-DE"/>
        </w:rPr>
        <w:t xml:space="preserve"> </w:t>
      </w:r>
      <w:r>
        <w:rPr>
          <w:rFonts w:hAnsi="新細明體"/>
        </w:rPr>
        <w:t>對於內部法與外部法無法嚴格區分的質疑</w:t>
      </w:r>
      <w:r>
        <w:rPr>
          <w:rFonts w:hAnsi="新細明體"/>
          <w:lang w:val="de-DE"/>
        </w:rPr>
        <w:t>，</w:t>
      </w:r>
      <w:r>
        <w:rPr>
          <w:rFonts w:hAnsi="新細明體"/>
        </w:rPr>
        <w:t>或者甚至主張兩者根本就是流動</w:t>
      </w:r>
      <w:r>
        <w:rPr>
          <w:rFonts w:hAnsi="新細明體"/>
          <w:lang w:val="de-DE"/>
        </w:rPr>
        <w:t>（</w:t>
      </w:r>
      <w:r>
        <w:rPr>
          <w:lang w:val="de-DE"/>
        </w:rPr>
        <w:t>fließend</w:t>
      </w:r>
      <w:r>
        <w:rPr>
          <w:rFonts w:hAnsi="新細明體"/>
          <w:lang w:val="de-DE"/>
        </w:rPr>
        <w:t>）</w:t>
      </w:r>
      <w:r>
        <w:rPr>
          <w:rFonts w:hAnsi="新細明體"/>
        </w:rPr>
        <w:t>的概念</w:t>
      </w:r>
      <w:r>
        <w:rPr>
          <w:rFonts w:hAnsi="新細明體"/>
          <w:lang w:val="de-DE"/>
        </w:rPr>
        <w:t>，</w:t>
      </w:r>
      <w:r>
        <w:rPr>
          <w:lang w:val="de-DE"/>
        </w:rPr>
        <w:t xml:space="preserve">vgl. </w:t>
      </w:r>
      <w:r>
        <w:rPr>
          <w:bCs/>
          <w:iCs/>
          <w:lang w:val="fr-FR"/>
        </w:rPr>
        <w:t>Franz</w:t>
      </w:r>
      <w:r>
        <w:rPr>
          <w:bCs/>
          <w:iCs/>
          <w:lang w:val="fr-FR"/>
        </w:rPr>
        <w:t>-Joseph</w:t>
      </w:r>
      <w:r>
        <w:rPr>
          <w:lang w:val="de-DE"/>
        </w:rPr>
        <w:t xml:space="preserve"> </w:t>
      </w:r>
      <w:r>
        <w:rPr>
          <w:bCs/>
          <w:iCs/>
          <w:lang w:val="fr-FR"/>
        </w:rPr>
        <w:t xml:space="preserve">Peine, </w:t>
      </w:r>
      <w:r>
        <w:rPr>
          <w:lang w:val="de-DE"/>
        </w:rPr>
        <w:t>Allgemeines Verwaltungsrecht, 2000, 5. Aufl., § 2 Rn. 21; Wolfgang Roth, Verwaltungsrechtliche Organstreitigkeiten, 2001, S. 157.</w:t>
      </w:r>
    </w:p>
  </w:footnote>
  <w:footnote w:id="27">
    <w:p w:rsidR="00000000" w:rsidRDefault="00600B67">
      <w:pPr>
        <w:pStyle w:val="ad"/>
        <w:spacing w:line="360" w:lineRule="auto"/>
      </w:pPr>
      <w:r>
        <w:rPr>
          <w:rStyle w:val="ae"/>
        </w:rPr>
        <w:footnoteRef/>
      </w:r>
      <w:r>
        <w:rPr>
          <w:lang w:val="de-DE"/>
        </w:rPr>
        <w:t xml:space="preserve"> </w:t>
      </w:r>
      <w:r>
        <w:rPr>
          <w:rFonts w:hAnsi="新細明體"/>
        </w:rPr>
        <w:t>例如</w:t>
      </w:r>
      <w:r>
        <w:rPr>
          <w:rFonts w:hAnsi="新細明體"/>
          <w:lang w:val="de-DE"/>
        </w:rPr>
        <w:t>，</w:t>
      </w:r>
      <w:r>
        <w:rPr>
          <w:rFonts w:hAnsi="新細明體"/>
          <w:bCs/>
          <w:iCs/>
        </w:rPr>
        <w:t>廖義男</w:t>
      </w:r>
      <w:r>
        <w:rPr>
          <w:rFonts w:hAnsi="新細明體"/>
          <w:lang w:val="de-DE"/>
        </w:rPr>
        <w:t>，</w:t>
      </w:r>
      <w:r>
        <w:rPr>
          <w:rFonts w:hAnsi="新細明體"/>
        </w:rPr>
        <w:t>「行政程序法草案之重要內容</w:t>
      </w:r>
      <w:r>
        <w:rPr>
          <w:rFonts w:hAnsi="新細明體"/>
          <w:lang w:val="de-DE"/>
        </w:rPr>
        <w:t>（</w:t>
      </w:r>
      <w:r>
        <w:rPr>
          <w:rFonts w:hAnsi="新細明體"/>
        </w:rPr>
        <w:t>一</w:t>
      </w:r>
      <w:r>
        <w:rPr>
          <w:rFonts w:hAnsi="新細明體"/>
          <w:lang w:val="de-DE"/>
        </w:rPr>
        <w:t>）</w:t>
      </w:r>
      <w:r>
        <w:rPr>
          <w:lang w:val="de-DE"/>
        </w:rPr>
        <w:t xml:space="preserve"> - </w:t>
      </w:r>
      <w:r>
        <w:rPr>
          <w:rFonts w:hAnsi="新細明體"/>
        </w:rPr>
        <w:t>適用範圍、行政處分與法規命令」</w:t>
      </w:r>
      <w:r>
        <w:rPr>
          <w:rFonts w:hAnsi="新細明體"/>
          <w:lang w:val="de-DE"/>
        </w:rPr>
        <w:t>，</w:t>
      </w:r>
      <w:r>
        <w:rPr>
          <w:rFonts w:hAnsi="新細明體"/>
        </w:rPr>
        <w:t>行政程序法草案研討會會議資料</w:t>
      </w:r>
      <w:r>
        <w:rPr>
          <w:rFonts w:hAnsi="新細明體"/>
          <w:lang w:val="de-DE"/>
        </w:rPr>
        <w:t>，</w:t>
      </w:r>
      <w:r>
        <w:rPr>
          <w:lang w:val="de-DE"/>
        </w:rPr>
        <w:t>1998.12.19</w:t>
      </w:r>
      <w:r>
        <w:rPr>
          <w:rFonts w:hAnsi="新細明體"/>
          <w:lang w:val="de-DE"/>
        </w:rPr>
        <w:t>，</w:t>
      </w:r>
      <w:r>
        <w:rPr>
          <w:rFonts w:hAnsi="新細明體"/>
        </w:rPr>
        <w:t>頁</w:t>
      </w:r>
      <w:r>
        <w:rPr>
          <w:lang w:val="de-DE"/>
        </w:rPr>
        <w:t>1-23</w:t>
      </w:r>
      <w:r>
        <w:rPr>
          <w:rFonts w:hAnsi="新細明體"/>
        </w:rPr>
        <w:t>。另有學者在「涉及權利」與否的判斷之外，另外再輔以形式組織上的內外關係為</w:t>
      </w:r>
      <w:r>
        <w:rPr>
          <w:rFonts w:hAnsi="新細明體"/>
        </w:rPr>
        <w:t>準據。參考，李建良，</w:t>
      </w:r>
      <w:r>
        <w:rPr>
          <w:rFonts w:hAnsi="新細明體" w:hint="eastAsia"/>
          <w:color w:val="0000FF"/>
        </w:rPr>
        <w:t>前揭文</w:t>
      </w:r>
      <w:r>
        <w:rPr>
          <w:rFonts w:hAnsi="新細明體" w:hint="eastAsia"/>
          <w:color w:val="0000FF"/>
        </w:rPr>
        <w:t>(</w:t>
      </w:r>
      <w:r>
        <w:rPr>
          <w:rFonts w:hAnsi="新細明體" w:hint="eastAsia"/>
          <w:color w:val="0000FF"/>
        </w:rPr>
        <w:t>註</w:t>
      </w:r>
      <w:r>
        <w:rPr>
          <w:rFonts w:hAnsi="新細明體" w:hint="eastAsia"/>
          <w:color w:val="0000FF"/>
        </w:rPr>
        <w:t>20)</w:t>
      </w:r>
      <w:r>
        <w:rPr>
          <w:rFonts w:hAnsi="新細明體"/>
        </w:rPr>
        <w:t>，頁</w:t>
      </w:r>
      <w:r>
        <w:t>138</w:t>
      </w:r>
      <w:r>
        <w:rPr>
          <w:rFonts w:hAnsi="新細明體"/>
        </w:rPr>
        <w:t>以下。</w:t>
      </w:r>
    </w:p>
  </w:footnote>
  <w:footnote w:id="28">
    <w:p w:rsidR="00000000" w:rsidRDefault="00600B67">
      <w:pPr>
        <w:pStyle w:val="ad"/>
        <w:spacing w:line="360" w:lineRule="auto"/>
        <w:rPr>
          <w:lang w:val="de-DE"/>
        </w:rPr>
      </w:pPr>
      <w:r>
        <w:rPr>
          <w:rStyle w:val="ae"/>
        </w:rPr>
        <w:footnoteRef/>
      </w:r>
      <w:r>
        <w:rPr>
          <w:lang w:val="de-DE"/>
        </w:rPr>
        <w:t xml:space="preserve"> </w:t>
      </w:r>
      <w:r>
        <w:rPr>
          <w:rFonts w:hAnsi="新細明體"/>
          <w:lang w:val="de-DE"/>
        </w:rPr>
        <w:t>參考，程明修，「針對地方自治『內部法律關係』與『外部法律關係』監督措施之行政訴訟」，同作者，行政法之行為與法律關係理論，</w:t>
      </w:r>
      <w:r>
        <w:rPr>
          <w:lang w:val="de-DE"/>
        </w:rPr>
        <w:t>2005.10</w:t>
      </w:r>
      <w:r>
        <w:rPr>
          <w:rFonts w:hAnsi="新細明體"/>
          <w:lang w:val="de-DE"/>
        </w:rPr>
        <w:t>，</w:t>
      </w:r>
      <w:r>
        <w:rPr>
          <w:lang w:val="de-DE"/>
        </w:rPr>
        <w:t>2</w:t>
      </w:r>
      <w:r>
        <w:rPr>
          <w:rFonts w:hAnsi="新細明體"/>
          <w:lang w:val="de-DE"/>
        </w:rPr>
        <w:t>版，頁</w:t>
      </w:r>
      <w:r>
        <w:rPr>
          <w:lang w:val="de-DE"/>
        </w:rPr>
        <w:t>415</w:t>
      </w:r>
      <w:r>
        <w:rPr>
          <w:rFonts w:hAnsi="新細明體"/>
          <w:lang w:val="de-DE"/>
        </w:rPr>
        <w:t>。</w:t>
      </w:r>
    </w:p>
  </w:footnote>
  <w:footnote w:id="29">
    <w:p w:rsidR="00000000" w:rsidRDefault="00600B67">
      <w:pPr>
        <w:pStyle w:val="ad"/>
        <w:spacing w:line="360" w:lineRule="auto"/>
        <w:rPr>
          <w:lang w:val="de-DE"/>
        </w:rPr>
      </w:pPr>
      <w:r>
        <w:rPr>
          <w:rStyle w:val="ae"/>
        </w:rPr>
        <w:footnoteRef/>
      </w:r>
      <w:r>
        <w:rPr>
          <w:rFonts w:hint="eastAsia"/>
          <w:color w:val="0000FF"/>
          <w:lang w:val="de-DE"/>
        </w:rPr>
        <w:t xml:space="preserve"> V</w:t>
      </w:r>
      <w:r>
        <w:rPr>
          <w:color w:val="0000FF"/>
          <w:lang w:val="de-DE"/>
        </w:rPr>
        <w:t>gl.</w:t>
      </w:r>
      <w:r>
        <w:rPr>
          <w:lang w:val="de-DE"/>
        </w:rPr>
        <w:t xml:space="preserve"> Ferdinand O. Kopp/ Ulrich Ramsauer, </w:t>
      </w:r>
      <w:r>
        <w:rPr>
          <w:rFonts w:hint="eastAsia"/>
          <w:lang w:val="de-DE"/>
        </w:rPr>
        <w:t>VwVfG</w:t>
      </w:r>
      <w:r>
        <w:rPr>
          <w:lang w:val="de-DE"/>
        </w:rPr>
        <w:t xml:space="preserve">, </w:t>
      </w:r>
      <w:r>
        <w:rPr>
          <w:rFonts w:hint="eastAsia"/>
          <w:lang w:val="de-DE"/>
        </w:rPr>
        <w:t xml:space="preserve">7. Aufl., 2000, </w:t>
      </w:r>
      <w:r>
        <w:rPr>
          <w:lang w:val="de-DE"/>
        </w:rPr>
        <w:t>§ 35 Rn. 75.</w:t>
      </w:r>
    </w:p>
  </w:footnote>
  <w:footnote w:id="30">
    <w:p w:rsidR="00000000" w:rsidRDefault="00600B67">
      <w:pPr>
        <w:pStyle w:val="ad"/>
        <w:spacing w:line="360" w:lineRule="auto"/>
        <w:rPr>
          <w:lang w:val="de-DE"/>
        </w:rPr>
      </w:pPr>
      <w:r>
        <w:rPr>
          <w:rStyle w:val="ae"/>
        </w:rPr>
        <w:footnoteRef/>
      </w:r>
      <w:r>
        <w:rPr>
          <w:lang w:val="de-DE"/>
        </w:rPr>
        <w:t xml:space="preserve"> </w:t>
      </w:r>
      <w:r>
        <w:rPr>
          <w:lang w:val="de-DE" w:eastAsia="ja-JP"/>
        </w:rPr>
        <w:t xml:space="preserve">Vgl. Ulrich Battis, Recht auf öffentlichen Dienstes, in: Achterberg/ </w:t>
      </w:r>
      <w:r>
        <w:rPr>
          <w:lang w:val="de-DE" w:eastAsia="ja-JP"/>
        </w:rPr>
        <w:t xml:space="preserve">Püttner/ Würtenberg (Hrsg.), Besonderes Verwaltungsrecht, Bd. </w:t>
      </w:r>
      <w:r>
        <w:rPr>
          <w:lang w:val="de-DE"/>
        </w:rPr>
        <w:t>II, 2. Aufl.</w:t>
      </w:r>
      <w:r>
        <w:rPr>
          <w:lang w:val="de-DE" w:eastAsia="ja-JP"/>
        </w:rPr>
        <w:t xml:space="preserve">, 2000, </w:t>
      </w:r>
      <w:r>
        <w:rPr>
          <w:lang w:val="de-DE"/>
        </w:rPr>
        <w:t>§ 31 Rn. 27.</w:t>
      </w:r>
    </w:p>
  </w:footnote>
  <w:footnote w:id="31">
    <w:p w:rsidR="00000000" w:rsidRDefault="00600B67">
      <w:pPr>
        <w:pStyle w:val="ad"/>
        <w:spacing w:line="360" w:lineRule="auto"/>
      </w:pPr>
      <w:r>
        <w:rPr>
          <w:rStyle w:val="ae"/>
        </w:rPr>
        <w:footnoteRef/>
      </w:r>
      <w:r>
        <w:rPr>
          <w:lang w:val="de-DE"/>
        </w:rPr>
        <w:t xml:space="preserve"> </w:t>
      </w:r>
      <w:r>
        <w:rPr>
          <w:rFonts w:hAnsi="新細明體"/>
        </w:rPr>
        <w:t>大法官釋字第</w:t>
      </w:r>
      <w:r>
        <w:rPr>
          <w:lang w:val="de-DE"/>
        </w:rPr>
        <w:t>423</w:t>
      </w:r>
      <w:r>
        <w:rPr>
          <w:rFonts w:hAnsi="新細明體"/>
        </w:rPr>
        <w:t>號解釋中</w:t>
      </w:r>
      <w:r>
        <w:rPr>
          <w:rFonts w:hAnsi="新細明體"/>
          <w:lang w:val="de-DE"/>
        </w:rPr>
        <w:t>，</w:t>
      </w:r>
      <w:r>
        <w:rPr>
          <w:rFonts w:hAnsi="新細明體"/>
        </w:rPr>
        <w:t>認為「行政機關行使公權力</w:t>
      </w:r>
      <w:r>
        <w:rPr>
          <w:rFonts w:hAnsi="新細明體"/>
          <w:lang w:val="de-DE"/>
        </w:rPr>
        <w:t>，</w:t>
      </w:r>
      <w:r>
        <w:rPr>
          <w:rFonts w:hAnsi="新細明體"/>
        </w:rPr>
        <w:t>就特定具體之公法事件所為對外發生法律上效果之單方行政行為</w:t>
      </w:r>
      <w:r>
        <w:rPr>
          <w:rFonts w:hAnsi="新細明體"/>
          <w:lang w:val="de-DE"/>
        </w:rPr>
        <w:t>，</w:t>
      </w:r>
      <w:r>
        <w:rPr>
          <w:rFonts w:hAnsi="新細明體"/>
        </w:rPr>
        <w:t>『皆屬』行政處分」</w:t>
      </w:r>
      <w:r>
        <w:rPr>
          <w:rFonts w:hAnsi="新細明體"/>
          <w:lang w:val="de-DE"/>
        </w:rPr>
        <w:t>，</w:t>
      </w:r>
      <w:r>
        <w:rPr>
          <w:rFonts w:hAnsi="新細明體"/>
        </w:rPr>
        <w:t>其中似乎就有忽略「直接性」判斷</w:t>
      </w:r>
      <w:r>
        <w:rPr>
          <w:rFonts w:hAnsi="新細明體"/>
          <w:lang w:val="de-DE"/>
        </w:rPr>
        <w:t>，</w:t>
      </w:r>
      <w:r>
        <w:rPr>
          <w:rFonts w:hAnsi="新細明體"/>
        </w:rPr>
        <w:t>同時造成行政處分過度承載的疑慮。</w:t>
      </w:r>
    </w:p>
  </w:footnote>
  <w:footnote w:id="32">
    <w:p w:rsidR="00000000" w:rsidRDefault="00600B67">
      <w:pPr>
        <w:pStyle w:val="ad"/>
        <w:spacing w:line="360" w:lineRule="auto"/>
        <w:rPr>
          <w:lang w:val="de-DE"/>
        </w:rPr>
      </w:pPr>
      <w:r>
        <w:rPr>
          <w:rStyle w:val="ae"/>
        </w:rPr>
        <w:footnoteRef/>
      </w:r>
      <w:r>
        <w:rPr>
          <w:lang w:val="de-DE"/>
        </w:rPr>
        <w:t xml:space="preserve"> </w:t>
      </w:r>
      <w:r>
        <w:rPr>
          <w:lang w:val="de-DE" w:eastAsia="ja-JP"/>
        </w:rPr>
        <w:t>Vgl.</w:t>
      </w:r>
      <w:r>
        <w:rPr>
          <w:rFonts w:hint="eastAsia"/>
          <w:lang w:val="de-DE"/>
        </w:rPr>
        <w:t xml:space="preserve"> </w:t>
      </w:r>
      <w:r>
        <w:rPr>
          <w:lang w:val="de-DE"/>
        </w:rPr>
        <w:t xml:space="preserve">Henning Leupold, Rechtsschutz bei beamtenrechtlichen </w:t>
      </w:r>
      <w:r>
        <w:rPr>
          <w:lang w:val="de-DE"/>
        </w:rPr>
        <w:t>Umsetzungen, DÖD 2002, 136 ff.</w:t>
      </w:r>
    </w:p>
  </w:footnote>
  <w:footnote w:id="33">
    <w:p w:rsidR="00000000" w:rsidRDefault="00600B67">
      <w:pPr>
        <w:pStyle w:val="ad"/>
        <w:spacing w:line="360" w:lineRule="auto"/>
        <w:jc w:val="both"/>
        <w:rPr>
          <w:lang w:val="de-DE"/>
        </w:rPr>
      </w:pPr>
      <w:r>
        <w:rPr>
          <w:rStyle w:val="ae"/>
        </w:rPr>
        <w:footnoteRef/>
      </w:r>
      <w:r>
        <w:rPr>
          <w:lang w:val="de-DE"/>
        </w:rPr>
        <w:t xml:space="preserve"> Vgl. Uwe Kernbach, Die Rechtsschutzmöglichkeiten des unterlegenen Konkurrenten im beamtenrechtlichen Ernennungsverfahhren, Diss. Tübingen, 1994, S. 114 ff.</w:t>
      </w:r>
    </w:p>
  </w:footnote>
  <w:footnote w:id="34">
    <w:p w:rsidR="00000000" w:rsidRDefault="00600B67">
      <w:pPr>
        <w:pStyle w:val="ad"/>
        <w:spacing w:line="360" w:lineRule="auto"/>
        <w:jc w:val="both"/>
        <w:rPr>
          <w:lang w:val="de-DE"/>
        </w:rPr>
      </w:pPr>
      <w:r>
        <w:rPr>
          <w:rStyle w:val="ae"/>
        </w:rPr>
        <w:footnoteRef/>
      </w:r>
      <w:r>
        <w:rPr>
          <w:lang w:val="de-DE"/>
        </w:rPr>
        <w:t xml:space="preserve"> Vgl. Uwe Kernbach, </w:t>
      </w:r>
      <w:r>
        <w:rPr>
          <w:rFonts w:hint="eastAsia"/>
          <w:color w:val="0000FF"/>
          <w:lang w:val="de-DE"/>
        </w:rPr>
        <w:t>a.a.O.(Anm. 46)</w:t>
      </w:r>
      <w:r>
        <w:rPr>
          <w:lang w:val="de-DE"/>
        </w:rPr>
        <w:t>, S.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005D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D1E8D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0A98C88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E081258"/>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D1C8627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07E973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F6AE13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656519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3961E5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7C6EFFE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7F1579"/>
    <w:multiLevelType w:val="hybridMultilevel"/>
    <w:tmpl w:val="FF72784A"/>
    <w:lvl w:ilvl="0" w:tplc="784C5B5A">
      <w:start w:val="13"/>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42F1E3A"/>
    <w:multiLevelType w:val="hybridMultilevel"/>
    <w:tmpl w:val="956CD016"/>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08F006FE"/>
    <w:multiLevelType w:val="hybridMultilevel"/>
    <w:tmpl w:val="ECC4D3AE"/>
    <w:lvl w:ilvl="0" w:tplc="254E763A">
      <w:start w:val="2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C0B4117"/>
    <w:multiLevelType w:val="hybridMultilevel"/>
    <w:tmpl w:val="A2644FFA"/>
    <w:lvl w:ilvl="0" w:tplc="FD56535E">
      <w:start w:val="1"/>
      <w:numFmt w:val="taiwaneseCountingThousand"/>
      <w:lvlText w:val="（%1）"/>
      <w:lvlJc w:val="left"/>
      <w:pPr>
        <w:tabs>
          <w:tab w:val="num" w:pos="1080"/>
        </w:tabs>
        <w:ind w:left="1080" w:hanging="1080"/>
      </w:pPr>
      <w:rPr>
        <w:rFonts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65620A5"/>
    <w:multiLevelType w:val="hybridMultilevel"/>
    <w:tmpl w:val="A14415D8"/>
    <w:lvl w:ilvl="0" w:tplc="F4B66D18">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868035B"/>
    <w:multiLevelType w:val="hybridMultilevel"/>
    <w:tmpl w:val="CE7AA770"/>
    <w:lvl w:ilvl="0" w:tplc="7E4A469A">
      <w:start w:val="26"/>
      <w:numFmt w:val="decimal"/>
      <w:lvlText w:val="%1."/>
      <w:lvlJc w:val="left"/>
      <w:pPr>
        <w:tabs>
          <w:tab w:val="num" w:pos="360"/>
        </w:tabs>
        <w:ind w:left="360" w:hanging="360"/>
      </w:pPr>
      <w:rPr>
        <w:rFonts w:eastAsia="新細明體"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6F5E1C"/>
    <w:multiLevelType w:val="hybridMultilevel"/>
    <w:tmpl w:val="B524AE04"/>
    <w:lvl w:ilvl="0" w:tplc="FFFFFFFF">
      <w:start w:val="1"/>
      <w:numFmt w:val="taiwaneseCountingThousand"/>
      <w:lvlText w:val="%1、"/>
      <w:lvlJc w:val="left"/>
      <w:pPr>
        <w:tabs>
          <w:tab w:val="num" w:pos="720"/>
        </w:tabs>
        <w:ind w:left="720" w:hanging="720"/>
      </w:pPr>
      <w:rPr>
        <w:rFonts w:hint="eastAsia"/>
        <w:b w:val="0"/>
        <w:u w:val="none"/>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19C83BB9"/>
    <w:multiLevelType w:val="hybridMultilevel"/>
    <w:tmpl w:val="A6F0E03E"/>
    <w:lvl w:ilvl="0" w:tplc="18EA46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EF43D9"/>
    <w:multiLevelType w:val="hybridMultilevel"/>
    <w:tmpl w:val="748828EC"/>
    <w:lvl w:ilvl="0" w:tplc="910C1978">
      <w:start w:val="1"/>
      <w:numFmt w:val="decimal"/>
      <w:lvlText w:val="%1."/>
      <w:lvlJc w:val="left"/>
      <w:pPr>
        <w:tabs>
          <w:tab w:val="num" w:pos="1140"/>
        </w:tabs>
        <w:ind w:left="1140" w:hanging="66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20D70612"/>
    <w:multiLevelType w:val="hybridMultilevel"/>
    <w:tmpl w:val="2E8C00EE"/>
    <w:lvl w:ilvl="0" w:tplc="80CA28D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C1712A"/>
    <w:multiLevelType w:val="hybridMultilevel"/>
    <w:tmpl w:val="A690598E"/>
    <w:lvl w:ilvl="0" w:tplc="37BEE66E">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4A31304"/>
    <w:multiLevelType w:val="hybridMultilevel"/>
    <w:tmpl w:val="E8162A92"/>
    <w:lvl w:ilvl="0" w:tplc="4770E99E">
      <w:start w:val="3"/>
      <w:numFmt w:val="decimal"/>
      <w:lvlText w:val="%1."/>
      <w:lvlJc w:val="left"/>
      <w:pPr>
        <w:tabs>
          <w:tab w:val="num" w:pos="420"/>
        </w:tabs>
        <w:ind w:left="420" w:hanging="4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FA2955"/>
    <w:multiLevelType w:val="hybridMultilevel"/>
    <w:tmpl w:val="F53A38A4"/>
    <w:lvl w:ilvl="0" w:tplc="63284FFC">
      <w:start w:val="4"/>
      <w:numFmt w:val="decimal"/>
      <w:lvlText w:val="%1."/>
      <w:lvlJc w:val="left"/>
      <w:pPr>
        <w:tabs>
          <w:tab w:val="num" w:pos="420"/>
        </w:tabs>
        <w:ind w:left="420" w:hanging="4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A04CBD"/>
    <w:multiLevelType w:val="hybridMultilevel"/>
    <w:tmpl w:val="47283BE8"/>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7A42773"/>
    <w:multiLevelType w:val="hybridMultilevel"/>
    <w:tmpl w:val="C8446CE4"/>
    <w:lvl w:ilvl="0" w:tplc="4C641A72">
      <w:start w:val="2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B00B77"/>
    <w:multiLevelType w:val="hybridMultilevel"/>
    <w:tmpl w:val="CF2A3916"/>
    <w:lvl w:ilvl="0" w:tplc="1922738A">
      <w:start w:val="6"/>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5B3826"/>
    <w:multiLevelType w:val="hybridMultilevel"/>
    <w:tmpl w:val="B1CA2E62"/>
    <w:lvl w:ilvl="0" w:tplc="6A6E9994">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4987200"/>
    <w:multiLevelType w:val="multilevel"/>
    <w:tmpl w:val="853CB26E"/>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389" w:hanging="83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28" w15:restartNumberingAfterBreak="0">
    <w:nsid w:val="64F1494D"/>
    <w:multiLevelType w:val="hybridMultilevel"/>
    <w:tmpl w:val="9DE6FE48"/>
    <w:lvl w:ilvl="0" w:tplc="A822CA98">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7F6BB2"/>
    <w:multiLevelType w:val="hybridMultilevel"/>
    <w:tmpl w:val="AE98ACD8"/>
    <w:lvl w:ilvl="0" w:tplc="275E8CCA">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39317C"/>
    <w:multiLevelType w:val="multilevel"/>
    <w:tmpl w:val="7A301BDE"/>
    <w:lvl w:ilvl="0">
      <w:start w:val="1"/>
      <w:numFmt w:val="decimal"/>
      <w:lvlText w:val="%1."/>
      <w:lvlJc w:val="left"/>
      <w:pPr>
        <w:tabs>
          <w:tab w:val="num" w:pos="840"/>
        </w:tabs>
        <w:ind w:left="840" w:hanging="360"/>
      </w:pPr>
      <w:rPr>
        <w:rFonts w:hint="eastAsia"/>
      </w:rPr>
    </w:lvl>
    <w:lvl w:ilvl="1">
      <w:start w:val="1"/>
      <w:numFmt w:val="decimal"/>
      <w:isLgl/>
      <w:lvlText w:val="%1.%2."/>
      <w:lvlJc w:val="left"/>
      <w:pPr>
        <w:tabs>
          <w:tab w:val="num" w:pos="1260"/>
        </w:tabs>
        <w:ind w:left="1260" w:hanging="720"/>
      </w:pPr>
      <w:rPr>
        <w:rFonts w:hint="eastAsia"/>
        <w:sz w:val="26"/>
        <w:szCs w:val="26"/>
      </w:rPr>
    </w:lvl>
    <w:lvl w:ilvl="2">
      <w:start w:val="1"/>
      <w:numFmt w:val="decimal"/>
      <w:isLgl/>
      <w:lvlText w:val="%1.%2.%3."/>
      <w:lvlJc w:val="left"/>
      <w:pPr>
        <w:tabs>
          <w:tab w:val="num" w:pos="1204"/>
        </w:tabs>
        <w:ind w:left="1204" w:hanging="720"/>
      </w:pPr>
      <w:rPr>
        <w:rFonts w:hint="eastAsia"/>
      </w:rPr>
    </w:lvl>
    <w:lvl w:ilvl="3">
      <w:start w:val="1"/>
      <w:numFmt w:val="decimal"/>
      <w:isLgl/>
      <w:lvlText w:val="%1.%2.%3.%4."/>
      <w:lvlJc w:val="left"/>
      <w:pPr>
        <w:tabs>
          <w:tab w:val="num" w:pos="1566"/>
        </w:tabs>
        <w:ind w:left="1566" w:hanging="1080"/>
      </w:pPr>
      <w:rPr>
        <w:rFonts w:hint="eastAsia"/>
      </w:rPr>
    </w:lvl>
    <w:lvl w:ilvl="4">
      <w:start w:val="1"/>
      <w:numFmt w:val="decimal"/>
      <w:isLgl/>
      <w:lvlText w:val="%1.%2.%3.%4.%5."/>
      <w:lvlJc w:val="left"/>
      <w:pPr>
        <w:tabs>
          <w:tab w:val="num" w:pos="1928"/>
        </w:tabs>
        <w:ind w:left="1928" w:hanging="1440"/>
      </w:pPr>
      <w:rPr>
        <w:rFonts w:hint="eastAsia"/>
      </w:rPr>
    </w:lvl>
    <w:lvl w:ilvl="5">
      <w:start w:val="1"/>
      <w:numFmt w:val="decimal"/>
      <w:isLgl/>
      <w:lvlText w:val="%1.%2.%3.%4.%5.%6."/>
      <w:lvlJc w:val="left"/>
      <w:pPr>
        <w:tabs>
          <w:tab w:val="num" w:pos="1930"/>
        </w:tabs>
        <w:ind w:left="1930" w:hanging="1440"/>
      </w:pPr>
      <w:rPr>
        <w:rFonts w:hint="eastAsia"/>
      </w:rPr>
    </w:lvl>
    <w:lvl w:ilvl="6">
      <w:start w:val="1"/>
      <w:numFmt w:val="decimal"/>
      <w:isLgl/>
      <w:lvlText w:val="%1.%2.%3.%4.%5.%6.%7."/>
      <w:lvlJc w:val="left"/>
      <w:pPr>
        <w:tabs>
          <w:tab w:val="num" w:pos="2292"/>
        </w:tabs>
        <w:ind w:left="2292" w:hanging="1800"/>
      </w:pPr>
      <w:rPr>
        <w:rFonts w:hint="eastAsia"/>
      </w:rPr>
    </w:lvl>
    <w:lvl w:ilvl="7">
      <w:start w:val="1"/>
      <w:numFmt w:val="decimal"/>
      <w:isLgl/>
      <w:lvlText w:val="%1.%2.%3.%4.%5.%6.%7.%8."/>
      <w:lvlJc w:val="left"/>
      <w:pPr>
        <w:tabs>
          <w:tab w:val="num" w:pos="2654"/>
        </w:tabs>
        <w:ind w:left="2654" w:hanging="2160"/>
      </w:pPr>
      <w:rPr>
        <w:rFonts w:hint="eastAsia"/>
      </w:rPr>
    </w:lvl>
    <w:lvl w:ilvl="8">
      <w:start w:val="1"/>
      <w:numFmt w:val="decimal"/>
      <w:isLgl/>
      <w:lvlText w:val="%1.%2.%3.%4.%5.%6.%7.%8.%9."/>
      <w:lvlJc w:val="left"/>
      <w:pPr>
        <w:tabs>
          <w:tab w:val="num" w:pos="2656"/>
        </w:tabs>
        <w:ind w:left="2656" w:hanging="2160"/>
      </w:pPr>
      <w:rPr>
        <w:rFonts w:hint="eastAsia"/>
      </w:rPr>
    </w:lvl>
  </w:abstractNum>
  <w:abstractNum w:abstractNumId="31" w15:restartNumberingAfterBreak="0">
    <w:nsid w:val="6E812CB2"/>
    <w:multiLevelType w:val="hybridMultilevel"/>
    <w:tmpl w:val="8DA80082"/>
    <w:lvl w:ilvl="0" w:tplc="4E0C8E3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652B20"/>
    <w:multiLevelType w:val="hybridMultilevel"/>
    <w:tmpl w:val="A4C2511A"/>
    <w:lvl w:ilvl="0" w:tplc="A6907088">
      <w:start w:val="1"/>
      <w:numFmt w:val="taiwaneseCountingThousand"/>
      <w:lvlText w:val="%1、"/>
      <w:lvlJc w:val="left"/>
      <w:pPr>
        <w:tabs>
          <w:tab w:val="num" w:pos="1587"/>
        </w:tabs>
        <w:ind w:left="1587" w:hanging="1035"/>
      </w:pPr>
    </w:lvl>
    <w:lvl w:ilvl="1" w:tplc="DBAA83BE">
      <w:start w:val="1"/>
      <w:numFmt w:val="taiwaneseCountingThousand"/>
      <w:lvlText w:val="（%2）"/>
      <w:lvlJc w:val="left"/>
      <w:pPr>
        <w:tabs>
          <w:tab w:val="num" w:pos="2307"/>
        </w:tabs>
        <w:ind w:left="2307" w:hanging="1275"/>
      </w:pPr>
    </w:lvl>
    <w:lvl w:ilvl="2" w:tplc="0409001B">
      <w:start w:val="1"/>
      <w:numFmt w:val="lowerRoman"/>
      <w:lvlText w:val="%3."/>
      <w:lvlJc w:val="right"/>
      <w:pPr>
        <w:tabs>
          <w:tab w:val="num" w:pos="1992"/>
        </w:tabs>
        <w:ind w:left="1992"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CBF6C43"/>
    <w:multiLevelType w:val="hybridMultilevel"/>
    <w:tmpl w:val="17F8F73A"/>
    <w:lvl w:ilvl="0" w:tplc="BD8C3338">
      <w:start w:val="19"/>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1"/>
  </w:num>
  <w:num w:numId="16">
    <w:abstractNumId w:val="23"/>
  </w:num>
  <w:num w:numId="17">
    <w:abstractNumId w:val="26"/>
  </w:num>
  <w:num w:numId="18">
    <w:abstractNumId w:val="17"/>
  </w:num>
  <w:num w:numId="19">
    <w:abstractNumId w:val="19"/>
  </w:num>
  <w:num w:numId="20">
    <w:abstractNumId w:val="20"/>
  </w:num>
  <w:num w:numId="21">
    <w:abstractNumId w:val="13"/>
  </w:num>
  <w:num w:numId="22">
    <w:abstractNumId w:val="31"/>
  </w:num>
  <w:num w:numId="23">
    <w:abstractNumId w:val="18"/>
  </w:num>
  <w:num w:numId="24">
    <w:abstractNumId w:val="22"/>
  </w:num>
  <w:num w:numId="25">
    <w:abstractNumId w:val="29"/>
  </w:num>
  <w:num w:numId="26">
    <w:abstractNumId w:val="21"/>
  </w:num>
  <w:num w:numId="27">
    <w:abstractNumId w:val="25"/>
  </w:num>
  <w:num w:numId="28">
    <w:abstractNumId w:val="24"/>
  </w:num>
  <w:num w:numId="29">
    <w:abstractNumId w:val="12"/>
  </w:num>
  <w:num w:numId="30">
    <w:abstractNumId w:val="33"/>
  </w:num>
  <w:num w:numId="31">
    <w:abstractNumId w:val="15"/>
  </w:num>
  <w:num w:numId="32">
    <w:abstractNumId w:val="10"/>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5"/>
    <w:rsid w:val="002A7705"/>
    <w:rsid w:val="00600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40257-C9B5-414F-B34F-1820B8E4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napToGrid w:val="0"/>
      <w:spacing w:beforeLines="50" w:before="50" w:afterLines="50" w:after="50" w:line="360" w:lineRule="auto"/>
      <w:jc w:val="both"/>
      <w:outlineLvl w:val="0"/>
    </w:pPr>
    <w:rPr>
      <w:rFonts w:eastAsia="標楷體"/>
      <w:b/>
      <w:snapToGrid w:val="0"/>
      <w:kern w:val="0"/>
      <w:sz w:val="32"/>
      <w:szCs w:val="32"/>
    </w:rPr>
  </w:style>
  <w:style w:type="paragraph" w:styleId="2">
    <w:name w:val="heading 2"/>
    <w:basedOn w:val="a"/>
    <w:next w:val="a"/>
    <w:autoRedefine/>
    <w:qFormat/>
    <w:pPr>
      <w:keepNext/>
      <w:adjustRightInd w:val="0"/>
      <w:snapToGrid w:val="0"/>
      <w:spacing w:beforeLines="50" w:before="180" w:afterLines="50" w:after="180" w:line="360" w:lineRule="auto"/>
      <w:jc w:val="both"/>
      <w:outlineLvl w:val="1"/>
    </w:pPr>
    <w:rPr>
      <w:rFonts w:eastAsia="標楷體"/>
      <w:b/>
      <w:snapToGrid w:val="0"/>
      <w:kern w:val="0"/>
      <w:sz w:val="28"/>
      <w:szCs w:val="28"/>
    </w:rPr>
  </w:style>
  <w:style w:type="paragraph" w:styleId="3">
    <w:name w:val="heading 3"/>
    <w:basedOn w:val="a"/>
    <w:next w:val="a"/>
    <w:autoRedefine/>
    <w:qFormat/>
    <w:pPr>
      <w:keepNext/>
      <w:adjustRightInd w:val="0"/>
      <w:snapToGrid w:val="0"/>
      <w:spacing w:beforeLines="50" w:before="50" w:afterLines="50" w:after="50" w:line="360" w:lineRule="auto"/>
      <w:jc w:val="both"/>
      <w:outlineLvl w:val="2"/>
    </w:pPr>
    <w:rPr>
      <w:rFonts w:ascii="Arial" w:eastAsia="標楷體" w:hAnsi="Arial"/>
      <w:bCs/>
      <w:snapToGrid w:val="0"/>
      <w:kern w:val="0"/>
      <w:sz w:val="26"/>
      <w:szCs w:val="26"/>
    </w:rPr>
  </w:style>
  <w:style w:type="paragraph" w:styleId="4">
    <w:name w:val="heading 4"/>
    <w:basedOn w:val="a"/>
    <w:next w:val="a"/>
    <w:autoRedefine/>
    <w:qFormat/>
    <w:pPr>
      <w:keepNext/>
      <w:adjustRightInd w:val="0"/>
      <w:snapToGrid w:val="0"/>
      <w:spacing w:beforeLines="50" w:before="180" w:afterLines="50" w:after="180" w:line="360" w:lineRule="auto"/>
      <w:jc w:val="both"/>
      <w:outlineLvl w:val="3"/>
    </w:pPr>
    <w:rPr>
      <w:rFonts w:ascii="Arial" w:eastAsia="標楷體" w:hAnsi="Arial"/>
      <w:b/>
      <w:snapToGrid w:val="0"/>
      <w:kern w:val="0"/>
    </w:rPr>
  </w:style>
  <w:style w:type="paragraph" w:styleId="5">
    <w:name w:val="heading 5"/>
    <w:basedOn w:val="a"/>
    <w:next w:val="a0"/>
    <w:qFormat/>
    <w:pPr>
      <w:keepNext/>
      <w:spacing w:before="120" w:after="120"/>
      <w:ind w:left="425"/>
      <w:outlineLvl w:val="4"/>
    </w:pPr>
    <w:rPr>
      <w:rFonts w:ascii="Arial" w:eastAsia="標楷體" w:hAnsi="Arial"/>
      <w:b/>
      <w:spacing w:val="30"/>
      <w:sz w:val="28"/>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rPr>
      <w:spacing w:val="30"/>
      <w:szCs w:val="20"/>
    </w:rPr>
  </w:style>
  <w:style w:type="paragraph" w:styleId="a4">
    <w:name w:val="Block Text"/>
    <w:basedOn w:val="a"/>
    <w:semiHidden/>
    <w:pPr>
      <w:widowControl/>
      <w:ind w:left="113" w:right="113"/>
    </w:pPr>
  </w:style>
  <w:style w:type="paragraph" w:styleId="a5">
    <w:name w:val="Body Text Indent"/>
    <w:basedOn w:val="a"/>
    <w:semiHidden/>
    <w:pPr>
      <w:ind w:left="560" w:hangingChars="200" w:hanging="560"/>
    </w:pPr>
    <w:rPr>
      <w:sz w:val="28"/>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customStyle="1" w:styleId="30">
    <w:name w:val="內文3"/>
    <w:basedOn w:val="a"/>
    <w:pPr>
      <w:widowControl/>
      <w:tabs>
        <w:tab w:val="left" w:pos="567"/>
      </w:tabs>
      <w:spacing w:before="120" w:after="120"/>
      <w:ind w:left="1644" w:hanging="1077"/>
    </w:pPr>
    <w:rPr>
      <w:rFonts w:eastAsia="標楷體"/>
      <w:noProof/>
      <w:spacing w:val="30"/>
      <w:kern w:val="0"/>
      <w:sz w:val="22"/>
      <w:szCs w:val="20"/>
    </w:rPr>
  </w:style>
  <w:style w:type="paragraph" w:customStyle="1" w:styleId="20">
    <w:name w:val="內文2"/>
    <w:pPr>
      <w:spacing w:before="120" w:after="120"/>
    </w:pPr>
    <w:rPr>
      <w:rFonts w:eastAsia="標楷體"/>
      <w:noProof/>
      <w:spacing w:val="20"/>
    </w:rPr>
  </w:style>
  <w:style w:type="character" w:styleId="a8">
    <w:name w:val="Hyperlink"/>
    <w:basedOn w:val="a1"/>
    <w:semiHidden/>
    <w:rPr>
      <w:color w:val="0000FF"/>
      <w:u w:val="single"/>
    </w:rPr>
  </w:style>
  <w:style w:type="character" w:styleId="a9">
    <w:name w:val="Strong"/>
    <w:basedOn w:val="a1"/>
    <w:qFormat/>
    <w:rPr>
      <w:b/>
      <w:bCs/>
    </w:rPr>
  </w:style>
  <w:style w:type="paragraph" w:styleId="aa">
    <w:name w:val="Date"/>
    <w:basedOn w:val="a"/>
    <w:next w:val="a"/>
    <w:semiHidden/>
    <w:pPr>
      <w:jc w:val="right"/>
    </w:pPr>
  </w:style>
  <w:style w:type="paragraph" w:styleId="ab">
    <w:name w:val="Body Text"/>
    <w:basedOn w:val="a"/>
    <w:semiHidden/>
    <w:pPr>
      <w:adjustRightInd w:val="0"/>
      <w:snapToGrid w:val="0"/>
      <w:spacing w:beforeLines="50" w:before="50" w:after="120" w:line="360" w:lineRule="auto"/>
      <w:ind w:firstLineChars="200" w:firstLine="200"/>
      <w:jc w:val="both"/>
    </w:pPr>
    <w:rPr>
      <w:lang w:val="de-DE"/>
    </w:rPr>
  </w:style>
  <w:style w:type="character" w:customStyle="1" w:styleId="ac">
    <w:name w:val=" 字元 字元"/>
    <w:basedOn w:val="a1"/>
    <w:rPr>
      <w:rFonts w:eastAsia="新細明體"/>
      <w:kern w:val="2"/>
      <w:sz w:val="24"/>
      <w:szCs w:val="24"/>
      <w:lang w:val="de-DE" w:eastAsia="zh-TW" w:bidi="ar-SA"/>
    </w:rPr>
  </w:style>
  <w:style w:type="paragraph" w:styleId="21">
    <w:name w:val="Body Text 2"/>
    <w:basedOn w:val="a"/>
    <w:semiHidden/>
    <w:pPr>
      <w:spacing w:after="120" w:line="480" w:lineRule="auto"/>
    </w:pPr>
  </w:style>
  <w:style w:type="paragraph" w:styleId="ad">
    <w:name w:val="footnote text"/>
    <w:basedOn w:val="a"/>
    <w:semiHidden/>
    <w:pPr>
      <w:snapToGrid w:val="0"/>
    </w:pPr>
    <w:rPr>
      <w:sz w:val="20"/>
      <w:szCs w:val="20"/>
    </w:rPr>
  </w:style>
  <w:style w:type="character" w:styleId="ae">
    <w:name w:val="footnote reference"/>
    <w:basedOn w:val="a1"/>
    <w:semiHidden/>
    <w:rPr>
      <w:vertAlign w:val="superscript"/>
    </w:rPr>
  </w:style>
  <w:style w:type="paragraph" w:styleId="31">
    <w:name w:val="Body Text 3"/>
    <w:basedOn w:val="a"/>
    <w:semiHidden/>
    <w:pPr>
      <w:spacing w:after="120"/>
    </w:pPr>
    <w:rPr>
      <w:sz w:val="16"/>
      <w:szCs w:val="16"/>
    </w:rPr>
  </w:style>
  <w:style w:type="paragraph" w:styleId="af">
    <w:name w:val="Note Heading"/>
    <w:basedOn w:val="a"/>
    <w:next w:val="a"/>
    <w:semiHidden/>
    <w:pPr>
      <w:jc w:val="center"/>
    </w:pPr>
  </w:style>
  <w:style w:type="paragraph" w:styleId="af0">
    <w:name w:val="Plain Text"/>
    <w:basedOn w:val="a"/>
    <w:semiHidden/>
    <w:rPr>
      <w:rFonts w:ascii="細明體" w:eastAsia="細明體" w:hAnsi="Courier New"/>
      <w:szCs w:val="20"/>
    </w:rPr>
  </w:style>
  <w:style w:type="paragraph" w:styleId="af1">
    <w:name w:val="Closing"/>
    <w:basedOn w:val="a"/>
    <w:semiHidden/>
    <w:pPr>
      <w:ind w:leftChars="1800" w:left="100"/>
    </w:pPr>
    <w:rPr>
      <w:lang w:val="de-DE"/>
    </w:rPr>
  </w:style>
  <w:style w:type="paragraph" w:styleId="32">
    <w:name w:val="Body Text Indent 3"/>
    <w:basedOn w:val="a"/>
    <w:semiHidden/>
    <w:pPr>
      <w:spacing w:after="120"/>
      <w:ind w:leftChars="200" w:left="480"/>
    </w:pPr>
    <w:rPr>
      <w:sz w:val="16"/>
      <w:szCs w:val="16"/>
    </w:rPr>
  </w:style>
  <w:style w:type="paragraph" w:styleId="Web">
    <w:name w:val="Normal (Web)"/>
    <w:basedOn w:val="a"/>
    <w:semiHidden/>
    <w:pPr>
      <w:widowControl/>
      <w:spacing w:before="100" w:beforeAutospacing="1" w:after="100" w:afterAutospacing="1"/>
    </w:pPr>
    <w:rPr>
      <w:rFonts w:ascii="新細明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stext1">
    <w:name w:val="stext1"/>
    <w:basedOn w:val="a1"/>
    <w:rPr>
      <w:sz w:val="19"/>
      <w:szCs w:val="19"/>
    </w:rPr>
  </w:style>
  <w:style w:type="character" w:customStyle="1" w:styleId="stext">
    <w:name w:val="stext"/>
    <w:basedOn w:val="a1"/>
  </w:style>
  <w:style w:type="paragraph" w:customStyle="1" w:styleId="af2">
    <w:name w:val="本文 + 新細明體"/>
    <w:basedOn w:val="ab"/>
    <w:pPr>
      <w:spacing w:before="180"/>
      <w:ind w:firstLine="480"/>
    </w:pPr>
    <w:rPr>
      <w:rFonts w:ascii="新細明體" w:hAnsi="新細明體"/>
    </w:rPr>
  </w:style>
  <w:style w:type="character" w:customStyle="1" w:styleId="af3">
    <w:name w:val="本文 + 新細明體 字元"/>
    <w:basedOn w:val="ac"/>
    <w:rPr>
      <w:rFonts w:ascii="新細明體" w:eastAsia="新細明體" w:hAnsi="新細明體"/>
      <w:kern w:val="2"/>
      <w:sz w:val="24"/>
      <w:szCs w:val="24"/>
      <w:lang w:val="de-DE" w:eastAsia="zh-TW" w:bidi="ar-SA"/>
    </w:rPr>
  </w:style>
  <w:style w:type="paragraph" w:customStyle="1" w:styleId="22">
    <w:name w:val="本文 + 第一行:  2 字元"/>
    <w:aliases w:val="套用前:  0.5 列"/>
    <w:basedOn w:val="ab"/>
    <w:pPr>
      <w:spacing w:before="180"/>
      <w:ind w:firstLine="480"/>
    </w:pPr>
  </w:style>
  <w:style w:type="character" w:customStyle="1" w:styleId="text">
    <w:name w:val="text"/>
    <w:basedOn w:val="a1"/>
  </w:style>
  <w:style w:type="paragraph" w:styleId="10">
    <w:name w:val="toc 1"/>
    <w:basedOn w:val="a"/>
    <w:next w:val="a"/>
    <w:autoRedefine/>
    <w:semiHidden/>
  </w:style>
  <w:style w:type="paragraph" w:customStyle="1" w:styleId="af4">
    <w:name w:val="(一)中黑"/>
    <w:basedOn w:val="a"/>
    <w:autoRedefine/>
    <w:pPr>
      <w:snapToGrid w:val="0"/>
      <w:spacing w:line="300" w:lineRule="auto"/>
      <w:ind w:left="1800" w:hanging="1800"/>
      <w:jc w:val="both"/>
    </w:pPr>
    <w:rPr>
      <w:rFonts w:ascii="標楷體" w:eastAsia="標楷體" w:hAnsi="標楷體"/>
      <w:b/>
      <w:bCs/>
      <w:spacing w:val="4"/>
      <w:sz w:val="40"/>
      <w:szCs w:val="40"/>
    </w:rPr>
  </w:style>
  <w:style w:type="paragraph" w:customStyle="1" w:styleId="11">
    <w:name w:val="(1)"/>
    <w:basedOn w:val="a"/>
    <w:autoRedefine/>
    <w:pPr>
      <w:snapToGrid w:val="0"/>
      <w:spacing w:line="300" w:lineRule="auto"/>
      <w:ind w:left="2160" w:hanging="1194"/>
      <w:jc w:val="both"/>
    </w:pPr>
    <w:rPr>
      <w:rFonts w:ascii="標楷體" w:eastAsia="標楷體" w:hAnsi="標楷體"/>
      <w:bCs/>
      <w:sz w:val="40"/>
      <w:szCs w:val="40"/>
    </w:rPr>
  </w:style>
  <w:style w:type="paragraph" w:customStyle="1" w:styleId="12">
    <w:name w:val="1.(本文)"/>
    <w:basedOn w:val="a"/>
    <w:autoRedefine/>
    <w:pPr>
      <w:kinsoku w:val="0"/>
      <w:overflowPunct w:val="0"/>
      <w:autoSpaceDE w:val="0"/>
      <w:autoSpaceDN w:val="0"/>
      <w:adjustRightInd w:val="0"/>
      <w:snapToGrid w:val="0"/>
      <w:spacing w:line="300" w:lineRule="auto"/>
      <w:ind w:left="1680" w:hanging="1680"/>
      <w:jc w:val="both"/>
    </w:pPr>
    <w:rPr>
      <w:rFonts w:ascii="標楷體" w:eastAsia="標楷體" w:hAnsi="標楷體"/>
      <w:sz w:val="22"/>
      <w:szCs w:val="40"/>
    </w:rPr>
  </w:style>
  <w:style w:type="paragraph" w:styleId="af5">
    <w:name w:val="header"/>
    <w:basedOn w:val="a"/>
    <w:semiHidden/>
    <w:pPr>
      <w:tabs>
        <w:tab w:val="center" w:pos="4153"/>
        <w:tab w:val="right" w:pos="8306"/>
      </w:tabs>
      <w:snapToGrid w:val="0"/>
    </w:pPr>
    <w:rPr>
      <w:sz w:val="20"/>
      <w:szCs w:val="20"/>
    </w:rPr>
  </w:style>
  <w:style w:type="paragraph" w:styleId="23">
    <w:name w:val="toc 2"/>
    <w:basedOn w:val="a"/>
    <w:next w:val="a"/>
    <w:autoRedefine/>
    <w:semiHidden/>
    <w:pPr>
      <w:ind w:leftChars="200" w:left="480"/>
    </w:pPr>
  </w:style>
  <w:style w:type="paragraph" w:styleId="33">
    <w:name w:val="toc 3"/>
    <w:basedOn w:val="a"/>
    <w:next w:val="a"/>
    <w:autoRedefine/>
    <w:semiHidden/>
    <w:pPr>
      <w:ind w:leftChars="400" w:left="960"/>
    </w:pPr>
  </w:style>
  <w:style w:type="paragraph" w:styleId="40">
    <w:name w:val="toc 4"/>
    <w:basedOn w:val="a"/>
    <w:next w:val="a"/>
    <w:autoRedefine/>
    <w:semiHidden/>
    <w:pPr>
      <w:ind w:leftChars="600" w:left="1440"/>
    </w:pPr>
  </w:style>
  <w:style w:type="paragraph" w:styleId="50">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styleId="af6">
    <w:name w:val="table of figures"/>
    <w:basedOn w:val="a"/>
    <w:next w:val="a"/>
    <w:semiHidden/>
    <w:pPr>
      <w:ind w:leftChars="400" w:left="960" w:hangingChars="20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1084</Words>
  <Characters>6181</Characters>
  <Application>Microsoft Office Word</Application>
  <DocSecurity>0</DocSecurity>
  <Lines>51</Lines>
  <Paragraphs>14</Paragraphs>
  <ScaleCrop>false</ScaleCrop>
  <Company>CCU</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一、研究人員經費</dc:title>
  <dc:subject/>
  <dc:creator>CCU</dc:creator>
  <cp:keywords/>
  <dc:description/>
  <cp:lastModifiedBy>卓卿雲</cp:lastModifiedBy>
  <cp:revision>2</cp:revision>
  <cp:lastPrinted>2004-04-08T14:27:00Z</cp:lastPrinted>
  <dcterms:created xsi:type="dcterms:W3CDTF">2021-09-22T10:41:00Z</dcterms:created>
  <dcterms:modified xsi:type="dcterms:W3CDTF">2021-09-22T10:41:00Z</dcterms:modified>
</cp:coreProperties>
</file>