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C2C42">
      <w:pPr>
        <w:pStyle w:val="22"/>
        <w:spacing w:line="480" w:lineRule="auto"/>
        <w:ind w:firstLine="380"/>
        <w:rPr>
          <w:rFonts w:ascii="Arial" w:hAnsi="Arial" w:cs="Arial"/>
          <w:vanish/>
          <w:kern w:val="0"/>
          <w:sz w:val="19"/>
          <w:szCs w:val="19"/>
        </w:rPr>
      </w:pPr>
      <w:bookmarkStart w:id="0" w:name="_GoBack"/>
      <w:bookmarkEnd w:id="0"/>
    </w:p>
    <w:p w:rsidR="00000000" w:rsidRDefault="005C2C42">
      <w:pPr>
        <w:pStyle w:val="1"/>
        <w:spacing w:before="180" w:after="180" w:line="480" w:lineRule="auto"/>
        <w:rPr>
          <w:lang w:val="de-DE"/>
        </w:rPr>
      </w:pPr>
      <w:bookmarkStart w:id="1" w:name="_Toc121199230"/>
      <w:bookmarkStart w:id="2" w:name="_Toc121212702"/>
      <w:bookmarkStart w:id="3" w:name="_Toc121212965"/>
      <w:r>
        <w:rPr>
          <w:rFonts w:hint="eastAsia"/>
          <w:lang w:val="de-DE"/>
        </w:rPr>
        <w:t>6.</w:t>
      </w:r>
      <w:r>
        <w:rPr>
          <w:lang w:val="de-DE"/>
        </w:rPr>
        <w:t>公務人員對於陞遷之請求權</w:t>
      </w:r>
      <w:bookmarkEnd w:id="1"/>
      <w:bookmarkEnd w:id="2"/>
      <w:bookmarkEnd w:id="3"/>
    </w:p>
    <w:p w:rsidR="00000000" w:rsidRDefault="005C2C42">
      <w:pPr>
        <w:pStyle w:val="2"/>
        <w:spacing w:line="480" w:lineRule="auto"/>
        <w:rPr>
          <w:lang w:val="de-DE"/>
        </w:rPr>
      </w:pPr>
      <w:bookmarkStart w:id="4" w:name="_Toc121199231"/>
      <w:bookmarkStart w:id="5" w:name="_Toc121212703"/>
      <w:bookmarkStart w:id="6" w:name="_Toc121212966"/>
      <w:r>
        <w:rPr>
          <w:rFonts w:hint="eastAsia"/>
          <w:lang w:val="de-DE"/>
        </w:rPr>
        <w:t>6.1.</w:t>
      </w:r>
      <w:r>
        <w:rPr>
          <w:lang w:val="de-DE"/>
        </w:rPr>
        <w:t>公法上權利</w:t>
      </w:r>
      <w:bookmarkEnd w:id="4"/>
      <w:bookmarkEnd w:id="5"/>
      <w:bookmarkEnd w:id="6"/>
    </w:p>
    <w:p w:rsidR="00000000" w:rsidRDefault="005C2C42">
      <w:pPr>
        <w:pStyle w:val="22"/>
        <w:spacing w:line="480" w:lineRule="auto"/>
        <w:rPr>
          <w:rFonts w:hint="eastAsia"/>
        </w:rPr>
      </w:pPr>
      <w:r>
        <w:rPr>
          <w:rFonts w:hint="eastAsia"/>
        </w:rPr>
        <w:t>對於陞遷決定不服而得以提起救濟之前提，往往取決於該陞遷決定是否侵害當事人之公法上權利或者當事人是否具有請求陞遷之公法上權利（學說上或稱「主觀公法上權利（</w:t>
      </w:r>
      <w:r>
        <w:t>sujecktiv-öffentliches Recht</w:t>
      </w:r>
      <w:r>
        <w:rPr>
          <w:rFonts w:hint="eastAsia"/>
        </w:rPr>
        <w:t>）」）。</w:t>
      </w:r>
      <w:r>
        <w:t>「公法上權利」之法規範依據</w:t>
      </w:r>
      <w:r>
        <w:rPr>
          <w:rFonts w:hint="eastAsia"/>
        </w:rPr>
        <w:t>（請求權根據）</w:t>
      </w:r>
      <w:r>
        <w:t>，未必限於法律，上可以由憲法導出，下也可以由地方法規或法規命令、行政規則甚至是「反覆慣行之具體行政作為而形成之行政先例」來創設。所以原始僅具反射利益意涵之「救濟制度」，也可能因為法制之開展，而形成一個「由</w:t>
      </w:r>
      <w:r>
        <w:t>實證法保證實現」的「權利」。</w:t>
      </w:r>
      <w:r>
        <w:rPr>
          <w:rFonts w:hint="eastAsia"/>
        </w:rPr>
        <w:t>根據陞遷法第</w:t>
      </w:r>
      <w:r>
        <w:rPr>
          <w:rFonts w:hint="eastAsia"/>
        </w:rPr>
        <w:t>9</w:t>
      </w:r>
      <w:r>
        <w:rPr>
          <w:rFonts w:hint="eastAsia"/>
        </w:rPr>
        <w:t>條之規定，主管長官對於陞遷名冊所列人員保有最終圈定陞補之權限。依本法之精神以觀，似乎並無直接賦予具陞遷條件之公務人員向主管機關要求務必給予陞遷之請求權之意</w:t>
      </w:r>
      <w:r>
        <w:rPr>
          <w:rStyle w:val="ae"/>
        </w:rPr>
        <w:footnoteReference w:id="1"/>
      </w:r>
      <w:r>
        <w:rPr>
          <w:rFonts w:hint="eastAsia"/>
        </w:rPr>
        <w:t>。在每一個陞遷程序中，無可忽略的是行政機關（首長）擁有的機關高權（</w:t>
      </w:r>
      <w:r>
        <w:rPr>
          <w:rFonts w:eastAsia="MS Mincho"/>
        </w:rPr>
        <w:t>Organisationsgewalt</w:t>
      </w:r>
      <w:r>
        <w:rPr>
          <w:rFonts w:hint="eastAsia"/>
        </w:rPr>
        <w:t>）。這是機關以及內部組織之組成</w:t>
      </w:r>
      <w:r>
        <w:rPr>
          <w:rFonts w:ascii="新細明體" w:hAnsi="新細明體" w:hint="eastAsia"/>
        </w:rPr>
        <w:t>、</w:t>
      </w:r>
      <w:r>
        <w:rPr>
          <w:rFonts w:hint="eastAsia"/>
        </w:rPr>
        <w:t>設置</w:t>
      </w:r>
      <w:r>
        <w:rPr>
          <w:rFonts w:ascii="新細明體" w:hAnsi="新細明體" w:hint="eastAsia"/>
        </w:rPr>
        <w:t>、</w:t>
      </w:r>
      <w:r>
        <w:rPr>
          <w:rFonts w:hint="eastAsia"/>
        </w:rPr>
        <w:t>變更或裁撤權限</w:t>
      </w:r>
      <w:r>
        <w:rPr>
          <w:rStyle w:val="ae"/>
        </w:rPr>
        <w:footnoteReference w:id="2"/>
      </w:r>
      <w:r>
        <w:rPr>
          <w:rFonts w:hint="eastAsia"/>
        </w:rPr>
        <w:t>。同時也包括決定是否</w:t>
      </w:r>
      <w:r>
        <w:rPr>
          <w:rFonts w:ascii="新細明體" w:hAnsi="新細明體" w:hint="eastAsia"/>
        </w:rPr>
        <w:t>、</w:t>
      </w:r>
      <w:r>
        <w:rPr>
          <w:rFonts w:hint="eastAsia"/>
        </w:rPr>
        <w:t>如何</w:t>
      </w:r>
      <w:r>
        <w:rPr>
          <w:rFonts w:ascii="新細明體" w:hAnsi="新細明體" w:hint="eastAsia"/>
        </w:rPr>
        <w:t>、</w:t>
      </w:r>
      <w:r>
        <w:rPr>
          <w:rFonts w:hint="eastAsia"/>
        </w:rPr>
        <w:t>何時辦理陞遷以及決定名額的權限</w:t>
      </w:r>
      <w:r>
        <w:rPr>
          <w:rStyle w:val="ae"/>
        </w:rPr>
        <w:footnoteReference w:id="3"/>
      </w:r>
      <w:r>
        <w:rPr>
          <w:rFonts w:hint="eastAsia"/>
        </w:rPr>
        <w:t>。組織高權係由立法權與行政權共同擁有</w:t>
      </w:r>
      <w:r>
        <w:rPr>
          <w:rStyle w:val="ae"/>
        </w:rPr>
        <w:footnoteReference w:id="4"/>
      </w:r>
      <w:r>
        <w:rPr>
          <w:rFonts w:hint="eastAsia"/>
        </w:rPr>
        <w:t>。立法權擁有的應該是透過財政預算法律等形成陞遷的可能條件，</w:t>
      </w:r>
      <w:r>
        <w:rPr>
          <w:rFonts w:hint="eastAsia"/>
        </w:rPr>
        <w:t>行政權並無法在無預算的前提下貿然對於公務人員完成陞遷任命。行</w:t>
      </w:r>
      <w:r>
        <w:rPr>
          <w:rFonts w:hint="eastAsia"/>
        </w:rPr>
        <w:lastRenderedPageBreak/>
        <w:t>政權（機關首長）則進一步決定這個職缺是否以及如何辦理陞遷。在財政預算的權力分配與限制下，行政權（機關首長）擁有如何自我負責地去實現人事預算的決定權限。不過應注意的是預算上的授權並非同時課予機關首長實現授權內容的義務</w:t>
      </w:r>
      <w:r>
        <w:rPr>
          <w:rStyle w:val="ae"/>
        </w:rPr>
        <w:footnoteReference w:id="5"/>
      </w:r>
      <w:r>
        <w:rPr>
          <w:rFonts w:hint="eastAsia"/>
        </w:rPr>
        <w:t>。我們也可以發現，機關首長的機關高權與其人事高權（</w:t>
      </w:r>
      <w:r>
        <w:rPr>
          <w:rFonts w:eastAsia="MS Mincho"/>
        </w:rPr>
        <w:t>Personalgewalt</w:t>
      </w:r>
      <w:r>
        <w:rPr>
          <w:rFonts w:hint="eastAsia"/>
        </w:rPr>
        <w:t>）具有緊密的關連性</w:t>
      </w:r>
      <w:r>
        <w:rPr>
          <w:rStyle w:val="ae"/>
        </w:rPr>
        <w:footnoteReference w:id="6"/>
      </w:r>
      <w:r>
        <w:rPr>
          <w:rFonts w:hint="eastAsia"/>
        </w:rPr>
        <w:t>。在組織高權之下，機關首長在人事高權中還具有形成</w:t>
      </w:r>
      <w:r>
        <w:rPr>
          <w:rFonts w:ascii="新細明體" w:hAnsi="新細明體" w:hint="eastAsia"/>
        </w:rPr>
        <w:t>、</w:t>
      </w:r>
      <w:r>
        <w:rPr>
          <w:rFonts w:hint="eastAsia"/>
        </w:rPr>
        <w:t>變更公務員關係</w:t>
      </w:r>
      <w:r>
        <w:rPr>
          <w:rFonts w:ascii="新細明體" w:hAnsi="新細明體" w:hint="eastAsia"/>
        </w:rPr>
        <w:t>、陞遷</w:t>
      </w:r>
      <w:r>
        <w:rPr>
          <w:rFonts w:hint="eastAsia"/>
        </w:rPr>
        <w:t>任命公務人員</w:t>
      </w:r>
      <w:r>
        <w:rPr>
          <w:rFonts w:ascii="新細明體" w:hAnsi="新細明體" w:hint="eastAsia"/>
        </w:rPr>
        <w:t>、</w:t>
      </w:r>
      <w:r>
        <w:rPr>
          <w:rFonts w:hint="eastAsia"/>
        </w:rPr>
        <w:t>具體職務的分配</w:t>
      </w:r>
      <w:r>
        <w:rPr>
          <w:rFonts w:ascii="新細明體" w:hAnsi="新細明體" w:hint="eastAsia"/>
        </w:rPr>
        <w:t>與下達指令的權限</w:t>
      </w:r>
      <w:r>
        <w:rPr>
          <w:rStyle w:val="ae"/>
          <w:rFonts w:ascii="新細明體" w:hAnsi="新細明體"/>
        </w:rPr>
        <w:footnoteReference w:id="7"/>
      </w:r>
      <w:r>
        <w:rPr>
          <w:rFonts w:ascii="新細明體" w:hAnsi="新細明體" w:hint="eastAsia"/>
        </w:rPr>
        <w:t>。</w:t>
      </w:r>
    </w:p>
    <w:p w:rsidR="00000000" w:rsidRDefault="005C2C42">
      <w:pPr>
        <w:pStyle w:val="22"/>
        <w:spacing w:line="480" w:lineRule="auto"/>
        <w:rPr>
          <w:rFonts w:hint="eastAsia"/>
        </w:rPr>
      </w:pPr>
      <w:r>
        <w:rPr>
          <w:rFonts w:hint="eastAsia"/>
        </w:rPr>
        <w:t>至於憲法第</w:t>
      </w:r>
      <w:r>
        <w:rPr>
          <w:rFonts w:hint="eastAsia"/>
        </w:rPr>
        <w:t>18</w:t>
      </w:r>
      <w:r>
        <w:rPr>
          <w:rFonts w:hint="eastAsia"/>
        </w:rPr>
        <w:t>條雖</w:t>
      </w:r>
      <w:r>
        <w:rPr>
          <w:rFonts w:hint="eastAsia"/>
        </w:rPr>
        <w:t>保障人民有服公職之權利，</w:t>
      </w:r>
      <w:r>
        <w:rPr>
          <w:rFonts w:ascii="細明體" w:eastAsia="細明體" w:hAnsi="細明體" w:cs="新細明體" w:hint="eastAsia"/>
          <w:b/>
          <w:kern w:val="0"/>
        </w:rPr>
        <w:t>旨在保障人民有依法令從事於公務，暨由此衍生享有之身分保障、俸給與退休金等權利</w:t>
      </w:r>
      <w:r>
        <w:rPr>
          <w:rStyle w:val="ae"/>
          <w:rFonts w:ascii="細明體" w:eastAsia="細明體" w:hAnsi="細明體" w:cs="新細明體"/>
          <w:kern w:val="0"/>
        </w:rPr>
        <w:footnoteReference w:id="8"/>
      </w:r>
      <w:r>
        <w:rPr>
          <w:rFonts w:ascii="細明體" w:eastAsia="細明體" w:hAnsi="細明體" w:cs="新細明體" w:hint="eastAsia"/>
          <w:kern w:val="0"/>
        </w:rPr>
        <w:t>。</w:t>
      </w:r>
      <w:r>
        <w:rPr>
          <w:rFonts w:hint="eastAsia"/>
        </w:rPr>
        <w:t>此規定「</w:t>
      </w:r>
      <w:r>
        <w:t>乃是著眼於政府代表國家統治人民，因此一方面其統治權限之取得應符合民主正當性之要求。另一方面則因政府從事之活動具有獨占性格，必須向被統治之人民開放，</w:t>
      </w:r>
      <w:r>
        <w:rPr>
          <w:b/>
        </w:rPr>
        <w:t>容許人民有進入政府部門服務之公平機</w:t>
      </w:r>
      <w:r>
        <w:rPr>
          <w:rFonts w:hint="eastAsia"/>
          <w:b/>
        </w:rPr>
        <w:t>會</w:t>
      </w:r>
      <w:r>
        <w:rPr>
          <w:b/>
        </w:rPr>
        <w:t>，並在其進入政府部門之服務期間給予照顧，並保障其</w:t>
      </w:r>
      <w:r>
        <w:rPr>
          <w:rFonts w:hint="eastAsia"/>
          <w:b/>
        </w:rPr>
        <w:t>『</w:t>
      </w:r>
      <w:r>
        <w:rPr>
          <w:b/>
        </w:rPr>
        <w:t>在該部門服務</w:t>
      </w:r>
      <w:r>
        <w:rPr>
          <w:rFonts w:hint="eastAsia"/>
          <w:b/>
        </w:rPr>
        <w:t>』</w:t>
      </w:r>
      <w:r>
        <w:rPr>
          <w:b/>
        </w:rPr>
        <w:t>之身份</w:t>
      </w:r>
      <w:r>
        <w:t>，其原始之規範功能意義應僅止於此</w:t>
      </w:r>
      <w:r>
        <w:rPr>
          <w:rStyle w:val="ae"/>
        </w:rPr>
        <w:footnoteReference w:id="9"/>
      </w:r>
      <w:r>
        <w:t>。</w:t>
      </w:r>
      <w:r>
        <w:rPr>
          <w:rFonts w:hint="eastAsia"/>
        </w:rPr>
        <w:t>」因此是否可以自憲法第</w:t>
      </w:r>
      <w:r>
        <w:rPr>
          <w:rFonts w:hint="eastAsia"/>
        </w:rPr>
        <w:t>18</w:t>
      </w:r>
      <w:r>
        <w:rPr>
          <w:rFonts w:hint="eastAsia"/>
        </w:rPr>
        <w:t>條對於「</w:t>
      </w:r>
      <w:r>
        <w:rPr>
          <w:rFonts w:ascii="細明體" w:eastAsia="細明體" w:hAnsi="細明體" w:cs="新細明體" w:hint="eastAsia"/>
          <w:kern w:val="0"/>
        </w:rPr>
        <w:t>依法令從事於公務，暨由此衍生享有之身分保障以外」，再</w:t>
      </w:r>
      <w:r>
        <w:rPr>
          <w:rFonts w:hint="eastAsia"/>
        </w:rPr>
        <w:t>推導出公務人員有進一步所謂</w:t>
      </w:r>
      <w:r>
        <w:rPr>
          <w:rFonts w:hint="eastAsia"/>
        </w:rPr>
        <w:t>的「陞遷請求權（</w:t>
      </w:r>
      <w:r>
        <w:t>Anspruch auf Beförderung</w:t>
      </w:r>
      <w:r>
        <w:rPr>
          <w:rFonts w:hint="eastAsia"/>
        </w:rPr>
        <w:t>）」，仍不明確。這點對於當事人提起課與義務類型的救濟特別具有實益。</w:t>
      </w:r>
    </w:p>
    <w:p w:rsidR="00000000" w:rsidRDefault="005C2C42">
      <w:pPr>
        <w:pStyle w:val="22"/>
        <w:spacing w:line="480" w:lineRule="auto"/>
      </w:pPr>
      <w:r>
        <w:rPr>
          <w:rFonts w:hint="eastAsia"/>
        </w:rPr>
        <w:t>憲法第</w:t>
      </w:r>
      <w:r>
        <w:rPr>
          <w:rFonts w:hint="eastAsia"/>
        </w:rPr>
        <w:t>18</w:t>
      </w:r>
      <w:r>
        <w:rPr>
          <w:rFonts w:hint="eastAsia"/>
        </w:rPr>
        <w:t>條保障人民有應考試服公職之權利，與</w:t>
      </w:r>
      <w:r>
        <w:rPr>
          <w:rFonts w:ascii="Arial" w:hAnsi="Arial" w:cs="Arial" w:hint="eastAsia"/>
          <w:kern w:val="0"/>
        </w:rPr>
        <w:t>德</w:t>
      </w:r>
      <w:r>
        <w:rPr>
          <w:kern w:val="0"/>
        </w:rPr>
        <w:t>國基本法第</w:t>
      </w:r>
      <w:r>
        <w:rPr>
          <w:kern w:val="0"/>
        </w:rPr>
        <w:t>33</w:t>
      </w:r>
      <w:r>
        <w:rPr>
          <w:kern w:val="0"/>
        </w:rPr>
        <w:t>條第</w:t>
      </w:r>
      <w:r>
        <w:rPr>
          <w:kern w:val="0"/>
        </w:rPr>
        <w:t>2</w:t>
      </w:r>
      <w:r>
        <w:rPr>
          <w:kern w:val="0"/>
        </w:rPr>
        <w:t>項</w:t>
      </w:r>
      <w:r>
        <w:rPr>
          <w:kern w:val="0"/>
        </w:rPr>
        <w:lastRenderedPageBreak/>
        <w:t>之</w:t>
      </w:r>
      <w:r>
        <w:rPr>
          <w:rFonts w:ascii="Arial" w:hAnsi="Arial" w:cs="Arial" w:hint="eastAsia"/>
          <w:kern w:val="0"/>
        </w:rPr>
        <w:t>規定，任何（德國）人根據他的資格、能力以及專業，有從事公職的同等機會</w:t>
      </w:r>
      <w:r>
        <w:rPr>
          <w:rFonts w:hint="eastAsia"/>
        </w:rPr>
        <w:t>，在前述行政法院裁判的詮釋下，其規範的內涵極為類似。就德國法之規定而言，早自帝國法院時期，實務見解即反對有所謂陞遷請求權或類似的概念存在。雖然主管機關或長官會於公務人員負有照顧義務（</w:t>
      </w:r>
      <w:r>
        <w:t>Fürsorgepflicht</w:t>
      </w:r>
      <w:r>
        <w:rPr>
          <w:rFonts w:hint="eastAsia"/>
        </w:rPr>
        <w:t>），但這卻僅止於對於公務人員「</w:t>
      </w:r>
      <w:r>
        <w:rPr>
          <w:rFonts w:hint="eastAsia"/>
        </w:rPr>
        <w:t>現狀職務地位（</w:t>
      </w:r>
      <w:r>
        <w:t>gegenwärtige Dienststellung des Beamten</w:t>
      </w:r>
      <w:r>
        <w:rPr>
          <w:rFonts w:hint="eastAsia"/>
        </w:rPr>
        <w:t>）」的保障，而非保障公務人員可以獲得一個更好的（</w:t>
      </w:r>
      <w:r>
        <w:rPr>
          <w:rFonts w:hint="eastAsia"/>
        </w:rPr>
        <w:t>besser</w:t>
      </w:r>
      <w:r>
        <w:rPr>
          <w:rFonts w:hint="eastAsia"/>
        </w:rPr>
        <w:t>）法律地位。甚至於當時的見解指出，「陞遷」僅為了公共利益（</w:t>
      </w:r>
      <w:r>
        <w:t>Interesse des Gemeinwohls</w:t>
      </w:r>
      <w:r>
        <w:rPr>
          <w:rFonts w:hint="eastAsia"/>
        </w:rPr>
        <w:t>）的實現，同時屬於長官「合義務裁量（</w:t>
      </w:r>
      <w:r>
        <w:t>das pflichtgemäßige Ermessen</w:t>
      </w:r>
      <w:r>
        <w:rPr>
          <w:rFonts w:hint="eastAsia"/>
        </w:rPr>
        <w:t>）」的範圍。因此不論是陞遷決定這個國家高權行為本身，或者適合於公務員之陞遷程序，均不屬於法院事後審查的事項</w:t>
      </w:r>
      <w:r>
        <w:rPr>
          <w:rStyle w:val="ae"/>
        </w:rPr>
        <w:footnoteReference w:id="10"/>
      </w:r>
      <w:r>
        <w:rPr>
          <w:rFonts w:hint="eastAsia"/>
        </w:rPr>
        <w:t>。</w:t>
      </w:r>
    </w:p>
    <w:p w:rsidR="00000000" w:rsidRDefault="005C2C42">
      <w:pPr>
        <w:pStyle w:val="22"/>
        <w:spacing w:line="480" w:lineRule="auto"/>
      </w:pPr>
      <w:r>
        <w:rPr>
          <w:rFonts w:hint="eastAsia"/>
        </w:rPr>
        <w:t>這種見解持續到戰後，法院保持不去碰觸陞遷行為的態</w:t>
      </w:r>
      <w:r>
        <w:rPr>
          <w:rFonts w:hint="eastAsia"/>
        </w:rPr>
        <w:t>度。換言之，行政法院承認主管長官擁有一個毫無設限的決定空間。即使未獲陞遷之公務人員符合所有得以陞遷的條件，但是法院還是不承認他有任何的請求權，因此，未予陞遷的決定對於公務人員法律上保護的利益並無任何（負面）影響</w:t>
      </w:r>
      <w:r>
        <w:rPr>
          <w:rStyle w:val="ae"/>
        </w:rPr>
        <w:footnoteReference w:id="11"/>
      </w:r>
      <w:r>
        <w:rPr>
          <w:rFonts w:hint="eastAsia"/>
        </w:rPr>
        <w:t>。</w:t>
      </w:r>
    </w:p>
    <w:p w:rsidR="00000000" w:rsidRDefault="005C2C42">
      <w:pPr>
        <w:pStyle w:val="22"/>
        <w:spacing w:line="480" w:lineRule="auto"/>
        <w:rPr>
          <w:rFonts w:ascii="新細明體" w:hAnsi="新細明體" w:hint="eastAsia"/>
        </w:rPr>
      </w:pPr>
      <w:r>
        <w:rPr>
          <w:rFonts w:hint="eastAsia"/>
        </w:rPr>
        <w:t>時至今日，實務見解已有若干調整。至少承認公務人員具有要求主管機關對於他的陞遷申請以「無裁量瑕疵的方式（</w:t>
      </w:r>
      <w:r>
        <w:t>„in wemessensfehlerfreier Weise“</w:t>
      </w:r>
      <w:r>
        <w:rPr>
          <w:rFonts w:hint="eastAsia"/>
        </w:rPr>
        <w:t>）」予以決定之請求權。相較於實體上之請求權，在此公務人員擁有的僅是一種型式的公法上權利而已。在判斷公務人員陞遷條件之上（能力與專業</w:t>
      </w:r>
      <w:r>
        <w:rPr>
          <w:rFonts w:hint="eastAsia"/>
        </w:rPr>
        <w:t>表現與陞遷所需之知能），往往涉及主管長官的評價認識行為，這裡容有所謂行政機關的「判斷餘地</w:t>
      </w:r>
      <w:r>
        <w:rPr>
          <w:rFonts w:hint="eastAsia"/>
        </w:rPr>
        <w:lastRenderedPageBreak/>
        <w:t>（</w:t>
      </w:r>
      <w:r>
        <w:rPr>
          <w:rFonts w:eastAsia="MS Mincho"/>
        </w:rPr>
        <w:t>Beurteilungsspielraum</w:t>
      </w:r>
      <w:r>
        <w:rPr>
          <w:rFonts w:hint="eastAsia"/>
        </w:rPr>
        <w:t>）」存在。而在陞遷流程中的若干決定（內陞或外補</w:t>
      </w:r>
      <w:r>
        <w:rPr>
          <w:rFonts w:ascii="新細明體" w:hAnsi="新細明體" w:hint="eastAsia"/>
        </w:rPr>
        <w:t>、</w:t>
      </w:r>
      <w:r>
        <w:rPr>
          <w:rFonts w:hint="eastAsia"/>
        </w:rPr>
        <w:t>評分</w:t>
      </w:r>
      <w:r>
        <w:rPr>
          <w:rFonts w:ascii="新細明體" w:hAnsi="新細明體" w:hint="eastAsia"/>
        </w:rPr>
        <w:t>、</w:t>
      </w:r>
      <w:r>
        <w:rPr>
          <w:rFonts w:hint="eastAsia"/>
        </w:rPr>
        <w:t>圈選），則會涉及到行政機關的「合義務裁量」，亦即裁量決定中必須為正確的衡量</w:t>
      </w:r>
      <w:r>
        <w:rPr>
          <w:rFonts w:ascii="新細明體" w:hAnsi="新細明體" w:hint="eastAsia"/>
        </w:rPr>
        <w:t>、公平善意地位公務人員考量。因此至少應該給予公務人員有透過法院加以主張的請求權，用以限縮行政機關的裁量餘地。這是一種要求裁量必須無瑕疵運用的請求權，甚至有些特殊情況下還可以強化成為更具體的陞遷請求權</w:t>
      </w:r>
      <w:r>
        <w:rPr>
          <w:rStyle w:val="ae"/>
          <w:rFonts w:ascii="新細明體" w:hAnsi="新細明體"/>
        </w:rPr>
        <w:footnoteReference w:id="12"/>
      </w:r>
      <w:r>
        <w:rPr>
          <w:rFonts w:ascii="新細明體" w:hAnsi="新細明體" w:hint="eastAsia"/>
        </w:rPr>
        <w:t>。</w:t>
      </w:r>
    </w:p>
    <w:p w:rsidR="00000000" w:rsidRDefault="005C2C42">
      <w:pPr>
        <w:pStyle w:val="22"/>
        <w:spacing w:line="480" w:lineRule="auto"/>
        <w:rPr>
          <w:rFonts w:hint="eastAsia"/>
        </w:rPr>
      </w:pPr>
      <w:r>
        <w:rPr>
          <w:rFonts w:hint="eastAsia"/>
        </w:rPr>
        <w:t>相較於德國實務的保守態度，早期學說上的見解一般也</w:t>
      </w:r>
      <w:r>
        <w:rPr>
          <w:rFonts w:hint="eastAsia"/>
        </w:rPr>
        <w:t>都只是承認公務人員在陞遷問題上僅有「參與甄選的權利（</w:t>
      </w:r>
      <w:r>
        <w:rPr>
          <w:rFonts w:eastAsia="MS Mincho" w:hint="eastAsia"/>
        </w:rPr>
        <w:t xml:space="preserve">Recht </w:t>
      </w:r>
      <w:r>
        <w:rPr>
          <w:rFonts w:eastAsia="MS Mincho"/>
        </w:rPr>
        <w:t>zur Bewerbung</w:t>
      </w:r>
      <w:r>
        <w:rPr>
          <w:rFonts w:hint="eastAsia"/>
        </w:rPr>
        <w:t>）」而已</w:t>
      </w:r>
      <w:r>
        <w:rPr>
          <w:rStyle w:val="ae"/>
        </w:rPr>
        <w:footnoteReference w:id="13"/>
      </w:r>
      <w:r>
        <w:rPr>
          <w:rFonts w:hint="eastAsia"/>
        </w:rPr>
        <w:t>。至於今日多數的學說則主張，公務人員不僅可以從憲法基本權中導出參與陞遷競爭的權利，陞遷競爭者還應該在主管長官同時尊重功績原則（</w:t>
      </w:r>
      <w:r>
        <w:rPr>
          <w:rFonts w:eastAsia="MS Mincho" w:hint="eastAsia"/>
        </w:rPr>
        <w:t>Leistungsgrundsatz</w:t>
      </w:r>
      <w:r>
        <w:rPr>
          <w:rFonts w:hint="eastAsia"/>
        </w:rPr>
        <w:t>）的前提下，主張無瑕疵裁量決定的法律請求權</w:t>
      </w:r>
      <w:r>
        <w:rPr>
          <w:rStyle w:val="ae"/>
        </w:rPr>
        <w:footnoteReference w:id="14"/>
      </w:r>
      <w:r>
        <w:rPr>
          <w:rFonts w:hint="eastAsia"/>
        </w:rPr>
        <w:t>。晚近的文獻中，甚至出現越來越多的主張，贊同公務人員直接擁有陞遷請求權。特別是如果有公務人員職缺空出（這也是預算法與組織法上，陞遷的前提要件），有資格參與甄選，並於甄選程序中被評定為「最佳（</w:t>
      </w:r>
      <w:r>
        <w:t>„</w:t>
      </w:r>
      <w:r>
        <w:rPr>
          <w:rFonts w:hint="eastAsia"/>
        </w:rPr>
        <w:t>Beste</w:t>
      </w:r>
      <w:r>
        <w:t>“</w:t>
      </w:r>
      <w:r>
        <w:rPr>
          <w:rFonts w:hint="eastAsia"/>
        </w:rPr>
        <w:t>）</w:t>
      </w:r>
      <w:r>
        <w:rPr>
          <w:rFonts w:hint="eastAsia"/>
        </w:rPr>
        <w:t>」的競爭者，應該有要求接受此項職缺的請求權。此時，主管長官並不再具有選擇裁量的空間</w:t>
      </w:r>
      <w:r>
        <w:rPr>
          <w:rStyle w:val="ae"/>
        </w:rPr>
        <w:footnoteReference w:id="15"/>
      </w:r>
      <w:r>
        <w:rPr>
          <w:rFonts w:hint="eastAsia"/>
        </w:rPr>
        <w:t>。</w:t>
      </w:r>
    </w:p>
    <w:p w:rsidR="00000000" w:rsidRDefault="005C2C42">
      <w:pPr>
        <w:pStyle w:val="22"/>
        <w:spacing w:line="480" w:lineRule="auto"/>
        <w:rPr>
          <w:rFonts w:hint="eastAsia"/>
        </w:rPr>
      </w:pPr>
      <w:r>
        <w:rPr>
          <w:rFonts w:hint="eastAsia"/>
        </w:rPr>
        <w:t>在此並不宜誤解參與陞遷競爭者從憲法基本權的條款中，得出有屬於原始給</w:t>
      </w:r>
      <w:r>
        <w:rPr>
          <w:rFonts w:hint="eastAsia"/>
        </w:rPr>
        <w:lastRenderedPageBreak/>
        <w:t>付請求權的所謂一般陞遷請求權</w:t>
      </w:r>
      <w:r>
        <w:rPr>
          <w:rStyle w:val="ae"/>
        </w:rPr>
        <w:footnoteReference w:id="16"/>
      </w:r>
      <w:r>
        <w:rPr>
          <w:rFonts w:hint="eastAsia"/>
        </w:rPr>
        <w:t>。因為並不是所有具備特定資績與專業能力的公務人員，均具有得以要求國家給予其陞遷至特定職缺的請求權。他除了擁有源自於憲法平等原則要求之上述「參與甄選的權利」</w:t>
      </w:r>
      <w:r>
        <w:rPr>
          <w:rFonts w:ascii="MS Mincho" w:hAnsi="MS Mincho" w:hint="eastAsia"/>
        </w:rPr>
        <w:t>或者</w:t>
      </w:r>
      <w:r>
        <w:rPr>
          <w:rFonts w:hint="eastAsia"/>
        </w:rPr>
        <w:t>「要求甄選的權利（</w:t>
      </w:r>
      <w:r>
        <w:rPr>
          <w:rFonts w:eastAsia="MS Mincho" w:hint="eastAsia"/>
        </w:rPr>
        <w:t>Recht auf Bewerbung</w:t>
      </w:r>
      <w:r>
        <w:rPr>
          <w:rFonts w:hint="eastAsia"/>
        </w:rPr>
        <w:t>）」外，憲法服公職基本權應該至少還有保護特定（準備陞遷）公務人員利益的目的，因此客觀上拘束主管長官應該基於功績原則</w:t>
      </w:r>
      <w:r>
        <w:rPr>
          <w:rFonts w:hint="eastAsia"/>
        </w:rPr>
        <w:t>作成決定的甄選標準，也會賦予以經被評定為「最佳」的公務員要求給予陞遷的主觀法上請求權</w:t>
      </w:r>
      <w:r>
        <w:rPr>
          <w:rStyle w:val="ae"/>
        </w:rPr>
        <w:footnoteReference w:id="17"/>
      </w:r>
      <w:r>
        <w:rPr>
          <w:rFonts w:hint="eastAsia"/>
        </w:rPr>
        <w:t>。但是假如甄選評分的結果，有多數在專業能力與資歷條件上幾近相當的公務人員同為競爭者時，根據功績原則所規定的甄選標準並無法在形式上評定出一位所謂「最佳」公務人員</w:t>
      </w:r>
      <w:r>
        <w:rPr>
          <w:rStyle w:val="ae"/>
        </w:rPr>
        <w:footnoteReference w:id="18"/>
      </w:r>
      <w:r>
        <w:rPr>
          <w:rFonts w:hint="eastAsia"/>
        </w:rPr>
        <w:t>。此時即無法導出上述的主觀法上請求權。但是根據長官對於公務人員的「照顧義務（</w:t>
      </w:r>
      <w:r>
        <w:rPr>
          <w:rFonts w:eastAsia="MS Mincho"/>
        </w:rPr>
        <w:t>Fürsorgerpflicht</w:t>
      </w:r>
      <w:r>
        <w:rPr>
          <w:rFonts w:hint="eastAsia"/>
        </w:rPr>
        <w:t>）」，則可以推出主管長官對於陞遷競爭的公務人員必須就事論事</w:t>
      </w:r>
      <w:r>
        <w:rPr>
          <w:rFonts w:ascii="新細明體" w:hAnsi="新細明體" w:hint="eastAsia"/>
        </w:rPr>
        <w:t>、</w:t>
      </w:r>
      <w:r>
        <w:rPr>
          <w:rFonts w:hint="eastAsia"/>
        </w:rPr>
        <w:t>公平正義對待與盡力著想（</w:t>
      </w:r>
      <w:r>
        <w:rPr>
          <w:rFonts w:eastAsia="MS Mincho"/>
        </w:rPr>
        <w:t>Sachlichkeit, Gerechtigkeit, Wohlwoll</w:t>
      </w:r>
      <w:r>
        <w:rPr>
          <w:rFonts w:eastAsia="MS Mincho"/>
        </w:rPr>
        <w:t>en</w:t>
      </w:r>
      <w:r>
        <w:rPr>
          <w:rFonts w:hint="eastAsia"/>
        </w:rPr>
        <w:t>）的義務。主管長官還是應該在功績原則的範圍內擇取適當者陞遷</w:t>
      </w:r>
      <w:r>
        <w:rPr>
          <w:rStyle w:val="ae"/>
        </w:rPr>
        <w:footnoteReference w:id="19"/>
      </w:r>
      <w:r>
        <w:rPr>
          <w:rFonts w:hint="eastAsia"/>
        </w:rPr>
        <w:t>。此時條件相當的公務人員擁有的是基於照顧義務而導出的要求持平與無瑕疵判斷與圈選的主觀請求權</w:t>
      </w:r>
      <w:r>
        <w:rPr>
          <w:rStyle w:val="ae"/>
        </w:rPr>
        <w:footnoteReference w:id="20"/>
      </w:r>
      <w:r>
        <w:rPr>
          <w:rFonts w:hint="eastAsia"/>
        </w:rPr>
        <w:t>。</w:t>
      </w:r>
    </w:p>
    <w:p w:rsidR="00000000" w:rsidRDefault="005C2C42">
      <w:pPr>
        <w:pStyle w:val="22"/>
        <w:spacing w:line="480" w:lineRule="auto"/>
        <w:rPr>
          <w:rFonts w:hint="eastAsia"/>
        </w:rPr>
      </w:pPr>
      <w:r>
        <w:rPr>
          <w:rFonts w:hint="eastAsia"/>
        </w:rPr>
        <w:t>每一個陞遷決定的個案，其實應該考量參與陞遷競爭公務人員目前時間相近的「功績」比較。主管長官在圈選人選時應該考量陞遷決定時，公務人員所有必備的資能</w:t>
      </w:r>
      <w:r>
        <w:rPr>
          <w:rFonts w:ascii="新細明體" w:hAnsi="新細明體" w:hint="eastAsia"/>
        </w:rPr>
        <w:t>與專業功績表現。從</w:t>
      </w:r>
      <w:r>
        <w:rPr>
          <w:rFonts w:ascii="Arial" w:hAnsi="Arial" w:cs="Arial" w:hint="eastAsia"/>
          <w:kern w:val="0"/>
        </w:rPr>
        <w:t>德</w:t>
      </w:r>
      <w:r>
        <w:rPr>
          <w:kern w:val="0"/>
        </w:rPr>
        <w:t>國基本法第</w:t>
      </w:r>
      <w:r>
        <w:rPr>
          <w:kern w:val="0"/>
        </w:rPr>
        <w:t>33</w:t>
      </w:r>
      <w:r>
        <w:rPr>
          <w:kern w:val="0"/>
        </w:rPr>
        <w:t>條第</w:t>
      </w:r>
      <w:r>
        <w:rPr>
          <w:kern w:val="0"/>
        </w:rPr>
        <w:t>2</w:t>
      </w:r>
      <w:r>
        <w:rPr>
          <w:kern w:val="0"/>
        </w:rPr>
        <w:t>項之</w:t>
      </w:r>
      <w:r>
        <w:rPr>
          <w:rFonts w:ascii="Arial" w:hAnsi="Arial" w:cs="Arial" w:hint="eastAsia"/>
          <w:kern w:val="0"/>
        </w:rPr>
        <w:t>規定，任何（德國）人根據他的資格、能力以及專業，有從事公職的同等機會。我國憲法</w:t>
      </w:r>
      <w:r>
        <w:rPr>
          <w:rFonts w:hint="eastAsia"/>
        </w:rPr>
        <w:t>第</w:t>
      </w:r>
      <w:r>
        <w:rPr>
          <w:rFonts w:hint="eastAsia"/>
        </w:rPr>
        <w:t>18</w:t>
      </w:r>
      <w:r>
        <w:rPr>
          <w:rFonts w:hint="eastAsia"/>
        </w:rPr>
        <w:t>條保</w:t>
      </w:r>
      <w:r>
        <w:rPr>
          <w:rFonts w:hint="eastAsia"/>
        </w:rPr>
        <w:lastRenderedPageBreak/>
        <w:t>障人民有服公職之權利。或者陞遷法第</w:t>
      </w:r>
      <w:r>
        <w:rPr>
          <w:rFonts w:hint="eastAsia"/>
        </w:rPr>
        <w:t>2</w:t>
      </w:r>
      <w:r>
        <w:rPr>
          <w:rFonts w:hint="eastAsia"/>
        </w:rPr>
        <w:t>條規定，</w:t>
      </w:r>
      <w:r>
        <w:rPr>
          <w:rFonts w:hint="eastAsia"/>
          <w:w w:val="105"/>
        </w:rPr>
        <w:t>公務人員之陞遷，應本人與事適切配</w:t>
      </w:r>
      <w:r>
        <w:rPr>
          <w:rFonts w:hint="eastAsia"/>
          <w:w w:val="105"/>
        </w:rPr>
        <w:t>合之旨，考量機關特性與職務需要，依「資績」並重、內陞與外補兼顧原則，採公開、公平、公正方式，擇優陞任或遷調歷練，以拔擢及培育人才。如果必須要落實功績原則，主管長官在圈選最適當之陞遷人選時，究竟有無裁量權限？或者反過來思考，在陞遷決定中，除了「功績（</w:t>
      </w:r>
      <w:r>
        <w:rPr>
          <w:rFonts w:hint="eastAsia"/>
          <w:w w:val="105"/>
        </w:rPr>
        <w:t>Leistung</w:t>
      </w:r>
      <w:r>
        <w:rPr>
          <w:rFonts w:hint="eastAsia"/>
          <w:w w:val="105"/>
        </w:rPr>
        <w:t>）」表現之外，是否還有其他（輔助）的獨立選擇考量因素？例如公務人員年資或者年功序列原則（</w:t>
      </w:r>
      <w:r>
        <w:rPr>
          <w:rFonts w:eastAsia="MS Mincho"/>
          <w:w w:val="105"/>
        </w:rPr>
        <w:t>Dienstalter od. Ancienitätsprinzip</w:t>
      </w:r>
      <w:r>
        <w:rPr>
          <w:rFonts w:hint="eastAsia"/>
          <w:w w:val="105"/>
        </w:rPr>
        <w:t>）。德國有學者主張，這些看似獨立的輔助因素，其實應該早已經內化在功績原則之中，不需要獨立判斷</w:t>
      </w:r>
      <w:r>
        <w:rPr>
          <w:rStyle w:val="ae"/>
          <w:w w:val="105"/>
        </w:rPr>
        <w:footnoteReference w:id="21"/>
      </w:r>
      <w:r>
        <w:rPr>
          <w:rFonts w:hint="eastAsia"/>
          <w:w w:val="105"/>
        </w:rPr>
        <w:t>。這種看法，在解釋我國陞遷制度時，原則上應該也適用之。換言之，陞遷決定時原則上也應該只考量公務人員之資績，與資績無關之因素，應該盡可能摒除。相較德國與我國規範度，我國陞遷法上的規定，授權主管長官在甄審會所列陞遷名單中，再擇一圈選（可能未必是形式上評分最高者）。其並非嚴格遵守功績原則所導出的最佳選擇要求</w:t>
      </w:r>
      <w:r>
        <w:rPr>
          <w:rStyle w:val="ae"/>
          <w:w w:val="105"/>
        </w:rPr>
        <w:footnoteReference w:id="22"/>
      </w:r>
      <w:r>
        <w:rPr>
          <w:rFonts w:hint="eastAsia"/>
          <w:w w:val="105"/>
        </w:rPr>
        <w:t>。根據裁量或者判斷餘地的規範授權理論，立法目的應該並無賦予特定公務人員於辦理陞遷程序中，要求必予陞遷的主觀權利。但是至少應該同意，在陞遷的決定上應該也要求事理之平。即使這裡有主管觀長官相當的判斷裁量餘地，但</w:t>
      </w:r>
      <w:r>
        <w:rPr>
          <w:rFonts w:hint="eastAsia"/>
          <w:w w:val="105"/>
        </w:rPr>
        <w:t>仍不容許恣意或加入</w:t>
      </w:r>
      <w:r>
        <w:rPr>
          <w:rFonts w:hint="eastAsia"/>
          <w:w w:val="105"/>
        </w:rPr>
        <w:lastRenderedPageBreak/>
        <w:t>與事理無相關的因素考量（其違反一般常理下的陞遷決定更應該明確說理）。承認</w:t>
      </w:r>
      <w:r>
        <w:rPr>
          <w:rFonts w:hint="eastAsia"/>
        </w:rPr>
        <w:t>前述基於照顧義務而導出的要求持平與無瑕疵判斷與圈選的（形式）主觀請求權或者無瑕疵判斷或裁量請求權，則是最低程度的要求。這應該也是目前保訓會所採的基本立場，應值得肯定。</w:t>
      </w:r>
    </w:p>
    <w:p w:rsidR="00000000" w:rsidRDefault="005C2C42">
      <w:pPr>
        <w:pStyle w:val="2"/>
        <w:spacing w:line="480" w:lineRule="auto"/>
        <w:rPr>
          <w:rFonts w:hint="eastAsia"/>
          <w:lang w:val="de-DE"/>
        </w:rPr>
      </w:pPr>
      <w:bookmarkStart w:id="7" w:name="_Toc121199232"/>
      <w:bookmarkStart w:id="8" w:name="_Toc121212704"/>
      <w:bookmarkStart w:id="9" w:name="_Toc121212967"/>
      <w:r>
        <w:rPr>
          <w:rFonts w:hint="eastAsia"/>
          <w:lang w:val="de-DE"/>
        </w:rPr>
        <w:t>6.2.</w:t>
      </w:r>
      <w:r>
        <w:rPr>
          <w:lang w:val="de-DE"/>
        </w:rPr>
        <w:t>實體請求權與程序請求權</w:t>
      </w:r>
      <w:bookmarkEnd w:id="7"/>
      <w:bookmarkEnd w:id="8"/>
      <w:bookmarkEnd w:id="9"/>
    </w:p>
    <w:p w:rsidR="00000000" w:rsidRDefault="005C2C42">
      <w:pPr>
        <w:pStyle w:val="22"/>
        <w:spacing w:line="480" w:lineRule="auto"/>
        <w:rPr>
          <w:rFonts w:hint="eastAsia"/>
        </w:rPr>
      </w:pPr>
      <w:r>
        <w:rPr>
          <w:rFonts w:hint="eastAsia"/>
        </w:rPr>
        <w:t>如前所述，陞遷流程乃是一個多重階段的行政程序。在階段的決定上，公務人員原則上並無實體內容的請求權。但是基於基本權的程序保障功能理論，人民服公職的基本權應屬於具有程序依賴傾向的基本權。雖然具體的陞遷法規中，並不直接賦予公務人</w:t>
      </w:r>
      <w:r>
        <w:rPr>
          <w:rFonts w:hint="eastAsia"/>
        </w:rPr>
        <w:t>員要求國家提供陞遷職位的請求權，但是這個基本權還是要求國家應該提供一個符合法治國家所要求的公平公正的陞遷程序。人民所擁有的至少是一個消極面向的程序保障要求。特別是當實體決定有可能侵害其基本權時，應該在行政機關於最終決定前，踐履一定的程序義務，避免基本權的實害發生。至於人民的程序請求內容與行政機關應踐履之程序義務範圍，則應進一步視基本權侵害侵害的強度</w:t>
      </w:r>
      <w:r>
        <w:rPr>
          <w:rFonts w:ascii="新細明體" w:hAnsi="新細明體" w:hint="eastAsia"/>
        </w:rPr>
        <w:t>、</w:t>
      </w:r>
      <w:r>
        <w:rPr>
          <w:rFonts w:hint="eastAsia"/>
        </w:rPr>
        <w:t>侵害的範圍與造成實害風險的大小等因素綜合判斷</w:t>
      </w:r>
      <w:r>
        <w:rPr>
          <w:rStyle w:val="ae"/>
        </w:rPr>
        <w:footnoteReference w:id="23"/>
      </w:r>
      <w:r>
        <w:rPr>
          <w:rFonts w:hint="eastAsia"/>
        </w:rPr>
        <w:t>。</w:t>
      </w:r>
    </w:p>
    <w:p w:rsidR="00000000" w:rsidRDefault="005C2C42">
      <w:pPr>
        <w:pStyle w:val="22"/>
        <w:spacing w:line="480" w:lineRule="auto"/>
        <w:rPr>
          <w:rFonts w:hint="eastAsia"/>
        </w:rPr>
      </w:pPr>
      <w:r>
        <w:rPr>
          <w:rFonts w:hint="eastAsia"/>
        </w:rPr>
        <w:t>現行法中行政程序法上有關之程序保障的內容，即屬原則性的規範。前文已述，陞遷程序仍有適用行政程序法之實體或程序規</w:t>
      </w:r>
      <w:r>
        <w:rPr>
          <w:rFonts w:hint="eastAsia"/>
        </w:rPr>
        <w:t>定可能。</w:t>
      </w:r>
      <w:r>
        <w:t>行政程序法第</w:t>
      </w:r>
      <w:r>
        <w:rPr>
          <w:rFonts w:hint="eastAsia"/>
        </w:rPr>
        <w:t>3</w:t>
      </w:r>
      <w:r>
        <w:t>條第</w:t>
      </w:r>
      <w:r>
        <w:rPr>
          <w:rFonts w:hint="eastAsia"/>
        </w:rPr>
        <w:t>3</w:t>
      </w:r>
      <w:r>
        <w:t>項第</w:t>
      </w:r>
      <w:r>
        <w:rPr>
          <w:rFonts w:hint="eastAsia"/>
        </w:rPr>
        <w:t>7</w:t>
      </w:r>
      <w:r>
        <w:t>款規定，對公務員所為之人事行政行為不適用本法之程序規定，係僅排除程序規定，如屬本法實體規定者，仍有其適用。而有關改變公務員之身分或對公務員權利或法律上利益有重大影響之人事行政行為，或基於公務員身分所產生之公法上財產請求權遭受侵害者，仍應依本法規定給予相對人程序的保障，例如</w:t>
      </w:r>
      <w:r>
        <w:lastRenderedPageBreak/>
        <w:t>陳述意見、閱覽卷宗及教示救濟方法之記載等等，方符現代法治國家程序保障之要求</w:t>
      </w:r>
      <w:r>
        <w:rPr>
          <w:rFonts w:hint="eastAsia"/>
        </w:rPr>
        <w:t>。</w:t>
      </w:r>
      <w:r>
        <w:t>本法第</w:t>
      </w:r>
      <w:r>
        <w:rPr>
          <w:rFonts w:hint="eastAsia"/>
        </w:rPr>
        <w:t>46</w:t>
      </w:r>
      <w:r>
        <w:t>條規定之申請閱覽卷宗請求權，係指特定之行政程序中當事人或利害關係人為主張或維護其法律上利益之必要，有向行政機關申請閱覽、</w:t>
      </w:r>
      <w:r>
        <w:t>抄寫、複印或攝影有關資料或卷宗之權利，屬程序權利。申請人如提出請求遭行政機關拒絕時，依本法第</w:t>
      </w:r>
      <w:r>
        <w:rPr>
          <w:rFonts w:hint="eastAsia"/>
        </w:rPr>
        <w:t>174</w:t>
      </w:r>
      <w:r>
        <w:t>條規定，僅得於對實體決定不服時一併聲明之，不得單獨提起訴願。</w:t>
      </w:r>
      <w:r>
        <w:rPr>
          <w:rFonts w:hint="eastAsia"/>
        </w:rPr>
        <w:t>而行政院與考試院會銜發布之</w:t>
      </w:r>
      <w:r>
        <w:t>行政資訊公開辦法則係滿足人民知的權利及促進行政程序之公開化與透明化，其公開之對象為一般人民，</w:t>
      </w:r>
      <w:r>
        <w:rPr>
          <w:b/>
        </w:rPr>
        <w:t>當然亦包括已終結之個別行政程序之當事人或利害關係人</w:t>
      </w:r>
      <w:r>
        <w:t>，依該辦法規定申請行政機關提供行政資訊之權利，屬實體權利。行政機關拒絕提供者，應屬行政處分之性質，申請人如有不服，得依法提起訴願</w:t>
      </w:r>
      <w:r>
        <w:rPr>
          <w:rFonts w:hint="eastAsia"/>
        </w:rPr>
        <w:t>。若僅屬</w:t>
      </w:r>
      <w:r>
        <w:t>服務機關</w:t>
      </w:r>
      <w:r>
        <w:rPr>
          <w:rFonts w:hint="eastAsia"/>
        </w:rPr>
        <w:t>對</w:t>
      </w:r>
      <w:r>
        <w:t>公務員</w:t>
      </w:r>
      <w:r>
        <w:rPr>
          <w:rFonts w:hint="eastAsia"/>
        </w:rPr>
        <w:t>所為之</w:t>
      </w:r>
      <w:r>
        <w:t>管理措施</w:t>
      </w:r>
      <w:r>
        <w:rPr>
          <w:rFonts w:hint="eastAsia"/>
        </w:rPr>
        <w:t>（</w:t>
      </w:r>
      <w:r>
        <w:t>非屬行政處分</w:t>
      </w:r>
      <w:r>
        <w:rPr>
          <w:rFonts w:hint="eastAsia"/>
        </w:rPr>
        <w:t>）</w:t>
      </w:r>
      <w:r>
        <w:t>之人</w:t>
      </w:r>
      <w:r>
        <w:t>事行政行為</w:t>
      </w:r>
      <w:r>
        <w:rPr>
          <w:rFonts w:hint="eastAsia"/>
        </w:rPr>
        <w:t>（例如</w:t>
      </w:r>
      <w:r>
        <w:t>有關其個人平時考核紀錄、年終考核表及考績委員會紀錄等相關資料</w:t>
      </w:r>
      <w:r>
        <w:rPr>
          <w:rFonts w:hint="eastAsia"/>
        </w:rPr>
        <w:t>），</w:t>
      </w:r>
      <w:r>
        <w:t>當事人或利害關係人自不得依本法第</w:t>
      </w:r>
      <w:r>
        <w:rPr>
          <w:rFonts w:hint="eastAsia"/>
        </w:rPr>
        <w:t>46</w:t>
      </w:r>
      <w:r>
        <w:t>條規定申請閱覽，</w:t>
      </w:r>
      <w:r>
        <w:rPr>
          <w:b/>
        </w:rPr>
        <w:t>惟</w:t>
      </w:r>
      <w:r>
        <w:rPr>
          <w:rFonts w:hint="eastAsia"/>
          <w:b/>
        </w:rPr>
        <w:t>仍</w:t>
      </w:r>
      <w:r>
        <w:rPr>
          <w:b/>
        </w:rPr>
        <w:t>得依行政資訊公開辦法之規定辦理</w:t>
      </w:r>
      <w:r>
        <w:t>。行政機關</w:t>
      </w:r>
      <w:r>
        <w:rPr>
          <w:rFonts w:hint="eastAsia"/>
        </w:rPr>
        <w:t>依該辦法</w:t>
      </w:r>
      <w:r>
        <w:t>受理人民請求提供行政資訊時，仍得視其是否符合該辦法相關程式及有無限制公開或提供之情形</w:t>
      </w:r>
      <w:r>
        <w:rPr>
          <w:rStyle w:val="ae"/>
        </w:rPr>
        <w:footnoteReference w:id="24"/>
      </w:r>
      <w:r>
        <w:t>，以決定是否准予提供，非謂人民提出請求，即應無條件一律公開或提供</w:t>
      </w:r>
      <w:r>
        <w:rPr>
          <w:rStyle w:val="ae"/>
        </w:rPr>
        <w:footnoteReference w:id="25"/>
      </w:r>
      <w:r>
        <w:t>。</w:t>
      </w:r>
    </w:p>
    <w:p w:rsidR="00000000" w:rsidRDefault="005C2C42">
      <w:pPr>
        <w:pStyle w:val="2"/>
        <w:spacing w:line="480" w:lineRule="auto"/>
        <w:rPr>
          <w:rFonts w:hint="eastAsia"/>
          <w:lang w:val="de-DE"/>
        </w:rPr>
      </w:pPr>
      <w:bookmarkStart w:id="10" w:name="_Toc121199233"/>
      <w:bookmarkStart w:id="11" w:name="_Toc121212705"/>
      <w:bookmarkStart w:id="12" w:name="_Toc121212968"/>
      <w:r>
        <w:rPr>
          <w:rFonts w:hint="eastAsia"/>
          <w:lang w:val="de-DE"/>
        </w:rPr>
        <w:t>6.3.</w:t>
      </w:r>
      <w:r>
        <w:rPr>
          <w:lang w:val="de-DE"/>
        </w:rPr>
        <w:t>保護規範理論與競爭關係</w:t>
      </w:r>
      <w:bookmarkEnd w:id="10"/>
      <w:bookmarkEnd w:id="11"/>
      <w:bookmarkEnd w:id="12"/>
    </w:p>
    <w:p w:rsidR="005C2C42" w:rsidRDefault="005C2C42">
      <w:pPr>
        <w:pStyle w:val="22"/>
        <w:spacing w:line="480" w:lineRule="auto"/>
        <w:rPr>
          <w:rFonts w:hint="eastAsia"/>
        </w:rPr>
      </w:pPr>
      <w:r>
        <w:rPr>
          <w:rFonts w:hint="eastAsia"/>
        </w:rPr>
        <w:t>公務人員之陞遷案件往往並非只是一種行政機關與特定公務人員間的雙邊法律關係，毋寧多屬複雜的多邊法律關係。特別是在有複數的陞遷競爭關係下，</w:t>
      </w:r>
      <w:r>
        <w:rPr>
          <w:rFonts w:hint="eastAsia"/>
        </w:rPr>
        <w:lastRenderedPageBreak/>
        <w:t>有限的</w:t>
      </w:r>
      <w:r>
        <w:rPr>
          <w:rFonts w:hint="eastAsia"/>
        </w:rPr>
        <w:t>陞遷職缺往往造成特定公務人員獲得陞遷，而其他競爭者卻無緣陞遷的結果。對於因陞遷決定而受影響的競爭者，例如保訓會在前揭「</w:t>
      </w:r>
      <w:r>
        <w:rPr>
          <w:rFonts w:hint="eastAsia"/>
          <w:b/>
        </w:rPr>
        <w:t>葉玉琴案</w:t>
      </w:r>
      <w:r>
        <w:rPr>
          <w:rFonts w:hint="eastAsia"/>
        </w:rPr>
        <w:t>」與「</w:t>
      </w:r>
      <w:r>
        <w:rPr>
          <w:rFonts w:hint="eastAsia"/>
          <w:b/>
        </w:rPr>
        <w:t>黃椿雄案</w:t>
      </w:r>
      <w:r>
        <w:rPr>
          <w:rFonts w:hint="eastAsia"/>
        </w:rPr>
        <w:t>」中，似乎曾以陞遷處理結果與請求救濟之公務人員權益無直接關連為由，拒絕當事人之救濟。這種典型的競爭者救濟（訴訟）案型中，競爭關係下的第三人是否具有救濟權能，一般必須要進一步透過法律解釋確認，不得驟然予以拒絕。</w:t>
      </w:r>
      <w:r>
        <w:t>參諸行政法學理，行政</w:t>
      </w:r>
      <w:r>
        <w:rPr>
          <w:rFonts w:hint="eastAsia"/>
        </w:rPr>
        <w:t>救濟（</w:t>
      </w:r>
      <w:r>
        <w:t>訴訟</w:t>
      </w:r>
      <w:r>
        <w:rPr>
          <w:rFonts w:hint="eastAsia"/>
        </w:rPr>
        <w:t>）</w:t>
      </w:r>
      <w:r>
        <w:t>所保障之權利係指所有法秩序（包括憲法保障基本權之規定）認為值得保護，並得以個別化之利益</w:t>
      </w:r>
      <w:r>
        <w:rPr>
          <w:rFonts w:hint="eastAsia"/>
          <w:lang w:val="en-US"/>
        </w:rPr>
        <w:t>（</w:t>
      </w:r>
      <w:r>
        <w:rPr>
          <w:lang w:val="en-US"/>
        </w:rPr>
        <w:t>das</w:t>
      </w:r>
      <w:r>
        <w:rPr>
          <w:rFonts w:hint="eastAsia"/>
          <w:lang w:val="en-US"/>
        </w:rPr>
        <w:t xml:space="preserve"> </w:t>
      </w:r>
      <w:r>
        <w:rPr>
          <w:lang w:val="en-US"/>
        </w:rPr>
        <w:t>sujecktiv-öffentli</w:t>
      </w:r>
      <w:r>
        <w:rPr>
          <w:lang w:val="en-US"/>
        </w:rPr>
        <w:t>ch</w:t>
      </w:r>
      <w:r>
        <w:rPr>
          <w:rFonts w:hint="eastAsia"/>
          <w:lang w:val="en-US"/>
        </w:rPr>
        <w:t xml:space="preserve"> gesch</w:t>
      </w:r>
      <w:r>
        <w:rPr>
          <w:lang w:val="en-US"/>
        </w:rPr>
        <w:t>ützte Interesse</w:t>
      </w:r>
      <w:r>
        <w:rPr>
          <w:lang w:val="en-US"/>
        </w:rPr>
        <w:t>），</w:t>
      </w:r>
      <w:r>
        <w:t>因此探究原告有無得以主張之權利</w:t>
      </w:r>
      <w:r>
        <w:rPr>
          <w:lang w:val="en-US"/>
        </w:rPr>
        <w:t>，</w:t>
      </w:r>
      <w:r>
        <w:t>即轉換為以保護原告利益為目的之保護規範存否的問題。在非處分相對人提起撤銷之訴的情形，以「保護規範理論」作為界定第三人範圍之基準意義尤其深刻，須先認定系爭</w:t>
      </w:r>
      <w:r>
        <w:rPr>
          <w:rFonts w:hint="eastAsia"/>
        </w:rPr>
        <w:t>決定</w:t>
      </w:r>
      <w:r>
        <w:t>依據之法規範對該第三人而言為「保護規範」，第三人於系爭案件始具當事人適格（學說上亦稱之「訴訟權能」）。</w:t>
      </w:r>
      <w:r>
        <w:rPr>
          <w:rFonts w:hint="eastAsia"/>
        </w:rPr>
        <w:t>至於</w:t>
      </w:r>
      <w:r>
        <w:t>「保護規範理論」之內涵向有新舊兩說，舊說偏重從歷史上之立法意旨解釋法規範，須該法規範至少要同時包含保護該第三人之權利或法律利益之目的，始得認為</w:t>
      </w:r>
      <w:r>
        <w:rPr>
          <w:rFonts w:hint="eastAsia"/>
        </w:rPr>
        <w:t>是一種</w:t>
      </w:r>
      <w:r>
        <w:t>「保護規範」</w:t>
      </w:r>
      <w:r>
        <w:rPr>
          <w:rStyle w:val="ae"/>
        </w:rPr>
        <w:footnoteReference w:id="26"/>
      </w:r>
      <w:r>
        <w:rPr>
          <w:rFonts w:hint="eastAsia"/>
        </w:rPr>
        <w:t>（</w:t>
      </w:r>
      <w:r>
        <w:rPr>
          <w:color w:val="000000"/>
        </w:rPr>
        <w:t>舊保</w:t>
      </w:r>
      <w:r>
        <w:rPr>
          <w:color w:val="000000"/>
        </w:rPr>
        <w:t>護規範理論乃偏重於從立法者主觀意旨探求是否具備保護個人之目的</w:t>
      </w:r>
      <w:r>
        <w:rPr>
          <w:rFonts w:hint="eastAsia"/>
        </w:rPr>
        <w:t>）</w:t>
      </w:r>
      <w:r>
        <w:t>；新說則著重於探求法規範的客觀目的，如「就法律之整體結構、適用對象、所欲產生之規範效果及社會發展因素等綜合判斷，可得知亦有保障特定人之意旨時」，即得認該法規屬「保護規範」</w:t>
      </w:r>
      <w:r>
        <w:rPr>
          <w:rStyle w:val="ae"/>
        </w:rPr>
        <w:footnoteReference w:id="27"/>
      </w:r>
      <w:r>
        <w:t>。新舊兩種「保護規範理論」並非互斥，而係立於補充關係，蓋依立法目的解釋（歷史解釋方法）不足認定為保護規範時，於法律無明文限制時，尚得依客觀解釋方法，探求系爭規範是否有保護特定人之意旨，</w:t>
      </w:r>
      <w:r>
        <w:lastRenderedPageBreak/>
        <w:t>當有助於保障人民實體權利</w:t>
      </w:r>
      <w:r>
        <w:rPr>
          <w:rStyle w:val="ae"/>
        </w:rPr>
        <w:footnoteReference w:id="28"/>
      </w:r>
      <w:r>
        <w:t>以及提供人民有效的權利救濟途徑，而且仍得避免撤銷訴訟淪為</w:t>
      </w:r>
      <w:r>
        <w:rPr>
          <w:rFonts w:hint="eastAsia"/>
        </w:rPr>
        <w:t>無所限制之</w:t>
      </w:r>
      <w:r>
        <w:t>民</w:t>
      </w:r>
      <w:r>
        <w:t>眾訴訟風險</w:t>
      </w:r>
      <w:r>
        <w:rPr>
          <w:rStyle w:val="ae"/>
        </w:rPr>
        <w:footnoteReference w:id="29"/>
      </w:r>
      <w:r>
        <w:t>。</w:t>
      </w:r>
      <w:r>
        <w:rPr>
          <w:rFonts w:hint="eastAsia"/>
        </w:rPr>
        <w:t>換言之，</w:t>
      </w:r>
      <w:r>
        <w:rPr>
          <w:kern w:val="0"/>
        </w:rPr>
        <w:t>因法律上利益受到侵害之人，始能以利害關係第三人資格就他人之行政處分提起撤銷之訴，若僅有事實上利害關係，而不具備</w:t>
      </w:r>
      <w:r>
        <w:rPr>
          <w:rFonts w:hint="eastAsia"/>
          <w:kern w:val="0"/>
        </w:rPr>
        <w:t>「</w:t>
      </w:r>
      <w:r>
        <w:rPr>
          <w:kern w:val="0"/>
        </w:rPr>
        <w:t>法律上利害關係</w:t>
      </w:r>
      <w:r>
        <w:rPr>
          <w:rFonts w:hint="eastAsia"/>
          <w:kern w:val="0"/>
        </w:rPr>
        <w:t>」</w:t>
      </w:r>
      <w:r>
        <w:rPr>
          <w:kern w:val="0"/>
        </w:rPr>
        <w:t>，自不得任意主張他人行政處分違法侵害其權益而提起行政爭訟。茲所謂「法律上利害關係」之判斷，係以</w:t>
      </w:r>
      <w:r>
        <w:rPr>
          <w:rFonts w:hint="eastAsia"/>
          <w:kern w:val="0"/>
        </w:rPr>
        <w:t>上述</w:t>
      </w:r>
      <w:r>
        <w:rPr>
          <w:kern w:val="0"/>
        </w:rPr>
        <w:t>「新保護規範理論」為界定利害關係第三人範圍之基準。如法律已明確規定特定人得享有權利，或對符合法定條件而可得特定之人，授予向行政主體或國家機關為一定作為之請求權者，其規範目的在於保障個人權益，固無疑義；如法律雖係為公共利益或一般國民福祉而設之規定，但就法律之整體結構</w:t>
      </w:r>
      <w:r>
        <w:rPr>
          <w:kern w:val="0"/>
        </w:rPr>
        <w:t>、適用對象、所欲產生之規範效果及社會發展因素等綜合判斷，可得知亦有保障特定人之意旨時，即應許</w:t>
      </w:r>
      <w:r>
        <w:rPr>
          <w:rFonts w:ascii="新細明體" w:hAnsi="新細明體" w:cs="新細明體"/>
        </w:rPr>
        <w:t>其依法請求救濟</w:t>
      </w:r>
      <w:r>
        <w:rPr>
          <w:rStyle w:val="ae"/>
          <w:rFonts w:ascii="新細明體" w:hAnsi="新細明體" w:cs="新細明體"/>
        </w:rPr>
        <w:footnoteReference w:id="30"/>
      </w:r>
      <w:r>
        <w:rPr>
          <w:rFonts w:ascii="新細明體" w:hAnsi="新細明體" w:cs="新細明體"/>
        </w:rPr>
        <w:t>。</w:t>
      </w:r>
      <w:r>
        <w:rPr>
          <w:rFonts w:ascii="新細明體" w:hAnsi="新細明體" w:cs="新細明體" w:hint="eastAsia"/>
        </w:rPr>
        <w:t>若依此解釋檢視我國陞遷法之規範目的與規範效果，在如此廣泛授權主管長官裁量權限的前提下，是否有要賦予同一陞遷程序中未獲陞遷之公務人員，得以透過權利救濟的途徑主張實體上「權益」之意旨，似乎不易得出。因此在說理上，並不容易將之劃入附第三人效力之行政處分的利害關係人範圍。這種結論雖不無遺憾，不過若是主管長官在甄選圈選陞遷人選時，確有裁量或判斷的權限逾越或夾雜不相關因素的考量時，已經是對於不想予以陞遷之同等條</w:t>
      </w:r>
      <w:r>
        <w:rPr>
          <w:rFonts w:ascii="新細明體" w:hAnsi="新細明體" w:cs="新細明體" w:hint="eastAsia"/>
        </w:rPr>
        <w:t>件公</w:t>
      </w:r>
      <w:r>
        <w:rPr>
          <w:rFonts w:ascii="新細明體" w:hAnsi="新細明體" w:cs="新細明體" w:hint="eastAsia"/>
        </w:rPr>
        <w:lastRenderedPageBreak/>
        <w:t>務人員的一種直接性、目的性的權利影響，未獲陞遷之公務人員原本僅具有的形式參與甄選權利，將進一步提升至具體的實體法上請求權，同時也應該承認其具有救濟權能，在救濟程序中實現他自己的權利。</w:t>
      </w:r>
    </w:p>
    <w:sectPr w:rsidR="005C2C42">
      <w:footerReference w:type="even" r:id="rId7"/>
      <w:footerReference w:type="default" r:id="rId8"/>
      <w:pgSz w:w="11906" w:h="16838"/>
      <w:pgMar w:top="1418" w:right="1758" w:bottom="1418" w:left="17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42" w:rsidRDefault="005C2C42">
      <w:r>
        <w:separator/>
      </w:r>
    </w:p>
  </w:endnote>
  <w:endnote w:type="continuationSeparator" w:id="0">
    <w:p w:rsidR="005C2C42" w:rsidRDefault="005C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C2C4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0000" w:rsidRDefault="005C2C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C2C4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F5E28">
      <w:rPr>
        <w:rStyle w:val="a7"/>
        <w:noProof/>
      </w:rPr>
      <w:t>11</w:t>
    </w:r>
    <w:r>
      <w:rPr>
        <w:rStyle w:val="a7"/>
      </w:rPr>
      <w:fldChar w:fldCharType="end"/>
    </w:r>
  </w:p>
  <w:p w:rsidR="00000000" w:rsidRDefault="005C2C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42" w:rsidRDefault="005C2C42">
      <w:pPr>
        <w:snapToGrid w:val="0"/>
        <w:spacing w:beforeLines="50" w:before="120" w:afterLines="50" w:after="120" w:line="360" w:lineRule="auto"/>
      </w:pPr>
      <w:r>
        <w:separator/>
      </w:r>
    </w:p>
  </w:footnote>
  <w:footnote w:type="continuationSeparator" w:id="0">
    <w:p w:rsidR="005C2C42" w:rsidRDefault="005C2C42">
      <w:pPr>
        <w:snapToGrid w:val="0"/>
        <w:spacing w:beforeLines="50" w:before="120" w:afterLines="50" w:after="120" w:line="360" w:lineRule="auto"/>
      </w:pPr>
      <w:r>
        <w:continuationSeparator/>
      </w:r>
    </w:p>
  </w:footnote>
  <w:footnote w:id="1">
    <w:p w:rsidR="00000000" w:rsidRDefault="005C2C42">
      <w:pPr>
        <w:pStyle w:val="ad"/>
        <w:spacing w:line="360" w:lineRule="auto"/>
        <w:jc w:val="both"/>
        <w:rPr>
          <w:lang w:val="de-DE"/>
        </w:rPr>
      </w:pPr>
      <w:r>
        <w:rPr>
          <w:rStyle w:val="ae"/>
        </w:rPr>
        <w:footnoteRef/>
      </w:r>
      <w:r>
        <w:rPr>
          <w:lang w:val="de-DE"/>
        </w:rPr>
        <w:t xml:space="preserve"> </w:t>
      </w:r>
      <w:r>
        <w:rPr>
          <w:rFonts w:hAnsi="新細明體"/>
          <w:lang w:val="de-DE"/>
        </w:rPr>
        <w:t>但仍應注意陞遷法第</w:t>
      </w:r>
      <w:r>
        <w:rPr>
          <w:lang w:val="de-DE"/>
        </w:rPr>
        <w:t>2</w:t>
      </w:r>
      <w:r>
        <w:rPr>
          <w:rFonts w:hAnsi="新細明體"/>
          <w:lang w:val="de-DE"/>
        </w:rPr>
        <w:t>條：「</w:t>
      </w:r>
      <w:r>
        <w:rPr>
          <w:rFonts w:hAnsi="新細明體"/>
          <w:w w:val="105"/>
        </w:rPr>
        <w:t>公務人員之陞遷，應本人與事適切配合之旨，考量機關特性與職務需要，</w:t>
      </w:r>
      <w:r>
        <w:rPr>
          <w:rFonts w:hAnsi="新細明體"/>
          <w:b/>
          <w:w w:val="105"/>
        </w:rPr>
        <w:t>依資績並重</w:t>
      </w:r>
      <w:r>
        <w:rPr>
          <w:rFonts w:hAnsi="新細明體"/>
          <w:w w:val="105"/>
        </w:rPr>
        <w:t>、內陞與外補兼顧原則，採公開、公平、公正方式，</w:t>
      </w:r>
      <w:r>
        <w:rPr>
          <w:rFonts w:hAnsi="新細明體"/>
          <w:b/>
          <w:w w:val="105"/>
        </w:rPr>
        <w:t>擇優陞任或遷調</w:t>
      </w:r>
      <w:r>
        <w:rPr>
          <w:rFonts w:hAnsi="新細明體"/>
          <w:w w:val="105"/>
        </w:rPr>
        <w:t>歷練，以拔擢及培育人才。」規定之意旨。</w:t>
      </w:r>
    </w:p>
  </w:footnote>
  <w:footnote w:id="2">
    <w:p w:rsidR="00000000" w:rsidRDefault="005C2C42">
      <w:pPr>
        <w:pStyle w:val="ad"/>
        <w:spacing w:line="360" w:lineRule="auto"/>
        <w:jc w:val="both"/>
        <w:rPr>
          <w:lang w:val="de-DE" w:eastAsia="ja-JP"/>
        </w:rPr>
      </w:pPr>
      <w:r>
        <w:rPr>
          <w:rStyle w:val="ae"/>
        </w:rPr>
        <w:footnoteRef/>
      </w:r>
      <w:r>
        <w:rPr>
          <w:lang w:val="de-DE"/>
        </w:rPr>
        <w:t xml:space="preserve"> </w:t>
      </w:r>
      <w:r>
        <w:rPr>
          <w:lang w:val="de-DE" w:eastAsia="ja-JP"/>
        </w:rPr>
        <w:t xml:space="preserve">Vgl. </w:t>
      </w:r>
      <w:r>
        <w:rPr>
          <w:color w:val="0000FF"/>
        </w:rPr>
        <w:t>Klaus</w:t>
      </w:r>
      <w:r>
        <w:rPr>
          <w:lang w:val="de-DE" w:eastAsia="ja-JP"/>
        </w:rPr>
        <w:t xml:space="preserve"> Stern, Staatsrecht, S. 647;</w:t>
      </w:r>
      <w:r>
        <w:rPr>
          <w:color w:val="000000"/>
          <w:lang w:val="de-DE" w:eastAsia="ja-JP"/>
        </w:rPr>
        <w:t xml:space="preserve"> Günther, DÖD 1993, </w:t>
      </w:r>
      <w:r>
        <w:rPr>
          <w:color w:val="000000"/>
          <w:lang w:val="de-DE" w:eastAsia="ja-JP"/>
        </w:rPr>
        <w:t>163.</w:t>
      </w:r>
    </w:p>
  </w:footnote>
  <w:footnote w:id="3">
    <w:p w:rsidR="00000000" w:rsidRDefault="005C2C42">
      <w:pPr>
        <w:pStyle w:val="ad"/>
        <w:spacing w:line="360" w:lineRule="auto"/>
        <w:jc w:val="both"/>
        <w:rPr>
          <w:lang w:val="de-DE" w:eastAsia="ja-JP"/>
        </w:rPr>
      </w:pPr>
      <w:r>
        <w:rPr>
          <w:rStyle w:val="ae"/>
        </w:rPr>
        <w:footnoteRef/>
      </w:r>
      <w:r>
        <w:rPr>
          <w:lang w:val="de-DE"/>
        </w:rPr>
        <w:t xml:space="preserve"> </w:t>
      </w:r>
      <w:r>
        <w:rPr>
          <w:lang w:val="de-DE" w:eastAsia="ja-JP"/>
        </w:rPr>
        <w:t>Vgl. Willke, JZ 1980, 441; Isensee, S. 338 f.; Köpp in: Steiner, S. 346.</w:t>
      </w:r>
    </w:p>
  </w:footnote>
  <w:footnote w:id="4">
    <w:p w:rsidR="00000000" w:rsidRDefault="005C2C42">
      <w:pPr>
        <w:pStyle w:val="ad"/>
        <w:spacing w:line="360" w:lineRule="auto"/>
        <w:jc w:val="both"/>
        <w:rPr>
          <w:lang w:val="de-DE" w:eastAsia="ja-JP"/>
        </w:rPr>
      </w:pPr>
      <w:r>
        <w:rPr>
          <w:rStyle w:val="ae"/>
        </w:rPr>
        <w:footnoteRef/>
      </w:r>
      <w:r>
        <w:rPr>
          <w:lang w:val="de-DE"/>
        </w:rPr>
        <w:t xml:space="preserve"> Vgl. Böckenförde, S. 55-114; Isensee, S. 338 f.</w:t>
      </w:r>
    </w:p>
  </w:footnote>
  <w:footnote w:id="5">
    <w:p w:rsidR="00000000" w:rsidRDefault="005C2C42">
      <w:pPr>
        <w:pStyle w:val="ad"/>
        <w:spacing w:line="360" w:lineRule="auto"/>
        <w:jc w:val="both"/>
        <w:rPr>
          <w:lang w:val="de-DE"/>
        </w:rPr>
      </w:pPr>
      <w:r>
        <w:rPr>
          <w:rStyle w:val="ae"/>
        </w:rPr>
        <w:footnoteRef/>
      </w:r>
      <w:r>
        <w:rPr>
          <w:lang w:val="de-DE"/>
        </w:rPr>
        <w:t xml:space="preserve"> </w:t>
      </w:r>
      <w:r>
        <w:rPr>
          <w:lang w:val="de-DE" w:eastAsia="ja-JP"/>
        </w:rPr>
        <w:t xml:space="preserve">Maunz, in: MDH GG, Art. 110 Rn. 70; </w:t>
      </w:r>
      <w:r>
        <w:rPr>
          <w:rFonts w:hAnsi="新細明體"/>
          <w:lang w:val="de-DE"/>
        </w:rPr>
        <w:t>參考，大法官釋字第</w:t>
      </w:r>
      <w:r>
        <w:rPr>
          <w:lang w:val="de-DE"/>
        </w:rPr>
        <w:t>520</w:t>
      </w:r>
      <w:r>
        <w:rPr>
          <w:rFonts w:hAnsi="新細明體"/>
          <w:lang w:val="de-DE"/>
        </w:rPr>
        <w:t>號解釋。</w:t>
      </w:r>
    </w:p>
  </w:footnote>
  <w:footnote w:id="6">
    <w:p w:rsidR="00000000" w:rsidRDefault="005C2C42">
      <w:pPr>
        <w:pStyle w:val="ad"/>
        <w:spacing w:line="360" w:lineRule="auto"/>
        <w:jc w:val="both"/>
        <w:rPr>
          <w:lang w:val="de-DE"/>
        </w:rPr>
      </w:pPr>
      <w:r>
        <w:rPr>
          <w:rStyle w:val="ae"/>
        </w:rPr>
        <w:footnoteRef/>
      </w:r>
      <w:r>
        <w:rPr>
          <w:lang w:val="de-DE"/>
        </w:rPr>
        <w:t xml:space="preserve"> </w:t>
      </w:r>
      <w:r>
        <w:rPr>
          <w:rFonts w:hAnsi="新細明體"/>
          <w:lang w:val="de-DE"/>
        </w:rPr>
        <w:t>機關高權與人事高權之區分，參考，</w:t>
      </w:r>
      <w:r>
        <w:rPr>
          <w:lang w:val="de-DE"/>
        </w:rPr>
        <w:t>Böckenförde, S. 33 f.;</w:t>
      </w:r>
      <w:r>
        <w:rPr>
          <w:lang w:val="de-DE" w:eastAsia="ja-JP"/>
        </w:rPr>
        <w:t xml:space="preserve"> Lecheler, Die Personalgewalt, </w:t>
      </w:r>
      <w:r>
        <w:rPr>
          <w:lang w:val="de-DE" w:eastAsia="ja-JP"/>
        </w:rPr>
        <w:t>S. 74-95; Günther, DÖD 1993, 163.</w:t>
      </w:r>
    </w:p>
  </w:footnote>
  <w:footnote w:id="7">
    <w:p w:rsidR="00000000" w:rsidRDefault="005C2C42">
      <w:pPr>
        <w:pStyle w:val="ad"/>
        <w:spacing w:line="360" w:lineRule="auto"/>
        <w:jc w:val="both"/>
        <w:rPr>
          <w:lang w:val="de-DE" w:eastAsia="ja-JP"/>
        </w:rPr>
      </w:pPr>
      <w:r>
        <w:rPr>
          <w:rStyle w:val="ae"/>
        </w:rPr>
        <w:footnoteRef/>
      </w:r>
      <w:r>
        <w:rPr>
          <w:lang w:val="de-DE"/>
        </w:rPr>
        <w:t xml:space="preserve"> Vgl. Uwe Kernbach,</w:t>
      </w:r>
      <w:r>
        <w:rPr>
          <w:color w:val="0000FF"/>
          <w:lang w:val="de-DE"/>
        </w:rPr>
        <w:t xml:space="preserve"> </w:t>
      </w:r>
      <w:r>
        <w:rPr>
          <w:rFonts w:hint="eastAsia"/>
          <w:color w:val="0000FF"/>
          <w:lang w:val="de-DE"/>
        </w:rPr>
        <w:t>a.a.O.(Anm. 46)</w:t>
      </w:r>
      <w:r>
        <w:rPr>
          <w:lang w:val="de-DE"/>
        </w:rPr>
        <w:t>, S. 28 f.</w:t>
      </w:r>
    </w:p>
  </w:footnote>
  <w:footnote w:id="8">
    <w:p w:rsidR="00000000" w:rsidRDefault="005C2C42">
      <w:pPr>
        <w:pStyle w:val="ad"/>
        <w:spacing w:line="360" w:lineRule="auto"/>
        <w:jc w:val="both"/>
        <w:rPr>
          <w:lang w:val="de-DE"/>
        </w:rPr>
      </w:pPr>
      <w:r>
        <w:rPr>
          <w:rStyle w:val="ae"/>
        </w:rPr>
        <w:footnoteRef/>
      </w:r>
      <w:r>
        <w:rPr>
          <w:lang w:val="de-DE"/>
        </w:rPr>
        <w:t xml:space="preserve"> </w:t>
      </w:r>
      <w:r>
        <w:rPr>
          <w:rFonts w:hAnsi="新細明體"/>
          <w:lang w:val="de-DE"/>
        </w:rPr>
        <w:t>參考，大法官釋字第</w:t>
      </w:r>
      <w:r>
        <w:rPr>
          <w:lang w:val="de-DE"/>
        </w:rPr>
        <w:t>605</w:t>
      </w:r>
      <w:r>
        <w:rPr>
          <w:rFonts w:hAnsi="新細明體"/>
          <w:lang w:val="de-DE"/>
        </w:rPr>
        <w:t>號解釋。</w:t>
      </w:r>
    </w:p>
  </w:footnote>
  <w:footnote w:id="9">
    <w:p w:rsidR="00000000" w:rsidRDefault="005C2C42">
      <w:pPr>
        <w:pStyle w:val="ad"/>
        <w:spacing w:line="360" w:lineRule="auto"/>
        <w:jc w:val="both"/>
        <w:rPr>
          <w:lang w:val="de-DE"/>
        </w:rPr>
      </w:pPr>
      <w:r>
        <w:rPr>
          <w:rStyle w:val="ae"/>
        </w:rPr>
        <w:footnoteRef/>
      </w:r>
      <w:r>
        <w:rPr>
          <w:lang w:val="de-DE"/>
        </w:rPr>
        <w:t xml:space="preserve"> </w:t>
      </w:r>
      <w:r>
        <w:rPr>
          <w:rFonts w:hAnsi="新細明體"/>
        </w:rPr>
        <w:t>參考</w:t>
      </w:r>
      <w:r>
        <w:rPr>
          <w:rFonts w:hAnsi="新細明體"/>
          <w:lang w:val="de-DE"/>
        </w:rPr>
        <w:t>，</w:t>
      </w:r>
      <w:r>
        <w:rPr>
          <w:rFonts w:hAnsi="新細明體"/>
        </w:rPr>
        <w:t>臺北高等行政法院</w:t>
      </w:r>
      <w:r>
        <w:rPr>
          <w:lang w:val="de-DE"/>
        </w:rPr>
        <w:t>92</w:t>
      </w:r>
      <w:r>
        <w:rPr>
          <w:rFonts w:hAnsi="新細明體"/>
        </w:rPr>
        <w:t>年度訴字第</w:t>
      </w:r>
      <w:r>
        <w:rPr>
          <w:lang w:val="de-DE"/>
        </w:rPr>
        <w:t>1816</w:t>
      </w:r>
      <w:r>
        <w:rPr>
          <w:rFonts w:hAnsi="新細明體"/>
        </w:rPr>
        <w:t>號判決。</w:t>
      </w:r>
    </w:p>
  </w:footnote>
  <w:footnote w:id="10">
    <w:p w:rsidR="00000000" w:rsidRDefault="005C2C42">
      <w:pPr>
        <w:pStyle w:val="ad"/>
        <w:spacing w:line="360" w:lineRule="auto"/>
        <w:jc w:val="both"/>
        <w:rPr>
          <w:lang w:val="de-DE"/>
        </w:rPr>
      </w:pPr>
      <w:r>
        <w:rPr>
          <w:rStyle w:val="ae"/>
        </w:rPr>
        <w:footnoteRef/>
      </w:r>
      <w:r>
        <w:rPr>
          <w:lang w:val="de-DE"/>
        </w:rPr>
        <w:t xml:space="preserve"> Vgl. RGZ Bd. 111, S. 358, Urt. v. 9.10.1925; Bd. 146, S. 369, Urt. v. 7.12.1934; Bd. 159, S. 247 (250), Urt. v. 27.1.1939.</w:t>
      </w:r>
    </w:p>
  </w:footnote>
  <w:footnote w:id="11">
    <w:p w:rsidR="00000000" w:rsidRDefault="005C2C42">
      <w:pPr>
        <w:pStyle w:val="ad"/>
        <w:spacing w:line="360" w:lineRule="auto"/>
        <w:jc w:val="both"/>
        <w:rPr>
          <w:lang w:val="de-DE"/>
        </w:rPr>
      </w:pPr>
      <w:r>
        <w:rPr>
          <w:rStyle w:val="ae"/>
        </w:rPr>
        <w:footnoteRef/>
      </w:r>
      <w:r>
        <w:rPr>
          <w:lang w:val="de-DE"/>
        </w:rPr>
        <w:t xml:space="preserve"> </w:t>
      </w:r>
      <w:r>
        <w:rPr>
          <w:lang w:val="de-DE"/>
        </w:rPr>
        <w:t>Vgl. BGH, NJW 1956, S. 1400, Urt. v. 12.7.1956.</w:t>
      </w:r>
    </w:p>
  </w:footnote>
  <w:footnote w:id="12">
    <w:p w:rsidR="00000000" w:rsidRDefault="005C2C42">
      <w:pPr>
        <w:pStyle w:val="ad"/>
        <w:spacing w:line="360" w:lineRule="auto"/>
        <w:jc w:val="both"/>
        <w:rPr>
          <w:lang w:val="de-DE"/>
        </w:rPr>
      </w:pPr>
      <w:r>
        <w:rPr>
          <w:rStyle w:val="ae"/>
        </w:rPr>
        <w:footnoteRef/>
      </w:r>
      <w:r>
        <w:rPr>
          <w:lang w:val="de-DE"/>
        </w:rPr>
        <w:t xml:space="preserve"> </w:t>
      </w:r>
      <w:r>
        <w:rPr>
          <w:rFonts w:hAnsi="新細明體"/>
        </w:rPr>
        <w:t>廣泛的實務裁判資料可參考</w:t>
      </w:r>
      <w:r>
        <w:rPr>
          <w:rFonts w:hAnsi="新細明體"/>
          <w:lang w:val="de-DE"/>
        </w:rPr>
        <w:t>，</w:t>
      </w:r>
      <w:r>
        <w:rPr>
          <w:color w:val="0000FF"/>
          <w:lang w:val="de-DE"/>
        </w:rPr>
        <w:t>vgl.</w:t>
      </w:r>
      <w:r>
        <w:rPr>
          <w:rFonts w:hint="eastAsia"/>
          <w:lang w:val="de-DE"/>
        </w:rPr>
        <w:t xml:space="preserve"> </w:t>
      </w:r>
      <w:r>
        <w:rPr>
          <w:lang w:val="de-DE"/>
        </w:rPr>
        <w:t>Johannes Remmel, Die Konkurrentenklage im Beamtenrecht – Der Rechtsschutz des unterlegenen Bewerbers bei beamtenrectlichen Ernennungen, 1982, S. 52.</w:t>
      </w:r>
    </w:p>
  </w:footnote>
  <w:footnote w:id="13">
    <w:p w:rsidR="00000000" w:rsidRDefault="005C2C42">
      <w:pPr>
        <w:pStyle w:val="ad"/>
        <w:spacing w:line="360" w:lineRule="auto"/>
        <w:jc w:val="both"/>
        <w:rPr>
          <w:lang w:val="de-DE"/>
        </w:rPr>
      </w:pPr>
      <w:r>
        <w:rPr>
          <w:rStyle w:val="ae"/>
        </w:rPr>
        <w:footnoteRef/>
      </w:r>
      <w:r>
        <w:rPr>
          <w:lang w:val="de-DE"/>
        </w:rPr>
        <w:t xml:space="preserve"> Vgl. Ipsen, Die Grundrechte, Bd. 2, S</w:t>
      </w:r>
      <w:r>
        <w:rPr>
          <w:lang w:val="de-DE"/>
        </w:rPr>
        <w:t>. 193; Menger, VerwArch. Bd. 55 (1964), 294.</w:t>
      </w:r>
    </w:p>
  </w:footnote>
  <w:footnote w:id="14">
    <w:p w:rsidR="00000000" w:rsidRDefault="005C2C42">
      <w:pPr>
        <w:pStyle w:val="ad"/>
        <w:spacing w:line="360" w:lineRule="auto"/>
        <w:jc w:val="both"/>
        <w:rPr>
          <w:lang w:val="de-DE"/>
        </w:rPr>
      </w:pPr>
      <w:r>
        <w:rPr>
          <w:rStyle w:val="ae"/>
        </w:rPr>
        <w:footnoteRef/>
      </w:r>
      <w:r>
        <w:rPr>
          <w:lang w:val="de-DE"/>
        </w:rPr>
        <w:t xml:space="preserve"> Vgl. </w:t>
      </w:r>
      <w:r>
        <w:rPr>
          <w:lang w:val="de-DE" w:eastAsia="ja-JP"/>
        </w:rPr>
        <w:t xml:space="preserve">Isensee, S. 351; </w:t>
      </w:r>
      <w:r>
        <w:rPr>
          <w:lang w:val="de-DE"/>
        </w:rPr>
        <w:t>Johannes Remmel,</w:t>
      </w:r>
      <w:r>
        <w:rPr>
          <w:color w:val="0000FF"/>
          <w:lang w:val="de-DE"/>
        </w:rPr>
        <w:t xml:space="preserve"> </w:t>
      </w:r>
      <w:r>
        <w:rPr>
          <w:rFonts w:hint="eastAsia"/>
          <w:color w:val="0000FF"/>
          <w:lang w:val="de-DE"/>
        </w:rPr>
        <w:t>a.a.O.(Anm. 90)</w:t>
      </w:r>
      <w:r>
        <w:rPr>
          <w:lang w:val="de-DE"/>
        </w:rPr>
        <w:t>, S. 53</w:t>
      </w:r>
      <w:r>
        <w:rPr>
          <w:lang w:val="de-DE" w:eastAsia="ja-JP"/>
        </w:rPr>
        <w:t xml:space="preserve">; </w:t>
      </w:r>
      <w:r>
        <w:rPr>
          <w:rFonts w:hAnsi="新細明體"/>
          <w:lang w:val="de-DE"/>
        </w:rPr>
        <w:t>反對主管長官有裁量權者，</w:t>
      </w:r>
      <w:r>
        <w:rPr>
          <w:lang w:val="de-DE" w:eastAsia="ja-JP"/>
        </w:rPr>
        <w:t xml:space="preserve">Battis, JZ 1972, 388; Schick, ZBR 1967,300; ders., DVBl. 1975, 741; </w:t>
      </w:r>
      <w:r>
        <w:rPr>
          <w:color w:val="0000FF"/>
          <w:lang w:val="de-DE"/>
        </w:rPr>
        <w:t>Carl Hermann</w:t>
      </w:r>
      <w:r>
        <w:rPr>
          <w:lang w:val="de-DE" w:eastAsia="ja-JP"/>
        </w:rPr>
        <w:t xml:space="preserve"> Ule, Die Grundrechte, Bd. </w:t>
      </w:r>
      <w:r>
        <w:rPr>
          <w:lang w:val="de-DE"/>
        </w:rPr>
        <w:t>IV/2, S. 585.</w:t>
      </w:r>
    </w:p>
  </w:footnote>
  <w:footnote w:id="15">
    <w:p w:rsidR="00000000" w:rsidRDefault="005C2C42">
      <w:pPr>
        <w:pStyle w:val="ad"/>
        <w:spacing w:line="360" w:lineRule="auto"/>
        <w:jc w:val="both"/>
        <w:rPr>
          <w:lang w:val="de-DE"/>
        </w:rPr>
      </w:pPr>
      <w:r>
        <w:rPr>
          <w:rStyle w:val="ae"/>
        </w:rPr>
        <w:footnoteRef/>
      </w:r>
      <w:r>
        <w:rPr>
          <w:lang w:val="de-DE"/>
        </w:rPr>
        <w:t xml:space="preserve"> Vgl. Brinkm</w:t>
      </w:r>
      <w:r>
        <w:rPr>
          <w:lang w:val="de-DE"/>
        </w:rPr>
        <w:t>ann, Grundrechtskom.,</w:t>
      </w:r>
      <w:r>
        <w:rPr>
          <w:lang w:val="de-DE" w:eastAsia="ja-JP"/>
        </w:rPr>
        <w:t xml:space="preserve"> Art. 33 Anm. I 2 d; Schick, DVBl. 1975, 745; Battis, JZ 1972, 388; Konow, ZBR 1973, 171; Günther, ZBR 1979, 100; Jung, Zugang, S. 161; Schmitt-Kammler, Jura 1979, 651; ders., DÖV 1980, 291; Lechler, Jura 1979, 415.</w:t>
      </w:r>
    </w:p>
  </w:footnote>
  <w:footnote w:id="16">
    <w:p w:rsidR="00000000" w:rsidRDefault="005C2C42">
      <w:pPr>
        <w:pStyle w:val="ad"/>
        <w:spacing w:line="360" w:lineRule="auto"/>
        <w:jc w:val="both"/>
        <w:rPr>
          <w:lang w:val="de-DE" w:eastAsia="ja-JP"/>
        </w:rPr>
      </w:pPr>
      <w:r>
        <w:rPr>
          <w:rStyle w:val="ae"/>
        </w:rPr>
        <w:footnoteRef/>
      </w:r>
      <w:r>
        <w:rPr>
          <w:lang w:val="de-DE"/>
        </w:rPr>
        <w:t xml:space="preserve"> </w:t>
      </w:r>
      <w:r>
        <w:rPr>
          <w:lang w:val="de-DE" w:eastAsia="ja-JP"/>
        </w:rPr>
        <w:t>Vgl. Schick, DVBl</w:t>
      </w:r>
      <w:r>
        <w:rPr>
          <w:lang w:val="de-DE" w:eastAsia="ja-JP"/>
        </w:rPr>
        <w:t>. 1975, 745.</w:t>
      </w:r>
    </w:p>
  </w:footnote>
  <w:footnote w:id="17">
    <w:p w:rsidR="00000000" w:rsidRDefault="005C2C42">
      <w:pPr>
        <w:pStyle w:val="ad"/>
        <w:spacing w:line="360" w:lineRule="auto"/>
        <w:jc w:val="both"/>
        <w:rPr>
          <w:lang w:val="de-DE"/>
        </w:rPr>
      </w:pPr>
      <w:r>
        <w:rPr>
          <w:rStyle w:val="ae"/>
        </w:rPr>
        <w:footnoteRef/>
      </w:r>
      <w:r>
        <w:rPr>
          <w:lang w:val="de-DE"/>
        </w:rPr>
        <w:t xml:space="preserve"> Vgl. Johannes Remmel, </w:t>
      </w:r>
      <w:r>
        <w:rPr>
          <w:rFonts w:hint="eastAsia"/>
          <w:lang w:val="de-DE"/>
        </w:rPr>
        <w:t>a.a.O.(Anm. 90)</w:t>
      </w:r>
      <w:r>
        <w:rPr>
          <w:lang w:val="de-DE"/>
        </w:rPr>
        <w:t>, S. 59.</w:t>
      </w:r>
    </w:p>
  </w:footnote>
  <w:footnote w:id="18">
    <w:p w:rsidR="00000000" w:rsidRDefault="005C2C42">
      <w:pPr>
        <w:pStyle w:val="ad"/>
        <w:spacing w:line="360" w:lineRule="auto"/>
        <w:jc w:val="both"/>
        <w:rPr>
          <w:lang w:val="de-DE"/>
        </w:rPr>
      </w:pPr>
      <w:r>
        <w:rPr>
          <w:rStyle w:val="ae"/>
        </w:rPr>
        <w:footnoteRef/>
      </w:r>
      <w:r>
        <w:rPr>
          <w:lang w:val="de-DE"/>
        </w:rPr>
        <w:t xml:space="preserve"> </w:t>
      </w:r>
      <w:r>
        <w:rPr>
          <w:rFonts w:hAnsi="新細明體"/>
          <w:lang w:val="de-DE"/>
        </w:rPr>
        <w:t>至於我國情形，在甄選名冊上似乎一定會有排序。</w:t>
      </w:r>
    </w:p>
  </w:footnote>
  <w:footnote w:id="19">
    <w:p w:rsidR="00000000" w:rsidRDefault="005C2C42">
      <w:pPr>
        <w:pStyle w:val="ad"/>
        <w:spacing w:line="360" w:lineRule="auto"/>
        <w:jc w:val="both"/>
        <w:rPr>
          <w:lang w:val="de-DE"/>
        </w:rPr>
      </w:pPr>
      <w:r>
        <w:rPr>
          <w:rStyle w:val="ae"/>
        </w:rPr>
        <w:footnoteRef/>
      </w:r>
      <w:r>
        <w:rPr>
          <w:lang w:val="de-DE"/>
        </w:rPr>
        <w:t xml:space="preserve"> </w:t>
      </w:r>
      <w:r>
        <w:rPr>
          <w:rFonts w:hAnsi="新細明體"/>
          <w:lang w:val="de-DE"/>
        </w:rPr>
        <w:t>參考，李建良，</w:t>
      </w:r>
      <w:r>
        <w:rPr>
          <w:rFonts w:hAnsi="新細明體" w:hint="eastAsia"/>
          <w:color w:val="0000FF"/>
          <w:lang w:val="de-DE"/>
        </w:rPr>
        <w:t>前揭書</w:t>
      </w:r>
      <w:r>
        <w:rPr>
          <w:rFonts w:hAnsi="新細明體" w:hint="eastAsia"/>
          <w:color w:val="0000FF"/>
          <w:lang w:val="de-DE"/>
        </w:rPr>
        <w:t>(</w:t>
      </w:r>
      <w:r>
        <w:rPr>
          <w:rFonts w:hAnsi="新細明體" w:hint="eastAsia"/>
          <w:color w:val="0000FF"/>
          <w:lang w:val="de-DE"/>
        </w:rPr>
        <w:t>註</w:t>
      </w:r>
      <w:r>
        <w:rPr>
          <w:rFonts w:hAnsi="新細明體" w:hint="eastAsia"/>
          <w:color w:val="0000FF"/>
          <w:lang w:val="de-DE"/>
        </w:rPr>
        <w:t>35)</w:t>
      </w:r>
      <w:r>
        <w:rPr>
          <w:rFonts w:hAnsi="新細明體"/>
          <w:lang w:val="de-DE"/>
        </w:rPr>
        <w:t>，頁</w:t>
      </w:r>
      <w:r>
        <w:rPr>
          <w:lang w:val="de-DE"/>
        </w:rPr>
        <w:t>78</w:t>
      </w:r>
      <w:r>
        <w:rPr>
          <w:rFonts w:hAnsi="新細明體"/>
          <w:lang w:val="de-DE"/>
        </w:rPr>
        <w:t>以下。</w:t>
      </w:r>
    </w:p>
  </w:footnote>
  <w:footnote w:id="20">
    <w:p w:rsidR="00000000" w:rsidRDefault="005C2C42">
      <w:pPr>
        <w:pStyle w:val="ad"/>
        <w:spacing w:line="360" w:lineRule="auto"/>
        <w:jc w:val="both"/>
        <w:rPr>
          <w:lang w:val="de-DE" w:eastAsia="ja-JP"/>
        </w:rPr>
      </w:pPr>
      <w:r>
        <w:rPr>
          <w:rStyle w:val="ae"/>
        </w:rPr>
        <w:footnoteRef/>
      </w:r>
      <w:r>
        <w:rPr>
          <w:lang w:val="de-DE"/>
        </w:rPr>
        <w:t xml:space="preserve"> Vgl. Willke, JZ 1980, S. 441; Jung, Zugang, S. 161.</w:t>
      </w:r>
    </w:p>
  </w:footnote>
  <w:footnote w:id="21">
    <w:p w:rsidR="00000000" w:rsidRDefault="005C2C42">
      <w:pPr>
        <w:pStyle w:val="ad"/>
        <w:spacing w:line="360" w:lineRule="auto"/>
        <w:jc w:val="both"/>
        <w:rPr>
          <w:lang w:val="de-DE"/>
        </w:rPr>
      </w:pPr>
      <w:r>
        <w:rPr>
          <w:rStyle w:val="ae"/>
        </w:rPr>
        <w:footnoteRef/>
      </w:r>
      <w:r>
        <w:rPr>
          <w:lang w:val="de-DE"/>
        </w:rPr>
        <w:t xml:space="preserve"> Vgl. Uwe Kernbach, </w:t>
      </w:r>
      <w:r>
        <w:rPr>
          <w:rFonts w:hint="eastAsia"/>
          <w:color w:val="0000FF"/>
          <w:lang w:val="de-DE"/>
        </w:rPr>
        <w:t>a.a.O.(Anm. 46)</w:t>
      </w:r>
      <w:r>
        <w:rPr>
          <w:lang w:val="de-DE"/>
        </w:rPr>
        <w:t>, S. 46.</w:t>
      </w:r>
    </w:p>
  </w:footnote>
  <w:footnote w:id="22">
    <w:p w:rsidR="00000000" w:rsidRDefault="005C2C42">
      <w:pPr>
        <w:pStyle w:val="ad"/>
        <w:spacing w:line="360" w:lineRule="auto"/>
      </w:pPr>
      <w:r>
        <w:rPr>
          <w:rStyle w:val="ae"/>
        </w:rPr>
        <w:footnoteRef/>
      </w:r>
      <w:r>
        <w:rPr>
          <w:lang w:val="de-DE"/>
        </w:rPr>
        <w:t xml:space="preserve"> </w:t>
      </w:r>
      <w:r>
        <w:rPr>
          <w:rFonts w:hAnsi="新細明體"/>
          <w:lang w:val="de-DE"/>
        </w:rPr>
        <w:t>另外在保訓會的一份研究考察報告中顯示，例如澳洲公務人員之陞任，根據該國公共服務法規定，部會常務次長需就申請填補空缺職務之申請人中，選擇他認為最適任（</w:t>
      </w:r>
      <w:r>
        <w:rPr>
          <w:lang w:val="de-DE"/>
        </w:rPr>
        <w:t>the most efficent</w:t>
      </w:r>
      <w:r>
        <w:rPr>
          <w:rFonts w:hAnsi="新細明體"/>
          <w:lang w:val="de-DE"/>
        </w:rPr>
        <w:t>）的人陞任該職位。在選擇合最適合</w:t>
      </w:r>
      <w:r>
        <w:rPr>
          <w:rFonts w:hAnsi="新細明體"/>
          <w:lang w:val="de-DE"/>
        </w:rPr>
        <w:t>擔任該項職務時，應考量</w:t>
      </w:r>
      <w:r>
        <w:rPr>
          <w:lang w:val="de-DE"/>
        </w:rPr>
        <w:t>1.</w:t>
      </w:r>
      <w:r>
        <w:rPr>
          <w:rFonts w:hAnsi="新細明體"/>
          <w:lang w:val="de-DE"/>
        </w:rPr>
        <w:t>該職務之旅行與申請人能力、資格、經驗、工作表現之層次以及個人特質間之關係，</w:t>
      </w:r>
      <w:r>
        <w:rPr>
          <w:lang w:val="de-DE"/>
        </w:rPr>
        <w:t>2.</w:t>
      </w:r>
      <w:r>
        <w:rPr>
          <w:rFonts w:hAnsi="新細明體"/>
          <w:lang w:val="de-DE"/>
        </w:rPr>
        <w:t>申請人未來在文官體系中進一步之事業發展潛能。而通常只要常務次長認為此與選擇何人擔任該職務有關即可，似乎也顯示首長相當大的裁量空間。保訓會，公務人員保障暨培訓委員會八十七年度赴澳大利亞考察報告（陳淞山、周志宏與鄭吉男三位委員執筆），</w:t>
      </w:r>
      <w:r>
        <w:rPr>
          <w:lang w:val="de-DE"/>
        </w:rPr>
        <w:t>1998.12</w:t>
      </w:r>
      <w:r>
        <w:rPr>
          <w:rFonts w:hAnsi="新細明體"/>
          <w:lang w:val="de-DE"/>
        </w:rPr>
        <w:t>，頁</w:t>
      </w:r>
      <w:r>
        <w:rPr>
          <w:lang w:val="de-DE"/>
        </w:rPr>
        <w:t>51</w:t>
      </w:r>
      <w:r>
        <w:rPr>
          <w:rFonts w:hAnsi="新細明體"/>
          <w:lang w:val="de-DE"/>
        </w:rPr>
        <w:t>以下。</w:t>
      </w:r>
    </w:p>
  </w:footnote>
  <w:footnote w:id="23">
    <w:p w:rsidR="00000000" w:rsidRDefault="005C2C42">
      <w:pPr>
        <w:pStyle w:val="ad"/>
        <w:spacing w:line="360" w:lineRule="auto"/>
        <w:jc w:val="both"/>
      </w:pPr>
      <w:r>
        <w:rPr>
          <w:rStyle w:val="ae"/>
        </w:rPr>
        <w:footnoteRef/>
      </w:r>
      <w:r>
        <w:t xml:space="preserve"> </w:t>
      </w:r>
      <w:r>
        <w:rPr>
          <w:rFonts w:hAnsi="新細明體"/>
        </w:rPr>
        <w:t>參考，許宗力，「基本權的功能」，月旦法學教室第</w:t>
      </w:r>
      <w:r>
        <w:t>2</w:t>
      </w:r>
      <w:r>
        <w:rPr>
          <w:rFonts w:hAnsi="新細明體"/>
        </w:rPr>
        <w:t>期，頁</w:t>
      </w:r>
      <w:r>
        <w:t>76</w:t>
      </w:r>
      <w:r>
        <w:rPr>
          <w:rFonts w:hAnsi="新細明體"/>
        </w:rPr>
        <w:t>以下。</w:t>
      </w:r>
    </w:p>
  </w:footnote>
  <w:footnote w:id="24">
    <w:p w:rsidR="00000000" w:rsidRDefault="005C2C42">
      <w:pPr>
        <w:pStyle w:val="ad"/>
        <w:spacing w:line="360" w:lineRule="auto"/>
        <w:jc w:val="both"/>
      </w:pPr>
      <w:r>
        <w:rPr>
          <w:rStyle w:val="ae"/>
        </w:rPr>
        <w:footnoteRef/>
      </w:r>
      <w:r>
        <w:t xml:space="preserve"> </w:t>
      </w:r>
      <w:r>
        <w:rPr>
          <w:rFonts w:hAnsi="新細明體"/>
        </w:rPr>
        <w:t>例如該辦法第</w:t>
      </w:r>
      <w:r>
        <w:t>5</w:t>
      </w:r>
      <w:r>
        <w:rPr>
          <w:rFonts w:hAnsi="新細明體"/>
        </w:rPr>
        <w:t>條第</w:t>
      </w:r>
      <w:r>
        <w:t>1</w:t>
      </w:r>
      <w:r>
        <w:rPr>
          <w:rFonts w:hAnsi="新細明體"/>
        </w:rPr>
        <w:t>項第</w:t>
      </w:r>
      <w:r>
        <w:t>3</w:t>
      </w:r>
      <w:r>
        <w:rPr>
          <w:rFonts w:hAnsi="新細明體"/>
        </w:rPr>
        <w:t>款規定，行政機關作成意思決定前，內部單位之擬稿或</w:t>
      </w:r>
      <w:r>
        <w:rPr>
          <w:rFonts w:hAnsi="新細明體"/>
        </w:rPr>
        <w:t>準備作業或與其他機關間之意見交換，應限制公開或提供。但是關於</w:t>
      </w:r>
      <w:r>
        <w:rPr>
          <w:rFonts w:hAnsi="新細明體"/>
          <w:b/>
        </w:rPr>
        <w:t>意思決定作成之基礎事實</w:t>
      </w:r>
      <w:r>
        <w:rPr>
          <w:rFonts w:hAnsi="新細明體"/>
        </w:rPr>
        <w:t>，並不在限制之列。</w:t>
      </w:r>
    </w:p>
  </w:footnote>
  <w:footnote w:id="25">
    <w:p w:rsidR="00000000" w:rsidRDefault="005C2C42">
      <w:pPr>
        <w:pStyle w:val="ad"/>
        <w:spacing w:line="360" w:lineRule="auto"/>
        <w:jc w:val="both"/>
      </w:pPr>
      <w:r>
        <w:rPr>
          <w:rStyle w:val="ae"/>
        </w:rPr>
        <w:footnoteRef/>
      </w:r>
      <w:r>
        <w:t xml:space="preserve"> </w:t>
      </w:r>
      <w:r>
        <w:rPr>
          <w:rFonts w:hAnsi="新細明體"/>
        </w:rPr>
        <w:t>參考，法務部，法律決字第</w:t>
      </w:r>
      <w:r>
        <w:t>0930020786</w:t>
      </w:r>
      <w:r>
        <w:rPr>
          <w:rFonts w:hAnsi="新細明體"/>
        </w:rPr>
        <w:t>號函（</w:t>
      </w:r>
      <w:r>
        <w:t>93.5.14</w:t>
      </w:r>
      <w:r>
        <w:rPr>
          <w:rFonts w:hAnsi="新細明體"/>
        </w:rPr>
        <w:t>）。</w:t>
      </w:r>
    </w:p>
  </w:footnote>
  <w:footnote w:id="26">
    <w:p w:rsidR="00000000" w:rsidRDefault="005C2C42">
      <w:pPr>
        <w:pStyle w:val="ad"/>
        <w:spacing w:line="360" w:lineRule="auto"/>
        <w:jc w:val="both"/>
        <w:rPr>
          <w:lang w:val="de-DE"/>
        </w:rPr>
      </w:pPr>
      <w:r>
        <w:rPr>
          <w:rStyle w:val="ae"/>
        </w:rPr>
        <w:footnoteRef/>
      </w:r>
      <w:r>
        <w:rPr>
          <w:lang w:val="de-DE"/>
        </w:rPr>
        <w:t xml:space="preserve"> </w:t>
      </w:r>
      <w:r>
        <w:rPr>
          <w:rFonts w:hAnsi="新細明體"/>
        </w:rPr>
        <w:t>參考，行政法院</w:t>
      </w:r>
      <w:r>
        <w:rPr>
          <w:lang w:val="de-DE"/>
        </w:rPr>
        <w:t>89</w:t>
      </w:r>
      <w:r>
        <w:rPr>
          <w:rFonts w:hAnsi="新細明體"/>
        </w:rPr>
        <w:t>年度裁字</w:t>
      </w:r>
      <w:r>
        <w:rPr>
          <w:lang w:val="de-DE"/>
        </w:rPr>
        <w:t>731</w:t>
      </w:r>
      <w:r>
        <w:rPr>
          <w:rFonts w:hAnsi="新細明體"/>
        </w:rPr>
        <w:t>號裁定。</w:t>
      </w:r>
    </w:p>
  </w:footnote>
  <w:footnote w:id="27">
    <w:p w:rsidR="00000000" w:rsidRDefault="005C2C42">
      <w:pPr>
        <w:pStyle w:val="ad"/>
        <w:spacing w:line="360" w:lineRule="auto"/>
        <w:jc w:val="both"/>
        <w:rPr>
          <w:lang w:val="de-DE"/>
        </w:rPr>
      </w:pPr>
      <w:r>
        <w:rPr>
          <w:rStyle w:val="ae"/>
        </w:rPr>
        <w:footnoteRef/>
      </w:r>
      <w:r>
        <w:rPr>
          <w:lang w:val="de-DE"/>
        </w:rPr>
        <w:t xml:space="preserve"> </w:t>
      </w:r>
      <w:r>
        <w:rPr>
          <w:rFonts w:hAnsi="新細明體"/>
        </w:rPr>
        <w:t>參考，大法官釋字</w:t>
      </w:r>
      <w:r>
        <w:rPr>
          <w:lang w:val="de-DE"/>
        </w:rPr>
        <w:t>469</w:t>
      </w:r>
      <w:r>
        <w:rPr>
          <w:rFonts w:hAnsi="新細明體"/>
        </w:rPr>
        <w:t>號解釋。</w:t>
      </w:r>
    </w:p>
  </w:footnote>
  <w:footnote w:id="28">
    <w:p w:rsidR="00000000" w:rsidRDefault="005C2C42">
      <w:pPr>
        <w:pStyle w:val="ad"/>
        <w:spacing w:line="360" w:lineRule="auto"/>
        <w:jc w:val="both"/>
      </w:pPr>
      <w:r>
        <w:rPr>
          <w:rStyle w:val="ae"/>
        </w:rPr>
        <w:footnoteRef/>
      </w:r>
      <w:r>
        <w:t xml:space="preserve"> </w:t>
      </w:r>
      <w:r>
        <w:rPr>
          <w:rFonts w:hAnsi="新細明體"/>
          <w:kern w:val="0"/>
        </w:rPr>
        <w:t>「非處分相對人起訴主張其所受侵害者，若可藉由保護規範理論判斷為其法律上利益受損害，固可認為具有訴訟權能，而得透過行政訴訟請求救濟，但若非法律上利益，而僅係單純政治、經濟、感情上等事實上利益或反射利益受損害，則不許當事人濫行起訴。蓋上開利益雖均有利於當</w:t>
      </w:r>
      <w:r>
        <w:rPr>
          <w:rFonts w:hAnsi="新細明體"/>
          <w:kern w:val="0"/>
        </w:rPr>
        <w:t>事人，但因皆非值得透過有限司法資源保護之利益，第三人執此起訴，即非法之所許，此際法院應以當事人不具訴訟權能，依前揭行政訴訟法第一百零七條第三項規定，不經言詞辯論，逕以判決駁回其訴。」參考，</w:t>
      </w:r>
      <w:r>
        <w:rPr>
          <w:rFonts w:hAnsi="新細明體"/>
        </w:rPr>
        <w:t>最高行政法院</w:t>
      </w:r>
      <w:r>
        <w:t>92</w:t>
      </w:r>
      <w:r>
        <w:rPr>
          <w:rFonts w:hAnsi="新細明體"/>
        </w:rPr>
        <w:t>年度判字第</w:t>
      </w:r>
      <w:r>
        <w:t>1478</w:t>
      </w:r>
      <w:r>
        <w:rPr>
          <w:rFonts w:hAnsi="新細明體"/>
        </w:rPr>
        <w:t>號判決。</w:t>
      </w:r>
    </w:p>
  </w:footnote>
  <w:footnote w:id="29">
    <w:p w:rsidR="00000000" w:rsidRDefault="005C2C42">
      <w:pPr>
        <w:pStyle w:val="ad"/>
        <w:spacing w:line="360" w:lineRule="auto"/>
        <w:jc w:val="both"/>
        <w:rPr>
          <w:lang w:val="de-DE"/>
        </w:rPr>
      </w:pPr>
      <w:r>
        <w:rPr>
          <w:rStyle w:val="ae"/>
        </w:rPr>
        <w:footnoteRef/>
      </w:r>
      <w:r>
        <w:rPr>
          <w:lang w:val="de-DE"/>
        </w:rPr>
        <w:t xml:space="preserve"> </w:t>
      </w:r>
      <w:r>
        <w:rPr>
          <w:rFonts w:hAnsi="新細明體"/>
        </w:rPr>
        <w:t>參考，臺北高等行政法院</w:t>
      </w:r>
      <w:r>
        <w:rPr>
          <w:lang w:val="de-DE"/>
        </w:rPr>
        <w:t>89</w:t>
      </w:r>
      <w:r>
        <w:rPr>
          <w:rFonts w:hAnsi="新細明體"/>
        </w:rPr>
        <w:t>年度訴字第</w:t>
      </w:r>
      <w:r>
        <w:rPr>
          <w:lang w:val="de-DE"/>
        </w:rPr>
        <w:t>1844</w:t>
      </w:r>
      <w:r>
        <w:rPr>
          <w:rFonts w:hAnsi="新細明體"/>
        </w:rPr>
        <w:t>號裁定。</w:t>
      </w:r>
    </w:p>
  </w:footnote>
  <w:footnote w:id="30">
    <w:p w:rsidR="00000000" w:rsidRDefault="005C2C42">
      <w:pPr>
        <w:pStyle w:val="ad"/>
        <w:spacing w:line="360" w:lineRule="auto"/>
        <w:jc w:val="both"/>
      </w:pPr>
      <w:r>
        <w:rPr>
          <w:rStyle w:val="ae"/>
        </w:rPr>
        <w:footnoteRef/>
      </w:r>
      <w:r>
        <w:t xml:space="preserve"> </w:t>
      </w:r>
      <w:r>
        <w:rPr>
          <w:rFonts w:hAnsi="新細明體"/>
        </w:rPr>
        <w:t>參考，最高行政法院</w:t>
      </w:r>
      <w:r>
        <w:t>93</w:t>
      </w:r>
      <w:r>
        <w:rPr>
          <w:rFonts w:hAnsi="新細明體"/>
        </w:rPr>
        <w:t>年度判字第</w:t>
      </w:r>
      <w:r>
        <w:t>1641</w:t>
      </w:r>
      <w:r>
        <w:rPr>
          <w:rFonts w:hAnsi="新細明體"/>
        </w:rPr>
        <w:t>號判決。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005D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D1E8D7E"/>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0A98C88E"/>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E081258"/>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D1C8627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307E973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AF6AE13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656519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3961E5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C6EFFE6"/>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7F1579"/>
    <w:multiLevelType w:val="hybridMultilevel"/>
    <w:tmpl w:val="FF72784A"/>
    <w:lvl w:ilvl="0" w:tplc="784C5B5A">
      <w:start w:val="13"/>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42F1E3A"/>
    <w:multiLevelType w:val="hybridMultilevel"/>
    <w:tmpl w:val="956CD016"/>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08F006FE"/>
    <w:multiLevelType w:val="hybridMultilevel"/>
    <w:tmpl w:val="ECC4D3AE"/>
    <w:lvl w:ilvl="0" w:tplc="254E763A">
      <w:start w:val="2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C0B4117"/>
    <w:multiLevelType w:val="hybridMultilevel"/>
    <w:tmpl w:val="A2644FFA"/>
    <w:lvl w:ilvl="0" w:tplc="FD56535E">
      <w:start w:val="1"/>
      <w:numFmt w:val="taiwaneseCountingThousand"/>
      <w:lvlText w:val="（%1）"/>
      <w:lvlJc w:val="left"/>
      <w:pPr>
        <w:tabs>
          <w:tab w:val="num" w:pos="1080"/>
        </w:tabs>
        <w:ind w:left="1080" w:hanging="1080"/>
      </w:pPr>
      <w:rPr>
        <w:rFonts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65620A5"/>
    <w:multiLevelType w:val="hybridMultilevel"/>
    <w:tmpl w:val="A14415D8"/>
    <w:lvl w:ilvl="0" w:tplc="F4B66D18">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868035B"/>
    <w:multiLevelType w:val="hybridMultilevel"/>
    <w:tmpl w:val="CE7AA770"/>
    <w:lvl w:ilvl="0" w:tplc="7E4A469A">
      <w:start w:val="26"/>
      <w:numFmt w:val="decimal"/>
      <w:lvlText w:val="%1."/>
      <w:lvlJc w:val="left"/>
      <w:pPr>
        <w:tabs>
          <w:tab w:val="num" w:pos="360"/>
        </w:tabs>
        <w:ind w:left="360" w:hanging="360"/>
      </w:pPr>
      <w:rPr>
        <w:rFonts w:eastAsia="新細明體"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96F5E1C"/>
    <w:multiLevelType w:val="hybridMultilevel"/>
    <w:tmpl w:val="B524AE04"/>
    <w:lvl w:ilvl="0" w:tplc="FFFFFFFF">
      <w:start w:val="1"/>
      <w:numFmt w:val="taiwaneseCountingThousand"/>
      <w:lvlText w:val="%1、"/>
      <w:lvlJc w:val="left"/>
      <w:pPr>
        <w:tabs>
          <w:tab w:val="num" w:pos="720"/>
        </w:tabs>
        <w:ind w:left="720" w:hanging="720"/>
      </w:pPr>
      <w:rPr>
        <w:rFonts w:hint="eastAsia"/>
        <w:b w:val="0"/>
        <w:u w:val="none"/>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19C83BB9"/>
    <w:multiLevelType w:val="hybridMultilevel"/>
    <w:tmpl w:val="A6F0E03E"/>
    <w:lvl w:ilvl="0" w:tplc="18EA46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EF43D9"/>
    <w:multiLevelType w:val="hybridMultilevel"/>
    <w:tmpl w:val="748828EC"/>
    <w:lvl w:ilvl="0" w:tplc="910C1978">
      <w:start w:val="1"/>
      <w:numFmt w:val="decimal"/>
      <w:lvlText w:val="%1."/>
      <w:lvlJc w:val="left"/>
      <w:pPr>
        <w:tabs>
          <w:tab w:val="num" w:pos="1140"/>
        </w:tabs>
        <w:ind w:left="1140" w:hanging="66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20D70612"/>
    <w:multiLevelType w:val="hybridMultilevel"/>
    <w:tmpl w:val="2E8C00EE"/>
    <w:lvl w:ilvl="0" w:tplc="80CA28D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DC1712A"/>
    <w:multiLevelType w:val="hybridMultilevel"/>
    <w:tmpl w:val="A690598E"/>
    <w:lvl w:ilvl="0" w:tplc="37BEE66E">
      <w:start w:val="1"/>
      <w:numFmt w:val="low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4A31304"/>
    <w:multiLevelType w:val="hybridMultilevel"/>
    <w:tmpl w:val="E8162A92"/>
    <w:lvl w:ilvl="0" w:tplc="4770E99E">
      <w:start w:val="3"/>
      <w:numFmt w:val="decimal"/>
      <w:lvlText w:val="%1."/>
      <w:lvlJc w:val="left"/>
      <w:pPr>
        <w:tabs>
          <w:tab w:val="num" w:pos="420"/>
        </w:tabs>
        <w:ind w:left="420" w:hanging="4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4FA2955"/>
    <w:multiLevelType w:val="hybridMultilevel"/>
    <w:tmpl w:val="F53A38A4"/>
    <w:lvl w:ilvl="0" w:tplc="63284FFC">
      <w:start w:val="4"/>
      <w:numFmt w:val="decimal"/>
      <w:lvlText w:val="%1."/>
      <w:lvlJc w:val="left"/>
      <w:pPr>
        <w:tabs>
          <w:tab w:val="num" w:pos="420"/>
        </w:tabs>
        <w:ind w:left="420" w:hanging="4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6A04CBD"/>
    <w:multiLevelType w:val="hybridMultilevel"/>
    <w:tmpl w:val="47283BE8"/>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7A42773"/>
    <w:multiLevelType w:val="hybridMultilevel"/>
    <w:tmpl w:val="C8446CE4"/>
    <w:lvl w:ilvl="0" w:tplc="4C641A72">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AB00B77"/>
    <w:multiLevelType w:val="hybridMultilevel"/>
    <w:tmpl w:val="CF2A3916"/>
    <w:lvl w:ilvl="0" w:tplc="1922738A">
      <w:start w:val="6"/>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B5B3826"/>
    <w:multiLevelType w:val="hybridMultilevel"/>
    <w:tmpl w:val="B1CA2E62"/>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4987200"/>
    <w:multiLevelType w:val="multilevel"/>
    <w:tmpl w:val="853CB26E"/>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ideographTraditional"/>
      <w:suff w:val="nothing"/>
      <w:lvlText w:val="%5、"/>
      <w:lvlJc w:val="left"/>
      <w:pPr>
        <w:ind w:left="2500" w:hanging="555"/>
      </w:pPr>
    </w:lvl>
    <w:lvl w:ilvl="5">
      <w:start w:val="1"/>
      <w:numFmt w:val="ideographTraditional"/>
      <w:suff w:val="nothing"/>
      <w:lvlText w:val="（%6）"/>
      <w:lvlJc w:val="left"/>
      <w:pPr>
        <w:ind w:left="3056" w:hanging="834"/>
      </w:pPr>
    </w:lvl>
    <w:lvl w:ilvl="6">
      <w:start w:val="1"/>
      <w:numFmt w:val="ideographZodiac"/>
      <w:suff w:val="nothing"/>
      <w:lvlText w:val="%7、"/>
      <w:lvlJc w:val="left"/>
      <w:pPr>
        <w:ind w:left="3334" w:hanging="556"/>
      </w:pPr>
    </w:lvl>
    <w:lvl w:ilvl="7">
      <w:start w:val="1"/>
      <w:numFmt w:val="ideographZodiac"/>
      <w:suff w:val="nothing"/>
      <w:lvlText w:val="（%8）"/>
      <w:lvlJc w:val="left"/>
      <w:pPr>
        <w:ind w:left="3889" w:hanging="833"/>
      </w:pPr>
    </w:lvl>
    <w:lvl w:ilvl="8">
      <w:start w:val="1"/>
      <w:numFmt w:val="decimalFullWidth"/>
      <w:suff w:val="nothing"/>
      <w:lvlText w:val="%9）"/>
      <w:lvlJc w:val="left"/>
      <w:pPr>
        <w:ind w:left="4167" w:hanging="556"/>
      </w:pPr>
    </w:lvl>
  </w:abstractNum>
  <w:abstractNum w:abstractNumId="28" w15:restartNumberingAfterBreak="0">
    <w:nsid w:val="64F1494D"/>
    <w:multiLevelType w:val="hybridMultilevel"/>
    <w:tmpl w:val="9DE6FE48"/>
    <w:lvl w:ilvl="0" w:tplc="A822CA98">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67F6BB2"/>
    <w:multiLevelType w:val="hybridMultilevel"/>
    <w:tmpl w:val="AE98ACD8"/>
    <w:lvl w:ilvl="0" w:tplc="275E8CCA">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B39317C"/>
    <w:multiLevelType w:val="multilevel"/>
    <w:tmpl w:val="381E20BC"/>
    <w:lvl w:ilvl="0">
      <w:start w:val="1"/>
      <w:numFmt w:val="decimal"/>
      <w:lvlText w:val="%1."/>
      <w:lvlJc w:val="left"/>
      <w:pPr>
        <w:tabs>
          <w:tab w:val="num" w:pos="840"/>
        </w:tabs>
        <w:ind w:left="840" w:hanging="360"/>
      </w:pPr>
      <w:rPr>
        <w:rFonts w:hint="eastAsia"/>
      </w:rPr>
    </w:lvl>
    <w:lvl w:ilvl="1">
      <w:start w:val="1"/>
      <w:numFmt w:val="decimal"/>
      <w:isLgl/>
      <w:lvlText w:val="%1.%2."/>
      <w:lvlJc w:val="left"/>
      <w:pPr>
        <w:tabs>
          <w:tab w:val="num" w:pos="1260"/>
        </w:tabs>
        <w:ind w:left="1260" w:hanging="720"/>
      </w:pPr>
      <w:rPr>
        <w:rFonts w:hint="eastAsia"/>
        <w:sz w:val="26"/>
        <w:szCs w:val="26"/>
      </w:rPr>
    </w:lvl>
    <w:lvl w:ilvl="2">
      <w:start w:val="1"/>
      <w:numFmt w:val="decimal"/>
      <w:isLgl/>
      <w:lvlText w:val="%1.%2.%3."/>
      <w:lvlJc w:val="left"/>
      <w:pPr>
        <w:tabs>
          <w:tab w:val="num" w:pos="1204"/>
        </w:tabs>
        <w:ind w:left="1204" w:hanging="720"/>
      </w:pPr>
      <w:rPr>
        <w:rFonts w:hint="eastAsia"/>
      </w:rPr>
    </w:lvl>
    <w:lvl w:ilvl="3">
      <w:start w:val="1"/>
      <w:numFmt w:val="decimal"/>
      <w:isLgl/>
      <w:lvlText w:val="%1.%2.%3.%4."/>
      <w:lvlJc w:val="left"/>
      <w:pPr>
        <w:tabs>
          <w:tab w:val="num" w:pos="1566"/>
        </w:tabs>
        <w:ind w:left="1566" w:hanging="1080"/>
      </w:pPr>
      <w:rPr>
        <w:rFonts w:hint="eastAsia"/>
      </w:rPr>
    </w:lvl>
    <w:lvl w:ilvl="4">
      <w:start w:val="1"/>
      <w:numFmt w:val="decimal"/>
      <w:isLgl/>
      <w:lvlText w:val="%1.%2.%3.%4.%5."/>
      <w:lvlJc w:val="left"/>
      <w:pPr>
        <w:tabs>
          <w:tab w:val="num" w:pos="1928"/>
        </w:tabs>
        <w:ind w:left="1928" w:hanging="1440"/>
      </w:pPr>
      <w:rPr>
        <w:rFonts w:hint="eastAsia"/>
      </w:rPr>
    </w:lvl>
    <w:lvl w:ilvl="5">
      <w:start w:val="1"/>
      <w:numFmt w:val="decimal"/>
      <w:isLgl/>
      <w:lvlText w:val="%1.%2.%3.%4.%5.%6."/>
      <w:lvlJc w:val="left"/>
      <w:pPr>
        <w:tabs>
          <w:tab w:val="num" w:pos="1930"/>
        </w:tabs>
        <w:ind w:left="1930" w:hanging="1440"/>
      </w:pPr>
      <w:rPr>
        <w:rFonts w:hint="eastAsia"/>
      </w:rPr>
    </w:lvl>
    <w:lvl w:ilvl="6">
      <w:start w:val="1"/>
      <w:numFmt w:val="decimal"/>
      <w:isLgl/>
      <w:lvlText w:val="%1.%2.%3.%4.%5.%6.%7."/>
      <w:lvlJc w:val="left"/>
      <w:pPr>
        <w:tabs>
          <w:tab w:val="num" w:pos="2292"/>
        </w:tabs>
        <w:ind w:left="2292" w:hanging="1800"/>
      </w:pPr>
      <w:rPr>
        <w:rFonts w:hint="eastAsia"/>
      </w:rPr>
    </w:lvl>
    <w:lvl w:ilvl="7">
      <w:start w:val="1"/>
      <w:numFmt w:val="decimal"/>
      <w:isLgl/>
      <w:lvlText w:val="%1.%2.%3.%4.%5.%6.%7.%8."/>
      <w:lvlJc w:val="left"/>
      <w:pPr>
        <w:tabs>
          <w:tab w:val="num" w:pos="2654"/>
        </w:tabs>
        <w:ind w:left="2654" w:hanging="2160"/>
      </w:pPr>
      <w:rPr>
        <w:rFonts w:hint="eastAsia"/>
      </w:rPr>
    </w:lvl>
    <w:lvl w:ilvl="8">
      <w:start w:val="1"/>
      <w:numFmt w:val="decimal"/>
      <w:isLgl/>
      <w:lvlText w:val="%1.%2.%3.%4.%5.%6.%7.%8.%9."/>
      <w:lvlJc w:val="left"/>
      <w:pPr>
        <w:tabs>
          <w:tab w:val="num" w:pos="2656"/>
        </w:tabs>
        <w:ind w:left="2656" w:hanging="2160"/>
      </w:pPr>
      <w:rPr>
        <w:rFonts w:hint="eastAsia"/>
      </w:rPr>
    </w:lvl>
  </w:abstractNum>
  <w:abstractNum w:abstractNumId="31" w15:restartNumberingAfterBreak="0">
    <w:nsid w:val="6E812CB2"/>
    <w:multiLevelType w:val="hybridMultilevel"/>
    <w:tmpl w:val="8DA80082"/>
    <w:lvl w:ilvl="0" w:tplc="4E0C8E3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77652B20"/>
    <w:multiLevelType w:val="hybridMultilevel"/>
    <w:tmpl w:val="A4C2511A"/>
    <w:lvl w:ilvl="0" w:tplc="A6907088">
      <w:start w:val="1"/>
      <w:numFmt w:val="taiwaneseCountingThousand"/>
      <w:lvlText w:val="%1、"/>
      <w:lvlJc w:val="left"/>
      <w:pPr>
        <w:tabs>
          <w:tab w:val="num" w:pos="1587"/>
        </w:tabs>
        <w:ind w:left="1587" w:hanging="1035"/>
      </w:pPr>
    </w:lvl>
    <w:lvl w:ilvl="1" w:tplc="DBAA83BE">
      <w:start w:val="1"/>
      <w:numFmt w:val="taiwaneseCountingThousand"/>
      <w:lvlText w:val="（%2）"/>
      <w:lvlJc w:val="left"/>
      <w:pPr>
        <w:tabs>
          <w:tab w:val="num" w:pos="2307"/>
        </w:tabs>
        <w:ind w:left="2307" w:hanging="1275"/>
      </w:pPr>
    </w:lvl>
    <w:lvl w:ilvl="2" w:tplc="0409001B">
      <w:start w:val="1"/>
      <w:numFmt w:val="lowerRoman"/>
      <w:lvlText w:val="%3."/>
      <w:lvlJc w:val="right"/>
      <w:pPr>
        <w:tabs>
          <w:tab w:val="num" w:pos="1992"/>
        </w:tabs>
        <w:ind w:left="1992"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CBF6C43"/>
    <w:multiLevelType w:val="hybridMultilevel"/>
    <w:tmpl w:val="17F8F73A"/>
    <w:lvl w:ilvl="0" w:tplc="BD8C3338">
      <w:start w:val="19"/>
      <w:numFmt w:val="decimal"/>
      <w:lvlText w:val="%1."/>
      <w:lvlJc w:val="left"/>
      <w:pPr>
        <w:tabs>
          <w:tab w:val="num" w:pos="540"/>
        </w:tabs>
        <w:ind w:left="54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1"/>
  </w:num>
  <w:num w:numId="16">
    <w:abstractNumId w:val="23"/>
  </w:num>
  <w:num w:numId="17">
    <w:abstractNumId w:val="26"/>
  </w:num>
  <w:num w:numId="18">
    <w:abstractNumId w:val="17"/>
  </w:num>
  <w:num w:numId="19">
    <w:abstractNumId w:val="19"/>
  </w:num>
  <w:num w:numId="20">
    <w:abstractNumId w:val="20"/>
  </w:num>
  <w:num w:numId="21">
    <w:abstractNumId w:val="13"/>
  </w:num>
  <w:num w:numId="22">
    <w:abstractNumId w:val="31"/>
  </w:num>
  <w:num w:numId="23">
    <w:abstractNumId w:val="18"/>
  </w:num>
  <w:num w:numId="24">
    <w:abstractNumId w:val="22"/>
  </w:num>
  <w:num w:numId="25">
    <w:abstractNumId w:val="29"/>
  </w:num>
  <w:num w:numId="26">
    <w:abstractNumId w:val="21"/>
  </w:num>
  <w:num w:numId="27">
    <w:abstractNumId w:val="25"/>
  </w:num>
  <w:num w:numId="28">
    <w:abstractNumId w:val="24"/>
  </w:num>
  <w:num w:numId="29">
    <w:abstractNumId w:val="12"/>
  </w:num>
  <w:num w:numId="30">
    <w:abstractNumId w:val="33"/>
  </w:num>
  <w:num w:numId="31">
    <w:abstractNumId w:val="15"/>
  </w:num>
  <w:num w:numId="32">
    <w:abstractNumId w:val="10"/>
  </w:num>
  <w:num w:numId="33">
    <w:abstractNumId w:val="1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28"/>
    <w:rsid w:val="005C2C42"/>
    <w:rsid w:val="00DF5E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743577-7B32-4AF3-A41B-C3C19A64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napToGrid w:val="0"/>
      <w:spacing w:beforeLines="50" w:before="50" w:afterLines="50" w:after="50" w:line="360" w:lineRule="auto"/>
      <w:jc w:val="both"/>
      <w:outlineLvl w:val="0"/>
    </w:pPr>
    <w:rPr>
      <w:rFonts w:eastAsia="標楷體"/>
      <w:b/>
      <w:snapToGrid w:val="0"/>
      <w:kern w:val="0"/>
      <w:sz w:val="32"/>
      <w:szCs w:val="32"/>
    </w:rPr>
  </w:style>
  <w:style w:type="paragraph" w:styleId="2">
    <w:name w:val="heading 2"/>
    <w:basedOn w:val="a"/>
    <w:next w:val="a"/>
    <w:autoRedefine/>
    <w:qFormat/>
    <w:pPr>
      <w:keepNext/>
      <w:adjustRightInd w:val="0"/>
      <w:snapToGrid w:val="0"/>
      <w:spacing w:beforeLines="50" w:before="180" w:afterLines="50" w:after="180" w:line="360" w:lineRule="auto"/>
      <w:jc w:val="both"/>
      <w:outlineLvl w:val="1"/>
    </w:pPr>
    <w:rPr>
      <w:rFonts w:eastAsia="標楷體"/>
      <w:b/>
      <w:snapToGrid w:val="0"/>
      <w:kern w:val="0"/>
      <w:sz w:val="28"/>
      <w:szCs w:val="28"/>
    </w:rPr>
  </w:style>
  <w:style w:type="paragraph" w:styleId="3">
    <w:name w:val="heading 3"/>
    <w:basedOn w:val="a"/>
    <w:next w:val="a"/>
    <w:autoRedefine/>
    <w:qFormat/>
    <w:pPr>
      <w:keepNext/>
      <w:adjustRightInd w:val="0"/>
      <w:snapToGrid w:val="0"/>
      <w:spacing w:beforeLines="50" w:before="50" w:afterLines="50" w:after="50" w:line="360" w:lineRule="auto"/>
      <w:jc w:val="both"/>
      <w:outlineLvl w:val="2"/>
    </w:pPr>
    <w:rPr>
      <w:rFonts w:ascii="Arial" w:eastAsia="標楷體" w:hAnsi="Arial"/>
      <w:bCs/>
      <w:snapToGrid w:val="0"/>
      <w:kern w:val="0"/>
      <w:sz w:val="26"/>
      <w:szCs w:val="26"/>
    </w:rPr>
  </w:style>
  <w:style w:type="paragraph" w:styleId="4">
    <w:name w:val="heading 4"/>
    <w:basedOn w:val="a"/>
    <w:next w:val="a"/>
    <w:autoRedefine/>
    <w:qFormat/>
    <w:pPr>
      <w:keepNext/>
      <w:adjustRightInd w:val="0"/>
      <w:snapToGrid w:val="0"/>
      <w:spacing w:beforeLines="50" w:before="180" w:afterLines="50" w:after="180" w:line="360" w:lineRule="auto"/>
      <w:jc w:val="both"/>
      <w:outlineLvl w:val="3"/>
    </w:pPr>
    <w:rPr>
      <w:rFonts w:ascii="Arial" w:eastAsia="標楷體" w:hAnsi="Arial"/>
      <w:b/>
      <w:snapToGrid w:val="0"/>
      <w:kern w:val="0"/>
    </w:rPr>
  </w:style>
  <w:style w:type="paragraph" w:styleId="5">
    <w:name w:val="heading 5"/>
    <w:basedOn w:val="a"/>
    <w:next w:val="a0"/>
    <w:qFormat/>
    <w:pPr>
      <w:keepNext/>
      <w:spacing w:before="120" w:after="120"/>
      <w:ind w:left="425"/>
      <w:outlineLvl w:val="4"/>
    </w:pPr>
    <w:rPr>
      <w:rFonts w:ascii="Arial" w:eastAsia="標楷體" w:hAnsi="Arial"/>
      <w:b/>
      <w:spacing w:val="30"/>
      <w:sz w:val="28"/>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styleId="a0">
    <w:name w:val="Normal Indent"/>
    <w:basedOn w:val="a"/>
    <w:semiHidden/>
    <w:pPr>
      <w:ind w:left="480"/>
    </w:pPr>
    <w:rPr>
      <w:spacing w:val="30"/>
      <w:szCs w:val="20"/>
    </w:rPr>
  </w:style>
  <w:style w:type="paragraph" w:styleId="a4">
    <w:name w:val="Block Text"/>
    <w:basedOn w:val="a"/>
    <w:semiHidden/>
    <w:pPr>
      <w:widowControl/>
      <w:ind w:left="113" w:right="113"/>
    </w:pPr>
  </w:style>
  <w:style w:type="paragraph" w:styleId="a5">
    <w:name w:val="Body Text Indent"/>
    <w:basedOn w:val="a"/>
    <w:semiHidden/>
    <w:pPr>
      <w:ind w:left="560" w:hangingChars="200" w:hanging="560"/>
    </w:pPr>
    <w:rPr>
      <w:sz w:val="28"/>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1"/>
    <w:semiHidden/>
  </w:style>
  <w:style w:type="paragraph" w:customStyle="1" w:styleId="30">
    <w:name w:val="內文3"/>
    <w:basedOn w:val="a"/>
    <w:pPr>
      <w:widowControl/>
      <w:tabs>
        <w:tab w:val="left" w:pos="567"/>
      </w:tabs>
      <w:spacing w:before="120" w:after="120"/>
      <w:ind w:left="1644" w:hanging="1077"/>
    </w:pPr>
    <w:rPr>
      <w:rFonts w:eastAsia="標楷體"/>
      <w:noProof/>
      <w:spacing w:val="30"/>
      <w:kern w:val="0"/>
      <w:sz w:val="22"/>
      <w:szCs w:val="20"/>
    </w:rPr>
  </w:style>
  <w:style w:type="paragraph" w:customStyle="1" w:styleId="20">
    <w:name w:val="內文2"/>
    <w:pPr>
      <w:spacing w:before="120" w:after="120"/>
    </w:pPr>
    <w:rPr>
      <w:rFonts w:eastAsia="標楷體"/>
      <w:noProof/>
      <w:spacing w:val="20"/>
    </w:rPr>
  </w:style>
  <w:style w:type="character" w:styleId="a8">
    <w:name w:val="Hyperlink"/>
    <w:basedOn w:val="a1"/>
    <w:semiHidden/>
    <w:rPr>
      <w:color w:val="0000FF"/>
      <w:u w:val="single"/>
    </w:rPr>
  </w:style>
  <w:style w:type="character" w:styleId="a9">
    <w:name w:val="Strong"/>
    <w:basedOn w:val="a1"/>
    <w:qFormat/>
    <w:rPr>
      <w:b/>
      <w:bCs/>
    </w:rPr>
  </w:style>
  <w:style w:type="paragraph" w:styleId="aa">
    <w:name w:val="Date"/>
    <w:basedOn w:val="a"/>
    <w:next w:val="a"/>
    <w:semiHidden/>
    <w:pPr>
      <w:jc w:val="right"/>
    </w:pPr>
  </w:style>
  <w:style w:type="paragraph" w:styleId="ab">
    <w:name w:val="Body Text"/>
    <w:basedOn w:val="a"/>
    <w:semiHidden/>
    <w:pPr>
      <w:adjustRightInd w:val="0"/>
      <w:snapToGrid w:val="0"/>
      <w:spacing w:beforeLines="50" w:before="50" w:after="120" w:line="360" w:lineRule="auto"/>
      <w:ind w:firstLineChars="200" w:firstLine="200"/>
      <w:jc w:val="both"/>
    </w:pPr>
    <w:rPr>
      <w:lang w:val="de-DE"/>
    </w:rPr>
  </w:style>
  <w:style w:type="character" w:customStyle="1" w:styleId="ac">
    <w:name w:val=" 字元 字元"/>
    <w:basedOn w:val="a1"/>
    <w:rPr>
      <w:rFonts w:eastAsia="新細明體"/>
      <w:kern w:val="2"/>
      <w:sz w:val="24"/>
      <w:szCs w:val="24"/>
      <w:lang w:val="de-DE" w:eastAsia="zh-TW" w:bidi="ar-SA"/>
    </w:rPr>
  </w:style>
  <w:style w:type="paragraph" w:styleId="21">
    <w:name w:val="Body Text 2"/>
    <w:basedOn w:val="a"/>
    <w:semiHidden/>
    <w:pPr>
      <w:spacing w:after="120" w:line="480" w:lineRule="auto"/>
    </w:pPr>
  </w:style>
  <w:style w:type="paragraph" w:styleId="ad">
    <w:name w:val="footnote text"/>
    <w:basedOn w:val="a"/>
    <w:semiHidden/>
    <w:pPr>
      <w:snapToGrid w:val="0"/>
    </w:pPr>
    <w:rPr>
      <w:sz w:val="20"/>
      <w:szCs w:val="20"/>
    </w:rPr>
  </w:style>
  <w:style w:type="character" w:styleId="ae">
    <w:name w:val="footnote reference"/>
    <w:basedOn w:val="a1"/>
    <w:semiHidden/>
    <w:rPr>
      <w:vertAlign w:val="superscript"/>
    </w:rPr>
  </w:style>
  <w:style w:type="paragraph" w:styleId="31">
    <w:name w:val="Body Text 3"/>
    <w:basedOn w:val="a"/>
    <w:semiHidden/>
    <w:pPr>
      <w:spacing w:after="120"/>
    </w:pPr>
    <w:rPr>
      <w:sz w:val="16"/>
      <w:szCs w:val="16"/>
    </w:rPr>
  </w:style>
  <w:style w:type="paragraph" w:styleId="af">
    <w:name w:val="Note Heading"/>
    <w:basedOn w:val="a"/>
    <w:next w:val="a"/>
    <w:semiHidden/>
    <w:pPr>
      <w:jc w:val="center"/>
    </w:pPr>
  </w:style>
  <w:style w:type="paragraph" w:styleId="af0">
    <w:name w:val="Plain Text"/>
    <w:basedOn w:val="a"/>
    <w:semiHidden/>
    <w:rPr>
      <w:rFonts w:ascii="細明體" w:eastAsia="細明體" w:hAnsi="Courier New"/>
      <w:szCs w:val="20"/>
    </w:rPr>
  </w:style>
  <w:style w:type="paragraph" w:styleId="af1">
    <w:name w:val="Closing"/>
    <w:basedOn w:val="a"/>
    <w:semiHidden/>
    <w:pPr>
      <w:ind w:leftChars="1800" w:left="100"/>
    </w:pPr>
    <w:rPr>
      <w:lang w:val="de-DE"/>
    </w:rPr>
  </w:style>
  <w:style w:type="paragraph" w:styleId="32">
    <w:name w:val="Body Text Indent 3"/>
    <w:basedOn w:val="a"/>
    <w:semiHidden/>
    <w:pPr>
      <w:spacing w:after="120"/>
      <w:ind w:leftChars="200" w:left="480"/>
    </w:pPr>
    <w:rPr>
      <w:sz w:val="16"/>
      <w:szCs w:val="16"/>
    </w:rPr>
  </w:style>
  <w:style w:type="paragraph" w:styleId="Web">
    <w:name w:val="Normal (Web)"/>
    <w:basedOn w:val="a"/>
    <w:semiHidden/>
    <w:pPr>
      <w:widowControl/>
      <w:spacing w:before="100" w:beforeAutospacing="1" w:after="100" w:afterAutospacing="1"/>
    </w:pPr>
    <w:rPr>
      <w:rFonts w:ascii="新細明體" w:hAnsi="新細明體" w:cs="新細明體"/>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stext1">
    <w:name w:val="stext1"/>
    <w:basedOn w:val="a1"/>
    <w:rPr>
      <w:sz w:val="19"/>
      <w:szCs w:val="19"/>
    </w:rPr>
  </w:style>
  <w:style w:type="character" w:customStyle="1" w:styleId="stext">
    <w:name w:val="stext"/>
    <w:basedOn w:val="a1"/>
  </w:style>
  <w:style w:type="paragraph" w:customStyle="1" w:styleId="af2">
    <w:name w:val="本文 + 新細明體"/>
    <w:basedOn w:val="ab"/>
    <w:pPr>
      <w:spacing w:before="180"/>
      <w:ind w:firstLine="480"/>
    </w:pPr>
    <w:rPr>
      <w:rFonts w:ascii="新細明體" w:hAnsi="新細明體"/>
    </w:rPr>
  </w:style>
  <w:style w:type="character" w:customStyle="1" w:styleId="af3">
    <w:name w:val="本文 + 新細明體 字元"/>
    <w:basedOn w:val="ac"/>
    <w:rPr>
      <w:rFonts w:ascii="新細明體" w:eastAsia="新細明體" w:hAnsi="新細明體"/>
      <w:kern w:val="2"/>
      <w:sz w:val="24"/>
      <w:szCs w:val="24"/>
      <w:lang w:val="de-DE" w:eastAsia="zh-TW" w:bidi="ar-SA"/>
    </w:rPr>
  </w:style>
  <w:style w:type="paragraph" w:customStyle="1" w:styleId="22">
    <w:name w:val="本文 + 第一行:  2 字元"/>
    <w:aliases w:val="套用前:  0.5 列"/>
    <w:basedOn w:val="ab"/>
    <w:pPr>
      <w:spacing w:before="180"/>
      <w:ind w:firstLine="480"/>
    </w:pPr>
  </w:style>
  <w:style w:type="character" w:customStyle="1" w:styleId="text">
    <w:name w:val="text"/>
    <w:basedOn w:val="a1"/>
  </w:style>
  <w:style w:type="paragraph" w:styleId="10">
    <w:name w:val="toc 1"/>
    <w:basedOn w:val="a"/>
    <w:next w:val="a"/>
    <w:autoRedefine/>
    <w:semiHidden/>
  </w:style>
  <w:style w:type="paragraph" w:customStyle="1" w:styleId="af4">
    <w:name w:val="(一)中黑"/>
    <w:basedOn w:val="a"/>
    <w:autoRedefine/>
    <w:pPr>
      <w:snapToGrid w:val="0"/>
      <w:spacing w:line="300" w:lineRule="auto"/>
      <w:ind w:left="1800" w:hanging="1800"/>
      <w:jc w:val="both"/>
    </w:pPr>
    <w:rPr>
      <w:rFonts w:ascii="標楷體" w:eastAsia="標楷體" w:hAnsi="標楷體"/>
      <w:b/>
      <w:bCs/>
      <w:spacing w:val="4"/>
      <w:sz w:val="40"/>
      <w:szCs w:val="40"/>
    </w:rPr>
  </w:style>
  <w:style w:type="paragraph" w:customStyle="1" w:styleId="11">
    <w:name w:val="(1)"/>
    <w:basedOn w:val="a"/>
    <w:autoRedefine/>
    <w:pPr>
      <w:snapToGrid w:val="0"/>
      <w:spacing w:line="300" w:lineRule="auto"/>
      <w:ind w:left="2160" w:hanging="1194"/>
      <w:jc w:val="both"/>
    </w:pPr>
    <w:rPr>
      <w:rFonts w:ascii="標楷體" w:eastAsia="標楷體" w:hAnsi="標楷體"/>
      <w:bCs/>
      <w:sz w:val="40"/>
      <w:szCs w:val="40"/>
    </w:rPr>
  </w:style>
  <w:style w:type="paragraph" w:customStyle="1" w:styleId="12">
    <w:name w:val="1.(本文)"/>
    <w:basedOn w:val="a"/>
    <w:autoRedefine/>
    <w:pPr>
      <w:kinsoku w:val="0"/>
      <w:overflowPunct w:val="0"/>
      <w:autoSpaceDE w:val="0"/>
      <w:autoSpaceDN w:val="0"/>
      <w:adjustRightInd w:val="0"/>
      <w:snapToGrid w:val="0"/>
      <w:spacing w:line="300" w:lineRule="auto"/>
      <w:ind w:left="1680" w:hanging="1680"/>
      <w:jc w:val="both"/>
    </w:pPr>
    <w:rPr>
      <w:rFonts w:ascii="標楷體" w:eastAsia="標楷體" w:hAnsi="標楷體"/>
      <w:sz w:val="22"/>
      <w:szCs w:val="40"/>
    </w:rPr>
  </w:style>
  <w:style w:type="paragraph" w:styleId="af5">
    <w:name w:val="header"/>
    <w:basedOn w:val="a"/>
    <w:semiHidden/>
    <w:pPr>
      <w:tabs>
        <w:tab w:val="center" w:pos="4153"/>
        <w:tab w:val="right" w:pos="8306"/>
      </w:tabs>
      <w:snapToGrid w:val="0"/>
    </w:pPr>
    <w:rPr>
      <w:sz w:val="20"/>
      <w:szCs w:val="20"/>
    </w:rPr>
  </w:style>
  <w:style w:type="paragraph" w:styleId="23">
    <w:name w:val="toc 2"/>
    <w:basedOn w:val="a"/>
    <w:next w:val="a"/>
    <w:autoRedefine/>
    <w:semiHidden/>
    <w:pPr>
      <w:ind w:leftChars="200" w:left="480"/>
    </w:pPr>
  </w:style>
  <w:style w:type="paragraph" w:styleId="33">
    <w:name w:val="toc 3"/>
    <w:basedOn w:val="a"/>
    <w:next w:val="a"/>
    <w:autoRedefine/>
    <w:semiHidden/>
    <w:pPr>
      <w:ind w:leftChars="400" w:left="960"/>
    </w:pPr>
  </w:style>
  <w:style w:type="paragraph" w:styleId="40">
    <w:name w:val="toc 4"/>
    <w:basedOn w:val="a"/>
    <w:next w:val="a"/>
    <w:autoRedefine/>
    <w:semiHidden/>
    <w:pPr>
      <w:ind w:leftChars="600" w:left="1440"/>
    </w:pPr>
  </w:style>
  <w:style w:type="paragraph" w:styleId="50">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f6">
    <w:name w:val="table of figures"/>
    <w:basedOn w:val="a"/>
    <w:next w:val="a"/>
    <w:semiHidden/>
    <w:pPr>
      <w:ind w:leftChars="400" w:left="960" w:hangingChars="20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931</Words>
  <Characters>5307</Characters>
  <Application>Microsoft Office Word</Application>
  <DocSecurity>0</DocSecurity>
  <Lines>44</Lines>
  <Paragraphs>12</Paragraphs>
  <ScaleCrop>false</ScaleCrop>
  <Company>CCU</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一、研究人員經費</dc:title>
  <dc:subject/>
  <dc:creator>CCU</dc:creator>
  <cp:keywords/>
  <dc:description/>
  <cp:lastModifiedBy>卓卿雲</cp:lastModifiedBy>
  <cp:revision>2</cp:revision>
  <cp:lastPrinted>2004-04-08T14:27:00Z</cp:lastPrinted>
  <dcterms:created xsi:type="dcterms:W3CDTF">2021-09-22T10:40:00Z</dcterms:created>
  <dcterms:modified xsi:type="dcterms:W3CDTF">2021-09-22T10:40:00Z</dcterms:modified>
</cp:coreProperties>
</file>