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6A31">
      <w:pPr>
        <w:pStyle w:val="22"/>
        <w:spacing w:line="480" w:lineRule="auto"/>
        <w:ind w:firstLine="380"/>
        <w:rPr>
          <w:rFonts w:ascii="Arial" w:hAnsi="Arial" w:cs="Arial"/>
          <w:vanish/>
          <w:kern w:val="0"/>
          <w:sz w:val="19"/>
          <w:szCs w:val="19"/>
        </w:rPr>
      </w:pPr>
      <w:bookmarkStart w:id="0" w:name="_GoBack"/>
      <w:bookmarkEnd w:id="0"/>
    </w:p>
    <w:p w:rsidR="00000000" w:rsidRDefault="00CA6A31">
      <w:pPr>
        <w:pStyle w:val="1"/>
        <w:spacing w:before="180" w:after="180" w:line="480" w:lineRule="auto"/>
        <w:rPr>
          <w:lang w:val="de-DE"/>
        </w:rPr>
      </w:pPr>
      <w:bookmarkStart w:id="1" w:name="_Toc121199242"/>
      <w:bookmarkStart w:id="2" w:name="_Toc121212714"/>
      <w:bookmarkStart w:id="3" w:name="_Toc121212977"/>
      <w:r>
        <w:rPr>
          <w:lang w:val="de-DE"/>
        </w:rPr>
        <w:t>10</w:t>
      </w:r>
      <w:r>
        <w:rPr>
          <w:rFonts w:hint="eastAsia"/>
          <w:lang w:val="de-DE"/>
        </w:rPr>
        <w:t>.</w:t>
      </w:r>
      <w:r>
        <w:rPr>
          <w:lang w:val="de-DE"/>
        </w:rPr>
        <w:t>陞遷救濟時之暫時權利保護</w:t>
      </w:r>
      <w:bookmarkEnd w:id="1"/>
      <w:bookmarkEnd w:id="2"/>
      <w:bookmarkEnd w:id="3"/>
    </w:p>
    <w:p w:rsidR="00000000" w:rsidRDefault="00CA6A31">
      <w:pPr>
        <w:pStyle w:val="2"/>
        <w:spacing w:line="480" w:lineRule="auto"/>
        <w:rPr>
          <w:rFonts w:hint="eastAsia"/>
          <w:lang w:val="de-DE"/>
        </w:rPr>
      </w:pPr>
      <w:bookmarkStart w:id="4" w:name="_Toc121199243"/>
      <w:bookmarkStart w:id="5" w:name="_Toc121212715"/>
      <w:bookmarkStart w:id="6" w:name="_Toc121212978"/>
      <w:r>
        <w:rPr>
          <w:lang w:val="de-DE"/>
        </w:rPr>
        <w:t>10</w:t>
      </w:r>
      <w:r>
        <w:rPr>
          <w:rFonts w:hint="eastAsia"/>
          <w:lang w:val="de-DE"/>
        </w:rPr>
        <w:t>.</w:t>
      </w:r>
      <w:r>
        <w:rPr>
          <w:lang w:val="de-DE"/>
        </w:rPr>
        <w:t>1</w:t>
      </w:r>
      <w:r>
        <w:rPr>
          <w:rFonts w:hint="eastAsia"/>
          <w:lang w:val="de-DE"/>
        </w:rPr>
        <w:t>.</w:t>
      </w:r>
      <w:r>
        <w:rPr>
          <w:lang w:val="de-DE"/>
        </w:rPr>
        <w:t>復審階段及行政訴訟中之暫時性權利保護</w:t>
      </w:r>
      <w:bookmarkEnd w:id="4"/>
      <w:bookmarkEnd w:id="5"/>
      <w:bookmarkEnd w:id="6"/>
    </w:p>
    <w:p w:rsidR="00000000" w:rsidRDefault="00CA6A31">
      <w:pPr>
        <w:snapToGrid w:val="0"/>
        <w:spacing w:beforeLines="50" w:before="180" w:afterLines="50" w:after="180" w:line="480" w:lineRule="auto"/>
        <w:ind w:firstLineChars="225" w:firstLine="540"/>
        <w:jc w:val="both"/>
        <w:rPr>
          <w:rFonts w:hAnsi="Arial" w:hint="eastAsia"/>
          <w:kern w:val="0"/>
          <w:lang w:val="de-DE"/>
        </w:rPr>
      </w:pPr>
      <w:r>
        <w:rPr>
          <w:rFonts w:hAnsi="Arial" w:hint="eastAsia"/>
          <w:kern w:val="0"/>
        </w:rPr>
        <w:t>根據本研究的初步瞭解，陞遷救濟具有相當的特殊性。亦即受限於職缺的有限性以及陞遷任命的連鎖效應（</w:t>
      </w:r>
      <w:r>
        <w:rPr>
          <w:kern w:val="0"/>
        </w:rPr>
        <w:t>„</w:t>
      </w:r>
      <w:r>
        <w:rPr>
          <w:rFonts w:eastAsia="MS Mincho" w:hAnsi="Arial" w:hint="eastAsia"/>
          <w:kern w:val="0"/>
        </w:rPr>
        <w:t>Be</w:t>
      </w:r>
      <w:r>
        <w:rPr>
          <w:rFonts w:eastAsia="MS Mincho" w:hAnsi="Arial"/>
          <w:kern w:val="0"/>
          <w:lang w:val="de-DE"/>
        </w:rPr>
        <w:t>f</w:t>
      </w:r>
      <w:r>
        <w:rPr>
          <w:rFonts w:eastAsia="MS Mincho" w:hAnsi="Arial"/>
          <w:kern w:val="0"/>
          <w:lang w:val="de-DE"/>
        </w:rPr>
        <w:t>ö</w:t>
      </w:r>
      <w:r>
        <w:rPr>
          <w:rFonts w:eastAsia="MS Mincho" w:hAnsi="Arial"/>
          <w:kern w:val="0"/>
          <w:lang w:val="de-DE"/>
        </w:rPr>
        <w:t>rderungskette</w:t>
      </w:r>
      <w:r>
        <w:rPr>
          <w:rFonts w:eastAsia="MS Mincho"/>
          <w:kern w:val="0"/>
          <w:lang w:val="de-DE"/>
        </w:rPr>
        <w:t>“</w:t>
      </w:r>
      <w:r>
        <w:rPr>
          <w:rFonts w:hAnsi="Arial" w:hint="eastAsia"/>
          <w:kern w:val="0"/>
        </w:rPr>
        <w:t>），以及公務員法體系的嚴格形式要求（</w:t>
      </w:r>
      <w:r>
        <w:rPr>
          <w:rFonts w:eastAsia="MS Mincho" w:hAnsi="Arial" w:hint="eastAsia"/>
          <w:kern w:val="0"/>
        </w:rPr>
        <w:t>Formstrenge</w:t>
      </w:r>
      <w:r>
        <w:rPr>
          <w:rFonts w:hAnsi="Arial" w:hint="eastAsia"/>
          <w:kern w:val="0"/>
        </w:rPr>
        <w:t>）</w:t>
      </w:r>
      <w:r>
        <w:rPr>
          <w:rFonts w:hAnsi="Arial" w:hint="eastAsia"/>
          <w:kern w:val="0"/>
          <w:lang w:val="de-DE"/>
        </w:rPr>
        <w:t>，一經陞遷程序完成，已任命之公務員又無其他得以認定陞遷任命無效之事由，往往會造成救濟的實效落空</w:t>
      </w:r>
      <w:r>
        <w:rPr>
          <w:rStyle w:val="ae"/>
          <w:rFonts w:hAnsi="Arial"/>
          <w:kern w:val="0"/>
          <w:lang w:val="de-DE"/>
        </w:rPr>
        <w:footnoteReference w:id="1"/>
      </w:r>
      <w:r>
        <w:rPr>
          <w:rFonts w:hAnsi="Arial" w:hint="eastAsia"/>
          <w:kern w:val="0"/>
          <w:lang w:val="de-DE"/>
        </w:rPr>
        <w:t>。因此與其事後救濟無望，不如事前防堵會造成事後救濟無望的原因。此時暫時性的權利救濟設計，應該是重要的考量。</w:t>
      </w:r>
    </w:p>
    <w:p w:rsidR="00000000" w:rsidRDefault="00CA6A31">
      <w:pPr>
        <w:snapToGrid w:val="0"/>
        <w:spacing w:beforeLines="50" w:before="180" w:afterLines="50" w:after="180" w:line="480" w:lineRule="auto"/>
        <w:ind w:firstLineChars="225" w:firstLine="540"/>
        <w:jc w:val="both"/>
        <w:rPr>
          <w:rFonts w:hAnsi="Arial"/>
          <w:kern w:val="0"/>
        </w:rPr>
      </w:pPr>
      <w:r>
        <w:rPr>
          <w:rFonts w:hAnsi="Arial"/>
          <w:kern w:val="0"/>
        </w:rPr>
        <w:t>假如公務員的任命存在有撤銷的危險時</w:t>
      </w:r>
      <w:r>
        <w:rPr>
          <w:rFonts w:hAnsi="Arial"/>
          <w:kern w:val="0"/>
        </w:rPr>
        <w:t>，受任命公務員自己的個人利益將與先前未受任命競爭者的權利保護利益處於無法解決的衝突。因此它保障已經完成的陞遷任命在一定的條件下可以</w:t>
      </w:r>
      <w:r>
        <w:rPr>
          <w:rFonts w:hAnsi="Arial" w:hint="eastAsia"/>
          <w:kern w:val="0"/>
        </w:rPr>
        <w:t>比較穩定地</w:t>
      </w:r>
      <w:r>
        <w:rPr>
          <w:rFonts w:hAnsi="Arial"/>
          <w:kern w:val="0"/>
        </w:rPr>
        <w:t>維持其存續效力。</w:t>
      </w:r>
      <w:r>
        <w:rPr>
          <w:rFonts w:hAnsi="Arial" w:hint="eastAsia"/>
          <w:kern w:val="0"/>
        </w:rPr>
        <w:t>德國</w:t>
      </w:r>
      <w:r>
        <w:rPr>
          <w:rFonts w:hAnsi="Arial"/>
          <w:kern w:val="0"/>
        </w:rPr>
        <w:t>聯邦憲法法院因此演繹出「身分法上職務</w:t>
      </w:r>
      <w:r>
        <w:rPr>
          <w:rStyle w:val="ae"/>
          <w:kern w:val="0"/>
        </w:rPr>
        <w:footnoteReference w:id="2"/>
      </w:r>
      <w:r>
        <w:rPr>
          <w:rFonts w:hAnsi="Arial"/>
          <w:kern w:val="0"/>
        </w:rPr>
        <w:t>不可剝奪原則（</w:t>
      </w:r>
      <w:r>
        <w:rPr>
          <w:kern w:val="0"/>
        </w:rPr>
        <w:t>Grundsatz der Unentziehbarkeit des statusrechtkichen Amtes</w:t>
      </w:r>
      <w:r>
        <w:rPr>
          <w:rFonts w:hAnsi="Arial"/>
          <w:kern w:val="0"/>
        </w:rPr>
        <w:t>）</w:t>
      </w:r>
      <w:r>
        <w:rPr>
          <w:rStyle w:val="ae"/>
          <w:kern w:val="0"/>
        </w:rPr>
        <w:footnoteReference w:id="3"/>
      </w:r>
      <w:r>
        <w:rPr>
          <w:rFonts w:hAnsi="Arial"/>
          <w:kern w:val="0"/>
        </w:rPr>
        <w:t>。」若是於陞遷任命之後數年仍容許藉由訴訟使得公務員的職位發生變動，或者讓已經發生陞遷連鎖效應的公務員法律關係再一次受到質疑，恐怕會嚴重影響到行政的運作能力以及公務員地位的穩定保障</w:t>
      </w:r>
      <w:r>
        <w:rPr>
          <w:rFonts w:hAnsi="Arial"/>
          <w:kern w:val="0"/>
        </w:rPr>
        <w:lastRenderedPageBreak/>
        <w:t>（</w:t>
      </w:r>
      <w:r>
        <w:rPr>
          <w:rFonts w:eastAsia="MS Mincho"/>
          <w:kern w:val="0"/>
        </w:rPr>
        <w:t>Stabilitätsgarantie</w:t>
      </w:r>
      <w:r>
        <w:rPr>
          <w:rFonts w:hAnsi="Arial"/>
          <w:kern w:val="0"/>
        </w:rPr>
        <w:t>）。所以基於職務安定原則與有效權利保障之折衷，我們所承認的陞遷任命救濟，應該將重心放在陞遷任命前的階段。換言之，應該考量的是行政救濟中的暫時性權利保護制度。</w:t>
      </w:r>
    </w:p>
    <w:p w:rsidR="00000000" w:rsidRDefault="00CA6A31">
      <w:pPr>
        <w:snapToGrid w:val="0"/>
        <w:spacing w:beforeLines="50" w:before="180" w:afterLines="50" w:after="180" w:line="480" w:lineRule="auto"/>
        <w:ind w:firstLineChars="225" w:firstLine="540"/>
        <w:jc w:val="both"/>
        <w:rPr>
          <w:rFonts w:hAnsi="Arial" w:hint="eastAsia"/>
          <w:kern w:val="0"/>
        </w:rPr>
      </w:pPr>
      <w:r>
        <w:rPr>
          <w:rFonts w:hint="eastAsia"/>
        </w:rPr>
        <w:t>針對公權力措施之權利救濟原則上是一種事後的權利救濟制度（</w:t>
      </w:r>
      <w:r>
        <w:t>repressiver Rechtsschutz</w:t>
      </w:r>
      <w:r>
        <w:rPr>
          <w:rFonts w:hint="eastAsia"/>
        </w:rPr>
        <w:t>）」。因為若是容許同步進行的法院救濟審查程序，恐怕會過度阻礙了其他國家功能（如行政或立法）的活動。但是實效性權利保障之要求卻並不排除於嚴格條件限制下（例如必須要有異於一般的權利保護必要性（</w:t>
      </w:r>
      <w:r>
        <w:t>„qualifizier</w:t>
      </w:r>
      <w:r>
        <w:t>tes Rechtsschutzbedürfnis“</w:t>
      </w:r>
      <w:r>
        <w:rPr>
          <w:rFonts w:hint="eastAsia"/>
        </w:rPr>
        <w:t>）），基於避免個案中嚴重且無法逆轉的權利侵害目的，於必要時開放預防性的權利救濟空間，而非必然僅針對「現時」的權利侵害</w:t>
      </w:r>
      <w:r>
        <w:rPr>
          <w:rStyle w:val="ae"/>
        </w:rPr>
        <w:footnoteReference w:id="4"/>
      </w:r>
      <w:r>
        <w:rPr>
          <w:rFonts w:hint="eastAsia"/>
        </w:rPr>
        <w:t>。這種預防性權利保護的要求，其實也不過是廣泛地「及時權利救濟（</w:t>
      </w:r>
      <w:r>
        <w:t>rechtszeitiges Rechtsschutz</w:t>
      </w:r>
      <w:r>
        <w:rPr>
          <w:rFonts w:hint="eastAsia"/>
        </w:rPr>
        <w:t>）」的一種反應而已</w:t>
      </w:r>
      <w:r>
        <w:rPr>
          <w:rStyle w:val="ae"/>
        </w:rPr>
        <w:footnoteReference w:id="5"/>
      </w:r>
      <w:r>
        <w:rPr>
          <w:rFonts w:hint="eastAsia"/>
        </w:rPr>
        <w:t>。其次，實效性之權利保障制度亦要求提供人民暫時性的權利保障。特別是在若不提供暫時性的權利保護措施時，將會發生嚴重或無可避免的損害，以致於本案的裁判即使作成，亦無法於事後將之除去的情況下，暫時性的權利保障即屬</w:t>
      </w:r>
      <w:r>
        <w:rPr>
          <w:rFonts w:hint="eastAsia"/>
        </w:rPr>
        <w:t>必要</w:t>
      </w:r>
      <w:r>
        <w:rPr>
          <w:rStyle w:val="ae"/>
        </w:rPr>
        <w:footnoteReference w:id="6"/>
      </w:r>
      <w:r>
        <w:rPr>
          <w:rFonts w:hint="eastAsia"/>
        </w:rPr>
        <w:t>。大法官在釋字第</w:t>
      </w:r>
      <w:r>
        <w:rPr>
          <w:rFonts w:hint="eastAsia"/>
        </w:rPr>
        <w:t>585</w:t>
      </w:r>
      <w:r>
        <w:rPr>
          <w:rFonts w:hint="eastAsia"/>
        </w:rPr>
        <w:t>號解釋中亦指出，</w:t>
      </w:r>
      <w:r>
        <w:rPr>
          <w:rFonts w:ascii="細明體" w:eastAsia="細明體" w:hAnsi="細明體" w:cs="細明體"/>
          <w:color w:val="000000"/>
          <w:kern w:val="0"/>
        </w:rPr>
        <w:t>確保裁判結果實效性之保全制度，乃司法權核心機能之一，不因憲法解釋、審判或民事、刑事、行政訴訟之</w:t>
      </w:r>
      <w:r>
        <w:rPr>
          <w:rFonts w:ascii="新細明體" w:hAnsi="新細明體" w:cs="新細明體"/>
          <w:color w:val="000000"/>
          <w:kern w:val="0"/>
        </w:rPr>
        <w:t>審判而有異</w:t>
      </w:r>
      <w:r>
        <w:rPr>
          <w:rStyle w:val="ae"/>
          <w:rFonts w:ascii="新細明體" w:hAnsi="新細明體" w:cs="新細明體"/>
          <w:color w:val="000000"/>
          <w:kern w:val="0"/>
        </w:rPr>
        <w:footnoteReference w:id="7"/>
      </w:r>
      <w:r>
        <w:rPr>
          <w:rFonts w:ascii="新細明體" w:hAnsi="新細明體" w:cs="新細明體"/>
          <w:color w:val="000000"/>
          <w:kern w:val="0"/>
        </w:rPr>
        <w:t>。</w:t>
      </w:r>
    </w:p>
    <w:p w:rsidR="00000000" w:rsidRDefault="00CA6A31">
      <w:pPr>
        <w:snapToGrid w:val="0"/>
        <w:spacing w:beforeLines="50" w:before="180" w:afterLines="50" w:after="180" w:line="480" w:lineRule="auto"/>
        <w:ind w:firstLineChars="225" w:firstLine="540"/>
        <w:jc w:val="both"/>
        <w:rPr>
          <w:kern w:val="0"/>
        </w:rPr>
      </w:pPr>
      <w:r>
        <w:rPr>
          <w:rFonts w:hAnsi="Arial"/>
          <w:kern w:val="0"/>
        </w:rPr>
        <w:lastRenderedPageBreak/>
        <w:t>暫時權利保護作為訴訟法上傳統的制度，依傳統的見解，其主要只是具有「保全功能（</w:t>
      </w:r>
      <w:r>
        <w:rPr>
          <w:kern w:val="0"/>
        </w:rPr>
        <w:t>Sicherungsfunktion</w:t>
      </w:r>
      <w:r>
        <w:rPr>
          <w:rFonts w:hAnsi="Arial"/>
          <w:kern w:val="0"/>
        </w:rPr>
        <w:t>）」，以保障訴訟原告之權利在勝訴後不因無從執行而終局落空</w:t>
      </w:r>
      <w:r>
        <w:rPr>
          <w:rStyle w:val="ae"/>
          <w:kern w:val="0"/>
        </w:rPr>
        <w:footnoteReference w:id="8"/>
      </w:r>
      <w:r>
        <w:rPr>
          <w:rFonts w:hAnsi="Arial"/>
          <w:kern w:val="0"/>
        </w:rPr>
        <w:t>。但是隨著訴訟程序在實務上往往曠日廢時，目前在訴訟實務上，當事人多習於在本案訴訟外，另行聲請暫時權利保護，以避免權利不因過長的訴訟程序而致嗣後無法實際獲得所需救濟。一般的本案訴訟程序，為了</w:t>
      </w:r>
      <w:r>
        <w:rPr>
          <w:rFonts w:hAnsi="Arial"/>
          <w:kern w:val="0"/>
        </w:rPr>
        <w:t>追求終局正義，往往適用各種傳統的程序原則以及複雜的訴訟制度。但是相對地在程序上會造成延宕。而暫時權利保護程序，適用所謂略式審查（</w:t>
      </w:r>
      <w:r>
        <w:rPr>
          <w:kern w:val="0"/>
        </w:rPr>
        <w:t>summarische Prüfung</w:t>
      </w:r>
      <w:r>
        <w:rPr>
          <w:rFonts w:hAnsi="Arial"/>
          <w:kern w:val="0"/>
        </w:rPr>
        <w:t>），可以謀求訴訟上之本案爭議，至少在終局裁判前迅速暫時獲得解決。所以暫時權利保護程序，亦常被稱為「快速程序（</w:t>
      </w:r>
      <w:r>
        <w:rPr>
          <w:kern w:val="0"/>
        </w:rPr>
        <w:t>Eilverfahren</w:t>
      </w:r>
      <w:r>
        <w:rPr>
          <w:rFonts w:hAnsi="Arial"/>
          <w:kern w:val="0"/>
        </w:rPr>
        <w:t>）」，其更具有所謂「暫時滿足之功能（</w:t>
      </w:r>
      <w:r>
        <w:rPr>
          <w:kern w:val="0"/>
        </w:rPr>
        <w:t>interimistische Befriedungsfunktion</w:t>
      </w:r>
      <w:r>
        <w:rPr>
          <w:rFonts w:hAnsi="Arial"/>
          <w:kern w:val="0"/>
        </w:rPr>
        <w:t>）」</w:t>
      </w:r>
      <w:r>
        <w:rPr>
          <w:rStyle w:val="ae"/>
          <w:kern w:val="0"/>
        </w:rPr>
        <w:footnoteReference w:id="9"/>
      </w:r>
      <w:r>
        <w:rPr>
          <w:rFonts w:hAnsi="Arial"/>
          <w:kern w:val="0"/>
        </w:rPr>
        <w:t>。</w:t>
      </w:r>
    </w:p>
    <w:p w:rsidR="00000000" w:rsidRDefault="00CA6A31">
      <w:pPr>
        <w:snapToGrid w:val="0"/>
        <w:spacing w:beforeLines="50" w:before="180" w:afterLines="50" w:after="180" w:line="480" w:lineRule="auto"/>
        <w:ind w:firstLineChars="225" w:firstLine="540"/>
        <w:jc w:val="both"/>
      </w:pPr>
      <w:r>
        <w:rPr>
          <w:rFonts w:hint="eastAsia"/>
        </w:rPr>
        <w:t>在德國，如果原告提起的本案訴訟是撤銷訴訟時，此時可以考慮的暫時性權利保護制度乃是請求「暫時停止執行</w:t>
      </w:r>
      <w:r>
        <w:rPr>
          <w:rFonts w:hint="eastAsia"/>
        </w:rPr>
        <w:t>」（德國行政法院法第</w:t>
      </w:r>
      <w:r>
        <w:rPr>
          <w:rFonts w:hint="eastAsia"/>
        </w:rPr>
        <w:t>80</w:t>
      </w:r>
      <w:r>
        <w:rPr>
          <w:rFonts w:hint="eastAsia"/>
        </w:rPr>
        <w:t>條與第</w:t>
      </w:r>
      <w:r>
        <w:rPr>
          <w:rFonts w:hint="eastAsia"/>
        </w:rPr>
        <w:t>80a</w:t>
      </w:r>
      <w:r>
        <w:rPr>
          <w:rFonts w:hint="eastAsia"/>
        </w:rPr>
        <w:t>條，我國行政訴訟法第</w:t>
      </w:r>
      <w:r>
        <w:t>116</w:t>
      </w:r>
      <w:r>
        <w:rPr>
          <w:rFonts w:hint="eastAsia"/>
        </w:rPr>
        <w:t>與</w:t>
      </w:r>
      <w:r>
        <w:rPr>
          <w:rFonts w:hint="eastAsia"/>
        </w:rPr>
        <w:t>117</w:t>
      </w:r>
      <w:r>
        <w:rPr>
          <w:rFonts w:hint="eastAsia"/>
        </w:rPr>
        <w:t>條）。但是如前所述，德國實務的見解一貫地認為此時撤銷訴訟並不合法（欠缺權利保護必要），因此暫時停止執行的要求亦不可能。我們可以考慮的應該是行政法院法第</w:t>
      </w:r>
      <w:r>
        <w:rPr>
          <w:rFonts w:hint="eastAsia"/>
        </w:rPr>
        <w:t>123</w:t>
      </w:r>
      <w:r>
        <w:rPr>
          <w:rFonts w:hint="eastAsia"/>
        </w:rPr>
        <w:t>條以下規定的假處分制度。在我國則為第</w:t>
      </w:r>
      <w:r>
        <w:t>298</w:t>
      </w:r>
      <w:r>
        <w:rPr>
          <w:rFonts w:hint="eastAsia"/>
        </w:rPr>
        <w:t>條第</w:t>
      </w:r>
      <w:r>
        <w:rPr>
          <w:rFonts w:hint="eastAsia"/>
        </w:rPr>
        <w:t>1</w:t>
      </w:r>
      <w:r>
        <w:rPr>
          <w:rFonts w:hint="eastAsia"/>
        </w:rPr>
        <w:t>項，要求法院發保全命令（</w:t>
      </w:r>
      <w:r>
        <w:t>Sicherungsordnung</w:t>
      </w:r>
      <w:r>
        <w:rPr>
          <w:rFonts w:hint="eastAsia"/>
        </w:rPr>
        <w:t>）以保全日後實施強制執行，以及第</w:t>
      </w:r>
      <w:r>
        <w:t>298</w:t>
      </w:r>
      <w:r>
        <w:rPr>
          <w:rFonts w:hint="eastAsia"/>
        </w:rPr>
        <w:t>條第</w:t>
      </w:r>
      <w:r>
        <w:rPr>
          <w:rFonts w:hint="eastAsia"/>
        </w:rPr>
        <w:t>2</w:t>
      </w:r>
      <w:r>
        <w:rPr>
          <w:rFonts w:hint="eastAsia"/>
        </w:rPr>
        <w:t>項要求法院發定暫時狀態命令（</w:t>
      </w:r>
      <w:r>
        <w:t>Regelungsordnung</w:t>
      </w:r>
      <w:r>
        <w:rPr>
          <w:rFonts w:hint="eastAsia"/>
        </w:rPr>
        <w:t>）</w:t>
      </w:r>
      <w:r>
        <w:rPr>
          <w:rFonts w:hint="eastAsia"/>
        </w:rPr>
        <w:lastRenderedPageBreak/>
        <w:t>以採取必要措施，維護暫時狀態之制度。</w:t>
      </w:r>
    </w:p>
    <w:p w:rsidR="00000000" w:rsidRDefault="00CA6A31">
      <w:pPr>
        <w:snapToGrid w:val="0"/>
        <w:spacing w:beforeLines="50" w:before="180" w:afterLines="50" w:after="180" w:line="480" w:lineRule="auto"/>
        <w:ind w:firstLineChars="225" w:firstLine="540"/>
        <w:jc w:val="both"/>
        <w:rPr>
          <w:rFonts w:ascii="MS Mincho" w:hAnsi="MS Mincho" w:cs="MS Mincho" w:hint="eastAsia"/>
        </w:rPr>
      </w:pPr>
      <w:r>
        <w:t>未獲陞遷任命者提起訴訟的目的無非是希</w:t>
      </w:r>
      <w:r>
        <w:t>望原本空缺出來的職</w:t>
      </w:r>
      <w:r>
        <w:rPr>
          <w:rFonts w:hint="eastAsia"/>
        </w:rPr>
        <w:t xml:space="preserve"> </w:t>
      </w:r>
      <w:r>
        <w:t>位能夠保持，甚至於由自己來獲得。由於原告可以主張基本法第</w:t>
      </w:r>
      <w:r>
        <w:t>33</w:t>
      </w:r>
      <w:r>
        <w:rPr>
          <w:rFonts w:hAnsi="MS Mincho"/>
        </w:rPr>
        <w:t>條第</w:t>
      </w:r>
      <w:r>
        <w:t>2</w:t>
      </w:r>
      <w:r>
        <w:rPr>
          <w:rFonts w:hAnsi="MS Mincho"/>
        </w:rPr>
        <w:t>項保障他於陞遷時有應被尊重的（主觀）公法權利（至少有應徵的程序請求權！），所以他有請求受暫時性權利保護的資格。假如原告對於暫時命令的請求以及請求暫時命令的原因顯而可信（</w:t>
      </w:r>
      <w:r>
        <w:t>glaubhaft</w:t>
      </w:r>
      <w:r>
        <w:rPr>
          <w:rFonts w:hAnsi="MS Mincho"/>
        </w:rPr>
        <w:t>）</w:t>
      </w:r>
      <w:r>
        <w:rPr>
          <w:rFonts w:hAnsi="MS Mincho" w:hint="eastAsia"/>
        </w:rPr>
        <w:t>，其請求</w:t>
      </w:r>
      <w:r>
        <w:rPr>
          <w:rFonts w:hint="eastAsia"/>
        </w:rPr>
        <w:t>發保全命令或定暫時狀態即屬有理由。</w:t>
      </w:r>
      <w:r>
        <w:rPr>
          <w:rFonts w:hAnsi="MS Mincho"/>
        </w:rPr>
        <w:t>原告對於暫時命令的請求</w:t>
      </w:r>
      <w:r>
        <w:rPr>
          <w:rFonts w:hAnsi="MS Mincho" w:hint="eastAsia"/>
        </w:rPr>
        <w:t>權</w:t>
      </w:r>
      <w:r>
        <w:rPr>
          <w:rFonts w:hAnsi="MS Mincho"/>
        </w:rPr>
        <w:t>顯而可信</w:t>
      </w:r>
      <w:r>
        <w:rPr>
          <w:rFonts w:hAnsi="MS Mincho" w:hint="eastAsia"/>
        </w:rPr>
        <w:t>，</w:t>
      </w:r>
      <w:r>
        <w:rPr>
          <w:rFonts w:hint="eastAsia"/>
        </w:rPr>
        <w:t>是指原告所提供的事實足堪證明其所主張「極具可能性（</w:t>
      </w:r>
      <w:r>
        <w:t>überwiegend wahrscheinlich</w:t>
      </w:r>
      <w:r>
        <w:rPr>
          <w:rFonts w:hint="eastAsia"/>
        </w:rPr>
        <w:t>）</w:t>
      </w:r>
      <w:r>
        <w:t>」</w:t>
      </w:r>
      <w:r>
        <w:rPr>
          <w:rStyle w:val="ae"/>
        </w:rPr>
        <w:footnoteReference w:id="10"/>
      </w:r>
      <w:r>
        <w:t>。而並不需要真的確定原告是根據基本法第</w:t>
      </w:r>
      <w:r>
        <w:t>33</w:t>
      </w:r>
      <w:r>
        <w:t>條第</w:t>
      </w:r>
      <w:r>
        <w:t>2</w:t>
      </w:r>
      <w:r>
        <w:rPr>
          <w:rFonts w:hAnsi="MS Mincho"/>
        </w:rPr>
        <w:t>項事實</w:t>
      </w:r>
      <w:r>
        <w:rPr>
          <w:rFonts w:hAnsi="MS Mincho"/>
        </w:rPr>
        <w:t>上最適於被陞遷任命者</w:t>
      </w:r>
      <w:r>
        <w:rPr>
          <w:rStyle w:val="ae"/>
        </w:rPr>
        <w:footnoteReference w:id="11"/>
      </w:r>
      <w:r>
        <w:rPr>
          <w:rFonts w:hAnsi="MS Mincho"/>
        </w:rPr>
        <w:t>。</w:t>
      </w:r>
    </w:p>
    <w:p w:rsidR="00000000" w:rsidRDefault="00CA6A31">
      <w:pPr>
        <w:snapToGrid w:val="0"/>
        <w:spacing w:beforeLines="50" w:before="180" w:afterLines="50" w:after="180" w:line="480" w:lineRule="auto"/>
        <w:ind w:firstLineChars="225" w:firstLine="540"/>
        <w:jc w:val="both"/>
        <w:rPr>
          <w:rFonts w:hint="eastAsia"/>
        </w:rPr>
      </w:pPr>
      <w:r>
        <w:t>原告請求暫時命令的原因顯而可信則是指，若是既有狀態已經改變，存有權利的實現會被嚴重削弱或阻礙的危險。例如原本空缺之職位已經有其他人被任命後，原告的權利之實現即有嚴重弱化的危險。基本法第</w:t>
      </w:r>
      <w:r>
        <w:t>19</w:t>
      </w:r>
      <w:r>
        <w:t>條第</w:t>
      </w:r>
      <w:r>
        <w:t>4</w:t>
      </w:r>
      <w:r>
        <w:t>項所保障的有效權利救濟體系</w:t>
      </w:r>
      <w:r>
        <w:rPr>
          <w:rFonts w:hint="eastAsia"/>
        </w:rPr>
        <w:t>無論如何都應該包括暫時性的權利救濟。而自</w:t>
      </w:r>
      <w:r>
        <w:t>基本法第</w:t>
      </w:r>
      <w:r>
        <w:t>19</w:t>
      </w:r>
      <w:r>
        <w:t>條第</w:t>
      </w:r>
      <w:r>
        <w:t>4</w:t>
      </w:r>
      <w:r>
        <w:t>項</w:t>
      </w:r>
      <w:r>
        <w:rPr>
          <w:rFonts w:hint="eastAsia"/>
        </w:rPr>
        <w:t>可以導出，未獲陞遷任命之原告至少擁有程序上的請求權。因此機關首長在陞遷任命決定前，應該有通知其他競爭者進行選拔程序的義務，這些競爭者也才有透過行政法院法第</w:t>
      </w:r>
      <w:r>
        <w:rPr>
          <w:rFonts w:hint="eastAsia"/>
        </w:rPr>
        <w:t>123</w:t>
      </w:r>
      <w:r>
        <w:rPr>
          <w:rFonts w:hint="eastAsia"/>
        </w:rPr>
        <w:t>條暫時權利保護的途徑保護自己權利的機會。</w:t>
      </w:r>
    </w:p>
    <w:p w:rsidR="00000000" w:rsidRDefault="00CA6A31">
      <w:pPr>
        <w:snapToGrid w:val="0"/>
        <w:spacing w:beforeLines="50" w:before="180" w:afterLines="50" w:after="180" w:line="480" w:lineRule="auto"/>
        <w:ind w:firstLineChars="225" w:firstLine="540"/>
        <w:jc w:val="both"/>
        <w:rPr>
          <w:rFonts w:hint="eastAsia"/>
        </w:rPr>
      </w:pPr>
      <w:r>
        <w:rPr>
          <w:rFonts w:hint="eastAsia"/>
        </w:rPr>
        <w:t>我國</w:t>
      </w:r>
      <w:r>
        <w:rPr>
          <w:rFonts w:hint="eastAsia"/>
        </w:rPr>
        <w:t>保障法中僅第</w:t>
      </w:r>
      <w:r>
        <w:rPr>
          <w:rFonts w:hint="eastAsia"/>
        </w:rPr>
        <w:t>89</w:t>
      </w:r>
      <w:r>
        <w:rPr>
          <w:rFonts w:hint="eastAsia"/>
        </w:rPr>
        <w:t>條規定，</w:t>
      </w:r>
      <w:r>
        <w:t>原行政處分、管理措施或有關工作條件之處置，不因依本法所進行之各項程序而停止執行。原行政處分、管理措施或有關工作條件之處置合法性顯有疑義者，或其執行將發生難以回復之損害，且有急迫情</w:t>
      </w:r>
      <w:r>
        <w:lastRenderedPageBreak/>
        <w:t>事，並非為維護重大公共利益所必要者，保訓會、原處分機關或服務機關得依職權或依申請，就原行政處分、管理措施或有關工作條件之處置全部或一部，停止執行。</w:t>
      </w:r>
    </w:p>
    <w:p w:rsidR="00000000" w:rsidRDefault="00CA6A31">
      <w:pPr>
        <w:snapToGrid w:val="0"/>
        <w:spacing w:beforeLines="50" w:before="180" w:afterLines="50" w:after="180" w:line="480" w:lineRule="auto"/>
        <w:ind w:firstLineChars="225" w:firstLine="540"/>
        <w:jc w:val="both"/>
        <w:rPr>
          <w:rFonts w:ascii="細明體" w:eastAsia="細明體" w:hAnsi="MS Sans Serif"/>
          <w:color w:val="000000"/>
          <w:kern w:val="0"/>
        </w:rPr>
      </w:pPr>
      <w:r>
        <w:rPr>
          <w:rFonts w:hint="eastAsia"/>
        </w:rPr>
        <w:t>另外根據行政訴訟法第</w:t>
      </w:r>
      <w:r>
        <w:rPr>
          <w:rFonts w:hint="eastAsia"/>
        </w:rPr>
        <w:t>116</w:t>
      </w:r>
      <w:r>
        <w:rPr>
          <w:rFonts w:hint="eastAsia"/>
        </w:rPr>
        <w:t>條規定，「</w:t>
      </w:r>
      <w:r>
        <w:rPr>
          <w:rFonts w:hint="eastAsia"/>
        </w:rPr>
        <w:t>I.</w:t>
      </w:r>
      <w:r>
        <w:rPr>
          <w:rFonts w:ascii="細明體" w:eastAsia="細明體" w:hAnsi="MS Sans Serif" w:hint="eastAsia"/>
          <w:color w:val="000000"/>
          <w:kern w:val="0"/>
        </w:rPr>
        <w:t>原處分或決定之執行，除法律另有規定外，不因提起行政訴訟而停止。</w:t>
      </w:r>
      <w:r>
        <w:rPr>
          <w:rFonts w:eastAsia="細明體"/>
          <w:color w:val="000000"/>
          <w:kern w:val="0"/>
        </w:rPr>
        <w:t>II.</w:t>
      </w:r>
      <w:r>
        <w:rPr>
          <w:rFonts w:ascii="細明體" w:eastAsia="細明體" w:hAnsi="MS Sans Serif" w:hint="eastAsia"/>
          <w:color w:val="000000"/>
          <w:kern w:val="0"/>
        </w:rPr>
        <w:t>行政訴訟繫屬中，行政法院認為原處分或決定之執行，將發生</w:t>
      </w:r>
      <w:r>
        <w:rPr>
          <w:rFonts w:ascii="細明體" w:eastAsia="細明體" w:hAnsi="MS Sans Serif" w:hint="eastAsia"/>
          <w:color w:val="000000"/>
          <w:kern w:val="0"/>
        </w:rPr>
        <w:t>難於回復之損害，且有急迫情事者，得依職權或依聲請裁定停止執行。但於公益有重大影響，或原告之訴在法律上顯無理由者，不得為之。</w:t>
      </w:r>
      <w:r>
        <w:rPr>
          <w:rFonts w:eastAsia="細明體"/>
          <w:color w:val="000000"/>
          <w:kern w:val="0"/>
        </w:rPr>
        <w:t>III.</w:t>
      </w:r>
      <w:r>
        <w:rPr>
          <w:rFonts w:eastAsia="細明體"/>
          <w:b/>
          <w:color w:val="000000"/>
          <w:kern w:val="0"/>
        </w:rPr>
        <w:t xml:space="preserve"> </w:t>
      </w:r>
      <w:r>
        <w:rPr>
          <w:rFonts w:eastAsia="細明體"/>
          <w:b/>
          <w:color w:val="000000"/>
          <w:kern w:val="0"/>
        </w:rPr>
        <w:t>於行政訴訟起訴前，如原處分或決定之執行將發生難於回復之損害，且有急迫情事者，行政法院亦得依受處分人或訴願人之聲請，裁定停止執行。</w:t>
      </w:r>
      <w:r>
        <w:rPr>
          <w:rFonts w:eastAsia="細明體"/>
          <w:color w:val="000000"/>
          <w:kern w:val="0"/>
        </w:rPr>
        <w:t>但於公益有重大影響者，不在此限。</w:t>
      </w:r>
      <w:r>
        <w:rPr>
          <w:rFonts w:eastAsia="細明體"/>
          <w:color w:val="000000"/>
          <w:kern w:val="0"/>
        </w:rPr>
        <w:t>IV.</w:t>
      </w:r>
      <w:r>
        <w:rPr>
          <w:rFonts w:eastAsia="細明體"/>
          <w:color w:val="000000"/>
          <w:kern w:val="0"/>
        </w:rPr>
        <w:t>行政法院為前二項裁定前，應先徵詢當事人之意見。如原處分或決定機關已依職權或依聲請停止執行者，應為駁回聲請之裁定。</w:t>
      </w:r>
      <w:r>
        <w:rPr>
          <w:rFonts w:eastAsia="細明體"/>
          <w:color w:val="000000"/>
          <w:kern w:val="0"/>
        </w:rPr>
        <w:t>V.</w:t>
      </w:r>
      <w:r>
        <w:rPr>
          <w:rFonts w:eastAsia="細明體"/>
          <w:color w:val="000000"/>
          <w:kern w:val="0"/>
        </w:rPr>
        <w:t>停止執行之裁定，得停止原處分或決定之效力、處分或決定之執行或程序之續行之全部或部份。</w:t>
      </w:r>
      <w:r>
        <w:rPr>
          <w:rFonts w:ascii="細明體" w:eastAsia="細明體" w:hAnsi="MS Sans Serif" w:hint="eastAsia"/>
          <w:color w:val="000000"/>
          <w:kern w:val="0"/>
        </w:rPr>
        <w:t>」其中第三項規</w:t>
      </w:r>
      <w:r>
        <w:rPr>
          <w:rFonts w:ascii="細明體" w:eastAsia="細明體" w:hAnsi="MS Sans Serif" w:hint="eastAsia"/>
          <w:color w:val="000000"/>
          <w:kern w:val="0"/>
        </w:rPr>
        <w:t>定亦容許於訴訟提起前，向高等行政法院聲請。</w:t>
      </w:r>
    </w:p>
    <w:p w:rsidR="00000000" w:rsidRDefault="00CA6A31">
      <w:pPr>
        <w:snapToGrid w:val="0"/>
        <w:spacing w:beforeLines="50" w:before="180" w:afterLines="50" w:after="180" w:line="480" w:lineRule="auto"/>
        <w:ind w:firstLineChars="225" w:firstLine="540"/>
        <w:jc w:val="both"/>
        <w:rPr>
          <w:rFonts w:hAnsi="Batang" w:hint="eastAsia"/>
        </w:rPr>
      </w:pPr>
      <w:r>
        <w:rPr>
          <w:rFonts w:ascii="細明體" w:eastAsia="細明體" w:hAnsi="MS Sans Serif" w:hint="eastAsia"/>
          <w:color w:val="000000"/>
          <w:kern w:val="0"/>
        </w:rPr>
        <w:t>在陞遷救濟案件中，職缺往往不能空懸過久，陞遷的程序也往往會在短期內完成。此時若不能及時聲請停止陞遷任命之執行，往往也可能發生難以再重行辦理陞遷的窘態。所以停止執行要件中「原處分或決定之執行，將發生難於回復之損害，且有急迫情事者」，在個案中成立的機會應不難想像。</w:t>
      </w:r>
    </w:p>
    <w:p w:rsidR="00000000" w:rsidRDefault="00CA6A31">
      <w:pPr>
        <w:pStyle w:val="22"/>
        <w:spacing w:line="480" w:lineRule="auto"/>
      </w:pPr>
      <w:r>
        <w:rPr>
          <w:rFonts w:hint="eastAsia"/>
          <w:kern w:val="0"/>
        </w:rPr>
        <w:t>在陞遷保障案件中所需要的暫時性權利保障，除停止執行的制度外，尚應考量聲請假處分的制度。</w:t>
      </w:r>
      <w:r>
        <w:rPr>
          <w:kern w:val="0"/>
        </w:rPr>
        <w:t>這種暫時性權利救濟主要是適用於課予義務訴訟中</w:t>
      </w:r>
      <w:r>
        <w:rPr>
          <w:rStyle w:val="ae"/>
          <w:kern w:val="0"/>
        </w:rPr>
        <w:footnoteReference w:id="12"/>
      </w:r>
      <w:r>
        <w:rPr>
          <w:kern w:val="0"/>
        </w:rPr>
        <w:t>。</w:t>
      </w:r>
      <w:r>
        <w:rPr>
          <w:rFonts w:hAnsi="新細明體"/>
          <w:kern w:val="0"/>
        </w:rPr>
        <w:t>行</w:t>
      </w:r>
      <w:r>
        <w:rPr>
          <w:rFonts w:hAnsi="新細明體"/>
          <w:kern w:val="0"/>
        </w:rPr>
        <w:lastRenderedPageBreak/>
        <w:t>政訴訟法第</w:t>
      </w:r>
      <w:r>
        <w:rPr>
          <w:kern w:val="0"/>
        </w:rPr>
        <w:t xml:space="preserve"> 298</w:t>
      </w:r>
      <w:r>
        <w:rPr>
          <w:rFonts w:hAnsi="新細明體"/>
          <w:kern w:val="0"/>
        </w:rPr>
        <w:t>條即規定，「</w:t>
      </w:r>
      <w:r>
        <w:rPr>
          <w:kern w:val="0"/>
        </w:rPr>
        <w:t>I.</w:t>
      </w:r>
      <w:r>
        <w:rPr>
          <w:rFonts w:hAnsi="新細明體"/>
          <w:kern w:val="0"/>
        </w:rPr>
        <w:t>公法上之權利因現狀變更，有不能實現或</w:t>
      </w:r>
      <w:r>
        <w:rPr>
          <w:rFonts w:hAnsi="新細明體"/>
          <w:kern w:val="0"/>
        </w:rPr>
        <w:t>甚難實現之虞者，為保全強制執</w:t>
      </w:r>
      <w:r>
        <w:rPr>
          <w:rFonts w:eastAsia="細明體"/>
          <w:kern w:val="0"/>
        </w:rPr>
        <w:t>行，得聲請假處分。</w:t>
      </w:r>
      <w:r>
        <w:rPr>
          <w:rFonts w:eastAsia="細明體"/>
          <w:kern w:val="0"/>
        </w:rPr>
        <w:t>II.</w:t>
      </w:r>
      <w:r>
        <w:rPr>
          <w:rFonts w:eastAsia="細明體"/>
          <w:kern w:val="0"/>
        </w:rPr>
        <w:t>於爭執之公法上法律關係，為防止發生重大之損害或避免急迫之危險而有</w:t>
      </w:r>
      <w:r>
        <w:rPr>
          <w:rFonts w:eastAsia="細明體"/>
          <w:color w:val="000000"/>
          <w:kern w:val="0"/>
        </w:rPr>
        <w:t>必要時，得聲請為定暫時狀態之處分。</w:t>
      </w:r>
      <w:r>
        <w:rPr>
          <w:rFonts w:eastAsia="細明體"/>
          <w:color w:val="000000"/>
          <w:kern w:val="0"/>
        </w:rPr>
        <w:t>III.</w:t>
      </w:r>
      <w:r>
        <w:rPr>
          <w:rFonts w:eastAsia="細明體"/>
          <w:color w:val="000000"/>
          <w:kern w:val="0"/>
        </w:rPr>
        <w:t>前項處分，得命先為一定之給付。」</w:t>
      </w:r>
      <w:r>
        <w:rPr>
          <w:rFonts w:eastAsia="細明體" w:hint="eastAsia"/>
          <w:color w:val="000000"/>
          <w:kern w:val="0"/>
        </w:rPr>
        <w:t>但是</w:t>
      </w:r>
      <w:r>
        <w:rPr>
          <w:rFonts w:hint="eastAsia"/>
          <w:kern w:val="0"/>
        </w:rPr>
        <w:t>目前在保障法中雖有課予義務型的復審類型，但卻無相應的聲請假處分制度。而保障法第</w:t>
      </w:r>
      <w:r>
        <w:rPr>
          <w:rFonts w:hint="eastAsia"/>
          <w:kern w:val="0"/>
        </w:rPr>
        <w:t>89</w:t>
      </w:r>
      <w:r>
        <w:rPr>
          <w:rFonts w:hint="eastAsia"/>
          <w:kern w:val="0"/>
        </w:rPr>
        <w:t>條之停止執行制度又無法滿足是類復審之需求，法政策上容有檢討之必要。</w:t>
      </w:r>
    </w:p>
    <w:p w:rsidR="00000000" w:rsidRDefault="00CA6A31">
      <w:pPr>
        <w:pStyle w:val="2"/>
        <w:spacing w:line="480" w:lineRule="auto"/>
        <w:rPr>
          <w:rFonts w:hint="eastAsia"/>
          <w:lang w:val="de-DE"/>
        </w:rPr>
      </w:pPr>
      <w:bookmarkStart w:id="7" w:name="_Toc121199244"/>
      <w:bookmarkStart w:id="8" w:name="_Toc121212716"/>
      <w:bookmarkStart w:id="9" w:name="_Toc121212979"/>
      <w:r>
        <w:rPr>
          <w:lang w:val="de-DE"/>
        </w:rPr>
        <w:t>10</w:t>
      </w:r>
      <w:r>
        <w:rPr>
          <w:rFonts w:hint="eastAsia"/>
          <w:lang w:val="de-DE"/>
        </w:rPr>
        <w:t>.</w:t>
      </w:r>
      <w:r>
        <w:rPr>
          <w:lang w:val="de-DE"/>
        </w:rPr>
        <w:t>2</w:t>
      </w:r>
      <w:r>
        <w:rPr>
          <w:lang w:val="de-DE"/>
        </w:rPr>
        <w:t>競爭關係中特殊之暫時性權利保護要求</w:t>
      </w:r>
      <w:bookmarkEnd w:id="7"/>
      <w:bookmarkEnd w:id="8"/>
      <w:bookmarkEnd w:id="9"/>
    </w:p>
    <w:p w:rsidR="00000000" w:rsidRDefault="00CA6A31">
      <w:pPr>
        <w:pStyle w:val="22"/>
        <w:spacing w:line="480" w:lineRule="auto"/>
        <w:rPr>
          <w:rFonts w:hint="eastAsia"/>
          <w:kern w:val="0"/>
        </w:rPr>
      </w:pPr>
      <w:r>
        <w:rPr>
          <w:rFonts w:hint="eastAsia"/>
          <w:kern w:val="0"/>
        </w:rPr>
        <w:t>競爭關係的行政爭訟相較於一般的爭訟，具有特殊性。特別涉及到國家有限資源的分配案例，例如有限的補助預算</w:t>
      </w:r>
      <w:r>
        <w:rPr>
          <w:rFonts w:ascii="新細明體" w:hAnsi="新細明體" w:hint="eastAsia"/>
          <w:kern w:val="0"/>
        </w:rPr>
        <w:t>、</w:t>
      </w:r>
      <w:r>
        <w:rPr>
          <w:rFonts w:hint="eastAsia"/>
          <w:kern w:val="0"/>
        </w:rPr>
        <w:t>有限的陞遷名額等等。其</w:t>
      </w:r>
      <w:r>
        <w:rPr>
          <w:rFonts w:hint="eastAsia"/>
          <w:kern w:val="0"/>
        </w:rPr>
        <w:t>中公務人員的競爭訴訟又牽涉到公務人員陞遷調動的連鎖效應。只要辦理陞遷程序完成，其救濟往往不能僅就原告一人利益考量。再加上公務員體系的穩定性要求，已經完成的陞遷任命要再事後變動，誠屬不易。因此在此類的救濟程序中相較於其他的爭訟類型，其暫時性權利保障的需求性是比較高的。在制度的設計上，應該寧可在職務尚未調動之前，盡可能實現救濟的請求。否則即使程序上不禁止，但是往往會因為職缺已無法回復，使得勝訴的救濟也是一個空洞的救濟。因此即使在目前有限的復審救濟類型下，應該思考給予公務人員相應的暫時性權利保障。同時也不論是撤銷</w:t>
      </w:r>
      <w:r>
        <w:rPr>
          <w:rFonts w:hint="eastAsia"/>
          <w:kern w:val="0"/>
        </w:rPr>
        <w:t>型或者課予義務型的救濟（請求撤銷對他人之陞遷決定或者請求對自己為陞遷決定），透過暫時停止執行陞遷任命的決定或者定暫時狀態的決定，均可以有效地確保最終的救濟目的得以實現。</w:t>
      </w:r>
    </w:p>
    <w:p w:rsidR="00000000" w:rsidRDefault="00CA6A31">
      <w:pPr>
        <w:pStyle w:val="2"/>
        <w:spacing w:line="480" w:lineRule="auto"/>
        <w:rPr>
          <w:rFonts w:hint="eastAsia"/>
          <w:lang w:val="de-DE"/>
        </w:rPr>
      </w:pPr>
      <w:bookmarkStart w:id="10" w:name="_Toc121199245"/>
      <w:bookmarkStart w:id="11" w:name="_Toc121212717"/>
      <w:bookmarkStart w:id="12" w:name="_Toc121212980"/>
      <w:r>
        <w:rPr>
          <w:lang w:val="de-DE"/>
        </w:rPr>
        <w:t>10</w:t>
      </w:r>
      <w:r>
        <w:rPr>
          <w:rFonts w:hint="eastAsia"/>
          <w:lang w:val="de-DE"/>
        </w:rPr>
        <w:t>.</w:t>
      </w:r>
      <w:r>
        <w:rPr>
          <w:lang w:val="de-DE"/>
        </w:rPr>
        <w:t>3</w:t>
      </w:r>
      <w:r>
        <w:rPr>
          <w:rFonts w:hint="eastAsia"/>
          <w:lang w:val="de-DE"/>
        </w:rPr>
        <w:t>.</w:t>
      </w:r>
      <w:r>
        <w:rPr>
          <w:lang w:val="de-DE"/>
        </w:rPr>
        <w:t>陞遷救濟時暫時權利保護的可行性</w:t>
      </w:r>
      <w:bookmarkEnd w:id="10"/>
      <w:bookmarkEnd w:id="11"/>
      <w:bookmarkEnd w:id="12"/>
    </w:p>
    <w:p w:rsidR="00000000" w:rsidRDefault="00CA6A31">
      <w:pPr>
        <w:pStyle w:val="22"/>
        <w:spacing w:line="480" w:lineRule="auto"/>
        <w:rPr>
          <w:rFonts w:hint="eastAsia"/>
          <w:kern w:val="0"/>
        </w:rPr>
      </w:pPr>
      <w:r>
        <w:rPr>
          <w:rFonts w:hint="eastAsia"/>
          <w:kern w:val="0"/>
        </w:rPr>
        <w:t>憲法上有效權利救濟之要求，應該是要求國家提供一個完善而無缺漏的保障</w:t>
      </w:r>
      <w:r>
        <w:rPr>
          <w:rFonts w:hint="eastAsia"/>
          <w:kern w:val="0"/>
        </w:rPr>
        <w:lastRenderedPageBreak/>
        <w:t>體系。在德國陞遷制度上，由於「最佳選擇原則」具有相當的法拘束力，所以以透過課予義務訴訟實現權利救濟最為直接有效。當然此刻還有聲請假處分或定暫時狀態的暫時性權利保障輔助。但是我國法上，公務人員直接請求法院命行政機關給予自己陞遷的實體請求</w:t>
      </w:r>
      <w:r>
        <w:rPr>
          <w:rFonts w:hint="eastAsia"/>
          <w:kern w:val="0"/>
        </w:rPr>
        <w:t>權，在現行法解釋下，相對保守。所以針對他人陞遷決定提起撤銷訴訟，可能性還是比較高。而目前不論在保障法或者行政訴訟法上配合撤銷型救濟的暫時停止執行制度，至少在規範上，應屬適當的設計。有待改善的可能是實務上對於此一制度的活用。如果可以善用此一制度，將來發生已經辦理陞遷完畢，造成無權利保護必要的案例應該可以相對減少。進一步言之，活用暫時性權利保護的機制，可以降低職務安定原則適用造成的困擾</w:t>
      </w:r>
      <w:r>
        <w:rPr>
          <w:rStyle w:val="ae"/>
          <w:kern w:val="0"/>
        </w:rPr>
        <w:footnoteReference w:id="13"/>
      </w:r>
      <w:r>
        <w:rPr>
          <w:rFonts w:hint="eastAsia"/>
          <w:kern w:val="0"/>
        </w:rPr>
        <w:t>。</w:t>
      </w:r>
    </w:p>
    <w:p w:rsidR="00000000" w:rsidRDefault="00CA6A31">
      <w:pPr>
        <w:pStyle w:val="22"/>
        <w:spacing w:line="480" w:lineRule="auto"/>
        <w:rPr>
          <w:rFonts w:hint="eastAsia"/>
        </w:rPr>
      </w:pPr>
      <w:r>
        <w:rPr>
          <w:rFonts w:hint="eastAsia"/>
          <w:kern w:val="0"/>
        </w:rPr>
        <w:t>但是在暫時性的權利保障制度未被活用之前，仍有為數不少的爭訟案件在提起救濟時（或提起救濟中），因為陞遷任命程序的完成，導致救</w:t>
      </w:r>
      <w:r>
        <w:rPr>
          <w:rFonts w:hint="eastAsia"/>
          <w:kern w:val="0"/>
        </w:rPr>
        <w:t>濟的實益喪失。同時已完成的陞遷任命又未必有無效的事由。職務安定原則在信賴保護原則或者公務體系穩定之公益原則支撐下，應該予以尊重。保訓會在「</w:t>
      </w:r>
      <w:r>
        <w:rPr>
          <w:rFonts w:hint="eastAsia"/>
          <w:b/>
          <w:kern w:val="0"/>
        </w:rPr>
        <w:t>劉慶蜀案</w:t>
      </w:r>
      <w:r>
        <w:rPr>
          <w:rFonts w:hint="eastAsia"/>
          <w:kern w:val="0"/>
        </w:rPr>
        <w:t>」中，適用</w:t>
      </w:r>
      <w:r>
        <w:rPr>
          <w:rFonts w:hint="eastAsia"/>
        </w:rPr>
        <w:t>保障法第</w:t>
      </w:r>
      <w:r>
        <w:rPr>
          <w:rFonts w:hint="eastAsia"/>
        </w:rPr>
        <w:t>67</w:t>
      </w:r>
      <w:r>
        <w:rPr>
          <w:rFonts w:hint="eastAsia"/>
        </w:rPr>
        <w:t>條規定，於</w:t>
      </w:r>
      <w:r>
        <w:t>保訓會發現原行政處分雖屬違法或顯然不當，但其撤銷或變更於公益有重大損害，</w:t>
      </w:r>
      <w:r>
        <w:rPr>
          <w:b/>
        </w:rPr>
        <w:t>經斟酌復審人所受損害、賠償程度、防止方法及其他一切情事</w:t>
      </w:r>
      <w:r>
        <w:t>，認原行政處分之撤銷或變更顯與公益相違背時，得駁回其復審。前項情形，應於決定主文中載明原行政處分違法或顯然不當。</w:t>
      </w:r>
      <w:r>
        <w:rPr>
          <w:rFonts w:hint="eastAsia"/>
        </w:rPr>
        <w:t>據此作成一般行政爭訟中罕見的情況決定，誠屬目前制度下尊重職務安定原則不得不然的處理方式，應給予肯</w:t>
      </w:r>
      <w:r>
        <w:rPr>
          <w:rFonts w:hint="eastAsia"/>
        </w:rPr>
        <w:t>定。日本學者阿部泰隆與今村和成等學者在評價彼邦「情況判決」時也已指出，「既成事實之尊重在法律上具有不容忽視重要價值，正因為情況判決尊重違法既成事實，就此部分不應逕予以否定其價值。研究如何防止既成事實發生</w:t>
      </w:r>
      <w:r>
        <w:rPr>
          <w:rFonts w:hint="eastAsia"/>
        </w:rPr>
        <w:lastRenderedPageBreak/>
        <w:t>固為重要對於既已發生之既成事實，只能尋求善後之策。」「情況判決除合乎尊重既成事實之一般法律原則之外，亦具有防止因無訴訟利益而遭駁回之情形產生，避免判決後發生混亂，和平解決紛爭之功能。」「在依法行政的原則下，當然不允許違法行政處分之存在，但是撤銷記已存在的違法行政處分，可能將已然形成的法律狀態徹底顛覆，如此情形</w:t>
      </w:r>
      <w:r>
        <w:rPr>
          <w:rFonts w:hint="eastAsia"/>
        </w:rPr>
        <w:t>若非吾人所樂見，從各種角度與層面比較衡量，自有其必要性。</w:t>
      </w:r>
      <w:r>
        <w:rPr>
          <w:rStyle w:val="ae"/>
        </w:rPr>
        <w:footnoteReference w:id="14"/>
      </w:r>
      <w:r>
        <w:rPr>
          <w:rFonts w:hint="eastAsia"/>
        </w:rPr>
        <w:t>」</w:t>
      </w:r>
    </w:p>
    <w:p w:rsidR="00000000" w:rsidRDefault="00CA6A31">
      <w:pPr>
        <w:pStyle w:val="22"/>
        <w:spacing w:line="480" w:lineRule="auto"/>
        <w:rPr>
          <w:rFonts w:hint="eastAsia"/>
        </w:rPr>
      </w:pPr>
      <w:r>
        <w:rPr>
          <w:rFonts w:hint="eastAsia"/>
        </w:rPr>
        <w:t>即使在德國，經過職務安定原則與基本權保障的權衡，若為了避免造成行政功能運作的危險，經考量可能因素，在無其他更加選擇時，自服公職基本權，並基於憲法保障的最佳選擇義務違反而進一步導出損害賠償之訴（</w:t>
      </w:r>
      <w:r>
        <w:rPr>
          <w:rFonts w:eastAsia="MS Mincho"/>
        </w:rPr>
        <w:t>Schadensersatzklage</w:t>
      </w:r>
      <w:r>
        <w:rPr>
          <w:rFonts w:hint="eastAsia"/>
        </w:rPr>
        <w:t>）</w:t>
      </w:r>
      <w:r>
        <w:rPr>
          <w:rStyle w:val="ae"/>
        </w:rPr>
        <w:footnoteReference w:id="15"/>
      </w:r>
      <w:r>
        <w:rPr>
          <w:rFonts w:hint="eastAsia"/>
        </w:rPr>
        <w:t>，或者僅容許公務人員請求損害賠償或訴請確認陞遷任命行為具違法性也是一種適當的考量</w:t>
      </w:r>
      <w:r>
        <w:rPr>
          <w:rStyle w:val="ae"/>
        </w:rPr>
        <w:footnoteReference w:id="16"/>
      </w:r>
      <w:r>
        <w:rPr>
          <w:rFonts w:hint="eastAsia"/>
        </w:rPr>
        <w:t>。</w:t>
      </w:r>
    </w:p>
    <w:p w:rsidR="00000000" w:rsidRDefault="00CA6A31">
      <w:pPr>
        <w:pStyle w:val="22"/>
        <w:spacing w:line="480" w:lineRule="auto"/>
        <w:rPr>
          <w:rFonts w:hint="eastAsia"/>
        </w:rPr>
      </w:pPr>
      <w:r>
        <w:rPr>
          <w:rFonts w:hint="eastAsia"/>
        </w:rPr>
        <w:t>這種將原有的撤銷陞遷決定的請求轉換成為違法確認或者損害賠償請求，並不會抵觸憲法上有效權利救濟（</w:t>
      </w:r>
      <w:r>
        <w:t>Gebot des effektiv</w:t>
      </w:r>
      <w:r>
        <w:t>en Rechtsschutzes</w:t>
      </w:r>
      <w:r>
        <w:rPr>
          <w:rFonts w:hint="eastAsia"/>
        </w:rPr>
        <w:t>）的要求。此一憲法要求並不保障人民提起特定的訴訟類型、獲得特定判決形式或者權利保障的形式。這毋寧屬於立法者的形成空間。憲法訴訟權保障的其實在於，所有影響人民基本權利的高權行為或措施都可以透過某一種有效權利保護的司法途徑加以審查</w:t>
      </w:r>
      <w:r>
        <w:rPr>
          <w:rStyle w:val="ae"/>
        </w:rPr>
        <w:footnoteReference w:id="17"/>
      </w:r>
      <w:r>
        <w:rPr>
          <w:rFonts w:hint="eastAsia"/>
        </w:rPr>
        <w:t>。所以並非所有的公務人員爭訟案件都必須透過撤銷訴訟才算是滿足訴訟權保障的要求。在爭訟案件的特殊性考量下，容許公務人員提起損害賠償之訴</w:t>
      </w:r>
      <w:r>
        <w:rPr>
          <w:rFonts w:hint="eastAsia"/>
        </w:rPr>
        <w:lastRenderedPageBreak/>
        <w:t>也可滿足有效權利救濟的憲法要求</w:t>
      </w:r>
      <w:r>
        <w:rPr>
          <w:rStyle w:val="ae"/>
        </w:rPr>
        <w:footnoteReference w:id="18"/>
      </w:r>
      <w:r>
        <w:rPr>
          <w:rFonts w:hint="eastAsia"/>
        </w:rPr>
        <w:t>。</w:t>
      </w:r>
    </w:p>
    <w:p w:rsidR="00CA6A31" w:rsidRDefault="00CA6A31">
      <w:pPr>
        <w:pStyle w:val="22"/>
        <w:spacing w:line="480" w:lineRule="auto"/>
        <w:rPr>
          <w:rFonts w:ascii="標楷體" w:eastAsia="標楷體" w:hAnsi="標楷體" w:hint="eastAsia"/>
          <w:sz w:val="32"/>
        </w:rPr>
      </w:pPr>
      <w:r>
        <w:rPr>
          <w:rFonts w:hint="eastAsia"/>
        </w:rPr>
        <w:t>相反地，倘若貿然撤銷原處分，致勝訴之公務人員確實已無職缺可供回復（他人已任命完成）</w:t>
      </w:r>
      <w:r>
        <w:rPr>
          <w:rFonts w:hint="eastAsia"/>
        </w:rPr>
        <w:t>，這種勝訴判決不僅可能毫無實益，同時也可能進一步波及其他公務人員已完成的任命。倘他人亦因信賴保護之故，其任命不應予以撤銷或廢止，同一職缺如何安置兩人，恐怕是裁判時，未予以深究之處</w:t>
      </w:r>
      <w:r>
        <w:rPr>
          <w:rStyle w:val="ae"/>
        </w:rPr>
        <w:footnoteReference w:id="19"/>
      </w:r>
      <w:r>
        <w:rPr>
          <w:rFonts w:hint="eastAsia"/>
        </w:rPr>
        <w:t>。</w:t>
      </w:r>
    </w:p>
    <w:sectPr w:rsidR="00CA6A31">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31" w:rsidRDefault="00CA6A31">
      <w:r>
        <w:separator/>
      </w:r>
    </w:p>
  </w:endnote>
  <w:endnote w:type="continuationSeparator" w:id="0">
    <w:p w:rsidR="00CA6A31" w:rsidRDefault="00C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6A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CA6A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6A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1A51">
      <w:rPr>
        <w:rStyle w:val="a7"/>
        <w:noProof/>
      </w:rPr>
      <w:t>9</w:t>
    </w:r>
    <w:r>
      <w:rPr>
        <w:rStyle w:val="a7"/>
      </w:rPr>
      <w:fldChar w:fldCharType="end"/>
    </w:r>
  </w:p>
  <w:p w:rsidR="00000000" w:rsidRDefault="00CA6A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31" w:rsidRDefault="00CA6A31">
      <w:pPr>
        <w:snapToGrid w:val="0"/>
        <w:spacing w:beforeLines="50" w:before="120" w:afterLines="50" w:after="120" w:line="360" w:lineRule="auto"/>
      </w:pPr>
      <w:r>
        <w:separator/>
      </w:r>
    </w:p>
  </w:footnote>
  <w:footnote w:type="continuationSeparator" w:id="0">
    <w:p w:rsidR="00CA6A31" w:rsidRDefault="00CA6A31">
      <w:pPr>
        <w:snapToGrid w:val="0"/>
        <w:spacing w:beforeLines="50" w:before="120" w:afterLines="50" w:after="120" w:line="360" w:lineRule="auto"/>
      </w:pPr>
      <w:r>
        <w:continuationSeparator/>
      </w:r>
    </w:p>
  </w:footnote>
  <w:footnote w:id="1">
    <w:p w:rsidR="00000000" w:rsidRDefault="00CA6A31">
      <w:pPr>
        <w:pStyle w:val="ad"/>
        <w:spacing w:line="360" w:lineRule="auto"/>
        <w:jc w:val="both"/>
        <w:rPr>
          <w:lang w:val="de-DE"/>
        </w:rPr>
      </w:pPr>
      <w:r>
        <w:rPr>
          <w:rStyle w:val="ae"/>
        </w:rPr>
        <w:footnoteRef/>
      </w:r>
      <w:r>
        <w:rPr>
          <w:lang w:val="de-DE"/>
        </w:rPr>
        <w:t xml:space="preserve"> Vgl. Uwe Kernbach, </w:t>
      </w:r>
      <w:r>
        <w:rPr>
          <w:rFonts w:hint="eastAsia"/>
          <w:bCs/>
          <w:iCs/>
          <w:color w:val="0000FF"/>
          <w:lang w:val="de-DE"/>
        </w:rPr>
        <w:t>a.a.O.(Anm. 46)</w:t>
      </w:r>
      <w:r>
        <w:rPr>
          <w:lang w:val="de-DE"/>
        </w:rPr>
        <w:t>, S. 169.</w:t>
      </w:r>
    </w:p>
  </w:footnote>
  <w:footnote w:id="2">
    <w:p w:rsidR="00000000" w:rsidRDefault="00CA6A31">
      <w:pPr>
        <w:pStyle w:val="ad"/>
        <w:spacing w:line="360" w:lineRule="auto"/>
        <w:ind w:left="200" w:hanging="200"/>
        <w:jc w:val="both"/>
      </w:pPr>
      <w:r>
        <w:rPr>
          <w:rStyle w:val="ae"/>
        </w:rPr>
        <w:footnoteRef/>
      </w:r>
      <w:r>
        <w:rPr>
          <w:kern w:val="0"/>
          <w:lang w:val="de-DE"/>
        </w:rPr>
        <w:t xml:space="preserve"> </w:t>
      </w:r>
      <w:r>
        <w:rPr>
          <w:rFonts w:hAnsi="新細明體"/>
          <w:kern w:val="0"/>
        </w:rPr>
        <w:t>身分法上職務或</w:t>
      </w:r>
      <w:r>
        <w:rPr>
          <w:rFonts w:hAnsi="新細明體"/>
        </w:rPr>
        <w:t>地位法上的公務員職務原則上是透過官、職等的分類</w:t>
      </w:r>
      <w:r>
        <w:rPr>
          <w:rFonts w:hAnsi="新細明體"/>
          <w:lang w:val="de-DE"/>
        </w:rPr>
        <w:t>（</w:t>
      </w:r>
      <w:r>
        <w:rPr>
          <w:lang w:val="de-DE"/>
        </w:rPr>
        <w:t>die Zugehörigkeit zu einer Laufbahn und Laufbahngruppe</w:t>
      </w:r>
      <w:r>
        <w:rPr>
          <w:rFonts w:hAnsi="新細明體"/>
          <w:lang w:val="de-DE"/>
        </w:rPr>
        <w:t>）</w:t>
      </w:r>
      <w:r>
        <w:rPr>
          <w:rFonts w:hAnsi="新細明體"/>
        </w:rPr>
        <w:t>、俸級的基本俸給</w:t>
      </w:r>
      <w:r>
        <w:rPr>
          <w:rFonts w:hAnsi="新細明體"/>
          <w:lang w:val="de-DE"/>
        </w:rPr>
        <w:t>（</w:t>
      </w:r>
      <w:r>
        <w:rPr>
          <w:lang w:val="de-DE"/>
        </w:rPr>
        <w:t>das Endgrundgehalt de</w:t>
      </w:r>
      <w:r>
        <w:rPr>
          <w:lang w:val="de-DE"/>
        </w:rPr>
        <w:t>r Besoldungsgruppe</w:t>
      </w:r>
      <w:r>
        <w:rPr>
          <w:rFonts w:hAnsi="新細明體"/>
          <w:lang w:val="de-DE"/>
        </w:rPr>
        <w:t>）</w:t>
      </w:r>
      <w:r>
        <w:rPr>
          <w:rFonts w:hAnsi="新細明體"/>
        </w:rPr>
        <w:t>以及賦與公務員的官銜</w:t>
      </w:r>
      <w:r>
        <w:rPr>
          <w:rFonts w:hAnsi="新細明體"/>
          <w:lang w:val="de-DE"/>
        </w:rPr>
        <w:t>（</w:t>
      </w:r>
      <w:r>
        <w:rPr>
          <w:lang w:val="de-DE"/>
        </w:rPr>
        <w:t>Amtsbezeichnung</w:t>
      </w:r>
      <w:r>
        <w:rPr>
          <w:rFonts w:hAnsi="新細明體"/>
          <w:lang w:val="de-DE"/>
        </w:rPr>
        <w:t>）</w:t>
      </w:r>
      <w:r>
        <w:rPr>
          <w:rFonts w:hAnsi="新細明體"/>
        </w:rPr>
        <w:t>加以認定。地位法上的公務員職務首先透過「任命（</w:t>
      </w:r>
      <w:r>
        <w:t>Ernennung</w:t>
      </w:r>
      <w:r>
        <w:rPr>
          <w:rFonts w:hAnsi="新細明體"/>
        </w:rPr>
        <w:t>）」賦予，其後之變動僅得透過「陞遷（</w:t>
      </w:r>
      <w:r>
        <w:t>Beförderung</w:t>
      </w:r>
      <w:r>
        <w:rPr>
          <w:rFonts w:hAnsi="新細明體"/>
        </w:rPr>
        <w:t>）」或透過懲戒程序的降級（</w:t>
      </w:r>
      <w:r>
        <w:t>Degradierung</w:t>
      </w:r>
      <w:r>
        <w:rPr>
          <w:rFonts w:hAnsi="新細明體"/>
        </w:rPr>
        <w:t>）為之。因此若是官等、職等或俸級的變動便屬「地位法上的公務員</w:t>
      </w:r>
      <w:r>
        <w:rPr>
          <w:rFonts w:hAnsi="新細明體"/>
          <w:color w:val="000000"/>
        </w:rPr>
        <w:t>職務」之變動。</w:t>
      </w:r>
    </w:p>
  </w:footnote>
  <w:footnote w:id="3">
    <w:p w:rsidR="00000000" w:rsidRDefault="00CA6A31">
      <w:pPr>
        <w:pStyle w:val="ad"/>
        <w:spacing w:line="360" w:lineRule="auto"/>
        <w:ind w:left="200" w:hanging="200"/>
        <w:jc w:val="both"/>
        <w:rPr>
          <w:lang w:val="de-DE"/>
        </w:rPr>
      </w:pPr>
      <w:r>
        <w:rPr>
          <w:rStyle w:val="ae"/>
        </w:rPr>
        <w:footnoteRef/>
      </w:r>
      <w:r>
        <w:rPr>
          <w:lang w:val="de-DE"/>
        </w:rPr>
        <w:t xml:space="preserve"> BVerfGE 7, 155, 163; 70, 251, 267 ff.</w:t>
      </w:r>
    </w:p>
  </w:footnote>
  <w:footnote w:id="4">
    <w:p w:rsidR="00000000" w:rsidRDefault="00CA6A31">
      <w:pPr>
        <w:pStyle w:val="ad"/>
        <w:spacing w:line="360" w:lineRule="auto"/>
        <w:ind w:left="200" w:hanging="200"/>
        <w:jc w:val="both"/>
        <w:rPr>
          <w:color w:val="FF0000"/>
          <w:lang w:val="de-DE"/>
        </w:rPr>
      </w:pPr>
      <w:r>
        <w:rPr>
          <w:rStyle w:val="ae"/>
          <w:color w:val="FF0000"/>
        </w:rPr>
        <w:footnoteRef/>
      </w:r>
      <w:r>
        <w:rPr>
          <w:color w:val="FF0000"/>
          <w:lang w:val="de-DE"/>
        </w:rPr>
        <w:t xml:space="preserve"> Vgl. P</w:t>
      </w:r>
      <w:r>
        <w:rPr>
          <w:rFonts w:hint="eastAsia"/>
          <w:color w:val="FF0000"/>
          <w:lang w:val="de-DE"/>
        </w:rPr>
        <w:t>.-</w:t>
      </w:r>
      <w:r>
        <w:rPr>
          <w:color w:val="FF0000"/>
          <w:lang w:val="de-DE"/>
        </w:rPr>
        <w:t xml:space="preserve"> M</w:t>
      </w:r>
      <w:r>
        <w:rPr>
          <w:rFonts w:hint="eastAsia"/>
          <w:color w:val="FF0000"/>
          <w:lang w:val="de-DE"/>
        </w:rPr>
        <w:t>.</w:t>
      </w:r>
      <w:r>
        <w:rPr>
          <w:color w:val="FF0000"/>
          <w:lang w:val="de-DE"/>
        </w:rPr>
        <w:t xml:space="preserve"> Huber, </w:t>
      </w:r>
      <w:r>
        <w:rPr>
          <w:rFonts w:hint="eastAsia"/>
          <w:color w:val="FF0000"/>
          <w:lang w:val="de-DE"/>
        </w:rPr>
        <w:t>in: v. Mangoldt/ Klein/ S</w:t>
      </w:r>
      <w:r>
        <w:rPr>
          <w:rFonts w:hint="eastAsia"/>
          <w:color w:val="FF0000"/>
          <w:lang w:val="de-DE"/>
        </w:rPr>
        <w:t>tarck (Hg.), GG, Bd.1</w:t>
      </w:r>
      <w:r>
        <w:rPr>
          <w:color w:val="FF0000"/>
          <w:lang w:val="de-DE"/>
        </w:rPr>
        <w:t>.,</w:t>
      </w:r>
      <w:r>
        <w:rPr>
          <w:rFonts w:hint="eastAsia"/>
          <w:color w:val="FF0000"/>
          <w:lang w:val="de-DE"/>
        </w:rPr>
        <w:t xml:space="preserve"> 4. Aufl., 1999, </w:t>
      </w:r>
      <w:r>
        <w:rPr>
          <w:color w:val="FF0000"/>
          <w:lang w:val="de-DE"/>
        </w:rPr>
        <w:t>Art. 19 Rn. 469.</w:t>
      </w:r>
    </w:p>
  </w:footnote>
  <w:footnote w:id="5">
    <w:p w:rsidR="00000000" w:rsidRDefault="00CA6A31">
      <w:pPr>
        <w:pStyle w:val="ad"/>
        <w:spacing w:line="360" w:lineRule="auto"/>
        <w:ind w:left="200" w:hanging="200"/>
        <w:jc w:val="both"/>
        <w:rPr>
          <w:lang w:val="de-DE"/>
        </w:rPr>
      </w:pPr>
      <w:r>
        <w:rPr>
          <w:rStyle w:val="ae"/>
        </w:rPr>
        <w:footnoteRef/>
      </w:r>
      <w:r>
        <w:rPr>
          <w:lang w:val="de-DE"/>
        </w:rPr>
        <w:t xml:space="preserve"> </w:t>
      </w:r>
      <w:r>
        <w:rPr>
          <w:rFonts w:hAnsi="新細明體"/>
        </w:rPr>
        <w:t>參考</w:t>
      </w:r>
      <w:r>
        <w:rPr>
          <w:rFonts w:hAnsi="新細明體"/>
          <w:lang w:val="de-DE"/>
        </w:rPr>
        <w:t>，</w:t>
      </w:r>
      <w:r>
        <w:rPr>
          <w:rFonts w:hAnsi="新細明體"/>
        </w:rPr>
        <w:t>李惠宗</w:t>
      </w:r>
      <w:r>
        <w:rPr>
          <w:rFonts w:hAnsi="新細明體"/>
          <w:lang w:val="de-DE"/>
        </w:rPr>
        <w:t>，</w:t>
      </w:r>
      <w:r>
        <w:rPr>
          <w:rFonts w:hAnsi="新細明體"/>
        </w:rPr>
        <w:t>「從基本權功能論司法獨立與訴訟基本權之保障」</w:t>
      </w:r>
      <w:r>
        <w:rPr>
          <w:rFonts w:hAnsi="新細明體"/>
          <w:lang w:val="de-DE"/>
        </w:rPr>
        <w:t>，</w:t>
      </w:r>
      <w:r>
        <w:rPr>
          <w:rFonts w:hAnsi="新細明體"/>
        </w:rPr>
        <w:t>同作者</w:t>
      </w:r>
      <w:r>
        <w:rPr>
          <w:rFonts w:hAnsi="新細明體"/>
          <w:lang w:val="de-DE"/>
        </w:rPr>
        <w:t>，</w:t>
      </w:r>
      <w:r>
        <w:rPr>
          <w:rFonts w:hAnsi="新細明體"/>
        </w:rPr>
        <w:t>權利分立與基本權保障</w:t>
      </w:r>
      <w:r>
        <w:rPr>
          <w:rFonts w:hAnsi="新細明體"/>
          <w:lang w:val="de-DE"/>
        </w:rPr>
        <w:t>，</w:t>
      </w:r>
      <w:r>
        <w:rPr>
          <w:lang w:val="de-DE"/>
        </w:rPr>
        <w:t>1999</w:t>
      </w:r>
      <w:r>
        <w:rPr>
          <w:rFonts w:hAnsi="新細明體"/>
          <w:lang w:val="de-DE"/>
        </w:rPr>
        <w:t>，</w:t>
      </w:r>
      <w:r>
        <w:rPr>
          <w:rFonts w:hAnsi="新細明體"/>
        </w:rPr>
        <w:t>頁</w:t>
      </w:r>
      <w:r>
        <w:rPr>
          <w:lang w:val="de-DE"/>
        </w:rPr>
        <w:t>253</w:t>
      </w:r>
      <w:r>
        <w:rPr>
          <w:rFonts w:hAnsi="新細明體"/>
          <w:lang w:val="de-DE"/>
        </w:rPr>
        <w:t>；</w:t>
      </w:r>
      <w:r>
        <w:rPr>
          <w:bCs/>
          <w:iCs/>
          <w:lang w:val="de-DE"/>
        </w:rPr>
        <w:t xml:space="preserve">Eberhard Schmidt-Aßmann, in: Theoder Maunz/ Günter Dürig/ Roman Herzog/ Rupert Scholz (Hrsg.), </w:t>
      </w:r>
      <w:r>
        <w:rPr>
          <w:lang w:val="de-DE"/>
        </w:rPr>
        <w:t>Grundgesetz, Stand: 1997, Art. 19 IV Rn. 278.</w:t>
      </w:r>
    </w:p>
  </w:footnote>
  <w:footnote w:id="6">
    <w:p w:rsidR="00000000" w:rsidRDefault="00CA6A31">
      <w:pPr>
        <w:pStyle w:val="ad"/>
        <w:spacing w:line="360" w:lineRule="auto"/>
        <w:ind w:left="200" w:hanging="200"/>
        <w:jc w:val="both"/>
        <w:rPr>
          <w:color w:val="FF0000"/>
          <w:lang w:val="de-DE"/>
        </w:rPr>
      </w:pPr>
      <w:r>
        <w:rPr>
          <w:rStyle w:val="ae"/>
          <w:color w:val="FF0000"/>
        </w:rPr>
        <w:footnoteRef/>
      </w:r>
      <w:r>
        <w:rPr>
          <w:color w:val="FF0000"/>
          <w:lang w:val="de-DE"/>
        </w:rPr>
        <w:t xml:space="preserve"> Vgl. Hartmut Krüger, </w:t>
      </w:r>
      <w:r>
        <w:rPr>
          <w:rFonts w:hint="eastAsia"/>
          <w:color w:val="FF0000"/>
          <w:lang w:val="de-DE"/>
        </w:rPr>
        <w:t>in: Sachs (Hrsg.), GG, 2. Aufl., 1999,</w:t>
      </w:r>
      <w:r>
        <w:rPr>
          <w:color w:val="FF0000"/>
          <w:lang w:val="de-DE"/>
        </w:rPr>
        <w:t>., Art. 19 Rn. 148.</w:t>
      </w:r>
    </w:p>
  </w:footnote>
  <w:footnote w:id="7">
    <w:p w:rsidR="00000000" w:rsidRDefault="00CA6A31">
      <w:pPr>
        <w:pStyle w:val="ad"/>
        <w:spacing w:line="360" w:lineRule="auto"/>
        <w:jc w:val="both"/>
        <w:rPr>
          <w:lang w:val="de-DE"/>
        </w:rPr>
      </w:pPr>
      <w:r>
        <w:rPr>
          <w:rStyle w:val="ae"/>
        </w:rPr>
        <w:footnoteRef/>
      </w:r>
      <w:r>
        <w:rPr>
          <w:lang w:val="de-DE"/>
        </w:rPr>
        <w:t xml:space="preserve"> </w:t>
      </w:r>
      <w:r>
        <w:rPr>
          <w:rFonts w:hAnsi="新細明體"/>
          <w:lang w:val="de-DE"/>
        </w:rPr>
        <w:t>大法官另於釋字第</w:t>
      </w:r>
      <w:r>
        <w:rPr>
          <w:lang w:val="de-DE"/>
        </w:rPr>
        <w:t>599</w:t>
      </w:r>
      <w:r>
        <w:rPr>
          <w:rFonts w:hAnsi="新細明體"/>
          <w:lang w:val="de-DE"/>
        </w:rPr>
        <w:t>號解釋中，針對大法官解釋的暫時性權利保障制度指出，「</w:t>
      </w:r>
      <w:r>
        <w:rPr>
          <w:rFonts w:hAnsi="新細明體"/>
          <w:color w:val="000000"/>
          <w:kern w:val="0"/>
        </w:rPr>
        <w:t>如因系爭憲法疑義或爭議狀態之持續、爭議法令之適用或原因案件裁判之執行，可能對人民基本權利、憲法基本原則或其他重大公益造成不可回復或難以回復之重大損害，而對損害之防止事實上具急迫必要性，且別無其他手段可資防免時，即得權衡作成暫時處分之利益與不作成暫時處分之不利益，並於利益顯然</w:t>
      </w:r>
      <w:r>
        <w:rPr>
          <w:rFonts w:hAnsi="新細明體"/>
          <w:color w:val="000000"/>
          <w:kern w:val="0"/>
        </w:rPr>
        <w:t>大於不利益時，依聲請人之聲請，於本案解釋前作成暫時處分以定暫時狀態</w:t>
      </w:r>
      <w:r>
        <w:rPr>
          <w:rFonts w:hAnsi="新細明體"/>
          <w:lang w:val="de-DE"/>
        </w:rPr>
        <w:t>」。</w:t>
      </w:r>
    </w:p>
  </w:footnote>
  <w:footnote w:id="8">
    <w:p w:rsidR="00000000" w:rsidRDefault="00CA6A31">
      <w:pPr>
        <w:pStyle w:val="ad"/>
        <w:spacing w:line="360" w:lineRule="auto"/>
        <w:ind w:left="200" w:hanging="200"/>
        <w:jc w:val="both"/>
        <w:rPr>
          <w:lang w:val="de-DE"/>
        </w:rPr>
      </w:pPr>
      <w:r>
        <w:rPr>
          <w:rStyle w:val="ae"/>
        </w:rPr>
        <w:footnoteRef/>
      </w:r>
      <w:r>
        <w:rPr>
          <w:lang w:val="de-DE"/>
        </w:rPr>
        <w:t xml:space="preserve"> Vgl. Schoch, in: Schoch/Schmidt-Aßmann/Pietzner (Hrsg.), Verwaltungsgerichtsord</w:t>
      </w:r>
      <w:r>
        <w:rPr>
          <w:lang w:val="de-DE"/>
        </w:rPr>
        <w:softHyphen/>
        <w:t>nung Kom</w:t>
      </w:r>
      <w:r>
        <w:rPr>
          <w:lang w:val="de-DE"/>
        </w:rPr>
        <w:softHyphen/>
        <w:t>mentar, Vorb. § 80 Rn. 34 f. (Stand: Jan. 2003).</w:t>
      </w:r>
    </w:p>
  </w:footnote>
  <w:footnote w:id="9">
    <w:p w:rsidR="00000000" w:rsidRDefault="00CA6A31">
      <w:pPr>
        <w:pStyle w:val="ad"/>
        <w:spacing w:line="360" w:lineRule="auto"/>
        <w:ind w:left="200" w:hanging="200"/>
        <w:jc w:val="both"/>
        <w:rPr>
          <w:rFonts w:hint="eastAsia"/>
          <w:lang w:val="de-DE"/>
        </w:rPr>
      </w:pPr>
      <w:r>
        <w:rPr>
          <w:rStyle w:val="ae"/>
        </w:rPr>
        <w:footnoteRef/>
      </w:r>
      <w:r>
        <w:rPr>
          <w:lang w:val="de-DE"/>
        </w:rPr>
        <w:t xml:space="preserve"> </w:t>
      </w:r>
      <w:r>
        <w:rPr>
          <w:rFonts w:hAnsi="新細明體"/>
        </w:rPr>
        <w:t>參考</w:t>
      </w:r>
      <w:r>
        <w:rPr>
          <w:rFonts w:hAnsi="新細明體"/>
          <w:lang w:val="de-DE"/>
        </w:rPr>
        <w:t>，</w:t>
      </w:r>
      <w:r>
        <w:rPr>
          <w:rFonts w:hAnsi="新細明體"/>
        </w:rPr>
        <w:t>林明昕</w:t>
      </w:r>
      <w:r>
        <w:rPr>
          <w:rFonts w:hAnsi="新細明體"/>
          <w:lang w:val="de-DE"/>
        </w:rPr>
        <w:t>，</w:t>
      </w:r>
      <w:r>
        <w:rPr>
          <w:rFonts w:hAnsi="新細明體"/>
        </w:rPr>
        <w:t>「論大法官釋憲程序之改革</w:t>
      </w:r>
      <w:r>
        <w:rPr>
          <w:lang w:val="de-DE"/>
        </w:rPr>
        <w:t xml:space="preserve"> — </w:t>
      </w:r>
      <w:r>
        <w:rPr>
          <w:rFonts w:hAnsi="新細明體"/>
        </w:rPr>
        <w:t>兼評司法院大法官審理案件法修正草案」</w:t>
      </w:r>
      <w:r>
        <w:rPr>
          <w:rFonts w:hAnsi="新細明體"/>
          <w:lang w:val="de-DE"/>
        </w:rPr>
        <w:t>，</w:t>
      </w:r>
      <w:r>
        <w:t>中央研究院中山人文社會科學研究所主辦，第四屆「憲法</w:t>
      </w:r>
      <w:r>
        <w:rPr>
          <w:rFonts w:hint="eastAsia"/>
        </w:rPr>
        <w:t>解釋之理論與實務」學術研</w:t>
      </w:r>
      <w:r>
        <w:rPr>
          <w:rFonts w:hint="eastAsia"/>
        </w:rPr>
        <w:t>討會論文，</w:t>
      </w:r>
      <w:r>
        <w:rPr>
          <w:rFonts w:hint="eastAsia"/>
        </w:rPr>
        <w:t>2003.9.26/27</w:t>
      </w:r>
      <w:r>
        <w:rPr>
          <w:rFonts w:hint="eastAsia"/>
        </w:rPr>
        <w:t>。</w:t>
      </w:r>
    </w:p>
  </w:footnote>
  <w:footnote w:id="10">
    <w:p w:rsidR="00000000" w:rsidRDefault="00CA6A31">
      <w:pPr>
        <w:pStyle w:val="ad"/>
        <w:spacing w:line="360" w:lineRule="auto"/>
        <w:ind w:left="200" w:hanging="200"/>
        <w:jc w:val="both"/>
        <w:rPr>
          <w:lang w:val="de-DE"/>
        </w:rPr>
      </w:pPr>
      <w:r>
        <w:rPr>
          <w:rStyle w:val="ae"/>
        </w:rPr>
        <w:footnoteRef/>
      </w:r>
      <w:r>
        <w:rPr>
          <w:lang w:val="de-DE"/>
        </w:rPr>
        <w:t xml:space="preserve"> Vgl.BVerfG (Kammer) vom 29.7.2003 – 2 BvR 311/ 03 – Rn. 16.</w:t>
      </w:r>
    </w:p>
  </w:footnote>
  <w:footnote w:id="11">
    <w:p w:rsidR="00000000" w:rsidRDefault="00CA6A31">
      <w:pPr>
        <w:pStyle w:val="ad"/>
        <w:spacing w:line="360" w:lineRule="auto"/>
        <w:ind w:left="200" w:hanging="200"/>
        <w:jc w:val="both"/>
        <w:rPr>
          <w:lang w:val="de-DE"/>
        </w:rPr>
      </w:pPr>
      <w:r>
        <w:rPr>
          <w:rStyle w:val="ae"/>
        </w:rPr>
        <w:footnoteRef/>
      </w:r>
      <w:r>
        <w:rPr>
          <w:lang w:val="de-DE"/>
        </w:rPr>
        <w:t xml:space="preserve"> Vgl. Wernsmann, DVBl. 2005, 280.</w:t>
      </w:r>
    </w:p>
  </w:footnote>
  <w:footnote w:id="12">
    <w:p w:rsidR="00000000" w:rsidRDefault="00CA6A31">
      <w:pPr>
        <w:pStyle w:val="ad"/>
        <w:spacing w:line="360" w:lineRule="auto"/>
        <w:jc w:val="both"/>
        <w:rPr>
          <w:lang w:val="de-DE"/>
        </w:rPr>
      </w:pPr>
      <w:r>
        <w:rPr>
          <w:rStyle w:val="ae"/>
        </w:rPr>
        <w:footnoteRef/>
      </w:r>
      <w:r>
        <w:rPr>
          <w:lang w:val="de-DE"/>
        </w:rPr>
        <w:t xml:space="preserve"> </w:t>
      </w:r>
      <w:r>
        <w:rPr>
          <w:rFonts w:hAnsi="新細明體"/>
          <w:lang w:val="de-DE"/>
        </w:rPr>
        <w:t>行政訴訟法第</w:t>
      </w:r>
      <w:r>
        <w:rPr>
          <w:lang w:val="de-DE"/>
        </w:rPr>
        <w:t>299</w:t>
      </w:r>
      <w:r>
        <w:rPr>
          <w:rFonts w:hAnsi="新細明體"/>
          <w:lang w:val="de-DE"/>
        </w:rPr>
        <w:t>條規定：「關於行政機關之行政處分，不得為前條之假處分。」應限縮適用於撤銷訴訟而已。</w:t>
      </w:r>
    </w:p>
  </w:footnote>
  <w:footnote w:id="13">
    <w:p w:rsidR="00000000" w:rsidRDefault="00CA6A31">
      <w:pPr>
        <w:pStyle w:val="ad"/>
        <w:spacing w:line="360" w:lineRule="auto"/>
        <w:jc w:val="both"/>
      </w:pPr>
      <w:r>
        <w:rPr>
          <w:rStyle w:val="ae"/>
        </w:rPr>
        <w:footnoteRef/>
      </w:r>
      <w:r>
        <w:rPr>
          <w:lang w:val="de-DE"/>
        </w:rPr>
        <w:t xml:space="preserve"> Vgl. Uwe Kernbach, </w:t>
      </w:r>
      <w:r>
        <w:rPr>
          <w:rFonts w:hint="eastAsia"/>
          <w:bCs/>
          <w:iCs/>
          <w:color w:val="0000FF"/>
          <w:lang w:val="de-DE"/>
        </w:rPr>
        <w:t>a.a.O.(Anm. 46)</w:t>
      </w:r>
      <w:r>
        <w:rPr>
          <w:lang w:val="de-DE"/>
        </w:rPr>
        <w:t>, S. 172.</w:t>
      </w:r>
    </w:p>
  </w:footnote>
  <w:footnote w:id="14">
    <w:p w:rsidR="00000000" w:rsidRDefault="00CA6A31">
      <w:pPr>
        <w:pStyle w:val="ad"/>
        <w:spacing w:line="360" w:lineRule="auto"/>
        <w:rPr>
          <w:rFonts w:hint="eastAsia"/>
        </w:rPr>
      </w:pPr>
      <w:r>
        <w:rPr>
          <w:rStyle w:val="ae"/>
        </w:rPr>
        <w:footnoteRef/>
      </w:r>
      <w:r>
        <w:t xml:space="preserve"> </w:t>
      </w:r>
      <w:r>
        <w:rPr>
          <w:rFonts w:hint="eastAsia"/>
        </w:rPr>
        <w:t>引自，汪渡村</w:t>
      </w:r>
      <w:r>
        <w:rPr>
          <w:rFonts w:hint="eastAsia"/>
        </w:rPr>
        <w:t>/</w:t>
      </w:r>
      <w:r>
        <w:rPr>
          <w:rFonts w:hint="eastAsia"/>
        </w:rPr>
        <w:t>陳世民</w:t>
      </w:r>
      <w:r>
        <w:rPr>
          <w:rFonts w:hint="eastAsia"/>
        </w:rPr>
        <w:t>/</w:t>
      </w:r>
      <w:r>
        <w:rPr>
          <w:rFonts w:hint="eastAsia"/>
        </w:rPr>
        <w:t>林素鳳，行政訴訟法修正後諸原則之探討，台灣省訴願會委託研</w:t>
      </w:r>
      <w:r>
        <w:rPr>
          <w:rFonts w:hint="eastAsia"/>
        </w:rPr>
        <w:t>究，</w:t>
      </w:r>
      <w:r>
        <w:rPr>
          <w:rFonts w:hint="eastAsia"/>
        </w:rPr>
        <w:t>1999.5.31</w:t>
      </w:r>
      <w:r>
        <w:rPr>
          <w:rFonts w:hint="eastAsia"/>
        </w:rPr>
        <w:t>，頁</w:t>
      </w:r>
      <w:r>
        <w:rPr>
          <w:rFonts w:hint="eastAsia"/>
        </w:rPr>
        <w:t>24</w:t>
      </w:r>
      <w:r>
        <w:rPr>
          <w:rFonts w:hint="eastAsia"/>
        </w:rPr>
        <w:t>以下。</w:t>
      </w:r>
    </w:p>
  </w:footnote>
  <w:footnote w:id="15">
    <w:p w:rsidR="00000000" w:rsidRDefault="00CA6A31">
      <w:pPr>
        <w:pStyle w:val="ad"/>
        <w:spacing w:line="360" w:lineRule="auto"/>
        <w:rPr>
          <w:rFonts w:eastAsia="MS Mincho"/>
          <w:lang w:val="de-DE" w:eastAsia="ja-JP"/>
        </w:rPr>
      </w:pPr>
      <w:r>
        <w:rPr>
          <w:rStyle w:val="ae"/>
        </w:rPr>
        <w:footnoteRef/>
      </w:r>
      <w:r>
        <w:rPr>
          <w:lang w:val="de-DE"/>
        </w:rPr>
        <w:t xml:space="preserve"> </w:t>
      </w:r>
      <w:r>
        <w:rPr>
          <w:rFonts w:eastAsia="MS Mincho"/>
          <w:lang w:val="de-DE" w:eastAsia="ja-JP"/>
        </w:rPr>
        <w:t>Vgl. Helmut Schnellenbach, Beamtenrecht in der Praxis, 5. Aufl., 2001, Rn. 69.</w:t>
      </w:r>
    </w:p>
  </w:footnote>
  <w:footnote w:id="16">
    <w:p w:rsidR="00000000" w:rsidRDefault="00CA6A31">
      <w:pPr>
        <w:pStyle w:val="ad"/>
        <w:spacing w:line="360" w:lineRule="auto"/>
        <w:jc w:val="both"/>
        <w:rPr>
          <w:lang w:val="de-DE"/>
        </w:rPr>
      </w:pPr>
      <w:r>
        <w:rPr>
          <w:rStyle w:val="ae"/>
        </w:rPr>
        <w:footnoteRef/>
      </w:r>
      <w:r>
        <w:rPr>
          <w:lang w:val="de-DE"/>
        </w:rPr>
        <w:t xml:space="preserve"> Vgl. Uwe Kernbach, </w:t>
      </w:r>
      <w:r>
        <w:rPr>
          <w:rFonts w:hint="eastAsia"/>
          <w:bCs/>
          <w:iCs/>
          <w:color w:val="0000FF"/>
          <w:lang w:val="de-DE"/>
        </w:rPr>
        <w:t>a.a.O.(Anm. 46)</w:t>
      </w:r>
      <w:r>
        <w:rPr>
          <w:lang w:val="de-DE"/>
        </w:rPr>
        <w:t>,</w:t>
      </w:r>
      <w:r>
        <w:rPr>
          <w:rFonts w:hint="eastAsia"/>
          <w:lang w:val="de-DE"/>
        </w:rPr>
        <w:t xml:space="preserve"> </w:t>
      </w:r>
      <w:r>
        <w:rPr>
          <w:lang w:val="de-DE"/>
        </w:rPr>
        <w:t>S. 171, 174.</w:t>
      </w:r>
    </w:p>
  </w:footnote>
  <w:footnote w:id="17">
    <w:p w:rsidR="00000000" w:rsidRDefault="00CA6A31">
      <w:pPr>
        <w:pStyle w:val="ad"/>
        <w:spacing w:line="360" w:lineRule="auto"/>
        <w:rPr>
          <w:lang w:val="de-DE"/>
        </w:rPr>
      </w:pPr>
      <w:r>
        <w:rPr>
          <w:rStyle w:val="ae"/>
        </w:rPr>
        <w:footnoteRef/>
      </w:r>
      <w:r>
        <w:t xml:space="preserve"> </w:t>
      </w:r>
      <w:r>
        <w:rPr>
          <w:lang w:val="de-DE"/>
        </w:rPr>
        <w:t>Vgl. Schoch, VerwArch. 82 (1991), 148.</w:t>
      </w:r>
    </w:p>
  </w:footnote>
  <w:footnote w:id="18">
    <w:p w:rsidR="00000000" w:rsidRDefault="00CA6A31">
      <w:pPr>
        <w:pStyle w:val="ad"/>
        <w:spacing w:line="360" w:lineRule="auto"/>
        <w:rPr>
          <w:lang w:val="de-DE"/>
        </w:rPr>
      </w:pPr>
      <w:r>
        <w:rPr>
          <w:rStyle w:val="ae"/>
        </w:rPr>
        <w:footnoteRef/>
      </w:r>
      <w:r>
        <w:t xml:space="preserve"> </w:t>
      </w:r>
      <w:r>
        <w:rPr>
          <w:lang w:val="de-DE"/>
        </w:rPr>
        <w:t>Vgl. BVerfG, B. v. 19.9.89, DVBl. 1989.</w:t>
      </w:r>
    </w:p>
  </w:footnote>
  <w:footnote w:id="19">
    <w:p w:rsidR="00000000" w:rsidRDefault="00CA6A31">
      <w:pPr>
        <w:pStyle w:val="ad"/>
        <w:spacing w:line="360" w:lineRule="auto"/>
        <w:jc w:val="both"/>
        <w:rPr>
          <w:lang w:val="de-DE"/>
        </w:rPr>
      </w:pPr>
      <w:r>
        <w:rPr>
          <w:rStyle w:val="ae"/>
        </w:rPr>
        <w:footnoteRef/>
      </w:r>
      <w:r>
        <w:rPr>
          <w:lang w:val="de-DE"/>
        </w:rPr>
        <w:t xml:space="preserve"> </w:t>
      </w:r>
      <w:r>
        <w:rPr>
          <w:rFonts w:hAnsi="新細明體"/>
          <w:lang w:val="de-DE"/>
        </w:rPr>
        <w:t>參考</w:t>
      </w:r>
      <w:r>
        <w:rPr>
          <w:rFonts w:hAnsi="新細明體"/>
          <w:kern w:val="0"/>
        </w:rPr>
        <w:t>臺北高等行政法院</w:t>
      </w:r>
      <w:r>
        <w:rPr>
          <w:kern w:val="0"/>
        </w:rPr>
        <w:t>91</w:t>
      </w:r>
      <w:r>
        <w:rPr>
          <w:rFonts w:hAnsi="新細明體"/>
          <w:kern w:val="0"/>
        </w:rPr>
        <w:t>年訴字第</w:t>
      </w:r>
      <w:r>
        <w:rPr>
          <w:kern w:val="0"/>
        </w:rPr>
        <w:t>5284</w:t>
      </w:r>
      <w:r>
        <w:rPr>
          <w:rFonts w:hAnsi="新細明體"/>
          <w:kern w:val="0"/>
        </w:rPr>
        <w:t>號判決謂：「系爭處分經撤銷之結果，第三人應僅生其受調任處分之信賴保護而毋須撤銷或廢止該第三人之調任處分及其銓敘審定之問題而已。」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5BF077B4"/>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51"/>
    <w:rsid w:val="009A1A51"/>
    <w:rsid w:val="00CA6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EDAEE8-0E64-4F23-9780-68610C5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777</Words>
  <Characters>4435</Characters>
  <Application>Microsoft Office Word</Application>
  <DocSecurity>0</DocSecurity>
  <Lines>36</Lines>
  <Paragraphs>10</Paragraphs>
  <ScaleCrop>false</ScaleCrop>
  <Company>CCU</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2021-09-22T10:39:00Z</dcterms:created>
  <dcterms:modified xsi:type="dcterms:W3CDTF">2021-09-22T10:39:00Z</dcterms:modified>
</cp:coreProperties>
</file>