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5876">
      <w:pPr>
        <w:pStyle w:val="22"/>
        <w:spacing w:line="480" w:lineRule="auto"/>
        <w:ind w:firstLine="380"/>
        <w:rPr>
          <w:rFonts w:ascii="Arial" w:hAnsi="Arial" w:cs="Arial"/>
          <w:vanish/>
          <w:kern w:val="0"/>
          <w:sz w:val="19"/>
          <w:szCs w:val="19"/>
        </w:rPr>
      </w:pPr>
      <w:bookmarkStart w:id="0" w:name="_GoBack"/>
      <w:bookmarkEnd w:id="0"/>
    </w:p>
    <w:p w:rsidR="00000000" w:rsidRDefault="00FC5876">
      <w:pPr>
        <w:spacing w:before="100" w:beforeAutospacing="1" w:after="100" w:afterAutospacing="1" w:line="480" w:lineRule="auto"/>
        <w:ind w:firstLineChars="200" w:firstLine="641"/>
        <w:jc w:val="both"/>
        <w:rPr>
          <w:rFonts w:eastAsia="標楷體"/>
          <w:b/>
          <w:snapToGrid w:val="0"/>
          <w:kern w:val="0"/>
          <w:sz w:val="32"/>
          <w:szCs w:val="32"/>
        </w:rPr>
      </w:pPr>
      <w:r>
        <w:rPr>
          <w:rFonts w:eastAsia="標楷體"/>
          <w:b/>
          <w:snapToGrid w:val="0"/>
          <w:kern w:val="0"/>
          <w:sz w:val="32"/>
          <w:szCs w:val="32"/>
        </w:rPr>
        <w:t>參考文獻</w:t>
      </w:r>
    </w:p>
    <w:p w:rsidR="00000000" w:rsidRDefault="00FC5876">
      <w:pPr>
        <w:widowControl/>
        <w:jc w:val="both"/>
        <w:rPr>
          <w:rFonts w:eastAsia="標楷體" w:hint="eastAsia"/>
          <w:b/>
          <w:bCs/>
          <w:sz w:val="28"/>
          <w:lang w:val="de-DE"/>
        </w:rPr>
      </w:pPr>
      <w:r>
        <w:rPr>
          <w:rFonts w:eastAsia="標楷體"/>
          <w:b/>
          <w:bCs/>
          <w:sz w:val="28"/>
          <w:lang w:val="de-DE"/>
        </w:rPr>
        <w:t>中文部分</w:t>
      </w:r>
    </w:p>
    <w:p w:rsidR="00000000" w:rsidRDefault="00FC5876">
      <w:pPr>
        <w:widowControl/>
        <w:jc w:val="both"/>
        <w:rPr>
          <w:rFonts w:eastAsia="標楷體" w:hint="eastAsia"/>
          <w:b/>
          <w:bCs/>
          <w:sz w:val="28"/>
          <w:lang w:val="de-DE"/>
        </w:rPr>
      </w:pPr>
      <w:r>
        <w:rPr>
          <w:rFonts w:eastAsia="標楷體" w:hint="eastAsia"/>
          <w:b/>
          <w:bCs/>
          <w:sz w:val="28"/>
          <w:lang w:val="de-DE"/>
        </w:rPr>
        <w:t>(</w:t>
      </w:r>
      <w:r>
        <w:rPr>
          <w:rFonts w:eastAsia="標楷體" w:hint="eastAsia"/>
          <w:b/>
          <w:bCs/>
          <w:sz w:val="28"/>
          <w:lang w:val="de-DE"/>
        </w:rPr>
        <w:t>一</w:t>
      </w:r>
      <w:r>
        <w:rPr>
          <w:rFonts w:eastAsia="標楷體" w:hint="eastAsia"/>
          <w:b/>
          <w:bCs/>
          <w:sz w:val="28"/>
          <w:lang w:val="de-DE"/>
        </w:rPr>
        <w:t xml:space="preserve">) </w:t>
      </w:r>
      <w:r>
        <w:rPr>
          <w:rFonts w:eastAsia="標楷體" w:hint="eastAsia"/>
          <w:b/>
          <w:bCs/>
          <w:sz w:val="28"/>
          <w:lang w:val="de-DE"/>
        </w:rPr>
        <w:t>書籍</w:t>
      </w:r>
    </w:p>
    <w:p w:rsidR="00000000" w:rsidRDefault="00FC5876">
      <w:pPr>
        <w:widowControl/>
        <w:numPr>
          <w:ilvl w:val="0"/>
          <w:numId w:val="16"/>
        </w:numPr>
        <w:spacing w:afterLines="50" w:after="180" w:line="360" w:lineRule="auto"/>
        <w:jc w:val="both"/>
        <w:rPr>
          <w:rFonts w:hint="eastAsia"/>
          <w:lang w:val="de-DE"/>
        </w:rPr>
      </w:pPr>
      <w:r>
        <w:t>李惠宗</w:t>
      </w:r>
      <w:r>
        <w:rPr>
          <w:rFonts w:hint="eastAsia"/>
        </w:rPr>
        <w:t>，</w:t>
      </w:r>
      <w:r>
        <w:t>權利分立與基本權保障</w:t>
      </w:r>
      <w:r>
        <w:rPr>
          <w:rFonts w:hint="eastAsia"/>
        </w:rPr>
        <w:t>，</w:t>
      </w:r>
      <w:r>
        <w:rPr>
          <w:rFonts w:hint="eastAsia"/>
        </w:rPr>
        <w:t>1999</w:t>
      </w:r>
      <w:r>
        <w:rPr>
          <w:rFonts w:hint="eastAsia"/>
        </w:rPr>
        <w:t>。</w:t>
      </w:r>
    </w:p>
    <w:p w:rsidR="00000000" w:rsidRDefault="00FC5876">
      <w:pPr>
        <w:widowControl/>
        <w:numPr>
          <w:ilvl w:val="0"/>
          <w:numId w:val="16"/>
        </w:numPr>
        <w:spacing w:afterLines="50" w:after="180" w:line="360" w:lineRule="auto"/>
        <w:jc w:val="both"/>
        <w:rPr>
          <w:rFonts w:hint="eastAsia"/>
        </w:rPr>
      </w:pPr>
      <w:r>
        <w:rPr>
          <w:lang w:val="de-DE"/>
        </w:rPr>
        <w:t>林騰鷂，行政訴訟法，民國</w:t>
      </w:r>
      <w:r>
        <w:rPr>
          <w:lang w:val="de-DE"/>
        </w:rPr>
        <w:t>93</w:t>
      </w:r>
      <w:r>
        <w:rPr>
          <w:lang w:val="de-DE"/>
        </w:rPr>
        <w:t>年</w:t>
      </w:r>
      <w:r>
        <w:rPr>
          <w:rFonts w:hint="eastAsia"/>
          <w:lang w:val="de-DE"/>
        </w:rPr>
        <w:t>。</w:t>
      </w:r>
    </w:p>
    <w:p w:rsidR="00000000" w:rsidRDefault="00FC5876">
      <w:pPr>
        <w:widowControl/>
        <w:numPr>
          <w:ilvl w:val="0"/>
          <w:numId w:val="16"/>
        </w:numPr>
        <w:spacing w:afterLines="50" w:after="180" w:line="360" w:lineRule="auto"/>
        <w:jc w:val="both"/>
        <w:rPr>
          <w:rFonts w:hint="eastAsia"/>
        </w:rPr>
      </w:pPr>
      <w:r>
        <w:t>林明鏘</w:t>
      </w:r>
      <w:r>
        <w:rPr>
          <w:rFonts w:hint="eastAsia"/>
        </w:rPr>
        <w:t>，</w:t>
      </w:r>
      <w:r>
        <w:t>公務員法研究（一），</w:t>
      </w:r>
      <w:r>
        <w:t>2000.3</w:t>
      </w:r>
      <w:r>
        <w:rPr>
          <w:rFonts w:hint="eastAsia"/>
        </w:rPr>
        <w:t>。</w:t>
      </w:r>
    </w:p>
    <w:p w:rsidR="00000000" w:rsidRDefault="00FC5876">
      <w:pPr>
        <w:widowControl/>
        <w:numPr>
          <w:ilvl w:val="0"/>
          <w:numId w:val="16"/>
        </w:numPr>
        <w:spacing w:afterLines="50" w:after="180" w:line="360" w:lineRule="auto"/>
        <w:jc w:val="both"/>
        <w:rPr>
          <w:rFonts w:hint="eastAsia"/>
          <w:color w:val="000000"/>
        </w:rPr>
      </w:pPr>
      <w:r>
        <w:rPr>
          <w:lang w:val="de-DE"/>
        </w:rPr>
        <w:t>陳計男，行政訴訟法釋論，</w:t>
      </w:r>
      <w:r>
        <w:rPr>
          <w:lang w:val="de-DE"/>
        </w:rPr>
        <w:t>2000</w:t>
      </w:r>
      <w:r>
        <w:rPr>
          <w:lang w:val="de-DE"/>
        </w:rPr>
        <w:t>年</w:t>
      </w:r>
      <w:r>
        <w:rPr>
          <w:rFonts w:hint="eastAsia"/>
          <w:lang w:val="de-DE"/>
        </w:rPr>
        <w:t>。</w:t>
      </w:r>
    </w:p>
    <w:p w:rsidR="00000000" w:rsidRDefault="00FC5876">
      <w:pPr>
        <w:widowControl/>
        <w:numPr>
          <w:ilvl w:val="0"/>
          <w:numId w:val="16"/>
        </w:numPr>
        <w:spacing w:afterLines="50" w:after="180" w:line="360" w:lineRule="auto"/>
        <w:jc w:val="both"/>
        <w:rPr>
          <w:rFonts w:hint="eastAsia"/>
          <w:color w:val="000000"/>
        </w:rPr>
      </w:pPr>
      <w:r>
        <w:rPr>
          <w:color w:val="000000"/>
        </w:rPr>
        <w:t>翁岳生編，行政訴訟法逐條釋義，</w:t>
      </w:r>
      <w:r>
        <w:rPr>
          <w:color w:val="000000"/>
        </w:rPr>
        <w:t>2002</w:t>
      </w:r>
      <w:r>
        <w:rPr>
          <w:rFonts w:hint="eastAsia"/>
          <w:color w:val="000000"/>
        </w:rPr>
        <w:t>。</w:t>
      </w:r>
    </w:p>
    <w:p w:rsidR="00000000" w:rsidRDefault="00FC5876">
      <w:pPr>
        <w:widowControl/>
        <w:numPr>
          <w:ilvl w:val="0"/>
          <w:numId w:val="16"/>
        </w:numPr>
        <w:spacing w:afterLines="50" w:after="180" w:line="360" w:lineRule="auto"/>
        <w:jc w:val="both"/>
        <w:rPr>
          <w:rFonts w:hint="eastAsia"/>
          <w:szCs w:val="22"/>
        </w:rPr>
      </w:pPr>
      <w:r>
        <w:rPr>
          <w:szCs w:val="22"/>
          <w:lang w:val="de-DE"/>
        </w:rPr>
        <w:t>翁岳生編，行政法　上、下冊，</w:t>
      </w:r>
      <w:r>
        <w:rPr>
          <w:szCs w:val="22"/>
          <w:lang w:val="de-DE"/>
        </w:rPr>
        <w:t>2000</w:t>
      </w:r>
      <w:r>
        <w:rPr>
          <w:szCs w:val="22"/>
          <w:lang w:val="de-DE"/>
        </w:rPr>
        <w:t>年</w:t>
      </w:r>
      <w:r>
        <w:rPr>
          <w:szCs w:val="22"/>
          <w:lang w:val="de-DE"/>
        </w:rPr>
        <w:t>2</w:t>
      </w:r>
      <w:r>
        <w:rPr>
          <w:szCs w:val="22"/>
          <w:lang w:val="de-DE"/>
        </w:rPr>
        <w:t>版</w:t>
      </w:r>
      <w:r>
        <w:rPr>
          <w:rFonts w:hint="eastAsia"/>
          <w:szCs w:val="22"/>
          <w:lang w:val="de-DE"/>
        </w:rPr>
        <w:t>。</w:t>
      </w:r>
    </w:p>
    <w:p w:rsidR="00000000" w:rsidRDefault="00FC5876">
      <w:pPr>
        <w:widowControl/>
        <w:numPr>
          <w:ilvl w:val="0"/>
          <w:numId w:val="16"/>
        </w:numPr>
        <w:spacing w:afterLines="50" w:after="180" w:line="360" w:lineRule="auto"/>
        <w:jc w:val="both"/>
        <w:rPr>
          <w:rFonts w:hint="eastAsia"/>
          <w:szCs w:val="22"/>
        </w:rPr>
      </w:pPr>
      <w:r>
        <w:t>翁岳生，法治國家之行政法與司法，</w:t>
      </w:r>
      <w:r>
        <w:t>1994</w:t>
      </w:r>
      <w:r>
        <w:rPr>
          <w:rFonts w:hint="eastAsia"/>
        </w:rPr>
        <w:t>。</w:t>
      </w:r>
    </w:p>
    <w:p w:rsidR="00000000" w:rsidRDefault="00FC5876">
      <w:pPr>
        <w:widowControl/>
        <w:numPr>
          <w:ilvl w:val="0"/>
          <w:numId w:val="16"/>
        </w:numPr>
        <w:spacing w:afterLines="50" w:after="180" w:line="360" w:lineRule="auto"/>
        <w:jc w:val="both"/>
        <w:rPr>
          <w:szCs w:val="22"/>
          <w:lang w:val="de-DE"/>
        </w:rPr>
      </w:pPr>
      <w:r>
        <w:rPr>
          <w:szCs w:val="22"/>
          <w:lang w:val="de-DE"/>
        </w:rPr>
        <w:t>吳　庚，行政法之理論與實用，民國</w:t>
      </w:r>
      <w:r>
        <w:rPr>
          <w:szCs w:val="22"/>
          <w:lang w:val="de-DE"/>
        </w:rPr>
        <w:t>92</w:t>
      </w:r>
      <w:r>
        <w:rPr>
          <w:szCs w:val="22"/>
          <w:lang w:val="de-DE"/>
        </w:rPr>
        <w:t>年</w:t>
      </w:r>
      <w:r>
        <w:rPr>
          <w:szCs w:val="22"/>
          <w:lang w:val="de-DE"/>
        </w:rPr>
        <w:t>8</w:t>
      </w:r>
      <w:r>
        <w:rPr>
          <w:szCs w:val="22"/>
          <w:lang w:val="de-DE"/>
        </w:rPr>
        <w:t>版</w:t>
      </w:r>
      <w:r>
        <w:rPr>
          <w:rFonts w:hint="eastAsia"/>
          <w:szCs w:val="22"/>
          <w:lang w:val="de-DE"/>
        </w:rPr>
        <w:t>。</w:t>
      </w:r>
    </w:p>
    <w:p w:rsidR="00000000" w:rsidRDefault="00FC5876">
      <w:pPr>
        <w:widowControl/>
        <w:numPr>
          <w:ilvl w:val="0"/>
          <w:numId w:val="16"/>
        </w:numPr>
        <w:spacing w:afterLines="50" w:after="180" w:line="240" w:lineRule="atLeast"/>
        <w:jc w:val="both"/>
        <w:rPr>
          <w:rFonts w:ascii="新細明體" w:hAnsi="新細明體" w:hint="eastAsia"/>
        </w:rPr>
      </w:pPr>
      <w:r>
        <w:rPr>
          <w:rFonts w:ascii="新細明體" w:hAnsi="新細明體"/>
          <w:lang w:val="de-DE"/>
        </w:rPr>
        <w:t>吳　庚，行政爭訟法論，民國</w:t>
      </w:r>
      <w:r>
        <w:rPr>
          <w:rFonts w:ascii="新細明體" w:hAnsi="新細明體"/>
          <w:lang w:val="de-DE"/>
        </w:rPr>
        <w:t>88</w:t>
      </w:r>
      <w:r>
        <w:rPr>
          <w:rFonts w:ascii="新細明體" w:hAnsi="新細明體"/>
          <w:lang w:val="de-DE"/>
        </w:rPr>
        <w:t>年修訂版</w:t>
      </w:r>
      <w:r>
        <w:rPr>
          <w:rFonts w:ascii="新細明體" w:hAnsi="新細明體" w:hint="eastAsia"/>
          <w:lang w:val="de-DE"/>
        </w:rPr>
        <w:t>。</w:t>
      </w:r>
    </w:p>
    <w:p w:rsidR="00000000" w:rsidRDefault="00FC5876">
      <w:pPr>
        <w:widowControl/>
        <w:numPr>
          <w:ilvl w:val="0"/>
          <w:numId w:val="16"/>
        </w:numPr>
        <w:spacing w:afterLines="50" w:after="180" w:line="240" w:lineRule="atLeast"/>
        <w:jc w:val="both"/>
        <w:rPr>
          <w:rFonts w:ascii="新細明體" w:hAnsi="新細明體" w:hint="eastAsia"/>
        </w:rPr>
      </w:pPr>
      <w:r>
        <w:rPr>
          <w:rFonts w:ascii="新細明體" w:hAnsi="新細明體"/>
        </w:rPr>
        <w:t>陳敏，行政法總論，</w:t>
      </w:r>
      <w:r>
        <w:rPr>
          <w:rFonts w:ascii="新細明體" w:hAnsi="新細明體"/>
        </w:rPr>
        <w:t>2004.11</w:t>
      </w:r>
      <w:r>
        <w:rPr>
          <w:rFonts w:ascii="新細明體" w:hAnsi="新細明體"/>
        </w:rPr>
        <w:t>，</w:t>
      </w:r>
      <w:r>
        <w:rPr>
          <w:rFonts w:ascii="新細明體" w:hAnsi="新細明體"/>
        </w:rPr>
        <w:t>4</w:t>
      </w:r>
      <w:r>
        <w:rPr>
          <w:rFonts w:ascii="新細明體" w:hAnsi="新細明體"/>
        </w:rPr>
        <w:t>版</w:t>
      </w:r>
      <w:r>
        <w:rPr>
          <w:rFonts w:ascii="新細明體" w:hAnsi="新細明體" w:hint="eastAsia"/>
        </w:rPr>
        <w:t>。</w:t>
      </w:r>
    </w:p>
    <w:p w:rsidR="00000000" w:rsidRDefault="00FC5876">
      <w:pPr>
        <w:widowControl/>
        <w:numPr>
          <w:ilvl w:val="0"/>
          <w:numId w:val="16"/>
        </w:numPr>
        <w:spacing w:afterLines="50" w:after="180" w:line="240" w:lineRule="atLeast"/>
        <w:jc w:val="both"/>
        <w:rPr>
          <w:rFonts w:ascii="新細明體" w:hAnsi="新細明體" w:hint="eastAsia"/>
        </w:rPr>
      </w:pPr>
      <w:r>
        <w:rPr>
          <w:rFonts w:ascii="新細明體" w:hAnsi="新細明體"/>
        </w:rPr>
        <w:t>陳秀美</w:t>
      </w:r>
      <w:r>
        <w:rPr>
          <w:rFonts w:ascii="新細明體" w:hAnsi="新細明體" w:hint="eastAsia"/>
        </w:rPr>
        <w:t>，</w:t>
      </w:r>
      <w:r>
        <w:rPr>
          <w:rFonts w:ascii="新細明體" w:hAnsi="新細明體"/>
        </w:rPr>
        <w:t>行政訴訟上有關行政處分之研究，</w:t>
      </w:r>
      <w:r>
        <w:rPr>
          <w:rFonts w:ascii="新細明體" w:hAnsi="新細明體"/>
        </w:rPr>
        <w:t>1991</w:t>
      </w:r>
      <w:r>
        <w:rPr>
          <w:rFonts w:ascii="新細明體" w:hAnsi="新細明體"/>
        </w:rPr>
        <w:t>，再版</w:t>
      </w:r>
      <w:r>
        <w:rPr>
          <w:rFonts w:ascii="新細明體" w:hAnsi="新細明體" w:hint="eastAsia"/>
        </w:rPr>
        <w:t>。</w:t>
      </w:r>
    </w:p>
    <w:p w:rsidR="00000000" w:rsidRDefault="00FC5876">
      <w:pPr>
        <w:widowControl/>
        <w:numPr>
          <w:ilvl w:val="0"/>
          <w:numId w:val="16"/>
        </w:numPr>
        <w:spacing w:afterLines="50" w:after="180" w:line="240" w:lineRule="atLeast"/>
        <w:jc w:val="both"/>
        <w:rPr>
          <w:rFonts w:ascii="新細明體" w:hAnsi="新細明體" w:hint="eastAsia"/>
        </w:rPr>
      </w:pPr>
      <w:r>
        <w:rPr>
          <w:rFonts w:ascii="新細明體" w:hAnsi="新細明體"/>
        </w:rPr>
        <w:t>陳清秀</w:t>
      </w:r>
      <w:r>
        <w:rPr>
          <w:rFonts w:ascii="新細明體" w:hAnsi="新細明體"/>
          <w:lang w:val="de-DE"/>
        </w:rPr>
        <w:t>，</w:t>
      </w:r>
      <w:r>
        <w:rPr>
          <w:rFonts w:ascii="新細明體" w:hAnsi="新細明體"/>
        </w:rPr>
        <w:t>行政訴訟法</w:t>
      </w:r>
      <w:r>
        <w:rPr>
          <w:rFonts w:ascii="新細明體" w:hAnsi="新細明體"/>
          <w:lang w:val="de-DE"/>
        </w:rPr>
        <w:t>，</w:t>
      </w:r>
      <w:r>
        <w:rPr>
          <w:rFonts w:ascii="新細明體" w:hAnsi="新細明體"/>
          <w:lang w:val="de-DE"/>
        </w:rPr>
        <w:t>1999.6</w:t>
      </w:r>
      <w:r>
        <w:rPr>
          <w:rFonts w:ascii="新細明體" w:hAnsi="新細明體" w:hint="eastAsia"/>
          <w:lang w:val="de-DE"/>
        </w:rPr>
        <w:t>。</w:t>
      </w:r>
    </w:p>
    <w:p w:rsidR="00000000" w:rsidRDefault="00FC5876">
      <w:pPr>
        <w:widowControl/>
        <w:numPr>
          <w:ilvl w:val="0"/>
          <w:numId w:val="16"/>
        </w:numPr>
        <w:spacing w:afterLines="50" w:after="180" w:line="240" w:lineRule="atLeast"/>
        <w:jc w:val="both"/>
        <w:rPr>
          <w:rFonts w:ascii="新細明體" w:hAnsi="新細明體" w:hint="eastAsia"/>
        </w:rPr>
      </w:pPr>
      <w:r>
        <w:rPr>
          <w:rFonts w:ascii="新細明體" w:hAnsi="新細明體"/>
        </w:rPr>
        <w:t>湯德宗</w:t>
      </w:r>
      <w:r>
        <w:rPr>
          <w:rFonts w:ascii="新細明體" w:hAnsi="新細明體" w:hint="eastAsia"/>
        </w:rPr>
        <w:t>，</w:t>
      </w:r>
      <w:r>
        <w:rPr>
          <w:rFonts w:ascii="新細明體" w:hAnsi="新細明體"/>
        </w:rPr>
        <w:t>行政程序法論，</w:t>
      </w:r>
      <w:r>
        <w:rPr>
          <w:rFonts w:ascii="新細明體" w:hAnsi="新細明體"/>
        </w:rPr>
        <w:t>2003</w:t>
      </w:r>
      <w:r>
        <w:rPr>
          <w:rFonts w:ascii="新細明體" w:hAnsi="新細明體"/>
        </w:rPr>
        <w:t>，</w:t>
      </w:r>
      <w:r>
        <w:rPr>
          <w:rFonts w:ascii="新細明體" w:hAnsi="新細明體"/>
        </w:rPr>
        <w:t>2</w:t>
      </w:r>
      <w:r>
        <w:rPr>
          <w:rFonts w:ascii="新細明體" w:hAnsi="新細明體"/>
        </w:rPr>
        <w:t>版</w:t>
      </w:r>
      <w:r>
        <w:rPr>
          <w:rFonts w:ascii="新細明體" w:hAnsi="新細明體" w:hint="eastAsia"/>
        </w:rPr>
        <w:t>。</w:t>
      </w:r>
    </w:p>
    <w:p w:rsidR="00000000" w:rsidRDefault="00FC5876">
      <w:pPr>
        <w:widowControl/>
        <w:numPr>
          <w:ilvl w:val="0"/>
          <w:numId w:val="16"/>
        </w:numPr>
        <w:spacing w:afterLines="50" w:after="180" w:line="240" w:lineRule="atLeast"/>
        <w:jc w:val="both"/>
        <w:rPr>
          <w:rFonts w:ascii="新細明體" w:hAnsi="新細明體" w:hint="eastAsia"/>
        </w:rPr>
      </w:pPr>
      <w:r>
        <w:rPr>
          <w:rFonts w:ascii="新細明體" w:hAnsi="新細明體"/>
        </w:rPr>
        <w:t>程明修</w:t>
      </w:r>
      <w:r>
        <w:rPr>
          <w:rFonts w:ascii="新細明體" w:hAnsi="新細明體" w:hint="eastAsia"/>
        </w:rPr>
        <w:t>，</w:t>
      </w:r>
      <w:r>
        <w:rPr>
          <w:rFonts w:ascii="新細明體" w:hAnsi="新細明體"/>
          <w:color w:val="000000"/>
        </w:rPr>
        <w:t>行政法之行為與法律關係理論，</w:t>
      </w:r>
      <w:r>
        <w:rPr>
          <w:rFonts w:ascii="新細明體" w:hAnsi="新細明體"/>
          <w:color w:val="000000"/>
        </w:rPr>
        <w:t>2005.2</w:t>
      </w:r>
      <w:r>
        <w:rPr>
          <w:rFonts w:ascii="新細明體" w:hAnsi="新細明體" w:hint="eastAsia"/>
          <w:color w:val="000000"/>
        </w:rPr>
        <w:t>。</w:t>
      </w:r>
    </w:p>
    <w:p w:rsidR="00000000" w:rsidRDefault="00FC5876">
      <w:pPr>
        <w:widowControl/>
        <w:numPr>
          <w:ilvl w:val="0"/>
          <w:numId w:val="16"/>
        </w:numPr>
        <w:spacing w:afterLines="50" w:after="180" w:line="240" w:lineRule="atLeast"/>
        <w:jc w:val="both"/>
        <w:rPr>
          <w:rFonts w:ascii="新細明體" w:hAnsi="新細明體" w:hint="eastAsia"/>
          <w:szCs w:val="22"/>
          <w:lang w:val="de-DE"/>
        </w:rPr>
      </w:pPr>
      <w:r>
        <w:rPr>
          <w:rFonts w:ascii="新細明體" w:hAnsi="新細明體"/>
        </w:rPr>
        <w:t>蔡志方</w:t>
      </w:r>
      <w:r>
        <w:rPr>
          <w:rFonts w:ascii="新細明體" w:hAnsi="新細明體"/>
          <w:lang w:val="de-DE"/>
        </w:rPr>
        <w:t>，</w:t>
      </w:r>
      <w:r>
        <w:rPr>
          <w:rFonts w:ascii="新細明體" w:hAnsi="新細明體"/>
        </w:rPr>
        <w:t>行政法三十六講</w:t>
      </w:r>
      <w:r>
        <w:rPr>
          <w:rFonts w:ascii="新細明體" w:hAnsi="新細明體"/>
          <w:lang w:val="de-DE"/>
        </w:rPr>
        <w:t>，</w:t>
      </w:r>
      <w:r>
        <w:rPr>
          <w:rFonts w:ascii="新細明體" w:hAnsi="新細明體"/>
          <w:lang w:val="de-DE"/>
        </w:rPr>
        <w:t>1997</w:t>
      </w:r>
      <w:r>
        <w:rPr>
          <w:rFonts w:ascii="新細明體" w:hAnsi="新細明體" w:hint="eastAsia"/>
          <w:lang w:val="de-DE"/>
        </w:rPr>
        <w:t>。</w:t>
      </w:r>
    </w:p>
    <w:p w:rsidR="00000000" w:rsidRDefault="00FC5876">
      <w:pPr>
        <w:widowControl/>
        <w:spacing w:afterLines="50" w:after="180" w:line="240" w:lineRule="atLeast"/>
        <w:jc w:val="both"/>
        <w:rPr>
          <w:rFonts w:hint="eastAsia"/>
          <w:szCs w:val="22"/>
          <w:lang w:val="de-DE"/>
        </w:rPr>
      </w:pPr>
    </w:p>
    <w:p w:rsidR="00000000" w:rsidRDefault="00FC5876">
      <w:pPr>
        <w:widowControl/>
        <w:spacing w:afterLines="50" w:after="180" w:line="240" w:lineRule="atLeast"/>
        <w:jc w:val="both"/>
        <w:rPr>
          <w:rFonts w:ascii="標楷體" w:eastAsia="標楷體" w:hAnsi="標楷體"/>
          <w:b/>
          <w:bCs/>
          <w:szCs w:val="22"/>
          <w:lang w:val="de-DE"/>
        </w:rPr>
      </w:pPr>
      <w:r>
        <w:rPr>
          <w:rFonts w:ascii="標楷體" w:eastAsia="標楷體" w:hAnsi="標楷體" w:hint="eastAsia"/>
          <w:b/>
          <w:bCs/>
          <w:szCs w:val="22"/>
          <w:lang w:val="de-DE"/>
        </w:rPr>
        <w:t>(</w:t>
      </w:r>
      <w:r>
        <w:rPr>
          <w:rFonts w:ascii="標楷體" w:eastAsia="標楷體" w:hAnsi="標楷體" w:hint="eastAsia"/>
          <w:b/>
          <w:bCs/>
          <w:szCs w:val="22"/>
        </w:rPr>
        <w:t>二</w:t>
      </w:r>
      <w:r>
        <w:rPr>
          <w:rFonts w:ascii="標楷體" w:eastAsia="標楷體" w:hAnsi="標楷體" w:hint="eastAsia"/>
          <w:b/>
          <w:bCs/>
          <w:szCs w:val="22"/>
          <w:lang w:val="de-DE"/>
        </w:rPr>
        <w:t xml:space="preserve">) </w:t>
      </w:r>
      <w:r>
        <w:rPr>
          <w:rFonts w:ascii="標楷體" w:eastAsia="標楷體" w:hAnsi="標楷體" w:hint="eastAsia"/>
          <w:b/>
          <w:bCs/>
          <w:szCs w:val="22"/>
          <w:lang w:val="de-DE"/>
        </w:rPr>
        <w:t>期刊、論文</w:t>
      </w:r>
    </w:p>
    <w:p w:rsidR="00000000" w:rsidRDefault="00FC5876">
      <w:pPr>
        <w:widowControl/>
        <w:spacing w:afterLines="50" w:after="180" w:line="240" w:lineRule="atLeast"/>
        <w:jc w:val="both"/>
        <w:rPr>
          <w:rFonts w:ascii="標楷體" w:eastAsia="標楷體" w:hAnsi="標楷體"/>
          <w:b/>
          <w:bCs/>
          <w:szCs w:val="22"/>
        </w:rPr>
      </w:pPr>
      <w:r>
        <w:rPr>
          <w:rFonts w:ascii="標楷體" w:eastAsia="標楷體" w:hAnsi="標楷體"/>
          <w:b/>
          <w:bCs/>
          <w:szCs w:val="22"/>
          <w:lang w:val="de-DE"/>
        </w:rPr>
        <w:t>1.</w:t>
      </w:r>
      <w:r>
        <w:rPr>
          <w:rFonts w:ascii="標楷體" w:eastAsia="標楷體" w:hAnsi="標楷體" w:hint="eastAsia"/>
          <w:b/>
          <w:bCs/>
          <w:szCs w:val="22"/>
          <w:lang w:val="de-DE"/>
        </w:rPr>
        <w:t>期刊</w:t>
      </w:r>
    </w:p>
    <w:p w:rsidR="00000000" w:rsidRDefault="00FC5876">
      <w:pPr>
        <w:widowControl/>
        <w:spacing w:afterLines="50" w:after="180" w:line="360" w:lineRule="auto"/>
        <w:ind w:left="480" w:hangingChars="200" w:hanging="480"/>
        <w:jc w:val="both"/>
        <w:rPr>
          <w:rFonts w:ascii="新細明體" w:hAnsi="新細明體"/>
          <w:b/>
          <w:bCs/>
          <w:szCs w:val="22"/>
        </w:rPr>
      </w:pPr>
      <w:r>
        <w:rPr>
          <w:szCs w:val="22"/>
        </w:rPr>
        <w:lastRenderedPageBreak/>
        <w:t>λ</w:t>
      </w:r>
      <w:r>
        <w:rPr>
          <w:rFonts w:ascii="新細明體" w:hAnsi="新細明體" w:hint="eastAsia"/>
          <w:b/>
          <w:bCs/>
          <w:szCs w:val="22"/>
        </w:rPr>
        <w:t xml:space="preserve">   </w:t>
      </w:r>
      <w:r>
        <w:rPr>
          <w:rFonts w:ascii="新細明體" w:hAnsi="新細明體"/>
        </w:rPr>
        <w:t>李建良，「公務人員保障法及申訴標的之探討」，月旦法學雜誌第</w:t>
      </w:r>
      <w:r>
        <w:rPr>
          <w:rFonts w:ascii="新細明體" w:hAnsi="新細明體"/>
        </w:rPr>
        <w:t>90</w:t>
      </w:r>
      <w:r>
        <w:rPr>
          <w:rFonts w:ascii="新細明體" w:hAnsi="新細明體"/>
        </w:rPr>
        <w:t>期，</w:t>
      </w:r>
      <w:r>
        <w:rPr>
          <w:rFonts w:ascii="新細明體" w:hAnsi="新細明體"/>
        </w:rPr>
        <w:t>2002.11</w:t>
      </w:r>
      <w:r>
        <w:rPr>
          <w:rFonts w:ascii="新細明體" w:hAnsi="新細明體" w:hint="eastAsia"/>
        </w:rPr>
        <w:t>。</w:t>
      </w:r>
    </w:p>
    <w:p w:rsidR="00000000" w:rsidRDefault="00FC5876">
      <w:pPr>
        <w:widowControl/>
        <w:spacing w:afterLines="50" w:after="180" w:line="360" w:lineRule="auto"/>
        <w:ind w:left="480" w:hangingChars="200" w:hanging="480"/>
        <w:jc w:val="both"/>
        <w:rPr>
          <w:rFonts w:ascii="新細明體" w:hAnsi="新細明體"/>
        </w:rPr>
      </w:pPr>
      <w:r>
        <w:rPr>
          <w:szCs w:val="22"/>
        </w:rPr>
        <w:t>λ</w:t>
      </w:r>
      <w:r>
        <w:rPr>
          <w:rFonts w:hint="eastAsia"/>
          <w:szCs w:val="22"/>
        </w:rPr>
        <w:t xml:space="preserve"> </w:t>
      </w:r>
      <w:r>
        <w:rPr>
          <w:rFonts w:hint="eastAsia"/>
          <w:b/>
          <w:bCs/>
          <w:szCs w:val="22"/>
        </w:rPr>
        <w:t xml:space="preserve">  </w:t>
      </w:r>
      <w:r>
        <w:rPr>
          <w:rFonts w:ascii="新細明體" w:hAnsi="新細明體"/>
        </w:rPr>
        <w:t>陳愛娥，「古蹟指定、『召開古蹟指定公聽會』之程序要求的性質」，台灣本土法學雜誌第</w:t>
      </w:r>
      <w:r>
        <w:rPr>
          <w:rFonts w:ascii="新細明體" w:hAnsi="新細明體"/>
        </w:rPr>
        <w:t>66</w:t>
      </w:r>
      <w:r>
        <w:rPr>
          <w:rFonts w:ascii="新細明體" w:hAnsi="新細明體"/>
        </w:rPr>
        <w:t>期，</w:t>
      </w:r>
      <w:r>
        <w:rPr>
          <w:rFonts w:ascii="新細明體" w:hAnsi="新細明體"/>
        </w:rPr>
        <w:t>2005.1</w:t>
      </w:r>
      <w:r>
        <w:rPr>
          <w:rFonts w:ascii="新細明體" w:hAnsi="新細明體" w:hint="eastAsia"/>
        </w:rPr>
        <w:t>。</w:t>
      </w:r>
    </w:p>
    <w:p w:rsidR="00000000" w:rsidRDefault="00FC5876">
      <w:pPr>
        <w:spacing w:after="50" w:line="360" w:lineRule="auto"/>
        <w:ind w:left="480" w:hangingChars="200" w:hanging="480"/>
        <w:rPr>
          <w:rFonts w:ascii="新細明體" w:hAnsi="新細明體" w:hint="eastAsia"/>
        </w:rPr>
      </w:pPr>
      <w:r>
        <w:t>λ</w:t>
      </w:r>
      <w:r>
        <w:rPr>
          <w:rFonts w:hint="eastAsia"/>
        </w:rPr>
        <w:t xml:space="preserve">   </w:t>
      </w:r>
      <w:r>
        <w:rPr>
          <w:rFonts w:ascii="新細明體" w:hAnsi="新細明體"/>
        </w:rPr>
        <w:t>陳愛娥，「行政處分存否的認定標準與行政法院『適用』大法官解釋的方法</w:t>
      </w:r>
      <w:r>
        <w:rPr>
          <w:rFonts w:ascii="新細明體" w:hAnsi="新細明體"/>
        </w:rPr>
        <w:t xml:space="preserve"> - </w:t>
      </w:r>
      <w:r>
        <w:rPr>
          <w:rFonts w:ascii="新細明體" w:hAnsi="新細明體"/>
        </w:rPr>
        <w:t>行政法院八十九年度判字第一六五八</w:t>
      </w:r>
      <w:r>
        <w:rPr>
          <w:rFonts w:ascii="新細明體" w:hAnsi="新細明體"/>
        </w:rPr>
        <w:t>號判決評釋</w:t>
      </w:r>
      <w:r>
        <w:rPr>
          <w:rFonts w:ascii="新細明體" w:hAnsi="新細明體"/>
        </w:rPr>
        <w:t xml:space="preserve"> -</w:t>
      </w:r>
      <w:r>
        <w:rPr>
          <w:rFonts w:ascii="新細明體" w:hAnsi="新細明體"/>
        </w:rPr>
        <w:t>」，法令月刊第</w:t>
      </w:r>
      <w:r>
        <w:rPr>
          <w:rFonts w:ascii="新細明體" w:hAnsi="新細明體"/>
        </w:rPr>
        <w:t>51</w:t>
      </w:r>
      <w:r>
        <w:rPr>
          <w:rFonts w:ascii="新細明體" w:hAnsi="新細明體"/>
        </w:rPr>
        <w:t>卷</w:t>
      </w:r>
      <w:r>
        <w:rPr>
          <w:rFonts w:ascii="新細明體" w:hAnsi="新細明體"/>
        </w:rPr>
        <w:t>10</w:t>
      </w:r>
      <w:r>
        <w:rPr>
          <w:rFonts w:ascii="新細明體" w:hAnsi="新細明體"/>
        </w:rPr>
        <w:t>期。</w:t>
      </w:r>
    </w:p>
    <w:p w:rsidR="00000000" w:rsidRDefault="00FC5876">
      <w:pPr>
        <w:widowControl/>
        <w:spacing w:afterLines="50" w:after="180" w:line="360" w:lineRule="auto"/>
        <w:jc w:val="both"/>
      </w:pPr>
      <w:r>
        <w:rPr>
          <w:rFonts w:hint="eastAsia"/>
        </w:rPr>
        <w:t>λ</w:t>
      </w:r>
      <w:r>
        <w:rPr>
          <w:rFonts w:hint="eastAsia"/>
        </w:rPr>
        <w:t xml:space="preserve">  </w:t>
      </w:r>
      <w:r>
        <w:t>許宗力，「基本權的功能」，月旦法學教室第</w:t>
      </w:r>
      <w:r>
        <w:t>2</w:t>
      </w:r>
      <w:r>
        <w:t>期</w:t>
      </w:r>
      <w:r>
        <w:rPr>
          <w:rFonts w:hint="eastAsia"/>
        </w:rPr>
        <w:t>，。</w:t>
      </w:r>
    </w:p>
    <w:p w:rsidR="00000000" w:rsidRDefault="00FC5876">
      <w:pPr>
        <w:widowControl/>
        <w:spacing w:afterLines="50" w:after="180" w:line="360" w:lineRule="auto"/>
        <w:ind w:left="480" w:hangingChars="200" w:hanging="480"/>
        <w:jc w:val="both"/>
        <w:rPr>
          <w:rFonts w:ascii="新細明體" w:hAnsi="新細明體"/>
          <w:b/>
          <w:bCs/>
          <w:szCs w:val="22"/>
        </w:rPr>
      </w:pPr>
      <w:r>
        <w:rPr>
          <w:rFonts w:hint="eastAsia"/>
          <w:szCs w:val="22"/>
        </w:rPr>
        <w:t>λ</w:t>
      </w:r>
      <w:r>
        <w:rPr>
          <w:rFonts w:hint="eastAsia"/>
          <w:szCs w:val="22"/>
        </w:rPr>
        <w:t xml:space="preserve"> </w:t>
      </w:r>
      <w:r>
        <w:rPr>
          <w:rFonts w:hint="eastAsia"/>
          <w:b/>
          <w:bCs/>
          <w:szCs w:val="22"/>
        </w:rPr>
        <w:t xml:space="preserve"> </w:t>
      </w:r>
      <w:r>
        <w:rPr>
          <w:rFonts w:ascii="新細明體" w:hAnsi="新細明體"/>
          <w:color w:val="000000"/>
        </w:rPr>
        <w:t>程明修，「撤銷訴訟的合法性（二）</w:t>
      </w:r>
      <w:r>
        <w:rPr>
          <w:rFonts w:ascii="新細明體" w:hAnsi="新細明體"/>
          <w:color w:val="000000"/>
        </w:rPr>
        <w:t xml:space="preserve"> - </w:t>
      </w:r>
      <w:r>
        <w:rPr>
          <w:rFonts w:ascii="新細明體" w:hAnsi="新細明體"/>
          <w:color w:val="000000"/>
        </w:rPr>
        <w:t>隔離的撤銷訴訟</w:t>
      </w:r>
      <w:r>
        <w:rPr>
          <w:rFonts w:ascii="新細明體" w:hAnsi="新細明體"/>
          <w:color w:val="000000"/>
        </w:rPr>
        <w:t>?</w:t>
      </w:r>
      <w:r>
        <w:rPr>
          <w:rFonts w:ascii="新細明體" w:hAnsi="新細明體"/>
          <w:color w:val="000000"/>
        </w:rPr>
        <w:t>」，法學講座第</w:t>
      </w:r>
      <w:r>
        <w:rPr>
          <w:rFonts w:ascii="新細明體" w:hAnsi="新細明體"/>
          <w:color w:val="000000"/>
        </w:rPr>
        <w:t>10</w:t>
      </w:r>
      <w:r>
        <w:rPr>
          <w:rFonts w:ascii="新細明體" w:hAnsi="新細明體"/>
          <w:color w:val="000000"/>
        </w:rPr>
        <w:t>期，</w:t>
      </w:r>
      <w:r>
        <w:rPr>
          <w:rFonts w:ascii="新細明體" w:hAnsi="新細明體"/>
          <w:color w:val="000000"/>
        </w:rPr>
        <w:t>2002.10</w:t>
      </w:r>
      <w:r>
        <w:rPr>
          <w:rFonts w:ascii="新細明體" w:hAnsi="新細明體" w:hint="eastAsia"/>
          <w:color w:val="000000"/>
        </w:rPr>
        <w:t>。</w:t>
      </w:r>
    </w:p>
    <w:p w:rsidR="00000000" w:rsidRDefault="00FC5876">
      <w:pPr>
        <w:widowControl/>
        <w:spacing w:afterLines="50" w:after="180" w:line="360" w:lineRule="auto"/>
        <w:jc w:val="both"/>
        <w:rPr>
          <w:rFonts w:ascii="新細明體" w:hAnsi="新細明體"/>
          <w:szCs w:val="22"/>
          <w:lang w:val="de-DE"/>
        </w:rPr>
      </w:pPr>
      <w:r>
        <w:rPr>
          <w:rFonts w:hint="eastAsia"/>
          <w:szCs w:val="22"/>
        </w:rPr>
        <w:t>λ</w:t>
      </w:r>
      <w:r>
        <w:rPr>
          <w:rFonts w:hint="eastAsia"/>
          <w:szCs w:val="22"/>
        </w:rPr>
        <w:t xml:space="preserve">  </w:t>
      </w:r>
      <w:r>
        <w:rPr>
          <w:rFonts w:ascii="新細明體" w:hAnsi="新細明體"/>
          <w:szCs w:val="22"/>
          <w:lang w:val="de-DE"/>
        </w:rPr>
        <w:t>邱華君，〈公務人員升遷制度之研究〉，人事月刊第</w:t>
      </w:r>
      <w:r>
        <w:rPr>
          <w:rFonts w:ascii="新細明體" w:hAnsi="新細明體"/>
          <w:szCs w:val="22"/>
          <w:lang w:val="de-DE"/>
        </w:rPr>
        <w:t>21</w:t>
      </w:r>
      <w:r>
        <w:rPr>
          <w:rFonts w:ascii="新細明體" w:hAnsi="新細明體"/>
          <w:szCs w:val="22"/>
          <w:lang w:val="de-DE"/>
        </w:rPr>
        <w:t>卷第</w:t>
      </w:r>
      <w:r>
        <w:rPr>
          <w:rFonts w:ascii="新細明體" w:hAnsi="新細明體"/>
          <w:szCs w:val="22"/>
          <w:lang w:val="de-DE"/>
        </w:rPr>
        <w:t>6</w:t>
      </w:r>
      <w:r>
        <w:rPr>
          <w:rFonts w:ascii="新細明體" w:hAnsi="新細明體"/>
          <w:szCs w:val="22"/>
          <w:lang w:val="de-DE"/>
        </w:rPr>
        <w:t>期，頁</w:t>
      </w:r>
      <w:r>
        <w:rPr>
          <w:rFonts w:ascii="新細明體" w:hAnsi="新細明體"/>
          <w:szCs w:val="22"/>
          <w:lang w:val="de-DE"/>
        </w:rPr>
        <w:t>56</w:t>
      </w:r>
      <w:r>
        <w:rPr>
          <w:rFonts w:ascii="新細明體" w:hAnsi="新細明體"/>
          <w:szCs w:val="22"/>
          <w:lang w:val="de-DE"/>
        </w:rPr>
        <w:t>以下。</w:t>
      </w:r>
    </w:p>
    <w:p w:rsidR="00000000" w:rsidRDefault="00FC5876">
      <w:pPr>
        <w:widowControl/>
        <w:spacing w:afterLines="50" w:after="180" w:line="360" w:lineRule="auto"/>
        <w:jc w:val="both"/>
        <w:rPr>
          <w:rFonts w:ascii="新細明體" w:hAnsi="新細明體"/>
          <w:szCs w:val="22"/>
          <w:lang w:val="de-DE"/>
        </w:rPr>
      </w:pPr>
      <w:r>
        <w:rPr>
          <w:rFonts w:ascii="新細明體" w:hAnsi="新細明體" w:hint="eastAsia"/>
          <w:szCs w:val="22"/>
          <w:lang w:val="de-DE"/>
        </w:rPr>
        <w:t>λ</w:t>
      </w:r>
      <w:r>
        <w:rPr>
          <w:rFonts w:ascii="新細明體" w:hAnsi="新細明體" w:hint="eastAsia"/>
          <w:szCs w:val="22"/>
          <w:lang w:val="de-DE"/>
        </w:rPr>
        <w:t xml:space="preserve">  </w:t>
      </w:r>
      <w:r>
        <w:rPr>
          <w:rFonts w:ascii="新細明體" w:hAnsi="新細明體"/>
          <w:szCs w:val="22"/>
          <w:lang w:val="de-DE"/>
        </w:rPr>
        <w:t>邱華君，〈公務人員升遷意義與依據〉，公務人員月刊第</w:t>
      </w:r>
      <w:r>
        <w:rPr>
          <w:rFonts w:ascii="新細明體" w:hAnsi="新細明體"/>
          <w:szCs w:val="22"/>
          <w:lang w:val="de-DE"/>
        </w:rPr>
        <w:t>2</w:t>
      </w:r>
      <w:r>
        <w:rPr>
          <w:rFonts w:ascii="新細明體" w:hAnsi="新細明體"/>
          <w:szCs w:val="22"/>
          <w:lang w:val="de-DE"/>
        </w:rPr>
        <w:t>期，頁</w:t>
      </w:r>
      <w:r>
        <w:rPr>
          <w:rFonts w:ascii="新細明體" w:hAnsi="新細明體"/>
          <w:szCs w:val="22"/>
          <w:lang w:val="de-DE"/>
        </w:rPr>
        <w:t>56</w:t>
      </w:r>
      <w:r>
        <w:rPr>
          <w:rFonts w:ascii="新細明體" w:hAnsi="新細明體"/>
          <w:szCs w:val="22"/>
          <w:lang w:val="de-DE"/>
        </w:rPr>
        <w:t>以下。</w:t>
      </w:r>
    </w:p>
    <w:p w:rsidR="00000000" w:rsidRDefault="00FC5876">
      <w:pPr>
        <w:widowControl/>
        <w:spacing w:afterLines="50" w:after="180" w:line="360" w:lineRule="auto"/>
        <w:jc w:val="both"/>
        <w:rPr>
          <w:rFonts w:ascii="新細明體" w:hAnsi="新細明體" w:hint="eastAsia"/>
          <w:szCs w:val="22"/>
          <w:lang w:val="de-DE"/>
        </w:rPr>
      </w:pPr>
      <w:r>
        <w:rPr>
          <w:rFonts w:ascii="新細明體" w:hAnsi="新細明體" w:hint="eastAsia"/>
          <w:szCs w:val="22"/>
          <w:lang w:val="de-DE"/>
        </w:rPr>
        <w:t>λ</w:t>
      </w:r>
      <w:r>
        <w:rPr>
          <w:rFonts w:ascii="新細明體" w:hAnsi="新細明體" w:hint="eastAsia"/>
          <w:szCs w:val="22"/>
          <w:lang w:val="de-DE"/>
        </w:rPr>
        <w:t xml:space="preserve">  </w:t>
      </w:r>
      <w:r>
        <w:rPr>
          <w:rFonts w:ascii="新細明體" w:hAnsi="新細明體"/>
          <w:szCs w:val="22"/>
          <w:lang w:val="de-DE"/>
        </w:rPr>
        <w:t>范祥偉，〈公務人員陞遷法執行問題之探討〉，人事行政第</w:t>
      </w:r>
      <w:r>
        <w:rPr>
          <w:rFonts w:ascii="新細明體" w:hAnsi="新細明體"/>
          <w:szCs w:val="22"/>
          <w:lang w:val="de-DE"/>
        </w:rPr>
        <w:t>36</w:t>
      </w:r>
      <w:r>
        <w:rPr>
          <w:rFonts w:ascii="新細明體" w:hAnsi="新細明體"/>
          <w:szCs w:val="22"/>
          <w:lang w:val="de-DE"/>
        </w:rPr>
        <w:t>期，頁</w:t>
      </w:r>
      <w:r>
        <w:rPr>
          <w:rFonts w:ascii="新細明體" w:hAnsi="新細明體"/>
          <w:szCs w:val="22"/>
          <w:lang w:val="de-DE"/>
        </w:rPr>
        <w:t>7</w:t>
      </w:r>
      <w:r>
        <w:rPr>
          <w:rFonts w:ascii="新細明體" w:hAnsi="新細明體"/>
          <w:szCs w:val="22"/>
          <w:lang w:val="de-DE"/>
        </w:rPr>
        <w:t>以下。</w:t>
      </w:r>
    </w:p>
    <w:p w:rsidR="00000000" w:rsidRDefault="00FC5876">
      <w:pPr>
        <w:widowControl/>
        <w:spacing w:afterLines="50" w:after="180" w:line="360" w:lineRule="auto"/>
        <w:jc w:val="both"/>
        <w:rPr>
          <w:rFonts w:ascii="新細明體" w:hAnsi="新細明體" w:hint="eastAsia"/>
          <w:b/>
          <w:bCs/>
          <w:szCs w:val="22"/>
          <w:lang w:val="de-DE"/>
        </w:rPr>
      </w:pPr>
    </w:p>
    <w:p w:rsidR="00000000" w:rsidRDefault="00FC5876">
      <w:pPr>
        <w:widowControl/>
        <w:spacing w:afterLines="50" w:after="180" w:line="240" w:lineRule="atLeast"/>
        <w:jc w:val="both"/>
        <w:rPr>
          <w:rFonts w:ascii="標楷體" w:eastAsia="標楷體" w:hAnsi="標楷體" w:hint="eastAsia"/>
          <w:b/>
          <w:bCs/>
          <w:szCs w:val="22"/>
          <w:lang w:val="de-DE"/>
        </w:rPr>
      </w:pPr>
      <w:r>
        <w:rPr>
          <w:rFonts w:ascii="標楷體" w:eastAsia="標楷體" w:hAnsi="標楷體"/>
          <w:b/>
          <w:bCs/>
          <w:szCs w:val="22"/>
          <w:lang w:val="de-DE"/>
        </w:rPr>
        <w:t>2.</w:t>
      </w:r>
      <w:r>
        <w:rPr>
          <w:rFonts w:ascii="標楷體" w:eastAsia="標楷體" w:hAnsi="標楷體" w:hint="eastAsia"/>
          <w:b/>
          <w:bCs/>
          <w:szCs w:val="22"/>
          <w:lang w:val="de-DE"/>
        </w:rPr>
        <w:t>論文</w:t>
      </w:r>
    </w:p>
    <w:p w:rsidR="00000000" w:rsidRDefault="00FC5876">
      <w:pPr>
        <w:spacing w:line="360" w:lineRule="auto"/>
        <w:ind w:left="480" w:hangingChars="200" w:hanging="480"/>
        <w:rPr>
          <w:rFonts w:hint="eastAsia"/>
          <w:b/>
          <w:bCs/>
          <w:szCs w:val="22"/>
          <w:lang w:val="de-DE"/>
        </w:rPr>
      </w:pPr>
      <w:r>
        <w:rPr>
          <w:szCs w:val="22"/>
        </w:rPr>
        <w:t>λ</w:t>
      </w:r>
      <w:r>
        <w:rPr>
          <w:rFonts w:hint="eastAsia"/>
          <w:szCs w:val="22"/>
        </w:rPr>
        <w:t xml:space="preserve">   </w:t>
      </w:r>
      <w:r>
        <w:t>林明昕</w:t>
      </w:r>
      <w:r>
        <w:rPr>
          <w:lang w:val="de-DE"/>
        </w:rPr>
        <w:t>，</w:t>
      </w:r>
      <w:r>
        <w:t>「論大法官釋憲程序之改革</w:t>
      </w:r>
      <w:r>
        <w:rPr>
          <w:lang w:val="de-DE"/>
        </w:rPr>
        <w:t xml:space="preserve"> — </w:t>
      </w:r>
      <w:r>
        <w:t>兼評司法院大法官審理</w:t>
      </w:r>
      <w:r>
        <w:t>案件法修正草案」</w:t>
      </w:r>
      <w:r>
        <w:rPr>
          <w:lang w:val="de-DE"/>
        </w:rPr>
        <w:t>，</w:t>
      </w:r>
      <w:r>
        <w:t>中央研究院中山人文社會科學研究所主辦，第四屆「憲法</w:t>
      </w:r>
      <w:r>
        <w:rPr>
          <w:rFonts w:hint="eastAsia"/>
        </w:rPr>
        <w:t>解釋之理論與實務」學術研討會論文，</w:t>
      </w:r>
      <w:r>
        <w:rPr>
          <w:rFonts w:hint="eastAsia"/>
        </w:rPr>
        <w:t>2003.9.26/27</w:t>
      </w:r>
      <w:r>
        <w:rPr>
          <w:rFonts w:hint="eastAsia"/>
        </w:rPr>
        <w:t>。</w:t>
      </w:r>
    </w:p>
    <w:p w:rsidR="00000000" w:rsidRDefault="00FC5876">
      <w:pPr>
        <w:spacing w:line="360" w:lineRule="auto"/>
        <w:ind w:left="720" w:hangingChars="300" w:hanging="720"/>
        <w:rPr>
          <w:rFonts w:hint="eastAsia"/>
        </w:rPr>
      </w:pPr>
      <w:r>
        <w:rPr>
          <w:rFonts w:hint="eastAsia"/>
        </w:rPr>
        <w:t>λ</w:t>
      </w:r>
      <w:r>
        <w:rPr>
          <w:rFonts w:hint="eastAsia"/>
        </w:rPr>
        <w:t xml:space="preserve">  </w:t>
      </w:r>
      <w:r>
        <w:t>林明昕，「一般形成訴訟」，當代公法新論（下），翁岳生教授七秩誕辰祝壽</w:t>
      </w:r>
    </w:p>
    <w:p w:rsidR="00000000" w:rsidRDefault="00FC5876">
      <w:pPr>
        <w:spacing w:line="360" w:lineRule="auto"/>
        <w:ind w:leftChars="200" w:left="720" w:hangingChars="100" w:hanging="240"/>
        <w:rPr>
          <w:rFonts w:hint="eastAsia"/>
          <w:b/>
          <w:bCs/>
          <w:szCs w:val="22"/>
        </w:rPr>
      </w:pPr>
      <w:r>
        <w:t>論文集，</w:t>
      </w:r>
      <w:r>
        <w:t>2002</w:t>
      </w:r>
      <w:r>
        <w:rPr>
          <w:rFonts w:hint="eastAsia"/>
        </w:rPr>
        <w:t>。</w:t>
      </w:r>
    </w:p>
    <w:p w:rsidR="00000000" w:rsidRDefault="00FC5876">
      <w:pPr>
        <w:spacing w:line="360" w:lineRule="auto"/>
        <w:ind w:left="720" w:hangingChars="300" w:hanging="720"/>
        <w:rPr>
          <w:rFonts w:hint="eastAsia"/>
          <w:szCs w:val="22"/>
          <w:lang w:val="de-DE"/>
        </w:rPr>
      </w:pPr>
      <w:r>
        <w:rPr>
          <w:rFonts w:hint="eastAsia"/>
        </w:rPr>
        <w:t>λ</w:t>
      </w:r>
      <w:r>
        <w:rPr>
          <w:rFonts w:hint="eastAsia"/>
        </w:rPr>
        <w:t xml:space="preserve">  </w:t>
      </w:r>
      <w:r>
        <w:rPr>
          <w:szCs w:val="22"/>
          <w:lang w:val="de-DE"/>
        </w:rPr>
        <w:t>周世珍，公務人員保障制度之理論與實際，台北大學法律學研究所博士論</w:t>
      </w:r>
    </w:p>
    <w:p w:rsidR="00000000" w:rsidRDefault="00FC5876">
      <w:pPr>
        <w:spacing w:line="360" w:lineRule="auto"/>
        <w:ind w:leftChars="200" w:left="720" w:hangingChars="100" w:hanging="240"/>
        <w:rPr>
          <w:rFonts w:hint="eastAsia"/>
          <w:szCs w:val="22"/>
          <w:lang w:val="de-DE"/>
        </w:rPr>
      </w:pPr>
      <w:r>
        <w:rPr>
          <w:szCs w:val="22"/>
          <w:lang w:val="de-DE"/>
        </w:rPr>
        <w:t>文，</w:t>
      </w:r>
      <w:r>
        <w:rPr>
          <w:rFonts w:hint="eastAsia"/>
          <w:szCs w:val="22"/>
          <w:lang w:val="de-DE"/>
        </w:rPr>
        <w:t>2000</w:t>
      </w:r>
      <w:r>
        <w:rPr>
          <w:rFonts w:hint="eastAsia"/>
          <w:szCs w:val="22"/>
          <w:lang w:val="de-DE"/>
        </w:rPr>
        <w:t>。</w:t>
      </w:r>
    </w:p>
    <w:p w:rsidR="00000000" w:rsidRDefault="00FC5876">
      <w:pPr>
        <w:spacing w:line="360" w:lineRule="auto"/>
        <w:ind w:left="480" w:hangingChars="200" w:hanging="480"/>
        <w:rPr>
          <w:rFonts w:hint="eastAsia"/>
          <w:b/>
          <w:bCs/>
          <w:szCs w:val="22"/>
          <w:lang w:val="de-DE"/>
        </w:rPr>
      </w:pPr>
      <w:r>
        <w:rPr>
          <w:rFonts w:hint="eastAsia"/>
        </w:rPr>
        <w:t>λ</w:t>
      </w:r>
      <w:r>
        <w:rPr>
          <w:rFonts w:hint="eastAsia"/>
        </w:rPr>
        <w:t xml:space="preserve">  </w:t>
      </w:r>
      <w:r>
        <w:t>蔡正村，我國現行公務人員任用制度之研究，中山大學政研所碩士論文，</w:t>
      </w:r>
      <w:r>
        <w:t>2003.12</w:t>
      </w:r>
      <w:r>
        <w:t>。</w:t>
      </w:r>
    </w:p>
    <w:p w:rsidR="00000000" w:rsidRDefault="00FC5876">
      <w:pPr>
        <w:spacing w:line="360" w:lineRule="auto"/>
        <w:rPr>
          <w:szCs w:val="22"/>
          <w:lang w:val="de-DE"/>
        </w:rPr>
      </w:pPr>
      <w:r>
        <w:rPr>
          <w:szCs w:val="22"/>
          <w:lang w:val="de-DE"/>
        </w:rPr>
        <w:lastRenderedPageBreak/>
        <w:t>λ</w:t>
      </w:r>
      <w:r>
        <w:rPr>
          <w:rFonts w:hint="eastAsia"/>
          <w:szCs w:val="22"/>
          <w:lang w:val="de-DE"/>
        </w:rPr>
        <w:t xml:space="preserve"> </w:t>
      </w:r>
      <w:r>
        <w:rPr>
          <w:rFonts w:hint="eastAsia"/>
          <w:b/>
          <w:bCs/>
          <w:szCs w:val="22"/>
          <w:lang w:val="de-DE"/>
        </w:rPr>
        <w:t xml:space="preserve">  </w:t>
      </w:r>
      <w:r>
        <w:t>賴富源，我國公務人員陞遷制度之研究，文化政研所碩士論文，</w:t>
      </w:r>
      <w:r>
        <w:t>2002</w:t>
      </w:r>
      <w:r>
        <w:t>。</w:t>
      </w:r>
    </w:p>
    <w:p w:rsidR="00000000" w:rsidRDefault="00FC5876">
      <w:pPr>
        <w:widowControl/>
        <w:spacing w:afterLines="50" w:after="180" w:line="360" w:lineRule="auto"/>
        <w:ind w:left="540" w:hangingChars="225" w:hanging="540"/>
        <w:jc w:val="both"/>
        <w:rPr>
          <w:szCs w:val="22"/>
          <w:lang w:val="de-DE"/>
        </w:rPr>
      </w:pPr>
      <w:r>
        <w:rPr>
          <w:szCs w:val="22"/>
          <w:lang w:val="de-DE"/>
        </w:rPr>
        <w:t>λ</w:t>
      </w:r>
      <w:r>
        <w:rPr>
          <w:rFonts w:hint="eastAsia"/>
          <w:szCs w:val="22"/>
          <w:lang w:val="de-DE"/>
        </w:rPr>
        <w:t xml:space="preserve"> </w:t>
      </w:r>
      <w:r>
        <w:rPr>
          <w:rFonts w:hint="eastAsia"/>
          <w:b/>
          <w:bCs/>
          <w:szCs w:val="22"/>
          <w:lang w:val="de-DE"/>
        </w:rPr>
        <w:t xml:space="preserve">  </w:t>
      </w:r>
      <w:r>
        <w:rPr>
          <w:szCs w:val="22"/>
          <w:lang w:val="de-DE"/>
        </w:rPr>
        <w:t>台北大學公行系，行政院人行</w:t>
      </w:r>
      <w:r>
        <w:rPr>
          <w:szCs w:val="22"/>
          <w:lang w:val="de-DE"/>
        </w:rPr>
        <w:t>局委託研究，公務人員升遷制度之研究，</w:t>
      </w:r>
      <w:r>
        <w:rPr>
          <w:szCs w:val="22"/>
          <w:lang w:val="de-DE"/>
        </w:rPr>
        <w:t>2003.12</w:t>
      </w:r>
      <w:r>
        <w:rPr>
          <w:szCs w:val="22"/>
          <w:lang w:val="de-DE"/>
        </w:rPr>
        <w:t>。</w:t>
      </w:r>
    </w:p>
    <w:p w:rsidR="00000000" w:rsidRDefault="00FC5876">
      <w:pPr>
        <w:widowControl/>
        <w:spacing w:afterLines="50" w:after="180"/>
        <w:ind w:left="540" w:hangingChars="225" w:hanging="540"/>
        <w:jc w:val="both"/>
        <w:rPr>
          <w:rFonts w:hint="eastAsia"/>
          <w:szCs w:val="22"/>
          <w:lang w:val="de-DE"/>
        </w:rPr>
      </w:pPr>
      <w:r>
        <w:rPr>
          <w:szCs w:val="22"/>
          <w:lang w:val="de-DE"/>
        </w:rPr>
        <w:t>λ</w:t>
      </w:r>
      <w:r>
        <w:rPr>
          <w:rFonts w:hint="eastAsia"/>
          <w:szCs w:val="22"/>
          <w:lang w:val="de-DE"/>
        </w:rPr>
        <w:t xml:space="preserve"> </w:t>
      </w:r>
      <w:r>
        <w:rPr>
          <w:rFonts w:hint="eastAsia"/>
          <w:b/>
          <w:bCs/>
          <w:szCs w:val="22"/>
          <w:lang w:val="de-DE"/>
        </w:rPr>
        <w:t xml:space="preserve">  </w:t>
      </w:r>
      <w:r>
        <w:rPr>
          <w:szCs w:val="22"/>
          <w:lang w:val="de-DE"/>
        </w:rPr>
        <w:t>周世珍，〈公務人員保障制度之理論與實際〉，台北大學法律學研究所博士論文，</w:t>
      </w:r>
      <w:r>
        <w:rPr>
          <w:rFonts w:hint="eastAsia"/>
          <w:szCs w:val="22"/>
          <w:lang w:val="de-DE"/>
        </w:rPr>
        <w:t>2000</w:t>
      </w:r>
      <w:r>
        <w:rPr>
          <w:rFonts w:hint="eastAsia"/>
          <w:szCs w:val="22"/>
          <w:lang w:val="de-DE"/>
        </w:rPr>
        <w:t>。</w:t>
      </w:r>
    </w:p>
    <w:p w:rsidR="00000000" w:rsidRDefault="00FC5876">
      <w:pPr>
        <w:widowControl/>
        <w:spacing w:afterLines="50" w:after="180"/>
        <w:jc w:val="both"/>
        <w:rPr>
          <w:rFonts w:hint="eastAsia"/>
          <w:szCs w:val="22"/>
        </w:rPr>
      </w:pPr>
    </w:p>
    <w:p w:rsidR="00000000" w:rsidRDefault="00FC5876">
      <w:pPr>
        <w:widowControl/>
        <w:spacing w:afterLines="50" w:after="180"/>
        <w:jc w:val="both"/>
        <w:rPr>
          <w:rFonts w:ascii="標楷體" w:eastAsia="標楷體" w:hAnsi="標楷體" w:hint="eastAsia"/>
          <w:b/>
          <w:bCs/>
          <w:szCs w:val="22"/>
          <w:lang w:val="de-DE"/>
        </w:rPr>
      </w:pPr>
      <w:r>
        <w:rPr>
          <w:rFonts w:ascii="標楷體" w:eastAsia="標楷體" w:hAnsi="標楷體" w:hint="eastAsia"/>
          <w:b/>
          <w:bCs/>
          <w:szCs w:val="22"/>
          <w:lang w:val="de-DE"/>
        </w:rPr>
        <w:t>(</w:t>
      </w:r>
      <w:r>
        <w:rPr>
          <w:rFonts w:ascii="標楷體" w:eastAsia="標楷體" w:hAnsi="標楷體" w:hint="eastAsia"/>
          <w:b/>
          <w:bCs/>
          <w:szCs w:val="22"/>
        </w:rPr>
        <w:t>三</w:t>
      </w:r>
      <w:r>
        <w:rPr>
          <w:rFonts w:ascii="標楷體" w:eastAsia="標楷體" w:hAnsi="標楷體" w:hint="eastAsia"/>
          <w:b/>
          <w:bCs/>
          <w:szCs w:val="22"/>
          <w:lang w:val="de-DE"/>
        </w:rPr>
        <w:t xml:space="preserve">) </w:t>
      </w:r>
      <w:r>
        <w:rPr>
          <w:rFonts w:ascii="標楷體" w:eastAsia="標楷體" w:hAnsi="標楷體" w:hint="eastAsia"/>
          <w:b/>
          <w:bCs/>
          <w:szCs w:val="22"/>
          <w:lang w:val="de-DE"/>
        </w:rPr>
        <w:t>政府出版品</w:t>
      </w:r>
    </w:p>
    <w:p w:rsidR="00000000" w:rsidRDefault="00FC5876">
      <w:pPr>
        <w:spacing w:line="360" w:lineRule="auto"/>
        <w:ind w:left="480" w:hangingChars="200" w:hanging="480"/>
        <w:rPr>
          <w:rFonts w:hint="eastAsia"/>
          <w:b/>
          <w:bCs/>
          <w:szCs w:val="22"/>
          <w:lang w:val="de-DE"/>
        </w:rPr>
      </w:pPr>
      <w:r>
        <w:rPr>
          <w:rFonts w:eastAsia="標楷體" w:hint="eastAsia"/>
          <w:noProof/>
          <w:spacing w:val="20"/>
          <w:kern w:val="0"/>
          <w:sz w:val="20"/>
          <w:szCs w:val="20"/>
        </w:rPr>
        <w:t>λ</w:t>
      </w:r>
      <w:r>
        <w:rPr>
          <w:rFonts w:eastAsia="標楷體" w:hint="eastAsia"/>
          <w:noProof/>
          <w:spacing w:val="20"/>
          <w:kern w:val="0"/>
          <w:sz w:val="20"/>
          <w:szCs w:val="20"/>
        </w:rPr>
        <w:t xml:space="preserve"> </w:t>
      </w:r>
      <w:r>
        <w:rPr>
          <w:lang w:val="de-DE"/>
        </w:rPr>
        <w:t>李建良，保障制度復審範圍之研究，公務人員保障暨培訓委員會委託研究計畫，</w:t>
      </w:r>
      <w:r>
        <w:rPr>
          <w:lang w:val="de-DE"/>
        </w:rPr>
        <w:t>2003.12</w:t>
      </w:r>
      <w:r>
        <w:rPr>
          <w:rFonts w:hint="eastAsia"/>
          <w:lang w:val="de-DE"/>
        </w:rPr>
        <w:t>。</w:t>
      </w:r>
    </w:p>
    <w:p w:rsidR="00000000" w:rsidRDefault="00FC5876">
      <w:pPr>
        <w:widowControl/>
        <w:spacing w:afterLines="50" w:after="180" w:line="360" w:lineRule="auto"/>
        <w:ind w:left="480" w:hangingChars="200" w:hanging="480"/>
        <w:jc w:val="both"/>
        <w:rPr>
          <w:rFonts w:ascii="新細明體" w:hAnsi="新細明體" w:hint="eastAsia"/>
        </w:rPr>
      </w:pPr>
      <w:r>
        <w:rPr>
          <w:rFonts w:hint="eastAsia"/>
          <w:szCs w:val="22"/>
          <w:lang w:val="de-DE"/>
        </w:rPr>
        <w:t>λ</w:t>
      </w:r>
      <w:r>
        <w:rPr>
          <w:rFonts w:hint="eastAsia"/>
          <w:szCs w:val="22"/>
          <w:lang w:val="de-DE"/>
        </w:rPr>
        <w:t xml:space="preserve"> </w:t>
      </w:r>
      <w:r>
        <w:rPr>
          <w:rFonts w:hint="eastAsia"/>
          <w:b/>
          <w:bCs/>
          <w:szCs w:val="22"/>
          <w:lang w:val="de-DE"/>
        </w:rPr>
        <w:t xml:space="preserve"> </w:t>
      </w:r>
      <w:r>
        <w:rPr>
          <w:rFonts w:ascii="新細明體" w:hAnsi="新細明體"/>
        </w:rPr>
        <w:t>陳愛娥，「行政處分」，訴願程序與行政程序相關專論暨法令選輯，台北市政府訴願審議委員會，</w:t>
      </w:r>
      <w:r>
        <w:t>2000.7</w:t>
      </w:r>
      <w:r>
        <w:rPr>
          <w:rFonts w:ascii="新細明體" w:hAnsi="新細明體"/>
        </w:rPr>
        <w:t>，增訂版。</w:t>
      </w:r>
    </w:p>
    <w:p w:rsidR="00000000" w:rsidRDefault="00FC5876">
      <w:pPr>
        <w:spacing w:after="50" w:line="360" w:lineRule="auto"/>
        <w:ind w:left="480" w:hangingChars="200" w:hanging="480"/>
        <w:rPr>
          <w:rFonts w:ascii="新細明體" w:hAnsi="新細明體" w:hint="eastAsia"/>
          <w:lang w:val="de-DE"/>
        </w:rPr>
      </w:pPr>
      <w:r>
        <w:rPr>
          <w:rFonts w:hint="eastAsia"/>
        </w:rPr>
        <w:t>λ</w:t>
      </w:r>
      <w:r>
        <w:rPr>
          <w:rFonts w:hint="eastAsia"/>
        </w:rPr>
        <w:t xml:space="preserve">  </w:t>
      </w:r>
      <w:r>
        <w:rPr>
          <w:rFonts w:ascii="新細明體" w:hAnsi="新細明體"/>
        </w:rPr>
        <w:t>廖義男</w:t>
      </w:r>
      <w:r>
        <w:rPr>
          <w:rFonts w:ascii="新細明體" w:hAnsi="新細明體"/>
          <w:lang w:val="de-DE"/>
        </w:rPr>
        <w:t>，</w:t>
      </w:r>
      <w:r>
        <w:rPr>
          <w:rFonts w:ascii="新細明體" w:hAnsi="新細明體"/>
        </w:rPr>
        <w:t>「行政程序法草案之重要內容</w:t>
      </w:r>
      <w:r>
        <w:rPr>
          <w:rFonts w:ascii="新細明體" w:hAnsi="新細明體"/>
          <w:lang w:val="de-DE"/>
        </w:rPr>
        <w:t>（</w:t>
      </w:r>
      <w:r>
        <w:rPr>
          <w:rFonts w:ascii="新細明體" w:hAnsi="新細明體"/>
        </w:rPr>
        <w:t>一</w:t>
      </w:r>
      <w:r>
        <w:rPr>
          <w:rFonts w:ascii="新細明體" w:hAnsi="新細明體"/>
          <w:lang w:val="de-DE"/>
        </w:rPr>
        <w:t>）</w:t>
      </w:r>
      <w:r>
        <w:rPr>
          <w:rFonts w:ascii="新細明體" w:hAnsi="新細明體"/>
          <w:lang w:val="de-DE"/>
        </w:rPr>
        <w:t xml:space="preserve"> - </w:t>
      </w:r>
      <w:r>
        <w:rPr>
          <w:rFonts w:ascii="新細明體" w:hAnsi="新細明體"/>
        </w:rPr>
        <w:t>適用範圍、行政處分與法規命令」</w:t>
      </w:r>
      <w:r>
        <w:rPr>
          <w:rFonts w:ascii="新細明體" w:hAnsi="新細明體"/>
          <w:lang w:val="de-DE"/>
        </w:rPr>
        <w:t>，</w:t>
      </w:r>
      <w:r>
        <w:rPr>
          <w:rFonts w:ascii="新細明體" w:hAnsi="新細明體"/>
        </w:rPr>
        <w:t>行政程序法草案研討會會議資料</w:t>
      </w:r>
      <w:r>
        <w:rPr>
          <w:rFonts w:ascii="新細明體" w:hAnsi="新細明體"/>
          <w:lang w:val="de-DE"/>
        </w:rPr>
        <w:t>，</w:t>
      </w:r>
      <w:r>
        <w:rPr>
          <w:lang w:val="de-DE"/>
        </w:rPr>
        <w:t>1998.12.19</w:t>
      </w:r>
      <w:r>
        <w:rPr>
          <w:rFonts w:ascii="新細明體" w:hAnsi="新細明體" w:hint="eastAsia"/>
          <w:lang w:val="de-DE"/>
        </w:rPr>
        <w:t>。</w:t>
      </w:r>
    </w:p>
    <w:p w:rsidR="00000000" w:rsidRDefault="00FC5876">
      <w:pPr>
        <w:spacing w:after="50" w:line="360" w:lineRule="auto"/>
        <w:ind w:left="480" w:hangingChars="200" w:hanging="480"/>
        <w:rPr>
          <w:rFonts w:ascii="新細明體" w:hAnsi="新細明體" w:hint="eastAsia"/>
        </w:rPr>
      </w:pPr>
      <w:r>
        <w:rPr>
          <w:rFonts w:hint="eastAsia"/>
        </w:rPr>
        <w:t>λ</w:t>
      </w:r>
      <w:r>
        <w:rPr>
          <w:rFonts w:hint="eastAsia"/>
        </w:rPr>
        <w:t xml:space="preserve">  </w:t>
      </w:r>
      <w:r>
        <w:rPr>
          <w:rFonts w:ascii="新細明體" w:hAnsi="新細明體"/>
        </w:rPr>
        <w:t>程明修，「對公務人員職務調動處分的行政訴訟」，司法院，行政訴訟論文彙編</w:t>
      </w:r>
      <w:r>
        <w:rPr>
          <w:rFonts w:ascii="新細明體" w:hAnsi="新細明體"/>
        </w:rPr>
        <w:t xml:space="preserve"> - </w:t>
      </w:r>
      <w:r>
        <w:rPr>
          <w:rFonts w:ascii="新細明體" w:hAnsi="新細明體"/>
        </w:rPr>
        <w:t>人事行政爭訟，</w:t>
      </w:r>
      <w:r>
        <w:t>2002.11</w:t>
      </w:r>
      <w:r>
        <w:rPr>
          <w:rFonts w:ascii="新細明體" w:hAnsi="新細明體" w:hint="eastAsia"/>
        </w:rPr>
        <w:t>。</w:t>
      </w:r>
    </w:p>
    <w:p w:rsidR="00000000" w:rsidRDefault="00FC5876">
      <w:pPr>
        <w:widowControl/>
        <w:spacing w:afterLines="50" w:after="180" w:line="360" w:lineRule="auto"/>
        <w:ind w:left="480" w:hangingChars="200" w:hanging="480"/>
        <w:jc w:val="both"/>
        <w:rPr>
          <w:rFonts w:ascii="新細明體" w:hAnsi="新細明體" w:hint="eastAsia"/>
        </w:rPr>
      </w:pPr>
      <w:r>
        <w:t>λ</w:t>
      </w:r>
      <w:r>
        <w:rPr>
          <w:rFonts w:hint="eastAsia"/>
        </w:rPr>
        <w:t xml:space="preserve">   </w:t>
      </w:r>
      <w:r>
        <w:rPr>
          <w:rFonts w:ascii="新細明體" w:hAnsi="新細明體"/>
        </w:rPr>
        <w:t>盛子龍，「公務員權利調整之權利救濟</w:t>
      </w:r>
      <w:r>
        <w:rPr>
          <w:rFonts w:ascii="新細明體" w:hAnsi="新細明體"/>
        </w:rPr>
        <w:t xml:space="preserve"> – </w:t>
      </w:r>
      <w:r>
        <w:rPr>
          <w:rFonts w:ascii="新細明體" w:hAnsi="新細明體"/>
        </w:rPr>
        <w:t>行政訴訟法新制下新展望」，司法院，行政訴訟論文彙編</w:t>
      </w:r>
      <w:r>
        <w:rPr>
          <w:rFonts w:ascii="新細明體" w:hAnsi="新細明體"/>
        </w:rPr>
        <w:t xml:space="preserve"> - </w:t>
      </w:r>
      <w:r>
        <w:rPr>
          <w:rFonts w:ascii="新細明體" w:hAnsi="新細明體"/>
        </w:rPr>
        <w:t>人事行政爭訟，</w:t>
      </w:r>
      <w:r>
        <w:t>2002.11</w:t>
      </w:r>
      <w:r>
        <w:rPr>
          <w:rFonts w:ascii="新細明體" w:hAnsi="新細明體" w:hint="eastAsia"/>
        </w:rPr>
        <w:t>。</w:t>
      </w:r>
    </w:p>
    <w:p w:rsidR="00000000" w:rsidRDefault="00FC5876">
      <w:pPr>
        <w:widowControl/>
        <w:spacing w:afterLines="50" w:after="180" w:line="360" w:lineRule="auto"/>
        <w:ind w:left="480" w:hangingChars="200" w:hanging="480"/>
        <w:jc w:val="both"/>
        <w:rPr>
          <w:rFonts w:ascii="新細明體" w:hAnsi="新細明體" w:hint="eastAsia"/>
        </w:rPr>
      </w:pPr>
      <w:r>
        <w:rPr>
          <w:rFonts w:hint="eastAsia"/>
        </w:rPr>
        <w:t>λ</w:t>
      </w:r>
      <w:r>
        <w:rPr>
          <w:rFonts w:hint="eastAsia"/>
        </w:rPr>
        <w:t xml:space="preserve">  </w:t>
      </w:r>
      <w:r>
        <w:rPr>
          <w:rFonts w:ascii="新細明體" w:hAnsi="新細明體" w:hint="eastAsia"/>
        </w:rPr>
        <w:t>汪渡村</w:t>
      </w:r>
      <w:r>
        <w:rPr>
          <w:rFonts w:ascii="新細明體" w:hAnsi="新細明體" w:hint="eastAsia"/>
        </w:rPr>
        <w:t>/</w:t>
      </w:r>
      <w:r>
        <w:rPr>
          <w:rFonts w:ascii="新細明體" w:hAnsi="新細明體" w:hint="eastAsia"/>
        </w:rPr>
        <w:t>陳世民</w:t>
      </w:r>
      <w:r>
        <w:rPr>
          <w:rFonts w:ascii="新細明體" w:hAnsi="新細明體" w:hint="eastAsia"/>
        </w:rPr>
        <w:t>/</w:t>
      </w:r>
      <w:r>
        <w:rPr>
          <w:rFonts w:ascii="新細明體" w:hAnsi="新細明體" w:hint="eastAsia"/>
        </w:rPr>
        <w:t>林素鳳，行政訴訟法修正後諸原則之探討，台灣省訴願會委託研究，</w:t>
      </w:r>
      <w:r>
        <w:rPr>
          <w:rFonts w:hint="eastAsia"/>
        </w:rPr>
        <w:t>1999.5.31</w:t>
      </w:r>
      <w:r>
        <w:rPr>
          <w:rFonts w:ascii="新細明體" w:hAnsi="新細明體" w:hint="eastAsia"/>
        </w:rPr>
        <w:t>。</w:t>
      </w:r>
    </w:p>
    <w:p w:rsidR="00000000" w:rsidRDefault="00FC5876">
      <w:pPr>
        <w:spacing w:after="50" w:line="360" w:lineRule="auto"/>
        <w:ind w:left="480" w:hangingChars="200" w:hanging="480"/>
        <w:rPr>
          <w:rFonts w:ascii="新細明體" w:hAnsi="新細明體" w:hint="eastAsia"/>
        </w:rPr>
      </w:pPr>
      <w:r>
        <w:rPr>
          <w:rFonts w:ascii="新細明體" w:hAnsi="新細明體" w:hint="eastAsia"/>
        </w:rPr>
        <w:t>λ</w:t>
      </w:r>
      <w:r>
        <w:rPr>
          <w:rFonts w:ascii="新細明體" w:hAnsi="新細明體" w:hint="eastAsia"/>
        </w:rPr>
        <w:t xml:space="preserve">  </w:t>
      </w:r>
      <w:r>
        <w:rPr>
          <w:rFonts w:ascii="新細明體" w:hAnsi="新細明體"/>
        </w:rPr>
        <w:t>行政院人事行政局委託，國立台北大學公共行政暨政策學系，公務人員陞遷制度之研究</w:t>
      </w:r>
    </w:p>
    <w:p w:rsidR="00000000" w:rsidRDefault="00FC5876">
      <w:pPr>
        <w:widowControl/>
        <w:spacing w:afterLines="50" w:after="180" w:line="360" w:lineRule="auto"/>
        <w:jc w:val="both"/>
        <w:rPr>
          <w:rFonts w:ascii="新細明體" w:hAnsi="新細明體" w:hint="eastAsia"/>
        </w:rPr>
      </w:pPr>
      <w:r>
        <w:t>λ</w:t>
      </w:r>
      <w:r>
        <w:rPr>
          <w:rFonts w:hint="eastAsia"/>
        </w:rPr>
        <w:t xml:space="preserve">   </w:t>
      </w:r>
      <w:r>
        <w:rPr>
          <w:rFonts w:ascii="新細明體" w:hAnsi="新細明體"/>
        </w:rPr>
        <w:t>立法院公報，第</w:t>
      </w:r>
      <w:r>
        <w:t>92</w:t>
      </w:r>
      <w:r>
        <w:rPr>
          <w:rFonts w:ascii="新細明體" w:hAnsi="新細明體"/>
        </w:rPr>
        <w:t>卷第</w:t>
      </w:r>
      <w:r>
        <w:t>59</w:t>
      </w:r>
      <w:r>
        <w:rPr>
          <w:rFonts w:ascii="新細明體" w:hAnsi="新細明體"/>
        </w:rPr>
        <w:t>期</w:t>
      </w:r>
    </w:p>
    <w:p w:rsidR="00000000" w:rsidRDefault="00FC5876">
      <w:pPr>
        <w:widowControl/>
        <w:spacing w:afterLines="50" w:after="180" w:line="360" w:lineRule="auto"/>
        <w:jc w:val="both"/>
        <w:rPr>
          <w:rFonts w:ascii="新細明體" w:hAnsi="新細明體" w:hint="eastAsia"/>
          <w:lang w:val="de-DE"/>
        </w:rPr>
      </w:pPr>
      <w:r>
        <w:rPr>
          <w:rFonts w:hint="eastAsia"/>
        </w:rPr>
        <w:t>λ</w:t>
      </w:r>
      <w:r>
        <w:rPr>
          <w:rFonts w:hint="eastAsia"/>
        </w:rPr>
        <w:t xml:space="preserve">  </w:t>
      </w:r>
      <w:r>
        <w:rPr>
          <w:rFonts w:ascii="新細明體" w:hAnsi="新細明體"/>
          <w:lang w:val="de-DE"/>
        </w:rPr>
        <w:t>保訓會，公務人員保障暨培訓委</w:t>
      </w:r>
      <w:r>
        <w:rPr>
          <w:rFonts w:ascii="新細明體" w:hAnsi="新細明體"/>
          <w:lang w:val="de-DE"/>
        </w:rPr>
        <w:t>員會八十七年度赴澳大利亞考察報告</w:t>
      </w:r>
    </w:p>
    <w:p w:rsidR="00000000" w:rsidRDefault="00FC5876">
      <w:pPr>
        <w:widowControl/>
        <w:spacing w:afterLines="50" w:after="180" w:line="360" w:lineRule="auto"/>
        <w:jc w:val="both"/>
        <w:rPr>
          <w:rFonts w:ascii="新細明體" w:hAnsi="新細明體" w:hint="eastAsia"/>
          <w:lang w:val="de-DE"/>
        </w:rPr>
      </w:pPr>
      <w:r>
        <w:rPr>
          <w:rFonts w:hint="eastAsia"/>
          <w:szCs w:val="22"/>
        </w:rPr>
        <w:t>λ</w:t>
      </w:r>
      <w:r>
        <w:rPr>
          <w:rFonts w:hint="eastAsia"/>
          <w:b/>
          <w:bCs/>
          <w:szCs w:val="22"/>
        </w:rPr>
        <w:t xml:space="preserve">  </w:t>
      </w:r>
      <w:r>
        <w:rPr>
          <w:rFonts w:ascii="新細明體" w:hAnsi="新細明體"/>
          <w:lang w:val="de-DE"/>
        </w:rPr>
        <w:t>法務部，行政程序法解釋及諮詢小組會議記錄彙編，</w:t>
      </w:r>
      <w:r>
        <w:rPr>
          <w:lang w:val="de-DE"/>
        </w:rPr>
        <w:t>2001</w:t>
      </w:r>
      <w:r>
        <w:rPr>
          <w:rFonts w:ascii="新細明體" w:hAnsi="新細明體"/>
          <w:lang w:val="de-DE"/>
        </w:rPr>
        <w:t>年</w:t>
      </w:r>
      <w:r>
        <w:rPr>
          <w:lang w:val="de-DE"/>
        </w:rPr>
        <w:t>12</w:t>
      </w:r>
      <w:r>
        <w:rPr>
          <w:rFonts w:ascii="新細明體" w:hAnsi="新細明體"/>
          <w:lang w:val="de-DE"/>
        </w:rPr>
        <w:t>月</w:t>
      </w:r>
    </w:p>
    <w:p w:rsidR="00000000" w:rsidRDefault="00FC5876">
      <w:pPr>
        <w:spacing w:after="50" w:line="360" w:lineRule="auto"/>
        <w:rPr>
          <w:rFonts w:ascii="新細明體" w:hAnsi="新細明體" w:hint="eastAsia"/>
        </w:rPr>
      </w:pPr>
      <w:r>
        <w:rPr>
          <w:rFonts w:ascii="新細明體" w:hAnsi="新細明體" w:hint="eastAsia"/>
          <w:lang w:val="de-DE"/>
        </w:rPr>
        <w:lastRenderedPageBreak/>
        <w:t>λ</w:t>
      </w:r>
      <w:r>
        <w:rPr>
          <w:rFonts w:ascii="新細明體" w:hAnsi="新細明體" w:hint="eastAsia"/>
          <w:lang w:val="de-DE"/>
        </w:rPr>
        <w:t xml:space="preserve">  </w:t>
      </w:r>
      <w:r>
        <w:rPr>
          <w:rFonts w:ascii="新細明體" w:hAnsi="新細明體"/>
        </w:rPr>
        <w:t>法務部，行政程序法裁判要旨彙編，</w:t>
      </w:r>
      <w:r>
        <w:t>2004.7</w:t>
      </w:r>
      <w:r>
        <w:rPr>
          <w:rFonts w:hint="eastAsia"/>
        </w:rPr>
        <w:t>。</w:t>
      </w:r>
    </w:p>
    <w:p w:rsidR="00000000" w:rsidRDefault="00FC5876">
      <w:pPr>
        <w:spacing w:after="50" w:line="360" w:lineRule="auto"/>
        <w:rPr>
          <w:rFonts w:ascii="新細明體" w:hAnsi="新細明體" w:hint="eastAsia"/>
        </w:rPr>
      </w:pPr>
      <w:r>
        <w:rPr>
          <w:rFonts w:ascii="新細明體" w:hAnsi="新細明體" w:hint="eastAsia"/>
          <w:szCs w:val="22"/>
        </w:rPr>
        <w:t>λ</w:t>
      </w:r>
      <w:r>
        <w:rPr>
          <w:rFonts w:ascii="新細明體" w:hAnsi="新細明體" w:hint="eastAsia"/>
          <w:b/>
          <w:bCs/>
          <w:szCs w:val="22"/>
        </w:rPr>
        <w:t xml:space="preserve">  </w:t>
      </w:r>
      <w:r>
        <w:rPr>
          <w:rFonts w:ascii="新細明體" w:hAnsi="新細明體"/>
        </w:rPr>
        <w:t>司法院，行政訴訟論文彙編</w:t>
      </w:r>
      <w:r>
        <w:rPr>
          <w:rFonts w:ascii="新細明體" w:hAnsi="新細明體"/>
        </w:rPr>
        <w:t xml:space="preserve"> - </w:t>
      </w:r>
      <w:r>
        <w:rPr>
          <w:rFonts w:ascii="新細明體" w:hAnsi="新細明體"/>
        </w:rPr>
        <w:t>人事行政爭訟，</w:t>
      </w:r>
      <w:r>
        <w:rPr>
          <w:rFonts w:eastAsia="標楷體"/>
        </w:rPr>
        <w:t>2002.11</w:t>
      </w:r>
      <w:r>
        <w:rPr>
          <w:rFonts w:eastAsia="標楷體" w:hint="eastAsia"/>
        </w:rPr>
        <w:t>。</w:t>
      </w:r>
    </w:p>
    <w:p w:rsidR="00000000" w:rsidRDefault="00FC5876">
      <w:pPr>
        <w:spacing w:after="50" w:line="360" w:lineRule="auto"/>
        <w:rPr>
          <w:rFonts w:ascii="新細明體" w:hAnsi="新細明體" w:hint="eastAsia"/>
          <w:b/>
          <w:bCs/>
          <w:szCs w:val="22"/>
        </w:rPr>
      </w:pPr>
    </w:p>
    <w:p w:rsidR="00000000" w:rsidRDefault="00FC5876">
      <w:pPr>
        <w:widowControl/>
        <w:ind w:left="1121" w:hangingChars="400" w:hanging="1121"/>
        <w:jc w:val="both"/>
        <w:rPr>
          <w:rFonts w:eastAsia="標楷體"/>
          <w:b/>
          <w:bCs/>
          <w:sz w:val="28"/>
          <w:lang w:val="de-DE"/>
        </w:rPr>
      </w:pPr>
      <w:r>
        <w:rPr>
          <w:rFonts w:eastAsia="標楷體"/>
          <w:b/>
          <w:bCs/>
          <w:sz w:val="28"/>
          <w:szCs w:val="22"/>
          <w:lang w:val="de-DE"/>
        </w:rPr>
        <w:t>日文部分</w:t>
      </w:r>
    </w:p>
    <w:p w:rsidR="00000000" w:rsidRDefault="00FC5876">
      <w:pPr>
        <w:numPr>
          <w:ilvl w:val="0"/>
          <w:numId w:val="15"/>
        </w:numPr>
        <w:snapToGrid w:val="0"/>
        <w:spacing w:line="360" w:lineRule="auto"/>
        <w:jc w:val="both"/>
      </w:pPr>
      <w:hyperlink r:id="rId7" w:history="1">
        <w:r>
          <w:rPr>
            <w:rStyle w:val="a8"/>
            <w:rFonts w:hAnsi="新細明體"/>
            <w:color w:val="auto"/>
            <w:u w:val="none"/>
          </w:rPr>
          <w:t>小早川</w:t>
        </w:r>
        <w:r>
          <w:rPr>
            <w:rStyle w:val="a8"/>
            <w:color w:val="auto"/>
            <w:u w:val="none"/>
          </w:rPr>
          <w:t xml:space="preserve"> </w:t>
        </w:r>
        <w:r>
          <w:rPr>
            <w:rStyle w:val="a8"/>
            <w:rFonts w:hAnsi="新細明體"/>
            <w:color w:val="auto"/>
            <w:u w:val="none"/>
          </w:rPr>
          <w:t>光郎</w:t>
        </w:r>
      </w:hyperlink>
      <w:r>
        <w:t xml:space="preserve">, </w:t>
      </w:r>
      <w:hyperlink r:id="rId8" w:history="1">
        <w:r>
          <w:rPr>
            <w:rStyle w:val="a8"/>
            <w:rFonts w:hAnsi="新細明體"/>
            <w:color w:val="auto"/>
            <w:u w:val="none"/>
          </w:rPr>
          <w:t>高橋</w:t>
        </w:r>
        <w:r>
          <w:rPr>
            <w:rStyle w:val="a8"/>
            <w:color w:val="auto"/>
            <w:u w:val="none"/>
          </w:rPr>
          <w:t xml:space="preserve"> </w:t>
        </w:r>
        <w:r>
          <w:rPr>
            <w:rStyle w:val="a8"/>
            <w:rFonts w:hAnsi="新細明體"/>
            <w:color w:val="auto"/>
            <w:u w:val="none"/>
          </w:rPr>
          <w:t>滋</w:t>
        </w:r>
      </w:hyperlink>
      <w:r>
        <w:rPr>
          <w:rFonts w:hAnsi="新細明體"/>
        </w:rPr>
        <w:t>，</w:t>
      </w:r>
      <w:r>
        <w:rPr>
          <w:rStyle w:val="a9"/>
          <w:rFonts w:hAnsi="新細明體"/>
          <w:b w:val="0"/>
        </w:rPr>
        <w:t>詳解改正行政事件訴訟法，</w:t>
      </w:r>
      <w:r>
        <w:rPr>
          <w:rFonts w:hAnsi="新細明體"/>
        </w:rPr>
        <w:t>第一法規</w:t>
      </w:r>
      <w:r>
        <w:t xml:space="preserve"> ; ISBN: 4474018729 </w:t>
      </w:r>
    </w:p>
    <w:p w:rsidR="00000000" w:rsidRDefault="00FC5876">
      <w:pPr>
        <w:numPr>
          <w:ilvl w:val="0"/>
          <w:numId w:val="15"/>
        </w:numPr>
        <w:snapToGrid w:val="0"/>
        <w:spacing w:line="360" w:lineRule="auto"/>
        <w:jc w:val="both"/>
      </w:pPr>
      <w:hyperlink r:id="rId9" w:history="1">
        <w:r>
          <w:rPr>
            <w:rStyle w:val="a8"/>
            <w:rFonts w:hAnsi="新細明體"/>
            <w:color w:val="auto"/>
            <w:u w:val="none"/>
          </w:rPr>
          <w:t>橋本</w:t>
        </w:r>
        <w:r>
          <w:rPr>
            <w:rStyle w:val="a8"/>
            <w:color w:val="auto"/>
            <w:u w:val="none"/>
          </w:rPr>
          <w:t xml:space="preserve"> </w:t>
        </w:r>
        <w:r>
          <w:rPr>
            <w:rStyle w:val="a8"/>
            <w:rFonts w:hAnsi="新細明體"/>
            <w:color w:val="auto"/>
            <w:u w:val="none"/>
          </w:rPr>
          <w:t>博之</w:t>
        </w:r>
      </w:hyperlink>
      <w:r>
        <w:rPr>
          <w:rFonts w:hAnsi="新細明體"/>
        </w:rPr>
        <w:t>，</w:t>
      </w:r>
      <w:r>
        <w:rPr>
          <w:rStyle w:val="a9"/>
          <w:rFonts w:hAnsi="新細明體"/>
          <w:b w:val="0"/>
        </w:rPr>
        <w:t>解説</w:t>
      </w:r>
      <w:r>
        <w:rPr>
          <w:rStyle w:val="a9"/>
          <w:b w:val="0"/>
        </w:rPr>
        <w:t xml:space="preserve"> </w:t>
      </w:r>
      <w:r>
        <w:rPr>
          <w:rStyle w:val="a9"/>
          <w:rFonts w:hAnsi="新細明體"/>
          <w:b w:val="0"/>
        </w:rPr>
        <w:t>改正行政事件訴訟法，</w:t>
      </w:r>
      <w:r>
        <w:rPr>
          <w:rFonts w:hAnsi="新細明體"/>
        </w:rPr>
        <w:t>弘文堂</w:t>
      </w:r>
      <w:r>
        <w:t xml:space="preserve"> ; ISBN: 4335352859 ; (2004/09) </w:t>
      </w:r>
    </w:p>
    <w:p w:rsidR="00000000" w:rsidRDefault="00FC5876">
      <w:pPr>
        <w:numPr>
          <w:ilvl w:val="0"/>
          <w:numId w:val="15"/>
        </w:numPr>
        <w:snapToGrid w:val="0"/>
        <w:spacing w:line="360" w:lineRule="auto"/>
        <w:jc w:val="both"/>
        <w:rPr>
          <w:lang w:eastAsia="ja-JP"/>
        </w:rPr>
      </w:pPr>
      <w:hyperlink r:id="rId10" w:history="1">
        <w:r>
          <w:rPr>
            <w:rStyle w:val="a8"/>
            <w:rFonts w:hAnsi="新細明體"/>
            <w:color w:val="auto"/>
            <w:u w:val="none"/>
            <w:lang w:eastAsia="ja-JP"/>
          </w:rPr>
          <w:t>宇賀</w:t>
        </w:r>
        <w:r>
          <w:rPr>
            <w:rStyle w:val="a8"/>
            <w:color w:val="auto"/>
            <w:u w:val="none"/>
            <w:lang w:eastAsia="ja-JP"/>
          </w:rPr>
          <w:t xml:space="preserve"> </w:t>
        </w:r>
        <w:r>
          <w:rPr>
            <w:rStyle w:val="a8"/>
            <w:rFonts w:hAnsi="新細明體"/>
            <w:color w:val="auto"/>
            <w:u w:val="none"/>
            <w:lang w:eastAsia="ja-JP"/>
          </w:rPr>
          <w:t>克也</w:t>
        </w:r>
      </w:hyperlink>
      <w:r>
        <w:rPr>
          <w:rFonts w:hAnsi="新細明體"/>
          <w:lang w:eastAsia="ja-JP"/>
        </w:rPr>
        <w:t>，</w:t>
      </w:r>
      <w:r>
        <w:rPr>
          <w:rStyle w:val="a9"/>
          <w:rFonts w:hAnsi="新細明體"/>
          <w:b w:val="0"/>
          <w:lang w:eastAsia="ja-JP"/>
        </w:rPr>
        <w:t>改正行政事件訴訟法</w:t>
      </w:r>
      <w:r>
        <w:rPr>
          <w:rStyle w:val="a9"/>
          <w:b w:val="0"/>
          <w:lang w:eastAsia="ja-JP"/>
        </w:rPr>
        <w:t>―</w:t>
      </w:r>
      <w:r>
        <w:rPr>
          <w:rStyle w:val="a9"/>
          <w:rFonts w:hAnsi="新細明體"/>
          <w:b w:val="0"/>
          <w:lang w:eastAsia="ja-JP"/>
        </w:rPr>
        <w:t>改正法の要点と逐条解説，</w:t>
      </w:r>
      <w:r>
        <w:rPr>
          <w:rFonts w:hAnsi="新細明體"/>
          <w:lang w:eastAsia="ja-JP"/>
        </w:rPr>
        <w:t>青林書院</w:t>
      </w:r>
      <w:r>
        <w:rPr>
          <w:lang w:eastAsia="ja-JP"/>
        </w:rPr>
        <w:t xml:space="preserve"> ; ISBN: 4417013640 ; (2004/07) </w:t>
      </w:r>
    </w:p>
    <w:p w:rsidR="00000000" w:rsidRDefault="00FC5876">
      <w:pPr>
        <w:numPr>
          <w:ilvl w:val="0"/>
          <w:numId w:val="15"/>
        </w:numPr>
        <w:snapToGrid w:val="0"/>
        <w:spacing w:line="360" w:lineRule="auto"/>
        <w:jc w:val="both"/>
      </w:pPr>
      <w:hyperlink r:id="rId11" w:history="1">
        <w:r>
          <w:rPr>
            <w:rStyle w:val="a8"/>
            <w:rFonts w:hAnsi="新細明體"/>
            <w:color w:val="auto"/>
            <w:u w:val="none"/>
          </w:rPr>
          <w:t>小林</w:t>
        </w:r>
        <w:r>
          <w:rPr>
            <w:rStyle w:val="a8"/>
            <w:color w:val="auto"/>
            <w:u w:val="none"/>
          </w:rPr>
          <w:t xml:space="preserve"> </w:t>
        </w:r>
        <w:r>
          <w:rPr>
            <w:rStyle w:val="a8"/>
            <w:rFonts w:hAnsi="新細明體"/>
            <w:color w:val="auto"/>
            <w:u w:val="none"/>
          </w:rPr>
          <w:t>久起</w:t>
        </w:r>
      </w:hyperlink>
      <w:r>
        <w:t xml:space="preserve"> (</w:t>
      </w:r>
      <w:r>
        <w:rPr>
          <w:rFonts w:hAnsi="新細明體"/>
        </w:rPr>
        <w:t>著</w:t>
      </w:r>
      <w:r>
        <w:t>)</w:t>
      </w:r>
      <w:r>
        <w:rPr>
          <w:rFonts w:hAnsi="新細明體"/>
        </w:rPr>
        <w:t>，</w:t>
      </w:r>
      <w:r>
        <w:rPr>
          <w:rStyle w:val="a9"/>
          <w:rFonts w:hAnsi="新細明體"/>
          <w:b w:val="0"/>
        </w:rPr>
        <w:t>行政事件訴訟法</w:t>
      </w:r>
      <w:r>
        <w:rPr>
          <w:rStyle w:val="a9"/>
          <w:b w:val="0"/>
        </w:rPr>
        <w:t>    </w:t>
      </w:r>
      <w:r>
        <w:rPr>
          <w:rStyle w:val="a9"/>
          <w:rFonts w:hAnsi="新細明體"/>
          <w:b w:val="0"/>
        </w:rPr>
        <w:t>司法制度改革概説</w:t>
      </w:r>
      <w:r>
        <w:rPr>
          <w:rStyle w:val="a9"/>
          <w:b w:val="0"/>
        </w:rPr>
        <w:t xml:space="preserve"> (3)</w:t>
      </w:r>
      <w:r>
        <w:rPr>
          <w:rFonts w:hAnsi="新細明體"/>
        </w:rPr>
        <w:t>商事法務</w:t>
      </w:r>
      <w:r>
        <w:t xml:space="preserve"> ; ISBN: 4785711981 ; (2004/12) </w:t>
      </w:r>
    </w:p>
    <w:p w:rsidR="00000000" w:rsidRDefault="00FC5876">
      <w:pPr>
        <w:numPr>
          <w:ilvl w:val="0"/>
          <w:numId w:val="15"/>
        </w:numPr>
        <w:snapToGrid w:val="0"/>
        <w:spacing w:line="360" w:lineRule="auto"/>
        <w:jc w:val="both"/>
      </w:pPr>
      <w:hyperlink r:id="rId12" w:history="1">
        <w:r>
          <w:rPr>
            <w:rStyle w:val="a8"/>
            <w:rFonts w:hAnsi="新細明體"/>
            <w:color w:val="auto"/>
            <w:u w:val="none"/>
          </w:rPr>
          <w:t>福井</w:t>
        </w:r>
        <w:r>
          <w:rPr>
            <w:rStyle w:val="a8"/>
            <w:color w:val="auto"/>
            <w:u w:val="none"/>
          </w:rPr>
          <w:t xml:space="preserve"> </w:t>
        </w:r>
        <w:r>
          <w:rPr>
            <w:rStyle w:val="a8"/>
            <w:rFonts w:hAnsi="新細明體"/>
            <w:color w:val="auto"/>
            <w:u w:val="none"/>
          </w:rPr>
          <w:t>秀夫</w:t>
        </w:r>
      </w:hyperlink>
      <w:r>
        <w:t xml:space="preserve">, </w:t>
      </w:r>
      <w:hyperlink r:id="rId13" w:history="1">
        <w:r>
          <w:rPr>
            <w:rStyle w:val="a8"/>
            <w:rFonts w:hAnsi="新細明體"/>
            <w:color w:val="auto"/>
            <w:u w:val="none"/>
          </w:rPr>
          <w:t>村田</w:t>
        </w:r>
        <w:r>
          <w:rPr>
            <w:rStyle w:val="a8"/>
            <w:color w:val="auto"/>
            <w:u w:val="none"/>
          </w:rPr>
          <w:t xml:space="preserve"> </w:t>
        </w:r>
        <w:r>
          <w:rPr>
            <w:rStyle w:val="a8"/>
            <w:rFonts w:hAnsi="新細明體"/>
            <w:color w:val="auto"/>
            <w:u w:val="none"/>
          </w:rPr>
          <w:t>斉志</w:t>
        </w:r>
      </w:hyperlink>
      <w:r>
        <w:t xml:space="preserve">, </w:t>
      </w:r>
      <w:hyperlink r:id="rId14" w:history="1">
        <w:r>
          <w:rPr>
            <w:rStyle w:val="a8"/>
            <w:rFonts w:hAnsi="新細明體"/>
            <w:color w:val="auto"/>
            <w:u w:val="none"/>
          </w:rPr>
          <w:t>越智</w:t>
        </w:r>
        <w:r>
          <w:rPr>
            <w:rStyle w:val="a8"/>
            <w:color w:val="auto"/>
            <w:u w:val="none"/>
          </w:rPr>
          <w:t xml:space="preserve"> </w:t>
        </w:r>
        <w:r>
          <w:rPr>
            <w:rStyle w:val="a8"/>
            <w:rFonts w:hAnsi="新細明體"/>
            <w:color w:val="auto"/>
            <w:u w:val="none"/>
          </w:rPr>
          <w:t>敏裕</w:t>
        </w:r>
      </w:hyperlink>
      <w:r>
        <w:rPr>
          <w:rFonts w:hAnsi="新細明體"/>
        </w:rPr>
        <w:t>，</w:t>
      </w:r>
      <w:r>
        <w:rPr>
          <w:rStyle w:val="a9"/>
          <w:rFonts w:hAnsi="新細明體"/>
          <w:b w:val="0"/>
        </w:rPr>
        <w:t>新行政事件訴訟法</w:t>
      </w:r>
      <w:r>
        <w:rPr>
          <w:rStyle w:val="a9"/>
          <w:b w:val="0"/>
        </w:rPr>
        <w:t>―</w:t>
      </w:r>
      <w:r>
        <w:rPr>
          <w:rStyle w:val="a9"/>
          <w:rFonts w:hAnsi="新細明體"/>
          <w:b w:val="0"/>
        </w:rPr>
        <w:t>逐条解説と</w:t>
      </w:r>
      <w:r>
        <w:rPr>
          <w:rStyle w:val="a9"/>
          <w:b w:val="0"/>
        </w:rPr>
        <w:t>Q&amp;A</w:t>
      </w:r>
      <w:r>
        <w:rPr>
          <w:rStyle w:val="a9"/>
          <w:rFonts w:hAnsi="新細明體"/>
          <w:b w:val="0"/>
        </w:rPr>
        <w:t>，</w:t>
      </w:r>
      <w:r>
        <w:rPr>
          <w:rFonts w:hAnsi="新細明體"/>
        </w:rPr>
        <w:t>新日本法規出版</w:t>
      </w:r>
      <w:r>
        <w:t xml:space="preserve"> ; ISBN: 4788207370 </w:t>
      </w:r>
    </w:p>
    <w:p w:rsidR="00000000" w:rsidRDefault="00FC5876">
      <w:pPr>
        <w:numPr>
          <w:ilvl w:val="0"/>
          <w:numId w:val="15"/>
        </w:numPr>
        <w:snapToGrid w:val="0"/>
        <w:spacing w:line="360" w:lineRule="auto"/>
        <w:jc w:val="both"/>
      </w:pPr>
      <w:hyperlink r:id="rId15" w:history="1">
        <w:r>
          <w:rPr>
            <w:rStyle w:val="a8"/>
            <w:rFonts w:hAnsi="新細明體"/>
            <w:color w:val="auto"/>
            <w:u w:val="none"/>
          </w:rPr>
          <w:t>藤山</w:t>
        </w:r>
        <w:r>
          <w:rPr>
            <w:rStyle w:val="a8"/>
            <w:color w:val="auto"/>
            <w:u w:val="none"/>
          </w:rPr>
          <w:t xml:space="preserve"> </w:t>
        </w:r>
        <w:r>
          <w:rPr>
            <w:rStyle w:val="a8"/>
            <w:rFonts w:hAnsi="新細明體"/>
            <w:color w:val="auto"/>
            <w:u w:val="none"/>
          </w:rPr>
          <w:t>雅行</w:t>
        </w:r>
      </w:hyperlink>
      <w:r>
        <w:rPr>
          <w:rFonts w:hAnsi="新細明體"/>
        </w:rPr>
        <w:t>，</w:t>
      </w:r>
      <w:r>
        <w:rPr>
          <w:rStyle w:val="a9"/>
          <w:rFonts w:hAnsi="新細明體"/>
          <w:b w:val="0"/>
        </w:rPr>
        <w:t>行政争訟</w:t>
      </w:r>
      <w:r>
        <w:rPr>
          <w:rStyle w:val="a9"/>
          <w:b w:val="0"/>
        </w:rPr>
        <w:t>    </w:t>
      </w:r>
      <w:r>
        <w:rPr>
          <w:rStyle w:val="a9"/>
          <w:rFonts w:hAnsi="新細明體"/>
          <w:b w:val="0"/>
        </w:rPr>
        <w:t>新・裁判実務大系，</w:t>
      </w:r>
      <w:r>
        <w:rPr>
          <w:rFonts w:hAnsi="新細明體"/>
        </w:rPr>
        <w:t>青林書院</w:t>
      </w:r>
      <w:r>
        <w:t xml:space="preserve"> ; ISBN: 4417012407 ; 25 </w:t>
      </w:r>
      <w:r>
        <w:rPr>
          <w:rFonts w:hAnsi="新細明體"/>
        </w:rPr>
        <w:t>巻</w:t>
      </w:r>
      <w:r>
        <w:t xml:space="preserve"> (2004/05) </w:t>
      </w:r>
    </w:p>
    <w:p w:rsidR="00000000" w:rsidRDefault="00FC5876">
      <w:pPr>
        <w:numPr>
          <w:ilvl w:val="0"/>
          <w:numId w:val="15"/>
        </w:numPr>
        <w:snapToGrid w:val="0"/>
        <w:spacing w:line="360" w:lineRule="auto"/>
        <w:jc w:val="both"/>
      </w:pPr>
      <w:hyperlink r:id="rId16" w:history="1">
        <w:r>
          <w:rPr>
            <w:rStyle w:val="a8"/>
            <w:rFonts w:hAnsi="新細明體"/>
            <w:color w:val="auto"/>
            <w:u w:val="none"/>
          </w:rPr>
          <w:t>木村</w:t>
        </w:r>
        <w:r>
          <w:rPr>
            <w:rStyle w:val="a8"/>
            <w:color w:val="auto"/>
            <w:u w:val="none"/>
          </w:rPr>
          <w:t xml:space="preserve"> </w:t>
        </w:r>
        <w:r>
          <w:rPr>
            <w:rStyle w:val="a8"/>
            <w:rFonts w:hAnsi="新細明體"/>
            <w:color w:val="auto"/>
            <w:u w:val="none"/>
          </w:rPr>
          <w:t>弘之亮</w:t>
        </w:r>
      </w:hyperlink>
      <w:r>
        <w:rPr>
          <w:rFonts w:hAnsi="新細明體"/>
        </w:rPr>
        <w:t>，</w:t>
      </w:r>
      <w:r>
        <w:rPr>
          <w:rStyle w:val="a9"/>
          <w:b w:val="0"/>
        </w:rPr>
        <w:t>2001</w:t>
      </w:r>
      <w:r>
        <w:rPr>
          <w:rStyle w:val="a9"/>
          <w:rFonts w:hAnsi="新細明體"/>
          <w:b w:val="0"/>
        </w:rPr>
        <w:t>年行政事件訴訟法草案，</w:t>
      </w:r>
      <w:r>
        <w:rPr>
          <w:rFonts w:hAnsi="新細明體"/>
        </w:rPr>
        <w:t>信山社出版</w:t>
      </w:r>
      <w:r>
        <w:t xml:space="preserve"> ; ISBN: 4797230622 ; (2001/07) </w:t>
      </w:r>
    </w:p>
    <w:p w:rsidR="00000000" w:rsidRDefault="00FC5876">
      <w:pPr>
        <w:numPr>
          <w:ilvl w:val="0"/>
          <w:numId w:val="15"/>
        </w:numPr>
        <w:snapToGrid w:val="0"/>
        <w:spacing w:line="360" w:lineRule="auto"/>
        <w:jc w:val="both"/>
      </w:pPr>
      <w:hyperlink r:id="rId17" w:history="1">
        <w:r>
          <w:rPr>
            <w:rStyle w:val="a8"/>
            <w:rFonts w:hAnsi="新細明體"/>
            <w:color w:val="auto"/>
            <w:u w:val="none"/>
          </w:rPr>
          <w:t>塩野</w:t>
        </w:r>
        <w:r>
          <w:rPr>
            <w:rStyle w:val="a8"/>
            <w:color w:val="auto"/>
            <w:u w:val="none"/>
          </w:rPr>
          <w:t xml:space="preserve"> </w:t>
        </w:r>
        <w:r>
          <w:rPr>
            <w:rStyle w:val="a8"/>
            <w:rFonts w:hAnsi="新細明體"/>
            <w:color w:val="auto"/>
            <w:u w:val="none"/>
          </w:rPr>
          <w:t>宏</w:t>
        </w:r>
      </w:hyperlink>
      <w:r>
        <w:rPr>
          <w:rFonts w:hAnsi="新細明體"/>
        </w:rPr>
        <w:t>，</w:t>
      </w:r>
      <w:r>
        <w:rPr>
          <w:rStyle w:val="a9"/>
          <w:rFonts w:hAnsi="新細明體"/>
          <w:b w:val="0"/>
        </w:rPr>
        <w:t>行政法〈</w:t>
      </w:r>
      <w:r>
        <w:rPr>
          <w:rStyle w:val="a9"/>
          <w:b w:val="0"/>
        </w:rPr>
        <w:t>2</w:t>
      </w:r>
      <w:r>
        <w:rPr>
          <w:rStyle w:val="a9"/>
          <w:rFonts w:hAnsi="新細明體"/>
          <w:b w:val="0"/>
        </w:rPr>
        <w:t>〉行政救済法，</w:t>
      </w:r>
      <w:r>
        <w:rPr>
          <w:rFonts w:hAnsi="新細明體"/>
        </w:rPr>
        <w:t>有斐閣</w:t>
      </w:r>
      <w:r>
        <w:t xml:space="preserve"> ; ISBN: 4641129517 ; </w:t>
      </w:r>
      <w:r>
        <w:rPr>
          <w:rFonts w:hAnsi="新細明體"/>
        </w:rPr>
        <w:t>第三版</w:t>
      </w:r>
      <w:r>
        <w:t xml:space="preserve"> </w:t>
      </w:r>
      <w:r>
        <w:rPr>
          <w:rFonts w:hAnsi="新細明體"/>
        </w:rPr>
        <w:t>版</w:t>
      </w:r>
      <w:r>
        <w:t xml:space="preserve"> 2 </w:t>
      </w:r>
      <w:r>
        <w:rPr>
          <w:rFonts w:hAnsi="新細明體"/>
        </w:rPr>
        <w:t>巻</w:t>
      </w:r>
      <w:r>
        <w:t xml:space="preserve"> (2004/03)</w:t>
      </w:r>
    </w:p>
    <w:p w:rsidR="00000000" w:rsidRDefault="00FC5876">
      <w:pPr>
        <w:numPr>
          <w:ilvl w:val="0"/>
          <w:numId w:val="15"/>
        </w:numPr>
        <w:snapToGrid w:val="0"/>
        <w:spacing w:line="360" w:lineRule="auto"/>
        <w:jc w:val="both"/>
      </w:pPr>
      <w:hyperlink r:id="rId18" w:history="1">
        <w:r>
          <w:rPr>
            <w:rStyle w:val="a8"/>
            <w:rFonts w:hAnsi="新細明體"/>
            <w:color w:val="auto"/>
            <w:u w:val="none"/>
          </w:rPr>
          <w:t>芝池</w:t>
        </w:r>
        <w:r>
          <w:rPr>
            <w:rStyle w:val="a8"/>
            <w:color w:val="auto"/>
            <w:u w:val="none"/>
          </w:rPr>
          <w:t xml:space="preserve"> </w:t>
        </w:r>
        <w:r>
          <w:rPr>
            <w:rStyle w:val="a8"/>
            <w:rFonts w:hAnsi="新細明體"/>
            <w:color w:val="auto"/>
            <w:u w:val="none"/>
          </w:rPr>
          <w:t>義一</w:t>
        </w:r>
      </w:hyperlink>
      <w:r>
        <w:rPr>
          <w:rFonts w:hAnsi="新細明體"/>
        </w:rPr>
        <w:t>，</w:t>
      </w:r>
      <w:r>
        <w:rPr>
          <w:rStyle w:val="a9"/>
          <w:rFonts w:hAnsi="新細明體"/>
          <w:b w:val="0"/>
        </w:rPr>
        <w:t>行政救済法講義，</w:t>
      </w:r>
      <w:r>
        <w:rPr>
          <w:rFonts w:hAnsi="新細明體"/>
        </w:rPr>
        <w:t>有斐</w:t>
      </w:r>
      <w:r>
        <w:rPr>
          <w:rFonts w:hAnsi="新細明體"/>
        </w:rPr>
        <w:t>閣</w:t>
      </w:r>
      <w:r>
        <w:t xml:space="preserve"> ; ISBN: 4641129614 ; </w:t>
      </w:r>
      <w:r>
        <w:rPr>
          <w:rFonts w:hAnsi="新細明體"/>
        </w:rPr>
        <w:t>第</w:t>
      </w:r>
      <w:r>
        <w:t>2</w:t>
      </w:r>
      <w:r>
        <w:rPr>
          <w:rFonts w:hAnsi="新細明體"/>
        </w:rPr>
        <w:t>版補訂増補版</w:t>
      </w:r>
      <w:r>
        <w:t xml:space="preserve"> (2004/10) </w:t>
      </w:r>
    </w:p>
    <w:p w:rsidR="00000000" w:rsidRDefault="00FC5876">
      <w:pPr>
        <w:numPr>
          <w:ilvl w:val="0"/>
          <w:numId w:val="15"/>
        </w:numPr>
        <w:snapToGrid w:val="0"/>
        <w:spacing w:line="360" w:lineRule="auto"/>
        <w:jc w:val="both"/>
      </w:pPr>
      <w:hyperlink r:id="rId19" w:history="1">
        <w:r>
          <w:rPr>
            <w:rStyle w:val="a8"/>
            <w:rFonts w:hAnsi="新細明體"/>
            <w:color w:val="auto"/>
            <w:u w:val="none"/>
          </w:rPr>
          <w:t>南</w:t>
        </w:r>
        <w:r>
          <w:rPr>
            <w:rStyle w:val="a8"/>
            <w:color w:val="auto"/>
            <w:u w:val="none"/>
          </w:rPr>
          <w:t xml:space="preserve"> </w:t>
        </w:r>
        <w:r>
          <w:rPr>
            <w:rStyle w:val="a8"/>
            <w:rFonts w:hAnsi="新細明體"/>
            <w:color w:val="auto"/>
            <w:u w:val="none"/>
          </w:rPr>
          <w:t>博方</w:t>
        </w:r>
      </w:hyperlink>
      <w:r>
        <w:t xml:space="preserve">, </w:t>
      </w:r>
      <w:hyperlink r:id="rId20" w:history="1">
        <w:r>
          <w:rPr>
            <w:rStyle w:val="a8"/>
            <w:rFonts w:hAnsi="新細明體"/>
            <w:color w:val="auto"/>
            <w:u w:val="none"/>
          </w:rPr>
          <w:t>高橋</w:t>
        </w:r>
        <w:r>
          <w:rPr>
            <w:rStyle w:val="a8"/>
            <w:color w:val="auto"/>
            <w:u w:val="none"/>
          </w:rPr>
          <w:t xml:space="preserve"> </w:t>
        </w:r>
        <w:r>
          <w:rPr>
            <w:rStyle w:val="a8"/>
            <w:rFonts w:hAnsi="新細明體"/>
            <w:color w:val="auto"/>
            <w:u w:val="none"/>
          </w:rPr>
          <w:t>滋</w:t>
        </w:r>
      </w:hyperlink>
      <w:r>
        <w:rPr>
          <w:rFonts w:hAnsi="新細明體"/>
        </w:rPr>
        <w:t>，</w:t>
      </w:r>
      <w:r>
        <w:rPr>
          <w:rStyle w:val="a9"/>
          <w:rFonts w:hAnsi="新細明體"/>
          <w:b w:val="0"/>
        </w:rPr>
        <w:t>条解</w:t>
      </w:r>
      <w:r>
        <w:rPr>
          <w:rStyle w:val="a9"/>
          <w:b w:val="0"/>
        </w:rPr>
        <w:t xml:space="preserve"> </w:t>
      </w:r>
      <w:r>
        <w:rPr>
          <w:rStyle w:val="a9"/>
          <w:rFonts w:hAnsi="新細明體"/>
          <w:b w:val="0"/>
        </w:rPr>
        <w:t>行政事件訴訟法，</w:t>
      </w:r>
      <w:r>
        <w:rPr>
          <w:rFonts w:hAnsi="新細明體"/>
        </w:rPr>
        <w:t>弘文堂</w:t>
      </w:r>
      <w:r>
        <w:t xml:space="preserve"> ; ISBN: 4335352581 ; </w:t>
      </w:r>
      <w:r>
        <w:rPr>
          <w:rFonts w:hAnsi="新細明體"/>
        </w:rPr>
        <w:t>第</w:t>
      </w:r>
      <w:r>
        <w:t>2</w:t>
      </w:r>
      <w:r>
        <w:rPr>
          <w:rFonts w:hAnsi="新細明體"/>
        </w:rPr>
        <w:t>版</w:t>
      </w:r>
      <w:r>
        <w:t xml:space="preserve"> </w:t>
      </w:r>
      <w:r>
        <w:rPr>
          <w:rFonts w:hAnsi="新細明體"/>
        </w:rPr>
        <w:t>版</w:t>
      </w:r>
      <w:r>
        <w:t xml:space="preserve"> (2003/12) </w:t>
      </w:r>
    </w:p>
    <w:p w:rsidR="00000000" w:rsidRDefault="00FC5876">
      <w:pPr>
        <w:numPr>
          <w:ilvl w:val="0"/>
          <w:numId w:val="15"/>
        </w:numPr>
        <w:snapToGrid w:val="0"/>
        <w:spacing w:line="360" w:lineRule="auto"/>
        <w:jc w:val="both"/>
        <w:rPr>
          <w:lang w:eastAsia="ja-JP"/>
        </w:rPr>
      </w:pPr>
      <w:hyperlink r:id="rId21" w:history="1">
        <w:r>
          <w:rPr>
            <w:rStyle w:val="a8"/>
            <w:rFonts w:hAnsi="新細明體"/>
            <w:color w:val="auto"/>
            <w:u w:val="none"/>
            <w:lang w:eastAsia="ja-JP"/>
          </w:rPr>
          <w:t>室井</w:t>
        </w:r>
        <w:r>
          <w:rPr>
            <w:rStyle w:val="a8"/>
            <w:color w:val="auto"/>
            <w:u w:val="none"/>
            <w:lang w:eastAsia="ja-JP"/>
          </w:rPr>
          <w:t xml:space="preserve"> </w:t>
        </w:r>
        <w:r>
          <w:rPr>
            <w:rStyle w:val="a8"/>
            <w:rFonts w:hAnsi="新細明體"/>
            <w:color w:val="auto"/>
            <w:u w:val="none"/>
            <w:lang w:eastAsia="ja-JP"/>
          </w:rPr>
          <w:t>力</w:t>
        </w:r>
      </w:hyperlink>
      <w:r>
        <w:rPr>
          <w:lang w:eastAsia="ja-JP"/>
        </w:rPr>
        <w:t xml:space="preserve">, </w:t>
      </w:r>
      <w:hyperlink r:id="rId22" w:history="1">
        <w:r>
          <w:rPr>
            <w:rStyle w:val="a8"/>
            <w:rFonts w:hAnsi="新細明體"/>
            <w:color w:val="auto"/>
            <w:u w:val="none"/>
            <w:lang w:eastAsia="ja-JP"/>
          </w:rPr>
          <w:t>浜川</w:t>
        </w:r>
        <w:r>
          <w:rPr>
            <w:rStyle w:val="a8"/>
            <w:color w:val="auto"/>
            <w:u w:val="none"/>
            <w:lang w:eastAsia="ja-JP"/>
          </w:rPr>
          <w:t xml:space="preserve"> </w:t>
        </w:r>
        <w:r>
          <w:rPr>
            <w:rStyle w:val="a8"/>
            <w:rFonts w:hAnsi="新細明體"/>
            <w:color w:val="auto"/>
            <w:u w:val="none"/>
            <w:lang w:eastAsia="ja-JP"/>
          </w:rPr>
          <w:t>清</w:t>
        </w:r>
      </w:hyperlink>
      <w:r>
        <w:rPr>
          <w:lang w:eastAsia="ja-JP"/>
        </w:rPr>
        <w:t xml:space="preserve">, </w:t>
      </w:r>
      <w:hyperlink r:id="rId23" w:history="1">
        <w:r>
          <w:rPr>
            <w:rStyle w:val="a8"/>
            <w:rFonts w:hAnsi="新細明體"/>
            <w:color w:val="auto"/>
            <w:u w:val="none"/>
            <w:lang w:eastAsia="ja-JP"/>
          </w:rPr>
          <w:t>芝池</w:t>
        </w:r>
        <w:r>
          <w:rPr>
            <w:rStyle w:val="a8"/>
            <w:color w:val="auto"/>
            <w:u w:val="none"/>
            <w:lang w:eastAsia="ja-JP"/>
          </w:rPr>
          <w:t xml:space="preserve"> </w:t>
        </w:r>
        <w:r>
          <w:rPr>
            <w:rStyle w:val="a8"/>
            <w:rFonts w:hAnsi="新細明體"/>
            <w:color w:val="auto"/>
            <w:u w:val="none"/>
            <w:lang w:eastAsia="ja-JP"/>
          </w:rPr>
          <w:t>義一</w:t>
        </w:r>
      </w:hyperlink>
      <w:r>
        <w:rPr>
          <w:rFonts w:hAnsi="新細明體"/>
          <w:lang w:eastAsia="ja-JP"/>
        </w:rPr>
        <w:t>，</w:t>
      </w:r>
      <w:r>
        <w:rPr>
          <w:rStyle w:val="a9"/>
          <w:rFonts w:hAnsi="新細明體"/>
          <w:b w:val="0"/>
          <w:lang w:eastAsia="ja-JP"/>
        </w:rPr>
        <w:t>行政事件訴訟法・国家賠償法</w:t>
      </w:r>
      <w:r>
        <w:rPr>
          <w:rStyle w:val="a9"/>
          <w:b w:val="0"/>
          <w:lang w:eastAsia="ja-JP"/>
        </w:rPr>
        <w:t>    </w:t>
      </w:r>
      <w:r>
        <w:rPr>
          <w:rStyle w:val="a9"/>
          <w:rFonts w:hAnsi="新細明體"/>
          <w:b w:val="0"/>
          <w:lang w:eastAsia="ja-JP"/>
        </w:rPr>
        <w:t>コンメンタール行政法，</w:t>
      </w:r>
      <w:r>
        <w:rPr>
          <w:rFonts w:hAnsi="新細明體"/>
          <w:lang w:eastAsia="ja-JP"/>
        </w:rPr>
        <w:t>日本評論社</w:t>
      </w:r>
      <w:r>
        <w:rPr>
          <w:lang w:eastAsia="ja-JP"/>
        </w:rPr>
        <w:t xml:space="preserve"> ; ISBN: 4535001480 ; 2 </w:t>
      </w:r>
      <w:r>
        <w:rPr>
          <w:rFonts w:hAnsi="新細明體"/>
          <w:lang w:eastAsia="ja-JP"/>
        </w:rPr>
        <w:t>巻</w:t>
      </w:r>
      <w:r>
        <w:rPr>
          <w:lang w:eastAsia="ja-JP"/>
        </w:rPr>
        <w:t xml:space="preserve"> (2004/01) </w:t>
      </w:r>
    </w:p>
    <w:p w:rsidR="00000000" w:rsidRDefault="00FC5876">
      <w:pPr>
        <w:numPr>
          <w:ilvl w:val="0"/>
          <w:numId w:val="15"/>
        </w:numPr>
        <w:snapToGrid w:val="0"/>
        <w:spacing w:line="360" w:lineRule="auto"/>
        <w:jc w:val="both"/>
        <w:rPr>
          <w:lang w:eastAsia="ja-JP"/>
        </w:rPr>
      </w:pPr>
      <w:hyperlink r:id="rId24" w:history="1">
        <w:r>
          <w:rPr>
            <w:rStyle w:val="a8"/>
            <w:rFonts w:hAnsi="新細明體"/>
            <w:color w:val="auto"/>
            <w:u w:val="none"/>
            <w:lang w:eastAsia="ja-JP"/>
          </w:rPr>
          <w:t>阿部</w:t>
        </w:r>
        <w:r>
          <w:rPr>
            <w:rStyle w:val="a8"/>
            <w:color w:val="auto"/>
            <w:u w:val="none"/>
            <w:lang w:eastAsia="ja-JP"/>
          </w:rPr>
          <w:t xml:space="preserve"> </w:t>
        </w:r>
        <w:r>
          <w:rPr>
            <w:rStyle w:val="a8"/>
            <w:rFonts w:hAnsi="新細明體"/>
            <w:color w:val="auto"/>
            <w:u w:val="none"/>
            <w:lang w:eastAsia="ja-JP"/>
          </w:rPr>
          <w:t>泰隆</w:t>
        </w:r>
      </w:hyperlink>
      <w:r>
        <w:rPr>
          <w:rFonts w:hAnsi="新細明體"/>
          <w:lang w:eastAsia="ja-JP"/>
        </w:rPr>
        <w:t>，</w:t>
      </w:r>
      <w:r>
        <w:rPr>
          <w:rStyle w:val="a9"/>
          <w:rFonts w:hAnsi="新細明體"/>
          <w:b w:val="0"/>
          <w:lang w:eastAsia="ja-JP"/>
        </w:rPr>
        <w:t>行政訴訟要件論</w:t>
      </w:r>
      <w:r>
        <w:rPr>
          <w:rStyle w:val="a9"/>
          <w:b w:val="0"/>
          <w:lang w:eastAsia="ja-JP"/>
        </w:rPr>
        <w:t>―</w:t>
      </w:r>
      <w:r>
        <w:rPr>
          <w:rStyle w:val="a9"/>
          <w:rFonts w:hAnsi="新細明體"/>
          <w:b w:val="0"/>
          <w:lang w:eastAsia="ja-JP"/>
        </w:rPr>
        <w:t>包括的・実効的行政救済のための解釈論，</w:t>
      </w:r>
      <w:r>
        <w:rPr>
          <w:rFonts w:hAnsi="新細明體"/>
          <w:lang w:eastAsia="ja-JP"/>
        </w:rPr>
        <w:t>弘文堂</w:t>
      </w:r>
      <w:r>
        <w:rPr>
          <w:lang w:eastAsia="ja-JP"/>
        </w:rPr>
        <w:t xml:space="preserve"> ; ISBN: 4335312040 ; (2003/06) </w:t>
      </w:r>
    </w:p>
    <w:p w:rsidR="00000000" w:rsidRDefault="00FC5876">
      <w:pPr>
        <w:widowControl/>
        <w:ind w:left="1121" w:hangingChars="400" w:hanging="1121"/>
        <w:jc w:val="both"/>
        <w:rPr>
          <w:rFonts w:eastAsia="標楷體"/>
          <w:b/>
          <w:bCs/>
          <w:sz w:val="28"/>
          <w:lang w:val="de-DE"/>
        </w:rPr>
      </w:pPr>
      <w:r>
        <w:rPr>
          <w:rFonts w:eastAsia="標楷體"/>
          <w:b/>
          <w:bCs/>
          <w:sz w:val="28"/>
          <w:szCs w:val="22"/>
          <w:lang w:val="de-DE"/>
        </w:rPr>
        <w:t>德文部分</w:t>
      </w:r>
    </w:p>
    <w:p w:rsidR="00000000" w:rsidRDefault="00FC5876">
      <w:pPr>
        <w:numPr>
          <w:ilvl w:val="0"/>
          <w:numId w:val="34"/>
        </w:numPr>
        <w:spacing w:line="360" w:lineRule="auto"/>
        <w:rPr>
          <w:rFonts w:ascii="標楷體" w:eastAsia="標楷體" w:hAnsi="標楷體" w:hint="eastAsia"/>
          <w:b/>
        </w:rPr>
      </w:pPr>
      <w:r>
        <w:rPr>
          <w:rFonts w:ascii="標楷體" w:eastAsia="標楷體" w:hAnsi="標楷體" w:hint="eastAsia"/>
          <w:b/>
        </w:rPr>
        <w:lastRenderedPageBreak/>
        <w:t>書籍</w:t>
      </w:r>
    </w:p>
    <w:p w:rsidR="00000000" w:rsidRDefault="00FC5876">
      <w:pPr>
        <w:spacing w:line="360" w:lineRule="auto"/>
        <w:rPr>
          <w:rFonts w:ascii="標楷體" w:eastAsia="標楷體" w:hAnsi="標楷體" w:hint="eastAsia"/>
          <w:lang w:val="de-DE"/>
        </w:rPr>
      </w:pPr>
    </w:p>
    <w:p w:rsidR="00000000" w:rsidRDefault="00FC5876">
      <w:pPr>
        <w:spacing w:line="360" w:lineRule="auto"/>
        <w:ind w:left="480" w:hangingChars="200" w:hanging="480"/>
        <w:rPr>
          <w:rFonts w:hint="eastAsia"/>
          <w:lang w:val="de-DE"/>
        </w:rPr>
      </w:pPr>
      <w:r>
        <w:rPr>
          <w:rFonts w:hint="eastAsia"/>
        </w:rPr>
        <w:t>λ</w:t>
      </w:r>
      <w:r>
        <w:rPr>
          <w:lang w:val="de-DE"/>
        </w:rPr>
        <w:t xml:space="preserve"> </w:t>
      </w:r>
      <w:r>
        <w:rPr>
          <w:rFonts w:hint="eastAsia"/>
          <w:lang w:val="de-DE"/>
        </w:rPr>
        <w:t xml:space="preserve"> </w:t>
      </w:r>
      <w:r>
        <w:rPr>
          <w:lang w:val="de-DE"/>
        </w:rPr>
        <w:t>Bettina Jung Lundberg-Höwing, Der verwaltungsgerichtliche Rechtsschutz des</w:t>
      </w:r>
      <w:r>
        <w:rPr>
          <w:lang w:val="de-DE"/>
        </w:rPr>
        <w:t xml:space="preserve"> </w:t>
      </w:r>
    </w:p>
    <w:p w:rsidR="00000000" w:rsidRDefault="00FC5876">
      <w:pPr>
        <w:pStyle w:val="a5"/>
        <w:spacing w:line="360" w:lineRule="auto"/>
        <w:ind w:leftChars="234" w:left="562" w:firstLineChars="0" w:firstLine="0"/>
        <w:rPr>
          <w:rFonts w:hint="eastAsia"/>
          <w:sz w:val="24"/>
          <w:lang w:val="de-DE"/>
        </w:rPr>
      </w:pPr>
      <w:r>
        <w:rPr>
          <w:sz w:val="24"/>
          <w:lang w:val="de-DE"/>
        </w:rPr>
        <w:t>Beamten gegen dienstaufsichtliche und organisatorische Maßnahmen, Diss. Göttingen, 1992, S. 80</w:t>
      </w:r>
      <w:r>
        <w:rPr>
          <w:rFonts w:hint="eastAsia"/>
          <w:sz w:val="24"/>
        </w:rPr>
        <w:t>。</w:t>
      </w:r>
    </w:p>
    <w:p w:rsidR="00000000" w:rsidRDefault="00FC5876">
      <w:pPr>
        <w:pStyle w:val="a5"/>
        <w:spacing w:line="360" w:lineRule="auto"/>
        <w:ind w:left="480" w:hanging="480"/>
        <w:rPr>
          <w:rFonts w:hint="eastAsia"/>
          <w:sz w:val="24"/>
        </w:rPr>
      </w:pPr>
      <w:r>
        <w:rPr>
          <w:rFonts w:hint="eastAsia"/>
          <w:sz w:val="24"/>
        </w:rPr>
        <w:t>λ</w:t>
      </w:r>
      <w:r>
        <w:rPr>
          <w:rFonts w:hint="eastAsia"/>
          <w:sz w:val="24"/>
        </w:rPr>
        <w:t xml:space="preserve">  </w:t>
      </w:r>
      <w:r>
        <w:rPr>
          <w:sz w:val="24"/>
        </w:rPr>
        <w:t>Carl Hermann</w:t>
      </w:r>
      <w:r>
        <w:rPr>
          <w:rFonts w:hint="eastAsia"/>
          <w:sz w:val="24"/>
        </w:rPr>
        <w:t xml:space="preserve"> </w:t>
      </w:r>
      <w:r>
        <w:rPr>
          <w:sz w:val="24"/>
          <w:lang w:eastAsia="ja-JP"/>
        </w:rPr>
        <w:t xml:space="preserve">Ule, Die Grundrechte, Bd. </w:t>
      </w:r>
      <w:r>
        <w:rPr>
          <w:sz w:val="24"/>
        </w:rPr>
        <w:t>IV/2, S. 585.</w:t>
      </w:r>
      <w:r>
        <w:rPr>
          <w:rFonts w:hint="eastAsia"/>
          <w:sz w:val="24"/>
        </w:rPr>
        <w:t>。</w:t>
      </w:r>
    </w:p>
    <w:p w:rsidR="00000000" w:rsidRDefault="00FC5876">
      <w:pPr>
        <w:pStyle w:val="a5"/>
        <w:spacing w:line="360" w:lineRule="auto"/>
        <w:ind w:left="480" w:hanging="480"/>
        <w:rPr>
          <w:rFonts w:hint="eastAsia"/>
          <w:sz w:val="24"/>
        </w:rPr>
      </w:pPr>
      <w:r>
        <w:rPr>
          <w:rFonts w:hint="eastAsia"/>
          <w:sz w:val="24"/>
        </w:rPr>
        <w:t>λ</w:t>
      </w:r>
      <w:r>
        <w:rPr>
          <w:rFonts w:hint="eastAsia"/>
          <w:sz w:val="24"/>
        </w:rPr>
        <w:t xml:space="preserve">  </w:t>
      </w:r>
      <w:r>
        <w:rPr>
          <w:bCs/>
          <w:iCs/>
          <w:color w:val="000000"/>
          <w:sz w:val="24"/>
        </w:rPr>
        <w:t>Christoph</w:t>
      </w:r>
      <w:r>
        <w:rPr>
          <w:color w:val="000000"/>
          <w:sz w:val="24"/>
        </w:rPr>
        <w:t xml:space="preserve"> </w:t>
      </w:r>
      <w:r>
        <w:rPr>
          <w:bCs/>
          <w:iCs/>
          <w:color w:val="000000"/>
          <w:sz w:val="24"/>
        </w:rPr>
        <w:t xml:space="preserve">Druschel, </w:t>
      </w:r>
      <w:r>
        <w:rPr>
          <w:color w:val="000000"/>
          <w:sz w:val="24"/>
        </w:rPr>
        <w:t>Die Verwaltungsaktbefugnis, 1999, S. 225 f.</w:t>
      </w:r>
      <w:r>
        <w:rPr>
          <w:rFonts w:hint="eastAsia"/>
          <w:color w:val="000000"/>
          <w:sz w:val="24"/>
        </w:rPr>
        <w:t>。</w:t>
      </w:r>
    </w:p>
    <w:p w:rsidR="00000000" w:rsidRDefault="00FC5876">
      <w:pPr>
        <w:pStyle w:val="a5"/>
        <w:spacing w:line="360" w:lineRule="auto"/>
        <w:ind w:left="480" w:hanging="480"/>
        <w:rPr>
          <w:rFonts w:hint="eastAsia"/>
          <w:sz w:val="24"/>
        </w:rPr>
      </w:pPr>
      <w:r>
        <w:rPr>
          <w:rFonts w:hint="eastAsia"/>
          <w:sz w:val="24"/>
        </w:rPr>
        <w:t>λ</w:t>
      </w:r>
      <w:r>
        <w:rPr>
          <w:rFonts w:hint="eastAsia"/>
          <w:sz w:val="24"/>
        </w:rPr>
        <w:t xml:space="preserve">  </w:t>
      </w:r>
      <w:r>
        <w:rPr>
          <w:sz w:val="24"/>
        </w:rPr>
        <w:t>Dirk Ehlers, Die Aufrechnung i</w:t>
      </w:r>
      <w:r>
        <w:rPr>
          <w:sz w:val="24"/>
        </w:rPr>
        <w:t>m öffentlichen Recht, JuS 1990, 777 ff.</w:t>
      </w:r>
      <w:r>
        <w:rPr>
          <w:rFonts w:hint="eastAsia"/>
          <w:sz w:val="24"/>
        </w:rPr>
        <w:t>。</w:t>
      </w:r>
    </w:p>
    <w:p w:rsidR="00000000" w:rsidRDefault="00FC5876">
      <w:pPr>
        <w:pStyle w:val="ad"/>
        <w:spacing w:line="360" w:lineRule="auto"/>
        <w:ind w:left="480" w:hangingChars="200" w:hanging="480"/>
        <w:jc w:val="both"/>
        <w:rPr>
          <w:rFonts w:hint="eastAsia"/>
          <w:color w:val="000000"/>
          <w:sz w:val="24"/>
          <w:lang w:val="de-DE"/>
        </w:rPr>
      </w:pPr>
      <w:r>
        <w:rPr>
          <w:rFonts w:hint="eastAsia"/>
          <w:color w:val="000000"/>
          <w:sz w:val="24"/>
          <w:szCs w:val="24"/>
          <w:lang w:val="de-DE"/>
        </w:rPr>
        <w:t>λ</w:t>
      </w:r>
      <w:r>
        <w:rPr>
          <w:rFonts w:hint="eastAsia"/>
          <w:color w:val="000000"/>
          <w:sz w:val="24"/>
          <w:szCs w:val="24"/>
          <w:lang w:val="de-DE"/>
        </w:rPr>
        <w:t xml:space="preserve">  </w:t>
      </w:r>
      <w:r>
        <w:rPr>
          <w:bCs/>
          <w:iCs/>
          <w:sz w:val="24"/>
          <w:lang w:val="de-DE"/>
        </w:rPr>
        <w:t xml:space="preserve">Eberhard Schmidt-Aßmann, </w:t>
      </w:r>
      <w:r>
        <w:rPr>
          <w:sz w:val="24"/>
          <w:lang w:val="de-DE"/>
        </w:rPr>
        <w:t>Das allgemeine Verwaltungsrecht als Ordnungsidee, 1998,</w:t>
      </w:r>
      <w:r>
        <w:rPr>
          <w:color w:val="0000FF"/>
          <w:sz w:val="24"/>
          <w:lang w:val="de-DE"/>
        </w:rPr>
        <w:t xml:space="preserve"> </w:t>
      </w:r>
      <w:r>
        <w:rPr>
          <w:color w:val="000000"/>
          <w:sz w:val="24"/>
          <w:lang w:val="de-DE"/>
        </w:rPr>
        <w:t>2/ 60 ff.</w:t>
      </w:r>
      <w:r>
        <w:rPr>
          <w:rFonts w:hint="eastAsia"/>
          <w:color w:val="000000"/>
          <w:sz w:val="24"/>
          <w:lang w:val="de-DE"/>
        </w:rPr>
        <w:t>。</w:t>
      </w:r>
    </w:p>
    <w:p w:rsidR="00000000" w:rsidRDefault="00FC5876">
      <w:pPr>
        <w:pStyle w:val="ad"/>
        <w:spacing w:line="360" w:lineRule="auto"/>
        <w:ind w:left="677" w:hangingChars="282" w:hanging="677"/>
        <w:jc w:val="both"/>
        <w:rPr>
          <w:rFonts w:hint="eastAsia"/>
          <w:bCs/>
          <w:iCs/>
          <w:sz w:val="24"/>
          <w:lang w:val="de-DE"/>
        </w:rPr>
      </w:pPr>
      <w:r>
        <w:rPr>
          <w:rFonts w:hint="eastAsia"/>
          <w:color w:val="000000"/>
          <w:sz w:val="24"/>
          <w:lang w:val="de-DE"/>
        </w:rPr>
        <w:t>λ</w:t>
      </w:r>
      <w:r>
        <w:rPr>
          <w:rFonts w:hint="eastAsia"/>
          <w:color w:val="000000"/>
          <w:sz w:val="24"/>
          <w:lang w:val="de-DE"/>
        </w:rPr>
        <w:t xml:space="preserve">  </w:t>
      </w:r>
      <w:r>
        <w:rPr>
          <w:bCs/>
          <w:iCs/>
          <w:sz w:val="24"/>
          <w:lang w:val="de-DE"/>
        </w:rPr>
        <w:t xml:space="preserve">Eberhard Schmidt-Aßmann, in: Theoder Maunz/ Günter Dürig/ Roman Herzog/ </w:t>
      </w:r>
    </w:p>
    <w:p w:rsidR="00000000" w:rsidRDefault="00FC5876">
      <w:pPr>
        <w:pStyle w:val="ad"/>
        <w:spacing w:line="360" w:lineRule="auto"/>
        <w:ind w:leftChars="200" w:left="677" w:hangingChars="82" w:hanging="197"/>
        <w:jc w:val="both"/>
        <w:rPr>
          <w:rFonts w:hint="eastAsia"/>
          <w:color w:val="000000"/>
          <w:sz w:val="24"/>
          <w:lang w:val="de-DE"/>
        </w:rPr>
      </w:pPr>
      <w:r>
        <w:rPr>
          <w:bCs/>
          <w:iCs/>
          <w:sz w:val="24"/>
          <w:lang w:val="de-DE"/>
        </w:rPr>
        <w:t xml:space="preserve">Rupert Scholz (Hrsg.), </w:t>
      </w:r>
      <w:r>
        <w:rPr>
          <w:sz w:val="24"/>
          <w:lang w:val="de-DE"/>
        </w:rPr>
        <w:t>Grundgesetz, Stand: 1</w:t>
      </w:r>
      <w:r>
        <w:rPr>
          <w:sz w:val="24"/>
          <w:lang w:val="de-DE"/>
        </w:rPr>
        <w:t>997, Art. 19 IV Rn. 278.</w:t>
      </w:r>
      <w:r>
        <w:rPr>
          <w:rFonts w:hint="eastAsia"/>
          <w:sz w:val="24"/>
          <w:lang w:val="de-DE"/>
        </w:rPr>
        <w:t>。</w:t>
      </w:r>
    </w:p>
    <w:p w:rsidR="00000000" w:rsidRDefault="00FC5876">
      <w:pPr>
        <w:spacing w:line="360" w:lineRule="auto"/>
        <w:ind w:left="480" w:hangingChars="200" w:hanging="480"/>
        <w:rPr>
          <w:rFonts w:hint="eastAsia"/>
          <w:color w:val="000000"/>
          <w:lang w:val="de-DE"/>
        </w:rPr>
      </w:pPr>
      <w:r>
        <w:rPr>
          <w:rFonts w:hint="eastAsia"/>
          <w:color w:val="000000"/>
          <w:lang w:val="de-DE"/>
        </w:rPr>
        <w:t>λ</w:t>
      </w:r>
      <w:r>
        <w:rPr>
          <w:rFonts w:hint="eastAsia"/>
          <w:color w:val="000000"/>
          <w:lang w:val="de-DE"/>
        </w:rPr>
        <w:t xml:space="preserve">  </w:t>
      </w:r>
      <w:r>
        <w:rPr>
          <w:lang w:val="de-DE"/>
        </w:rPr>
        <w:t>Eugen Brandel in: Rudolf Schweickhardt (Hrsg.), Allgemeines Verwaltungsrecht, 7. Aufl</w:t>
      </w:r>
      <w:r>
        <w:rPr>
          <w:rFonts w:hint="eastAsia"/>
          <w:lang w:val="de-DE"/>
        </w:rPr>
        <w:t>。</w:t>
      </w:r>
    </w:p>
    <w:p w:rsidR="00000000" w:rsidRDefault="00FC5876">
      <w:pPr>
        <w:pStyle w:val="ad"/>
        <w:spacing w:line="360" w:lineRule="auto"/>
        <w:ind w:left="480" w:hangingChars="200" w:hanging="480"/>
        <w:jc w:val="both"/>
        <w:rPr>
          <w:rFonts w:hint="eastAsia"/>
          <w:color w:val="000000"/>
          <w:sz w:val="24"/>
          <w:lang w:val="de-DE"/>
        </w:rPr>
      </w:pPr>
      <w:r>
        <w:rPr>
          <w:rFonts w:hint="eastAsia"/>
          <w:color w:val="000000"/>
          <w:sz w:val="24"/>
          <w:lang w:val="de-DE"/>
        </w:rPr>
        <w:t>λ</w:t>
      </w:r>
      <w:r>
        <w:rPr>
          <w:rFonts w:hint="eastAsia"/>
          <w:color w:val="000000"/>
          <w:sz w:val="24"/>
          <w:lang w:val="de-DE"/>
        </w:rPr>
        <w:t xml:space="preserve">  </w:t>
      </w:r>
      <w:r>
        <w:rPr>
          <w:sz w:val="24"/>
          <w:szCs w:val="24"/>
          <w:lang w:val="de-DE"/>
        </w:rPr>
        <w:t xml:space="preserve">Elmar </w:t>
      </w:r>
      <w:r>
        <w:rPr>
          <w:bCs/>
          <w:iCs/>
          <w:sz w:val="24"/>
          <w:szCs w:val="24"/>
          <w:lang w:val="de-DE"/>
        </w:rPr>
        <w:t>Giemulla/ Nikolaus Jaworsky / Rolf Müller-Uri, Verwaltungsrecht, 6. Aufl., 1998, Rn</w:t>
      </w:r>
      <w:r>
        <w:rPr>
          <w:sz w:val="24"/>
          <w:szCs w:val="24"/>
          <w:lang w:val="de-DE"/>
        </w:rPr>
        <w:t>. 192 ff.</w:t>
      </w:r>
      <w:r>
        <w:rPr>
          <w:rFonts w:hint="eastAsia"/>
          <w:sz w:val="24"/>
          <w:szCs w:val="24"/>
          <w:lang w:val="de-DE"/>
        </w:rPr>
        <w:t>。</w:t>
      </w:r>
    </w:p>
    <w:p w:rsidR="00000000" w:rsidRDefault="00FC5876">
      <w:pPr>
        <w:pStyle w:val="ad"/>
        <w:spacing w:line="360" w:lineRule="auto"/>
        <w:ind w:left="480" w:hangingChars="200" w:hanging="480"/>
        <w:jc w:val="both"/>
        <w:rPr>
          <w:rFonts w:hint="eastAsia"/>
          <w:color w:val="000000"/>
          <w:sz w:val="24"/>
          <w:lang w:val="de-DE"/>
        </w:rPr>
      </w:pPr>
      <w:r>
        <w:rPr>
          <w:rFonts w:hint="eastAsia"/>
          <w:color w:val="000000"/>
          <w:sz w:val="24"/>
          <w:lang w:val="de-DE"/>
        </w:rPr>
        <w:t>λ</w:t>
      </w:r>
      <w:r>
        <w:rPr>
          <w:rFonts w:hint="eastAsia"/>
          <w:color w:val="000000"/>
          <w:sz w:val="24"/>
          <w:lang w:val="de-DE"/>
        </w:rPr>
        <w:t xml:space="preserve">  </w:t>
      </w:r>
      <w:r>
        <w:rPr>
          <w:sz w:val="24"/>
          <w:szCs w:val="24"/>
          <w:lang w:val="de-DE"/>
        </w:rPr>
        <w:t>Frank Stollberg (Hrsg.), Beamtrech</w:t>
      </w:r>
      <w:r>
        <w:rPr>
          <w:sz w:val="24"/>
          <w:szCs w:val="24"/>
          <w:lang w:val="de-DE"/>
        </w:rPr>
        <w:t>t in der Fallbearbeitung, 1993, 2. Aufl., S. 118.</w:t>
      </w:r>
      <w:r>
        <w:rPr>
          <w:rFonts w:hint="eastAsia"/>
          <w:sz w:val="24"/>
          <w:szCs w:val="24"/>
          <w:lang w:val="de-DE"/>
        </w:rPr>
        <w:t>。</w:t>
      </w:r>
    </w:p>
    <w:p w:rsidR="00000000" w:rsidRDefault="00FC5876">
      <w:pPr>
        <w:pStyle w:val="ad"/>
        <w:spacing w:line="360" w:lineRule="auto"/>
        <w:ind w:left="480" w:hangingChars="200" w:hanging="480"/>
        <w:jc w:val="both"/>
        <w:rPr>
          <w:rFonts w:hint="eastAsia"/>
          <w:sz w:val="24"/>
          <w:lang w:val="de-DE"/>
        </w:rPr>
      </w:pPr>
      <w:r>
        <w:rPr>
          <w:rFonts w:hint="eastAsia"/>
          <w:color w:val="000000"/>
          <w:sz w:val="24"/>
          <w:lang w:val="de-DE"/>
        </w:rPr>
        <w:t>λ</w:t>
      </w:r>
      <w:r>
        <w:rPr>
          <w:rFonts w:hint="eastAsia"/>
          <w:color w:val="000000"/>
          <w:sz w:val="24"/>
          <w:lang w:val="de-DE"/>
        </w:rPr>
        <w:t xml:space="preserve">  </w:t>
      </w:r>
      <w:r>
        <w:rPr>
          <w:bCs/>
          <w:iCs/>
          <w:sz w:val="24"/>
          <w:lang w:val="fr-FR"/>
        </w:rPr>
        <w:t>Franz-Joseph</w:t>
      </w:r>
      <w:r>
        <w:rPr>
          <w:sz w:val="24"/>
          <w:lang w:val="de-DE"/>
        </w:rPr>
        <w:t xml:space="preserve"> </w:t>
      </w:r>
      <w:r>
        <w:rPr>
          <w:bCs/>
          <w:iCs/>
          <w:sz w:val="24"/>
          <w:lang w:val="fr-FR"/>
        </w:rPr>
        <w:t xml:space="preserve">Peine, </w:t>
      </w:r>
      <w:r>
        <w:rPr>
          <w:sz w:val="24"/>
          <w:lang w:val="de-DE"/>
        </w:rPr>
        <w:t>Allgemeines Verwaltungsrecht, 2000, 5. Aufl., § 2 Rn. 21</w:t>
      </w:r>
      <w:r>
        <w:rPr>
          <w:rFonts w:hint="eastAsia"/>
          <w:sz w:val="24"/>
          <w:lang w:val="de-DE"/>
        </w:rPr>
        <w:t>。</w:t>
      </w:r>
    </w:p>
    <w:p w:rsidR="00000000" w:rsidRDefault="00FC5876">
      <w:pPr>
        <w:spacing w:line="360" w:lineRule="auto"/>
        <w:ind w:left="840" w:hangingChars="350" w:hanging="840"/>
        <w:rPr>
          <w:rFonts w:hint="eastAsia"/>
          <w:lang w:val="de-DE"/>
        </w:rPr>
      </w:pPr>
      <w:r>
        <w:rPr>
          <w:rFonts w:hint="eastAsia"/>
          <w:lang w:val="de-DE"/>
        </w:rPr>
        <w:t>λ</w:t>
      </w:r>
      <w:r>
        <w:rPr>
          <w:rFonts w:hint="eastAsia"/>
          <w:lang w:val="de-DE"/>
        </w:rPr>
        <w:t xml:space="preserve">  </w:t>
      </w:r>
      <w:r>
        <w:rPr>
          <w:lang w:val="de-DE"/>
        </w:rPr>
        <w:t>Ferdinand O.</w:t>
      </w:r>
      <w:r>
        <w:rPr>
          <w:b/>
          <w:i/>
          <w:lang w:val="de-DE"/>
        </w:rPr>
        <w:t xml:space="preserve"> </w:t>
      </w:r>
      <w:r>
        <w:rPr>
          <w:bCs/>
          <w:iCs/>
          <w:lang w:val="de-DE"/>
        </w:rPr>
        <w:t>Kopp/ Ulrich</w:t>
      </w:r>
      <w:r>
        <w:rPr>
          <w:lang w:val="de-DE"/>
        </w:rPr>
        <w:t xml:space="preserve"> </w:t>
      </w:r>
      <w:r>
        <w:rPr>
          <w:bCs/>
          <w:iCs/>
          <w:lang w:val="de-DE"/>
        </w:rPr>
        <w:t xml:space="preserve">Ramsauer, </w:t>
      </w:r>
      <w:r>
        <w:rPr>
          <w:lang w:val="de-DE"/>
        </w:rPr>
        <w:t xml:space="preserve">Verwaltungsverfahrensgesetz, 7. Aufl., </w:t>
      </w:r>
    </w:p>
    <w:p w:rsidR="00000000" w:rsidRDefault="00FC5876">
      <w:pPr>
        <w:spacing w:line="360" w:lineRule="auto"/>
        <w:ind w:leftChars="200" w:left="840" w:hangingChars="150" w:hanging="360"/>
        <w:rPr>
          <w:rFonts w:hint="eastAsia"/>
          <w:lang w:val="de-DE"/>
        </w:rPr>
      </w:pPr>
      <w:r>
        <w:rPr>
          <w:lang w:val="de-DE"/>
        </w:rPr>
        <w:t>2000, § 35 Rn. 32 ff.</w:t>
      </w:r>
    </w:p>
    <w:p w:rsidR="00000000" w:rsidRDefault="00FC5876">
      <w:pPr>
        <w:spacing w:line="360" w:lineRule="auto"/>
        <w:rPr>
          <w:rFonts w:hint="eastAsia"/>
          <w:lang w:val="de-DE"/>
        </w:rPr>
      </w:pPr>
      <w:r>
        <w:rPr>
          <w:rFonts w:hint="eastAsia"/>
          <w:lang w:val="de-DE"/>
        </w:rPr>
        <w:t>λ</w:t>
      </w:r>
      <w:r>
        <w:rPr>
          <w:rFonts w:hint="eastAsia"/>
          <w:lang w:val="de-DE"/>
        </w:rPr>
        <w:t xml:space="preserve">  </w:t>
      </w:r>
      <w:r>
        <w:rPr>
          <w:color w:val="000000"/>
          <w:lang w:val="de-DE"/>
        </w:rPr>
        <w:t>Ferdinand O. Kopp/ U</w:t>
      </w:r>
      <w:r>
        <w:rPr>
          <w:color w:val="000000"/>
          <w:lang w:val="de-DE"/>
        </w:rPr>
        <w:t>lrich Ramsauer</w:t>
      </w:r>
      <w:r>
        <w:rPr>
          <w:bCs/>
          <w:iCs/>
          <w:color w:val="000000"/>
          <w:lang w:val="de-DE"/>
        </w:rPr>
        <w:t xml:space="preserve">, </w:t>
      </w:r>
      <w:r>
        <w:rPr>
          <w:color w:val="0000FF"/>
          <w:lang w:val="de-DE"/>
        </w:rPr>
        <w:t>VwGO</w:t>
      </w:r>
      <w:r>
        <w:rPr>
          <w:color w:val="000000"/>
          <w:lang w:val="de-DE"/>
        </w:rPr>
        <w:t>, 12. Aufl., 2000, § 42 Rn. 30.</w:t>
      </w:r>
    </w:p>
    <w:p w:rsidR="00000000" w:rsidRDefault="00FC5876">
      <w:pPr>
        <w:spacing w:line="360" w:lineRule="auto"/>
        <w:rPr>
          <w:rFonts w:hint="eastAsia"/>
          <w:lang w:val="de-DE"/>
        </w:rPr>
      </w:pPr>
      <w:r>
        <w:rPr>
          <w:rFonts w:hint="eastAsia"/>
          <w:lang w:val="de-DE"/>
        </w:rPr>
        <w:t>λ</w:t>
      </w:r>
      <w:r>
        <w:rPr>
          <w:rFonts w:hint="eastAsia"/>
          <w:lang w:val="de-DE"/>
        </w:rPr>
        <w:t xml:space="preserve">  </w:t>
      </w:r>
      <w:r>
        <w:rPr>
          <w:lang w:val="de-DE"/>
        </w:rPr>
        <w:t xml:space="preserve">Ferdinand O. Kopp/ Ulrich Ramsauer, </w:t>
      </w:r>
      <w:r>
        <w:rPr>
          <w:rFonts w:hint="eastAsia"/>
          <w:lang w:val="de-DE"/>
        </w:rPr>
        <w:t>VwVfG</w:t>
      </w:r>
      <w:r>
        <w:rPr>
          <w:lang w:val="de-DE"/>
        </w:rPr>
        <w:t xml:space="preserve">, </w:t>
      </w:r>
      <w:r>
        <w:rPr>
          <w:rFonts w:hint="eastAsia"/>
          <w:lang w:val="de-DE"/>
        </w:rPr>
        <w:t xml:space="preserve">7. Aufl., 2000, </w:t>
      </w:r>
      <w:r>
        <w:rPr>
          <w:lang w:val="de-DE"/>
        </w:rPr>
        <w:t>§ 35 Rn. 75.</w:t>
      </w:r>
    </w:p>
    <w:p w:rsidR="00000000" w:rsidRDefault="00FC5876">
      <w:pPr>
        <w:spacing w:line="360" w:lineRule="auto"/>
        <w:ind w:left="840" w:hangingChars="350" w:hanging="840"/>
        <w:rPr>
          <w:rFonts w:hint="eastAsia"/>
          <w:lang w:val="de-DE"/>
        </w:rPr>
      </w:pPr>
      <w:r>
        <w:rPr>
          <w:rFonts w:hint="eastAsia"/>
          <w:lang w:val="de-DE"/>
        </w:rPr>
        <w:t>λ</w:t>
      </w:r>
      <w:r>
        <w:rPr>
          <w:rFonts w:hint="eastAsia"/>
          <w:lang w:val="de-DE"/>
        </w:rPr>
        <w:t xml:space="preserve">  </w:t>
      </w:r>
      <w:r>
        <w:rPr>
          <w:lang w:val="de-DE"/>
        </w:rPr>
        <w:t>Friedhelm</w:t>
      </w:r>
      <w:r>
        <w:rPr>
          <w:bCs/>
          <w:iCs/>
          <w:lang w:val="de-DE"/>
        </w:rPr>
        <w:t xml:space="preserve"> Hufen, </w:t>
      </w:r>
      <w:r>
        <w:rPr>
          <w:lang w:val="de-DE"/>
        </w:rPr>
        <w:t>Verwaltungsprozeßrecht, 4. Aufl., 2000, § 14 Rn. 19</w:t>
      </w:r>
    </w:p>
    <w:p w:rsidR="00000000" w:rsidRDefault="00FC5876">
      <w:pPr>
        <w:spacing w:line="360" w:lineRule="auto"/>
        <w:rPr>
          <w:rFonts w:hint="eastAsia"/>
          <w:lang w:val="de-DE"/>
        </w:rPr>
      </w:pPr>
      <w:r>
        <w:rPr>
          <w:rFonts w:hint="eastAsia"/>
          <w:lang w:val="de-DE"/>
        </w:rPr>
        <w:t>λ</w:t>
      </w:r>
      <w:r>
        <w:rPr>
          <w:rFonts w:hint="eastAsia"/>
          <w:lang w:val="de-DE"/>
        </w:rPr>
        <w:t xml:space="preserve">  </w:t>
      </w:r>
      <w:r>
        <w:rPr>
          <w:color w:val="0000FF"/>
          <w:lang w:val="de-DE"/>
        </w:rPr>
        <w:t>Friedhelm</w:t>
      </w:r>
      <w:r>
        <w:rPr>
          <w:lang w:val="de-DE"/>
        </w:rPr>
        <w:t xml:space="preserve"> Hufen, VerwPR, 5. Aufl., 2003, § 15 Rn. 7, 2</w:t>
      </w:r>
      <w:r>
        <w:rPr>
          <w:lang w:val="de-DE"/>
        </w:rPr>
        <w:t>6.</w:t>
      </w:r>
    </w:p>
    <w:p w:rsidR="00000000" w:rsidRDefault="00FC5876">
      <w:pPr>
        <w:spacing w:line="360" w:lineRule="auto"/>
        <w:rPr>
          <w:rFonts w:hint="eastAsia"/>
          <w:lang w:val="de-DE"/>
        </w:rPr>
      </w:pPr>
      <w:r>
        <w:rPr>
          <w:rFonts w:hint="eastAsia"/>
          <w:lang w:val="de-DE"/>
        </w:rPr>
        <w:t>λ</w:t>
      </w:r>
      <w:r>
        <w:rPr>
          <w:rFonts w:hint="eastAsia"/>
          <w:lang w:val="de-DE"/>
        </w:rPr>
        <w:t xml:space="preserve">  </w:t>
      </w:r>
      <w:r>
        <w:rPr>
          <w:lang w:val="de-DE"/>
        </w:rPr>
        <w:t>Hartmut</w:t>
      </w:r>
      <w:r>
        <w:rPr>
          <w:b/>
          <w:i/>
          <w:lang w:val="de-DE"/>
        </w:rPr>
        <w:t xml:space="preserve"> </w:t>
      </w:r>
      <w:r>
        <w:rPr>
          <w:bCs/>
          <w:iCs/>
          <w:lang w:val="de-DE"/>
        </w:rPr>
        <w:t>Maurer</w:t>
      </w:r>
      <w:r>
        <w:rPr>
          <w:lang w:val="de-DE"/>
        </w:rPr>
        <w:t>, Allgemeines Verwaltungsrecht, 14. Aufl., 2002, § 9 Rn. 6;</w:t>
      </w:r>
    </w:p>
    <w:p w:rsidR="00000000" w:rsidRDefault="00FC5876">
      <w:pPr>
        <w:spacing w:line="360" w:lineRule="auto"/>
        <w:ind w:left="480" w:hangingChars="200" w:hanging="480"/>
        <w:rPr>
          <w:rFonts w:hint="eastAsia"/>
          <w:lang w:val="de-DE"/>
        </w:rPr>
      </w:pPr>
      <w:r>
        <w:rPr>
          <w:rFonts w:hint="eastAsia"/>
          <w:lang w:val="de-DE"/>
        </w:rPr>
        <w:t>λ</w:t>
      </w:r>
      <w:r>
        <w:rPr>
          <w:rFonts w:hint="eastAsia"/>
          <w:lang w:val="de-DE"/>
        </w:rPr>
        <w:t xml:space="preserve">  </w:t>
      </w:r>
      <w:r>
        <w:rPr>
          <w:lang w:val="de-DE"/>
        </w:rPr>
        <w:t xml:space="preserve">Hans-Uwe Erichsen, Das Verwaltungshandeln, in: ders./ Dirk Ehlers (Hrsg.), </w:t>
      </w:r>
      <w:r>
        <w:rPr>
          <w:lang w:val="de-DE"/>
        </w:rPr>
        <w:lastRenderedPageBreak/>
        <w:t>Allgemeines Verwaltungsrecht, 12. Aufl., 2002, § 12 Rn. 25.</w:t>
      </w:r>
    </w:p>
    <w:p w:rsidR="00000000" w:rsidRDefault="00FC5876">
      <w:pPr>
        <w:spacing w:line="360" w:lineRule="auto"/>
        <w:rPr>
          <w:rFonts w:hint="eastAsia"/>
          <w:color w:val="000000"/>
          <w:lang w:val="de-DE"/>
        </w:rPr>
      </w:pPr>
      <w:r>
        <w:rPr>
          <w:rFonts w:hint="eastAsia"/>
          <w:lang w:val="de-DE"/>
        </w:rPr>
        <w:t>λ</w:t>
      </w:r>
      <w:r>
        <w:rPr>
          <w:rFonts w:hint="eastAsia"/>
          <w:lang w:val="de-DE"/>
        </w:rPr>
        <w:t xml:space="preserve">  </w:t>
      </w:r>
      <w:r>
        <w:rPr>
          <w:color w:val="000000"/>
          <w:lang w:val="de-DE"/>
        </w:rPr>
        <w:t>Hans-Werner Laubinger, Die isoliert</w:t>
      </w:r>
      <w:r>
        <w:rPr>
          <w:color w:val="000000"/>
          <w:lang w:val="de-DE"/>
        </w:rPr>
        <w:t>e Anfechtungsklage, in: Festschrift für</w:t>
      </w:r>
      <w:r>
        <w:rPr>
          <w:rFonts w:hint="eastAsia"/>
          <w:color w:val="000000"/>
          <w:lang w:val="de-DE"/>
        </w:rPr>
        <w:t xml:space="preserve"> </w:t>
      </w:r>
    </w:p>
    <w:p w:rsidR="00000000" w:rsidRDefault="00FC5876">
      <w:pPr>
        <w:spacing w:line="360" w:lineRule="auto"/>
        <w:ind w:firstLineChars="200" w:firstLine="480"/>
        <w:rPr>
          <w:rFonts w:hint="eastAsia"/>
          <w:lang w:val="de-DE"/>
        </w:rPr>
      </w:pPr>
      <w:r>
        <w:rPr>
          <w:lang w:val="de-DE"/>
        </w:rPr>
        <w:t>Christian-Friedrich Menger zum 70. Geburtstag, 1985, S, 452 ff</w:t>
      </w:r>
      <w:r>
        <w:rPr>
          <w:rFonts w:hint="eastAsia"/>
          <w:lang w:val="de-DE"/>
        </w:rPr>
        <w:t>.</w:t>
      </w:r>
    </w:p>
    <w:p w:rsidR="00000000" w:rsidRDefault="00FC5876">
      <w:pPr>
        <w:pStyle w:val="ad"/>
        <w:spacing w:line="360" w:lineRule="auto"/>
        <w:jc w:val="both"/>
        <w:rPr>
          <w:kern w:val="0"/>
          <w:sz w:val="24"/>
          <w:lang w:val="de-DE"/>
        </w:rPr>
      </w:pPr>
      <w:r>
        <w:rPr>
          <w:rFonts w:hint="eastAsia"/>
          <w:sz w:val="24"/>
          <w:lang w:val="de-DE"/>
        </w:rPr>
        <w:t>λ</w:t>
      </w:r>
      <w:r>
        <w:rPr>
          <w:rFonts w:hint="eastAsia"/>
          <w:sz w:val="24"/>
          <w:lang w:val="de-DE"/>
        </w:rPr>
        <w:t xml:space="preserve">  </w:t>
      </w:r>
      <w:r>
        <w:rPr>
          <w:kern w:val="0"/>
          <w:sz w:val="24"/>
          <w:lang w:val="de-DE"/>
        </w:rPr>
        <w:t>Hellmuth Günther: Konkurrentenstreit und kein Ende? - Bestandsaufnahme zur</w:t>
      </w:r>
    </w:p>
    <w:p w:rsidR="00000000" w:rsidRDefault="00FC5876">
      <w:pPr>
        <w:pStyle w:val="ad"/>
        <w:spacing w:line="360" w:lineRule="auto"/>
        <w:ind w:firstLineChars="200" w:firstLine="480"/>
        <w:jc w:val="both"/>
        <w:rPr>
          <w:rFonts w:hint="eastAsia"/>
          <w:sz w:val="24"/>
          <w:lang w:val="de-DE"/>
        </w:rPr>
      </w:pPr>
      <w:r>
        <w:rPr>
          <w:rFonts w:hint="eastAsia"/>
          <w:kern w:val="0"/>
          <w:sz w:val="24"/>
          <w:lang w:val="de-DE"/>
        </w:rPr>
        <w:t xml:space="preserve"> </w:t>
      </w:r>
      <w:r>
        <w:rPr>
          <w:kern w:val="0"/>
          <w:sz w:val="24"/>
          <w:lang w:val="de-DE"/>
        </w:rPr>
        <w:t>Personalmaßnahme Beförderung -, in: ZBR 1990, S. 284-295</w:t>
      </w:r>
    </w:p>
    <w:p w:rsidR="00000000" w:rsidRDefault="00FC5876">
      <w:pPr>
        <w:pStyle w:val="ad"/>
        <w:spacing w:line="360" w:lineRule="auto"/>
        <w:rPr>
          <w:rFonts w:hint="eastAsia"/>
          <w:color w:val="000000"/>
          <w:sz w:val="24"/>
          <w:lang w:val="de-DE"/>
        </w:rPr>
      </w:pPr>
      <w:r>
        <w:rPr>
          <w:rFonts w:hint="eastAsia"/>
          <w:sz w:val="24"/>
          <w:lang w:val="de-DE"/>
        </w:rPr>
        <w:t>λ</w:t>
      </w:r>
      <w:r>
        <w:rPr>
          <w:rFonts w:hint="eastAsia"/>
          <w:sz w:val="24"/>
          <w:lang w:val="de-DE"/>
        </w:rPr>
        <w:t xml:space="preserve">  </w:t>
      </w:r>
      <w:r>
        <w:rPr>
          <w:rFonts w:eastAsia="MS Mincho"/>
          <w:sz w:val="24"/>
          <w:lang w:val="de-DE" w:eastAsia="ja-JP"/>
        </w:rPr>
        <w:t>Helmut Schne</w:t>
      </w:r>
      <w:r>
        <w:rPr>
          <w:rFonts w:eastAsia="MS Mincho"/>
          <w:sz w:val="24"/>
          <w:lang w:val="de-DE" w:eastAsia="ja-JP"/>
        </w:rPr>
        <w:t>llenbach, Beamtenrecht in der Praxis, 5. Aufl., 2001, Rn. 69.</w:t>
      </w:r>
    </w:p>
    <w:p w:rsidR="00000000" w:rsidRDefault="00FC5876">
      <w:pPr>
        <w:pStyle w:val="ad"/>
        <w:spacing w:line="360" w:lineRule="auto"/>
        <w:jc w:val="both"/>
        <w:rPr>
          <w:rFonts w:hint="eastAsia"/>
          <w:color w:val="000000"/>
          <w:sz w:val="24"/>
          <w:szCs w:val="24"/>
          <w:lang w:val="de-DE"/>
        </w:rPr>
      </w:pPr>
      <w:r>
        <w:rPr>
          <w:rFonts w:hint="eastAsia"/>
          <w:color w:val="000000"/>
          <w:sz w:val="24"/>
          <w:szCs w:val="24"/>
          <w:lang w:val="de-DE"/>
        </w:rPr>
        <w:t>λ</w:t>
      </w:r>
      <w:r>
        <w:rPr>
          <w:rFonts w:hint="eastAsia"/>
          <w:color w:val="000000"/>
          <w:sz w:val="24"/>
          <w:szCs w:val="24"/>
          <w:lang w:val="de-DE"/>
        </w:rPr>
        <w:t xml:space="preserve">  </w:t>
      </w:r>
      <w:r>
        <w:rPr>
          <w:sz w:val="24"/>
          <w:lang w:val="de-DE"/>
        </w:rPr>
        <w:t>Hufen, VerwPR, 5. Aufl., 2003, § 15 Rn. 7, 26.</w:t>
      </w:r>
    </w:p>
    <w:p w:rsidR="00000000" w:rsidRDefault="00FC5876">
      <w:pPr>
        <w:spacing w:line="360" w:lineRule="auto"/>
        <w:rPr>
          <w:rFonts w:hint="eastAsia"/>
          <w:color w:val="000000"/>
          <w:lang w:val="de-DE"/>
        </w:rPr>
      </w:pPr>
      <w:r>
        <w:rPr>
          <w:rFonts w:hint="eastAsia"/>
          <w:color w:val="000000"/>
          <w:lang w:val="de-DE"/>
        </w:rPr>
        <w:t>λ</w:t>
      </w:r>
      <w:r>
        <w:rPr>
          <w:rFonts w:hint="eastAsia"/>
          <w:color w:val="000000"/>
          <w:lang w:val="de-DE"/>
        </w:rPr>
        <w:t xml:space="preserve">  </w:t>
      </w:r>
      <w:r>
        <w:rPr>
          <w:color w:val="0000FF"/>
          <w:lang w:val="de-DE"/>
        </w:rPr>
        <w:t>Ipsen</w:t>
      </w:r>
      <w:r>
        <w:rPr>
          <w:lang w:val="de-DE"/>
        </w:rPr>
        <w:t>, Die Grundrechte, Bd. 2, S. 193</w:t>
      </w:r>
    </w:p>
    <w:p w:rsidR="00000000" w:rsidRDefault="00FC5876">
      <w:pPr>
        <w:spacing w:line="360" w:lineRule="auto"/>
        <w:rPr>
          <w:rFonts w:hint="eastAsia"/>
          <w:lang w:val="de-DE"/>
        </w:rPr>
      </w:pPr>
      <w:r>
        <w:rPr>
          <w:rFonts w:hint="eastAsia"/>
          <w:lang w:val="de-DE"/>
        </w:rPr>
        <w:t>λ</w:t>
      </w:r>
      <w:r>
        <w:rPr>
          <w:rFonts w:hint="eastAsia"/>
          <w:lang w:val="de-DE"/>
        </w:rPr>
        <w:t xml:space="preserve">  </w:t>
      </w:r>
      <w:r>
        <w:rPr>
          <w:lang w:val="de-DE"/>
        </w:rPr>
        <w:t>Jörn Ipsen, Allgemeines Verwaltungsrecht, 2000, Rn. 336.</w:t>
      </w:r>
    </w:p>
    <w:p w:rsidR="00000000" w:rsidRDefault="00FC5876">
      <w:pPr>
        <w:spacing w:line="360" w:lineRule="auto"/>
        <w:rPr>
          <w:rFonts w:eastAsia="標楷體" w:hint="eastAsia"/>
          <w:lang w:val="de-DE"/>
        </w:rPr>
      </w:pPr>
      <w:r>
        <w:rPr>
          <w:rFonts w:hint="eastAsia"/>
          <w:lang w:val="de-DE"/>
        </w:rPr>
        <w:t>λ</w:t>
      </w:r>
      <w:r>
        <w:rPr>
          <w:rFonts w:hint="eastAsia"/>
          <w:lang w:val="de-DE"/>
        </w:rPr>
        <w:t xml:space="preserve">  </w:t>
      </w:r>
      <w:r>
        <w:rPr>
          <w:rFonts w:eastAsia="標楷體"/>
          <w:lang w:val="de-DE"/>
        </w:rPr>
        <w:t>Johannes Remmel, Die Konkurrentenklage i</w:t>
      </w:r>
      <w:r>
        <w:rPr>
          <w:rFonts w:eastAsia="標楷體"/>
          <w:lang w:val="de-DE"/>
        </w:rPr>
        <w:t>m Beamtenrecht – Der Rechtsschutz</w:t>
      </w:r>
    </w:p>
    <w:p w:rsidR="00000000" w:rsidRDefault="00FC5876">
      <w:pPr>
        <w:spacing w:line="360" w:lineRule="auto"/>
        <w:ind w:firstLineChars="200" w:firstLine="480"/>
        <w:rPr>
          <w:rFonts w:eastAsia="標楷體" w:hint="eastAsia"/>
          <w:lang w:val="de-DE"/>
        </w:rPr>
      </w:pPr>
      <w:r>
        <w:rPr>
          <w:rFonts w:eastAsia="標楷體"/>
          <w:lang w:val="de-DE"/>
        </w:rPr>
        <w:t>des unterlegenen Bewerbers bei beamtenrectlichen Ernennungen, 1982, S.52.</w:t>
      </w:r>
    </w:p>
    <w:p w:rsidR="00000000" w:rsidRDefault="00FC5876">
      <w:pPr>
        <w:spacing w:line="360" w:lineRule="auto"/>
        <w:ind w:left="600" w:hangingChars="250" w:hanging="600"/>
        <w:rPr>
          <w:rFonts w:hint="eastAsia"/>
          <w:lang w:val="de-DE"/>
        </w:rPr>
      </w:pPr>
      <w:r>
        <w:rPr>
          <w:rFonts w:hint="eastAsia"/>
          <w:lang w:val="de-DE"/>
        </w:rPr>
        <w:t>λ</w:t>
      </w:r>
      <w:r>
        <w:rPr>
          <w:rFonts w:hint="eastAsia"/>
          <w:lang w:val="de-DE"/>
        </w:rPr>
        <w:t xml:space="preserve">  </w:t>
      </w:r>
      <w:r>
        <w:rPr>
          <w:lang w:val="de-DE"/>
        </w:rPr>
        <w:t>Jost Pietzcker, in: Friedrich K. Schoch/ Eberhard Schmidt-Aßmann/ Rainer</w:t>
      </w:r>
    </w:p>
    <w:p w:rsidR="00000000" w:rsidRDefault="00FC5876">
      <w:pPr>
        <w:spacing w:line="360" w:lineRule="auto"/>
        <w:rPr>
          <w:rFonts w:hint="eastAsia"/>
          <w:lang w:val="de-DE"/>
        </w:rPr>
      </w:pPr>
      <w:r>
        <w:rPr>
          <w:lang w:val="de-DE"/>
        </w:rPr>
        <w:t xml:space="preserve"> </w:t>
      </w:r>
      <w:r>
        <w:rPr>
          <w:rFonts w:hint="eastAsia"/>
          <w:lang w:val="de-DE"/>
        </w:rPr>
        <w:t xml:space="preserve">   </w:t>
      </w:r>
      <w:r>
        <w:rPr>
          <w:lang w:val="de-DE"/>
        </w:rPr>
        <w:t>Pietzner (Hrsg.), VwGO, Stand: Jar. 2000, § 42 Abs. 1 Rn. 109 (Fn. 4</w:t>
      </w:r>
      <w:r>
        <w:rPr>
          <w:lang w:val="de-DE"/>
        </w:rPr>
        <w:t>13).</w:t>
      </w:r>
    </w:p>
    <w:p w:rsidR="00000000" w:rsidRDefault="00FC5876">
      <w:pPr>
        <w:spacing w:line="360" w:lineRule="auto"/>
        <w:rPr>
          <w:rFonts w:hint="eastAsia"/>
          <w:iCs/>
          <w:kern w:val="0"/>
          <w:lang w:val="de-DE"/>
        </w:rPr>
      </w:pPr>
      <w:r>
        <w:rPr>
          <w:rFonts w:hint="eastAsia"/>
          <w:lang w:val="de-DE"/>
        </w:rPr>
        <w:t>λ</w:t>
      </w:r>
      <w:r>
        <w:rPr>
          <w:rFonts w:hint="eastAsia"/>
          <w:lang w:val="de-DE"/>
        </w:rPr>
        <w:t xml:space="preserve">  </w:t>
      </w:r>
      <w:r>
        <w:rPr>
          <w:kern w:val="0"/>
          <w:lang w:val="de-DE"/>
        </w:rPr>
        <w:t xml:space="preserve">Josef Isensee: </w:t>
      </w:r>
      <w:r>
        <w:rPr>
          <w:iCs/>
          <w:kern w:val="0"/>
          <w:lang w:val="de-DE"/>
        </w:rPr>
        <w:t>Der Zugang zum öffentlichen Dienst, in: Festgabe aus Anlaß des</w:t>
      </w:r>
    </w:p>
    <w:p w:rsidR="00000000" w:rsidRDefault="00FC5876">
      <w:pPr>
        <w:spacing w:line="360" w:lineRule="auto"/>
        <w:ind w:left="720" w:hangingChars="300" w:hanging="720"/>
        <w:rPr>
          <w:rFonts w:hint="eastAsia"/>
          <w:lang w:val="de-DE"/>
        </w:rPr>
      </w:pPr>
      <w:r>
        <w:rPr>
          <w:iCs/>
          <w:kern w:val="0"/>
          <w:lang w:val="de-DE"/>
        </w:rPr>
        <w:t xml:space="preserve"> </w:t>
      </w:r>
      <w:r>
        <w:rPr>
          <w:rFonts w:hint="eastAsia"/>
          <w:iCs/>
          <w:kern w:val="0"/>
          <w:lang w:val="de-DE"/>
        </w:rPr>
        <w:t xml:space="preserve">     </w:t>
      </w:r>
      <w:r>
        <w:rPr>
          <w:iCs/>
          <w:kern w:val="0"/>
          <w:lang w:val="de-DE"/>
        </w:rPr>
        <w:t>25jährigen Bestehens des Bundesverwaltungsgerichts</w:t>
      </w:r>
      <w:r>
        <w:rPr>
          <w:kern w:val="0"/>
          <w:lang w:val="de-DE"/>
        </w:rPr>
        <w:t>, hrsg. von Otto Bachof,Ludwig Heigl, Konrad Redeker, München 1978, S. 337-356</w:t>
      </w:r>
    </w:p>
    <w:p w:rsidR="00000000" w:rsidRDefault="00FC5876">
      <w:pPr>
        <w:spacing w:line="360" w:lineRule="auto"/>
        <w:rPr>
          <w:rFonts w:hint="eastAsia"/>
          <w:lang w:val="de-DE"/>
        </w:rPr>
      </w:pPr>
      <w:r>
        <w:rPr>
          <w:rFonts w:hint="eastAsia"/>
          <w:lang w:val="de-DE"/>
        </w:rPr>
        <w:t>λ</w:t>
      </w:r>
      <w:r>
        <w:rPr>
          <w:rFonts w:hint="eastAsia"/>
          <w:lang w:val="de-DE"/>
        </w:rPr>
        <w:t xml:space="preserve">  </w:t>
      </w:r>
      <w:r>
        <w:rPr>
          <w:color w:val="0000FF"/>
          <w:lang w:val="de-DE"/>
        </w:rPr>
        <w:t>Jörg</w:t>
      </w:r>
      <w:r>
        <w:rPr>
          <w:lang w:val="de-DE"/>
        </w:rPr>
        <w:t xml:space="preserve"> von Albedyll, in: Johann Ba</w:t>
      </w:r>
      <w:r>
        <w:rPr>
          <w:lang w:val="de-DE"/>
        </w:rPr>
        <w:t xml:space="preserve">der/ Michael Funke-Kaiser/ Stefan Kuntze/ Jörg </w:t>
      </w:r>
    </w:p>
    <w:p w:rsidR="00000000" w:rsidRDefault="00FC5876">
      <w:pPr>
        <w:spacing w:line="360" w:lineRule="auto"/>
        <w:ind w:firstLineChars="200" w:firstLine="480"/>
        <w:rPr>
          <w:rFonts w:hint="eastAsia"/>
          <w:lang w:val="de-DE"/>
        </w:rPr>
      </w:pPr>
      <w:r>
        <w:rPr>
          <w:lang w:val="de-DE"/>
        </w:rPr>
        <w:t>von Albedyll, Verwaltungsgerichtsordnung, 3. Auf., 2005, § 65 Rn. 21 ff.</w:t>
      </w:r>
    </w:p>
    <w:p w:rsidR="00000000" w:rsidRDefault="00FC5876">
      <w:pPr>
        <w:spacing w:line="360" w:lineRule="auto"/>
        <w:ind w:left="480" w:hangingChars="200" w:hanging="480"/>
        <w:rPr>
          <w:rFonts w:hint="eastAsia"/>
          <w:lang w:val="de-DE"/>
        </w:rPr>
      </w:pPr>
      <w:r>
        <w:rPr>
          <w:rFonts w:hint="eastAsia"/>
          <w:lang w:val="de-DE"/>
        </w:rPr>
        <w:t>λ</w:t>
      </w:r>
      <w:r>
        <w:rPr>
          <w:rFonts w:hint="eastAsia"/>
          <w:lang w:val="de-DE"/>
        </w:rPr>
        <w:t xml:space="preserve">  </w:t>
      </w:r>
      <w:r>
        <w:rPr>
          <w:lang w:val="de-DE"/>
        </w:rPr>
        <w:t>Judith Schwarplys, Die allgemeine Gestaltungsklage als Rechtsschutzform gegen verwaltungsinterne Regelungen, 1996, S. 34.</w:t>
      </w:r>
    </w:p>
    <w:p w:rsidR="00000000" w:rsidRDefault="00FC5876">
      <w:pPr>
        <w:spacing w:line="360" w:lineRule="auto"/>
        <w:ind w:left="480" w:hangingChars="200" w:hanging="480"/>
        <w:rPr>
          <w:rFonts w:hint="eastAsia"/>
          <w:lang w:val="de-DE"/>
        </w:rPr>
      </w:pPr>
      <w:r>
        <w:rPr>
          <w:rFonts w:hint="eastAsia"/>
          <w:lang w:val="de-DE"/>
        </w:rPr>
        <w:t>λ</w:t>
      </w:r>
      <w:r>
        <w:rPr>
          <w:rFonts w:hint="eastAsia"/>
          <w:lang w:val="de-DE"/>
        </w:rPr>
        <w:t xml:space="preserve">  </w:t>
      </w:r>
      <w:r>
        <w:rPr>
          <w:lang w:val="de-DE"/>
        </w:rPr>
        <w:t xml:space="preserve">Kunig, </w:t>
      </w:r>
      <w:r>
        <w:rPr>
          <w:lang w:val="de-DE"/>
        </w:rPr>
        <w:t>in: Schmidt-Aßmann, Besonderes Verwaltungsrecht, 12. Aufl., 2003, 6. Kap, Rn. 91</w:t>
      </w:r>
    </w:p>
    <w:p w:rsidR="00000000" w:rsidRDefault="00FC5876">
      <w:pPr>
        <w:spacing w:line="360" w:lineRule="auto"/>
        <w:rPr>
          <w:rFonts w:hint="eastAsia"/>
          <w:lang w:val="de-DE"/>
        </w:rPr>
      </w:pPr>
      <w:r>
        <w:rPr>
          <w:rFonts w:hint="eastAsia"/>
          <w:lang w:val="de-DE"/>
        </w:rPr>
        <w:t>λ</w:t>
      </w:r>
      <w:r>
        <w:rPr>
          <w:rFonts w:hint="eastAsia"/>
          <w:lang w:val="de-DE"/>
        </w:rPr>
        <w:t xml:space="preserve">  </w:t>
      </w:r>
      <w:r>
        <w:rPr>
          <w:rFonts w:eastAsia="MS Mincho"/>
          <w:lang w:val="de-DE" w:eastAsia="ja-JP"/>
        </w:rPr>
        <w:t>Lecheler, Die Personalgewalt, S. 74-95;</w:t>
      </w:r>
    </w:p>
    <w:p w:rsidR="00000000" w:rsidRDefault="00FC5876">
      <w:pPr>
        <w:spacing w:line="360" w:lineRule="auto"/>
        <w:rPr>
          <w:rFonts w:hint="eastAsia"/>
          <w:lang w:val="de-DE"/>
        </w:rPr>
      </w:pPr>
      <w:r>
        <w:rPr>
          <w:rFonts w:hint="eastAsia"/>
          <w:lang w:val="de-DE"/>
        </w:rPr>
        <w:t>λ</w:t>
      </w:r>
      <w:r>
        <w:rPr>
          <w:rFonts w:hint="eastAsia"/>
          <w:lang w:val="de-DE"/>
        </w:rPr>
        <w:t xml:space="preserve">  </w:t>
      </w:r>
      <w:r>
        <w:rPr>
          <w:color w:val="0000FF"/>
          <w:lang w:val="de-DE"/>
        </w:rPr>
        <w:t>Menger</w:t>
      </w:r>
      <w:r>
        <w:rPr>
          <w:lang w:val="de-DE"/>
        </w:rPr>
        <w:t>, VerwArch. Bd. 55 (1964), 294.</w:t>
      </w:r>
    </w:p>
    <w:p w:rsidR="00000000" w:rsidRDefault="00FC5876">
      <w:pPr>
        <w:spacing w:line="360" w:lineRule="auto"/>
        <w:rPr>
          <w:rFonts w:hint="eastAsia"/>
          <w:lang w:val="de-DE"/>
        </w:rPr>
      </w:pPr>
      <w:r>
        <w:rPr>
          <w:rFonts w:hint="eastAsia"/>
          <w:lang w:val="de-DE"/>
        </w:rPr>
        <w:t>λ</w:t>
      </w:r>
      <w:r>
        <w:rPr>
          <w:rFonts w:hint="eastAsia"/>
          <w:lang w:val="de-DE"/>
        </w:rPr>
        <w:t xml:space="preserve">  </w:t>
      </w:r>
      <w:r>
        <w:rPr>
          <w:color w:val="000000"/>
          <w:lang w:val="de-DE"/>
        </w:rPr>
        <w:t xml:space="preserve">Peter </w:t>
      </w:r>
      <w:r>
        <w:rPr>
          <w:bCs/>
          <w:iCs/>
          <w:color w:val="000000"/>
          <w:lang w:val="de-DE"/>
        </w:rPr>
        <w:t>Krause</w:t>
      </w:r>
      <w:r>
        <w:rPr>
          <w:color w:val="000000"/>
          <w:lang w:val="de-DE"/>
        </w:rPr>
        <w:t>, Rechtsformen des Verwaltungshandelns,1974, S. 200;</w:t>
      </w:r>
    </w:p>
    <w:p w:rsidR="00000000" w:rsidRDefault="00FC5876">
      <w:pPr>
        <w:spacing w:line="360" w:lineRule="auto"/>
        <w:rPr>
          <w:rFonts w:hint="eastAsia"/>
          <w:lang w:val="de-DE"/>
        </w:rPr>
      </w:pPr>
      <w:r>
        <w:rPr>
          <w:rFonts w:hint="eastAsia"/>
          <w:lang w:val="de-DE"/>
        </w:rPr>
        <w:t>λ</w:t>
      </w:r>
      <w:r>
        <w:rPr>
          <w:rFonts w:hint="eastAsia"/>
          <w:lang w:val="de-DE"/>
        </w:rPr>
        <w:t xml:space="preserve">  </w:t>
      </w:r>
      <w:r>
        <w:rPr>
          <w:lang w:val="de-DE"/>
        </w:rPr>
        <w:t>Paul</w:t>
      </w:r>
      <w:r>
        <w:rPr>
          <w:b/>
          <w:i/>
          <w:lang w:val="de-DE"/>
        </w:rPr>
        <w:t xml:space="preserve"> </w:t>
      </w:r>
      <w:r>
        <w:rPr>
          <w:bCs/>
          <w:iCs/>
          <w:lang w:val="de-DE"/>
        </w:rPr>
        <w:t>Stelkens/</w:t>
      </w:r>
      <w:r>
        <w:rPr>
          <w:lang w:val="de-DE"/>
        </w:rPr>
        <w:t xml:space="preserve"> Ulric</w:t>
      </w:r>
      <w:r>
        <w:rPr>
          <w:lang w:val="de-DE"/>
        </w:rPr>
        <w:t xml:space="preserve">h </w:t>
      </w:r>
      <w:r>
        <w:rPr>
          <w:bCs/>
          <w:iCs/>
          <w:lang w:val="de-DE"/>
        </w:rPr>
        <w:t>Stelkens, in:</w:t>
      </w:r>
      <w:r>
        <w:rPr>
          <w:lang w:val="de-DE"/>
        </w:rPr>
        <w:t xml:space="preserve"> Paul</w:t>
      </w:r>
      <w:r>
        <w:rPr>
          <w:b/>
          <w:i/>
          <w:lang w:val="de-DE"/>
        </w:rPr>
        <w:t xml:space="preserve"> </w:t>
      </w:r>
      <w:r>
        <w:rPr>
          <w:bCs/>
          <w:iCs/>
          <w:lang w:val="de-DE"/>
        </w:rPr>
        <w:t>Stelkens</w:t>
      </w:r>
      <w:r>
        <w:rPr>
          <w:lang w:val="de-DE"/>
        </w:rPr>
        <w:t>/ Heinz</w:t>
      </w:r>
      <w:r>
        <w:rPr>
          <w:b/>
          <w:i/>
          <w:lang w:val="de-DE"/>
        </w:rPr>
        <w:t xml:space="preserve"> </w:t>
      </w:r>
      <w:r>
        <w:rPr>
          <w:lang w:val="de-DE"/>
        </w:rPr>
        <w:t>Joachim</w:t>
      </w:r>
      <w:r>
        <w:rPr>
          <w:bCs/>
          <w:iCs/>
          <w:lang w:val="de-DE"/>
        </w:rPr>
        <w:t xml:space="preserve"> Bonk</w:t>
      </w:r>
      <w:r>
        <w:rPr>
          <w:lang w:val="de-DE"/>
        </w:rPr>
        <w:t>/ Michael</w:t>
      </w:r>
    </w:p>
    <w:p w:rsidR="00000000" w:rsidRDefault="00FC5876">
      <w:pPr>
        <w:spacing w:line="360" w:lineRule="auto"/>
        <w:rPr>
          <w:rFonts w:hint="eastAsia"/>
          <w:lang w:val="de-DE"/>
        </w:rPr>
      </w:pPr>
      <w:r>
        <w:rPr>
          <w:lang w:val="de-DE"/>
        </w:rPr>
        <w:lastRenderedPageBreak/>
        <w:t xml:space="preserve"> </w:t>
      </w:r>
      <w:r>
        <w:rPr>
          <w:rFonts w:hint="eastAsia"/>
          <w:lang w:val="de-DE"/>
        </w:rPr>
        <w:t xml:space="preserve">   </w:t>
      </w:r>
      <w:r>
        <w:rPr>
          <w:bCs/>
          <w:iCs/>
          <w:lang w:val="de-DE"/>
        </w:rPr>
        <w:t>Sachs</w:t>
      </w:r>
      <w:r>
        <w:rPr>
          <w:lang w:val="de-DE"/>
        </w:rPr>
        <w:t>, Verwaltungsverfahrensgesetz, 6. Aufl., 2001, § 35 Rn. 40.</w:t>
      </w:r>
    </w:p>
    <w:p w:rsidR="00000000" w:rsidRDefault="00FC5876">
      <w:pPr>
        <w:spacing w:line="360" w:lineRule="auto"/>
        <w:rPr>
          <w:rFonts w:hint="eastAsia"/>
          <w:lang w:val="de-DE"/>
        </w:rPr>
      </w:pPr>
      <w:r>
        <w:rPr>
          <w:rFonts w:hint="eastAsia"/>
          <w:lang w:val="de-DE"/>
        </w:rPr>
        <w:t>λ</w:t>
      </w:r>
      <w:r>
        <w:rPr>
          <w:rFonts w:hint="eastAsia"/>
          <w:lang w:val="de-DE"/>
        </w:rPr>
        <w:t xml:space="preserve">  </w:t>
      </w:r>
      <w:r>
        <w:rPr>
          <w:rFonts w:hint="eastAsia"/>
          <w:color w:val="0000FF"/>
        </w:rPr>
        <w:t xml:space="preserve">Rainer </w:t>
      </w:r>
      <w:r>
        <w:rPr>
          <w:lang w:val="de-DE"/>
        </w:rPr>
        <w:t>Wernsmann, Die Verwaltung, 2003, 68 ff.</w:t>
      </w:r>
    </w:p>
    <w:p w:rsidR="00000000" w:rsidRDefault="00FC5876">
      <w:pPr>
        <w:spacing w:line="360" w:lineRule="auto"/>
        <w:rPr>
          <w:rFonts w:hint="eastAsia"/>
          <w:kern w:val="0"/>
          <w:lang w:val="de-DE"/>
        </w:rPr>
      </w:pPr>
      <w:r>
        <w:rPr>
          <w:rFonts w:hint="eastAsia"/>
          <w:lang w:val="de-DE"/>
        </w:rPr>
        <w:t>λ</w:t>
      </w:r>
      <w:r>
        <w:rPr>
          <w:rFonts w:hint="eastAsia"/>
          <w:lang w:val="de-DE"/>
        </w:rPr>
        <w:t xml:space="preserve">  </w:t>
      </w:r>
      <w:r>
        <w:rPr>
          <w:kern w:val="0"/>
          <w:lang w:val="de-DE"/>
        </w:rPr>
        <w:t>Rainer Wernsmann: Die beamtenrechtliche Konkurrentenklage, in: DVBl. 2005,</w:t>
      </w:r>
    </w:p>
    <w:p w:rsidR="00000000" w:rsidRDefault="00FC5876">
      <w:pPr>
        <w:spacing w:line="360" w:lineRule="auto"/>
        <w:ind w:firstLineChars="200" w:firstLine="480"/>
        <w:rPr>
          <w:rFonts w:hint="eastAsia"/>
          <w:lang w:val="de-DE"/>
        </w:rPr>
      </w:pPr>
      <w:r>
        <w:rPr>
          <w:kern w:val="0"/>
          <w:lang w:val="de-DE"/>
        </w:rPr>
        <w:t xml:space="preserve"> S. 276 ff.</w:t>
      </w:r>
    </w:p>
    <w:p w:rsidR="00000000" w:rsidRDefault="00FC5876">
      <w:pPr>
        <w:spacing w:line="360" w:lineRule="auto"/>
        <w:rPr>
          <w:rFonts w:hint="eastAsia"/>
          <w:lang w:val="de-DE"/>
        </w:rPr>
      </w:pPr>
      <w:r>
        <w:rPr>
          <w:rFonts w:hint="eastAsia"/>
          <w:lang w:val="de-DE"/>
        </w:rPr>
        <w:t>λ</w:t>
      </w:r>
      <w:r>
        <w:rPr>
          <w:rFonts w:hint="eastAsia"/>
          <w:lang w:val="de-DE"/>
        </w:rPr>
        <w:t xml:space="preserve">  </w:t>
      </w:r>
      <w:r>
        <w:rPr>
          <w:snapToGrid w:val="0"/>
          <w:color w:val="0000FF"/>
          <w:lang w:val="de-DE" w:eastAsia="de-DE"/>
        </w:rPr>
        <w:t>R</w:t>
      </w:r>
      <w:r>
        <w:rPr>
          <w:rFonts w:hint="eastAsia"/>
          <w:snapToGrid w:val="0"/>
          <w:color w:val="0000FF"/>
          <w:lang w:val="de-DE"/>
        </w:rPr>
        <w:t>obert</w:t>
      </w:r>
      <w:r>
        <w:rPr>
          <w:snapToGrid w:val="0"/>
          <w:lang w:val="de-DE" w:eastAsia="de-DE"/>
        </w:rPr>
        <w:t xml:space="preserve"> Alexy, Theorie der Grundrechte,</w:t>
      </w:r>
      <w:r>
        <w:rPr>
          <w:rFonts w:hint="eastAsia"/>
          <w:snapToGrid w:val="0"/>
          <w:color w:val="0000FF"/>
          <w:lang w:val="de-DE"/>
        </w:rPr>
        <w:t>1985</w:t>
      </w:r>
      <w:r>
        <w:rPr>
          <w:rFonts w:hint="eastAsia"/>
          <w:snapToGrid w:val="0"/>
          <w:color w:val="0000FF"/>
          <w:lang w:val="de-DE" w:eastAsia="de-DE"/>
        </w:rPr>
        <w:t>,</w:t>
      </w:r>
      <w:r>
        <w:rPr>
          <w:snapToGrid w:val="0"/>
          <w:lang w:val="de-DE" w:eastAsia="de-DE"/>
        </w:rPr>
        <w:t xml:space="preserve"> S. 75</w:t>
      </w:r>
      <w:r>
        <w:rPr>
          <w:snapToGrid w:val="0"/>
          <w:lang w:val="de-DE"/>
        </w:rPr>
        <w:t xml:space="preserve"> </w:t>
      </w:r>
      <w:r>
        <w:rPr>
          <w:snapToGrid w:val="0"/>
          <w:lang w:val="de-DE" w:eastAsia="de-DE"/>
        </w:rPr>
        <w:t>f</w:t>
      </w:r>
      <w:r>
        <w:rPr>
          <w:snapToGrid w:val="0"/>
          <w:lang w:val="de-DE"/>
        </w:rPr>
        <w:t>f</w:t>
      </w:r>
      <w:r>
        <w:rPr>
          <w:snapToGrid w:val="0"/>
          <w:lang w:val="de-DE" w:eastAsia="de-DE"/>
        </w:rPr>
        <w:t>.</w:t>
      </w:r>
    </w:p>
    <w:p w:rsidR="00000000" w:rsidRDefault="00FC5876">
      <w:pPr>
        <w:spacing w:line="360" w:lineRule="auto"/>
        <w:rPr>
          <w:rFonts w:hint="eastAsia"/>
          <w:lang w:val="de-DE"/>
        </w:rPr>
      </w:pPr>
      <w:r>
        <w:rPr>
          <w:rFonts w:hint="eastAsia"/>
          <w:lang w:val="de-DE"/>
        </w:rPr>
        <w:t>λ</w:t>
      </w:r>
      <w:r>
        <w:rPr>
          <w:rFonts w:hint="eastAsia"/>
          <w:lang w:val="de-DE"/>
        </w:rPr>
        <w:t xml:space="preserve">  </w:t>
      </w:r>
      <w:r>
        <w:rPr>
          <w:bCs/>
          <w:iCs/>
          <w:lang w:val="de-DE"/>
        </w:rPr>
        <w:t>Rudolf Schweickdardt</w:t>
      </w:r>
      <w:r>
        <w:rPr>
          <w:lang w:val="de-DE"/>
        </w:rPr>
        <w:t>, Allgemeines Verwaltungsrecht, 1983, 3. Aufl., Rn. 326</w:t>
      </w:r>
    </w:p>
    <w:p w:rsidR="00000000" w:rsidRDefault="00FC5876">
      <w:pPr>
        <w:spacing w:line="360" w:lineRule="auto"/>
        <w:ind w:left="480" w:hangingChars="200" w:hanging="480"/>
        <w:rPr>
          <w:rFonts w:hint="eastAsia"/>
          <w:lang w:val="de-DE"/>
        </w:rPr>
      </w:pPr>
      <w:r>
        <w:rPr>
          <w:rFonts w:hint="eastAsia"/>
          <w:lang w:val="de-DE"/>
        </w:rPr>
        <w:t>λ</w:t>
      </w:r>
      <w:r>
        <w:rPr>
          <w:rFonts w:hint="eastAsia"/>
          <w:lang w:val="de-DE"/>
        </w:rPr>
        <w:t xml:space="preserve">  </w:t>
      </w:r>
      <w:r>
        <w:rPr>
          <w:lang w:val="de-DE" w:eastAsia="ja-JP"/>
        </w:rPr>
        <w:t>Schmidt-Preuß, Kollodoerende Privatintereessen im Verwaltungsrecht, 1992, S. 475 ff.</w:t>
      </w:r>
    </w:p>
    <w:p w:rsidR="00000000" w:rsidRDefault="00FC5876">
      <w:pPr>
        <w:spacing w:line="360" w:lineRule="auto"/>
        <w:ind w:left="960" w:hangingChars="400" w:hanging="960"/>
        <w:rPr>
          <w:rFonts w:hint="eastAsia"/>
          <w:kern w:val="0"/>
          <w:lang w:val="de-DE"/>
        </w:rPr>
      </w:pPr>
      <w:r>
        <w:rPr>
          <w:rFonts w:hint="eastAsia"/>
          <w:kern w:val="0"/>
          <w:lang w:val="de-DE"/>
        </w:rPr>
        <w:t>λ</w:t>
      </w:r>
      <w:r>
        <w:rPr>
          <w:rFonts w:hint="eastAsia"/>
          <w:kern w:val="0"/>
          <w:lang w:val="de-DE"/>
        </w:rPr>
        <w:t xml:space="preserve">  </w:t>
      </w:r>
      <w:r>
        <w:rPr>
          <w:lang w:val="de-DE"/>
        </w:rPr>
        <w:t>Schoch, Vorl</w:t>
      </w:r>
      <w:r>
        <w:rPr>
          <w:rFonts w:eastAsia="MS Mincho"/>
          <w:lang w:val="de-DE" w:eastAsia="ja-JP"/>
        </w:rPr>
        <w:t>äufig</w:t>
      </w:r>
      <w:r>
        <w:rPr>
          <w:rFonts w:eastAsia="MS Mincho"/>
          <w:lang w:val="de-DE" w:eastAsia="ja-JP"/>
        </w:rPr>
        <w:t>er Rechtsschutz, S. 691</w:t>
      </w:r>
    </w:p>
    <w:p w:rsidR="00000000" w:rsidRDefault="00FC5876">
      <w:pPr>
        <w:spacing w:line="360" w:lineRule="auto"/>
        <w:ind w:left="960" w:hangingChars="400" w:hanging="960"/>
        <w:rPr>
          <w:rFonts w:hint="eastAsia"/>
          <w:lang w:val="de-DE"/>
        </w:rPr>
      </w:pPr>
      <w:r>
        <w:rPr>
          <w:rFonts w:hint="eastAsia"/>
          <w:kern w:val="0"/>
          <w:lang w:val="de-DE"/>
        </w:rPr>
        <w:t>λ</w:t>
      </w:r>
      <w:r>
        <w:rPr>
          <w:rFonts w:hint="eastAsia"/>
          <w:kern w:val="0"/>
          <w:lang w:val="de-DE"/>
        </w:rPr>
        <w:t xml:space="preserve">  </w:t>
      </w:r>
      <w:r>
        <w:rPr>
          <w:lang w:val="de-DE"/>
        </w:rPr>
        <w:t>Schoch, in: S Schoch, Vorläufiger Rechtsschutz und Risikoverteilung im</w:t>
      </w:r>
    </w:p>
    <w:p w:rsidR="00000000" w:rsidRDefault="00FC5876">
      <w:pPr>
        <w:spacing w:line="360" w:lineRule="auto"/>
        <w:ind w:firstLineChars="200" w:firstLine="480"/>
        <w:rPr>
          <w:rFonts w:hint="eastAsia"/>
          <w:kern w:val="0"/>
          <w:lang w:val="de-DE"/>
        </w:rPr>
      </w:pPr>
      <w:r>
        <w:rPr>
          <w:lang w:val="de-DE"/>
        </w:rPr>
        <w:t xml:space="preserve"> Verwaltungsrtecht, 1988, S. 699 f.</w:t>
      </w:r>
    </w:p>
    <w:p w:rsidR="00000000" w:rsidRDefault="00FC5876">
      <w:pPr>
        <w:spacing w:line="360" w:lineRule="auto"/>
        <w:ind w:left="960" w:hangingChars="400" w:hanging="960"/>
        <w:rPr>
          <w:rFonts w:hint="eastAsia"/>
          <w:lang w:val="de-DE"/>
        </w:rPr>
      </w:pPr>
      <w:r>
        <w:rPr>
          <w:rFonts w:hint="eastAsia"/>
          <w:kern w:val="0"/>
          <w:lang w:val="de-DE"/>
        </w:rPr>
        <w:t>λ</w:t>
      </w:r>
      <w:r>
        <w:rPr>
          <w:rFonts w:hint="eastAsia"/>
          <w:kern w:val="0"/>
          <w:lang w:val="de-DE"/>
        </w:rPr>
        <w:t xml:space="preserve">  </w:t>
      </w:r>
      <w:r>
        <w:rPr>
          <w:rFonts w:hint="eastAsia"/>
          <w:lang w:val="de-DE"/>
        </w:rPr>
        <w:t>S</w:t>
      </w:r>
      <w:r>
        <w:rPr>
          <w:lang w:val="de-DE"/>
        </w:rPr>
        <w:t>choch/Schmidt-Aßmann/Pietzner (Hrsg.), Verwaltungsgerichtsord</w:t>
      </w:r>
      <w:r>
        <w:rPr>
          <w:lang w:val="de-DE"/>
        </w:rPr>
        <w:softHyphen/>
      </w:r>
      <w:r>
        <w:rPr>
          <w:rFonts w:hint="eastAsia"/>
          <w:lang w:val="de-DE"/>
        </w:rPr>
        <w:t xml:space="preserve">-  </w:t>
      </w:r>
    </w:p>
    <w:p w:rsidR="00000000" w:rsidRDefault="00FC5876">
      <w:pPr>
        <w:spacing w:line="360" w:lineRule="auto"/>
        <w:ind w:left="960" w:hangingChars="400" w:hanging="960"/>
        <w:rPr>
          <w:rFonts w:hint="eastAsia"/>
          <w:kern w:val="0"/>
          <w:lang w:val="de-DE"/>
        </w:rPr>
      </w:pPr>
      <w:r>
        <w:rPr>
          <w:rFonts w:hint="eastAsia"/>
          <w:lang w:val="de-DE"/>
        </w:rPr>
        <w:t xml:space="preserve">     </w:t>
      </w:r>
      <w:r>
        <w:rPr>
          <w:lang w:val="de-DE"/>
        </w:rPr>
        <w:t>nung Kom</w:t>
      </w:r>
      <w:r>
        <w:rPr>
          <w:lang w:val="de-DE"/>
        </w:rPr>
        <w:softHyphen/>
        <w:t>mentar, Vorb. § 80 Rn. 34 f. (Stand: J</w:t>
      </w:r>
      <w:r>
        <w:rPr>
          <w:lang w:val="de-DE"/>
        </w:rPr>
        <w:t>an. 2003).</w:t>
      </w:r>
    </w:p>
    <w:p w:rsidR="00000000" w:rsidRDefault="00FC5876">
      <w:pPr>
        <w:spacing w:line="360" w:lineRule="auto"/>
        <w:rPr>
          <w:rFonts w:hint="eastAsia"/>
          <w:lang w:val="de-DE"/>
        </w:rPr>
      </w:pPr>
      <w:r>
        <w:rPr>
          <w:rFonts w:hint="eastAsia"/>
          <w:kern w:val="0"/>
          <w:lang w:val="de-DE"/>
        </w:rPr>
        <w:t>λ</w:t>
      </w:r>
      <w:r>
        <w:rPr>
          <w:rFonts w:hint="eastAsia"/>
          <w:kern w:val="0"/>
          <w:lang w:val="de-DE"/>
        </w:rPr>
        <w:t xml:space="preserve">  </w:t>
      </w:r>
      <w:r>
        <w:rPr>
          <w:lang w:val="de-DE" w:eastAsia="ja-JP"/>
        </w:rPr>
        <w:t xml:space="preserve">Ulrich Battis, Recht auf öffentlichen Dienstes, in: Achterberg/ Püttner/ </w:t>
      </w:r>
      <w:r>
        <w:rPr>
          <w:rFonts w:hint="eastAsia"/>
          <w:lang w:val="de-DE"/>
        </w:rPr>
        <w:t xml:space="preserve"> </w:t>
      </w:r>
    </w:p>
    <w:p w:rsidR="00000000" w:rsidRDefault="00FC5876">
      <w:pPr>
        <w:spacing w:line="360" w:lineRule="auto"/>
        <w:rPr>
          <w:rFonts w:hint="eastAsia"/>
          <w:lang w:val="de-DE"/>
        </w:rPr>
      </w:pPr>
      <w:r>
        <w:rPr>
          <w:rFonts w:hint="eastAsia"/>
          <w:lang w:val="de-DE"/>
        </w:rPr>
        <w:t xml:space="preserve">    </w:t>
      </w:r>
      <w:r>
        <w:rPr>
          <w:lang w:val="de-DE" w:eastAsia="ja-JP"/>
        </w:rPr>
        <w:t xml:space="preserve">Würtenberg (Hrsg.), Besonderes Verwaltungsrecht, Bd. </w:t>
      </w:r>
      <w:r>
        <w:rPr>
          <w:lang w:val="de-DE"/>
        </w:rPr>
        <w:t>II, 2. Aufl.</w:t>
      </w:r>
      <w:r>
        <w:rPr>
          <w:lang w:val="de-DE" w:eastAsia="ja-JP"/>
        </w:rPr>
        <w:t xml:space="preserve">, 2000, </w:t>
      </w:r>
      <w:r>
        <w:rPr>
          <w:lang w:val="de-DE"/>
        </w:rPr>
        <w:t xml:space="preserve">§ 31 </w:t>
      </w:r>
      <w:r>
        <w:rPr>
          <w:rFonts w:hint="eastAsia"/>
          <w:lang w:val="de-DE"/>
        </w:rPr>
        <w:t xml:space="preserve"> </w:t>
      </w:r>
    </w:p>
    <w:p w:rsidR="00000000" w:rsidRDefault="00FC5876">
      <w:pPr>
        <w:spacing w:line="360" w:lineRule="auto"/>
        <w:rPr>
          <w:rFonts w:hint="eastAsia"/>
          <w:kern w:val="0"/>
          <w:lang w:val="de-DE"/>
        </w:rPr>
      </w:pPr>
      <w:r>
        <w:rPr>
          <w:rFonts w:hint="eastAsia"/>
          <w:lang w:val="de-DE"/>
        </w:rPr>
        <w:t xml:space="preserve">    </w:t>
      </w:r>
      <w:r>
        <w:rPr>
          <w:lang w:val="de-DE"/>
        </w:rPr>
        <w:t>Rn. 27.</w:t>
      </w:r>
    </w:p>
    <w:p w:rsidR="00000000" w:rsidRDefault="00FC5876">
      <w:pPr>
        <w:spacing w:line="360" w:lineRule="auto"/>
        <w:rPr>
          <w:rFonts w:eastAsia="標楷體" w:hint="eastAsia"/>
          <w:lang w:val="de-DE"/>
        </w:rPr>
      </w:pPr>
      <w:r>
        <w:rPr>
          <w:rFonts w:hint="eastAsia"/>
          <w:kern w:val="0"/>
          <w:lang w:val="de-DE"/>
        </w:rPr>
        <w:t>λ</w:t>
      </w:r>
      <w:r>
        <w:rPr>
          <w:rFonts w:hint="eastAsia"/>
          <w:lang w:val="de-DE"/>
        </w:rPr>
        <w:t xml:space="preserve">  </w:t>
      </w:r>
      <w:r>
        <w:rPr>
          <w:rFonts w:eastAsia="標楷體"/>
          <w:lang w:val="de-DE"/>
        </w:rPr>
        <w:t>Uwe Kernbach, Die Rechtsschutzmöglichkeiten des unterlegenen Konkurr</w:t>
      </w:r>
      <w:r>
        <w:rPr>
          <w:rFonts w:eastAsia="標楷體"/>
          <w:lang w:val="de-DE"/>
        </w:rPr>
        <w:t xml:space="preserve">enten </w:t>
      </w:r>
      <w:r>
        <w:rPr>
          <w:rFonts w:eastAsia="標楷體" w:hint="eastAsia"/>
          <w:lang w:val="de-DE"/>
        </w:rPr>
        <w:t xml:space="preserve"> </w:t>
      </w:r>
    </w:p>
    <w:p w:rsidR="00000000" w:rsidRDefault="00FC5876">
      <w:pPr>
        <w:spacing w:line="360" w:lineRule="auto"/>
        <w:ind w:firstLineChars="100" w:firstLine="240"/>
        <w:rPr>
          <w:rFonts w:hint="eastAsia"/>
          <w:lang w:val="de-DE"/>
        </w:rPr>
      </w:pPr>
      <w:r>
        <w:rPr>
          <w:rFonts w:eastAsia="標楷體" w:hint="eastAsia"/>
          <w:lang w:val="de-DE"/>
        </w:rPr>
        <w:t xml:space="preserve">  </w:t>
      </w:r>
      <w:r>
        <w:rPr>
          <w:rFonts w:eastAsia="標楷體"/>
          <w:lang w:val="de-DE"/>
        </w:rPr>
        <w:t>im beamtenrechtlichen Ernennungsverfahhren,</w:t>
      </w:r>
      <w:r>
        <w:rPr>
          <w:rFonts w:eastAsia="標楷體"/>
          <w:color w:val="0000FF"/>
          <w:lang w:val="de-DE"/>
        </w:rPr>
        <w:t xml:space="preserve"> Diss. Tübingen</w:t>
      </w:r>
      <w:r>
        <w:rPr>
          <w:rFonts w:eastAsia="標楷體"/>
          <w:lang w:val="de-DE"/>
        </w:rPr>
        <w:t>, 1994, S. 114 ff</w:t>
      </w:r>
    </w:p>
    <w:p w:rsidR="00000000" w:rsidRDefault="00FC5876">
      <w:pPr>
        <w:spacing w:line="360" w:lineRule="auto"/>
        <w:rPr>
          <w:rFonts w:hint="eastAsia"/>
          <w:lang w:val="de-DE"/>
        </w:rPr>
      </w:pPr>
      <w:r>
        <w:rPr>
          <w:rFonts w:hint="eastAsia"/>
          <w:lang w:val="de-DE"/>
        </w:rPr>
        <w:t>λ</w:t>
      </w:r>
      <w:r>
        <w:rPr>
          <w:rFonts w:hint="eastAsia"/>
          <w:lang w:val="de-DE"/>
        </w:rPr>
        <w:t xml:space="preserve">  </w:t>
      </w:r>
      <w:r>
        <w:rPr>
          <w:lang w:val="de-DE"/>
        </w:rPr>
        <w:t>Wahl/ Schütz, in:</w:t>
      </w:r>
      <w:r>
        <w:rPr>
          <w:color w:val="000000"/>
        </w:rPr>
        <w:t xml:space="preserve"> </w:t>
      </w:r>
      <w:r>
        <w:rPr>
          <w:color w:val="0000FF"/>
        </w:rPr>
        <w:t>Schoch/Schmidt-Aßmann/Pietzner</w:t>
      </w:r>
      <w:r>
        <w:rPr>
          <w:lang w:val="de-DE"/>
        </w:rPr>
        <w:t>, VwGO, § 42 Rn. 325.</w:t>
      </w:r>
    </w:p>
    <w:p w:rsidR="00000000" w:rsidRDefault="00FC5876">
      <w:pPr>
        <w:spacing w:line="360" w:lineRule="auto"/>
        <w:rPr>
          <w:rFonts w:hint="eastAsia"/>
          <w:lang w:val="de-DE"/>
        </w:rPr>
      </w:pPr>
      <w:r>
        <w:rPr>
          <w:rFonts w:hint="eastAsia"/>
          <w:lang w:val="de-DE"/>
        </w:rPr>
        <w:t>λ</w:t>
      </w:r>
      <w:r>
        <w:rPr>
          <w:rFonts w:hint="eastAsia"/>
          <w:lang w:val="de-DE"/>
        </w:rPr>
        <w:t xml:space="preserve">  </w:t>
      </w:r>
      <w:r>
        <w:rPr>
          <w:lang w:val="de-DE" w:eastAsia="ja-JP"/>
        </w:rPr>
        <w:t>Wieland, FS Blümel, 1999, S. 655</w:t>
      </w:r>
    </w:p>
    <w:p w:rsidR="00000000" w:rsidRDefault="00FC5876">
      <w:pPr>
        <w:spacing w:line="360" w:lineRule="auto"/>
        <w:ind w:left="720" w:hangingChars="300" w:hanging="720"/>
        <w:rPr>
          <w:rFonts w:hint="eastAsia"/>
          <w:lang w:val="de-DE"/>
        </w:rPr>
      </w:pPr>
      <w:r>
        <w:rPr>
          <w:rFonts w:hint="eastAsia"/>
          <w:lang w:val="de-DE"/>
        </w:rPr>
        <w:t>λ</w:t>
      </w:r>
      <w:r>
        <w:rPr>
          <w:rFonts w:hint="eastAsia"/>
          <w:lang w:val="de-DE"/>
        </w:rPr>
        <w:t xml:space="preserve">  </w:t>
      </w:r>
      <w:r>
        <w:rPr>
          <w:color w:val="000000"/>
          <w:lang w:val="de-DE"/>
        </w:rPr>
        <w:t xml:space="preserve">Wolfgang Kuhla/ Jost Hüttenbrink, Der Verwaltungsprozess, </w:t>
      </w:r>
      <w:r>
        <w:rPr>
          <w:color w:val="000000"/>
          <w:lang w:val="de-DE"/>
        </w:rPr>
        <w:t>3. Aufl., 2002, D Rn. 143.</w:t>
      </w:r>
    </w:p>
    <w:p w:rsidR="00000000" w:rsidRDefault="00FC5876">
      <w:pPr>
        <w:spacing w:line="360" w:lineRule="auto"/>
        <w:rPr>
          <w:rFonts w:hint="eastAsia"/>
          <w:lang w:val="de-DE"/>
        </w:rPr>
      </w:pPr>
      <w:r>
        <w:rPr>
          <w:rFonts w:hint="eastAsia"/>
          <w:lang w:val="de-DE"/>
        </w:rPr>
        <w:t>λ</w:t>
      </w:r>
      <w:r>
        <w:rPr>
          <w:rFonts w:hint="eastAsia"/>
          <w:lang w:val="de-DE"/>
        </w:rPr>
        <w:t xml:space="preserve">  </w:t>
      </w:r>
      <w:r>
        <w:rPr>
          <w:lang w:val="de-DE"/>
        </w:rPr>
        <w:t>Wolfgang Roth, Verwaltungsrechtliche Organstreitigkeiten, 2001, S. 157.</w:t>
      </w:r>
    </w:p>
    <w:p w:rsidR="00000000" w:rsidRDefault="00FC5876">
      <w:pPr>
        <w:spacing w:line="360" w:lineRule="auto"/>
        <w:rPr>
          <w:rFonts w:ascii="標楷體" w:eastAsia="標楷體" w:hAnsi="標楷體" w:hint="eastAsia"/>
          <w:b/>
          <w:bCs/>
          <w:lang w:val="de-DE"/>
        </w:rPr>
      </w:pPr>
      <w:r>
        <w:rPr>
          <w:rFonts w:ascii="標楷體" w:eastAsia="標楷體" w:hAnsi="標楷體"/>
          <w:b/>
          <w:bCs/>
          <w:lang w:val="de-DE"/>
        </w:rPr>
        <w:t>(</w:t>
      </w:r>
      <w:r>
        <w:rPr>
          <w:rFonts w:ascii="標楷體" w:eastAsia="標楷體" w:hAnsi="標楷體" w:hint="eastAsia"/>
          <w:b/>
          <w:bCs/>
          <w:lang w:val="de-DE"/>
        </w:rPr>
        <w:t>二</w:t>
      </w:r>
      <w:r>
        <w:rPr>
          <w:rFonts w:ascii="標楷體" w:eastAsia="標楷體" w:hAnsi="標楷體"/>
          <w:b/>
          <w:bCs/>
          <w:lang w:val="de-DE"/>
        </w:rPr>
        <w:t>)</w:t>
      </w:r>
      <w:r>
        <w:rPr>
          <w:rFonts w:ascii="標楷體" w:eastAsia="標楷體" w:hAnsi="標楷體" w:hint="eastAsia"/>
          <w:b/>
          <w:bCs/>
          <w:lang w:val="de-DE"/>
        </w:rPr>
        <w:t xml:space="preserve"> </w:t>
      </w:r>
      <w:r>
        <w:rPr>
          <w:rFonts w:ascii="標楷體" w:eastAsia="標楷體" w:hAnsi="標楷體" w:hint="eastAsia"/>
          <w:b/>
          <w:bCs/>
          <w:lang w:val="de-DE"/>
        </w:rPr>
        <w:t>期刊</w:t>
      </w:r>
    </w:p>
    <w:p w:rsidR="00000000" w:rsidRDefault="00FC5876">
      <w:pPr>
        <w:pStyle w:val="ad"/>
        <w:spacing w:line="360" w:lineRule="auto"/>
        <w:jc w:val="both"/>
        <w:rPr>
          <w:rFonts w:hint="eastAsia"/>
          <w:lang w:val="de-DE"/>
        </w:rPr>
      </w:pPr>
    </w:p>
    <w:p w:rsidR="00000000" w:rsidRDefault="00FC5876">
      <w:pPr>
        <w:pStyle w:val="ad"/>
        <w:spacing w:line="360" w:lineRule="auto"/>
        <w:ind w:left="480" w:hangingChars="200" w:hanging="480"/>
        <w:jc w:val="both"/>
        <w:rPr>
          <w:rFonts w:hint="eastAsia"/>
          <w:b/>
          <w:bCs/>
          <w:sz w:val="24"/>
          <w:lang w:val="de-DE"/>
        </w:rPr>
      </w:pPr>
      <w:r>
        <w:rPr>
          <w:rFonts w:hint="eastAsia"/>
          <w:sz w:val="24"/>
          <w:lang w:val="de-DE"/>
        </w:rPr>
        <w:t>λ</w:t>
      </w:r>
      <w:r>
        <w:rPr>
          <w:rFonts w:hint="eastAsia"/>
          <w:sz w:val="24"/>
          <w:lang w:val="de-DE"/>
        </w:rPr>
        <w:t xml:space="preserve">  </w:t>
      </w:r>
      <w:r>
        <w:rPr>
          <w:sz w:val="24"/>
          <w:lang w:val="de-DE"/>
        </w:rPr>
        <w:t xml:space="preserve">Dirk Ehlers, Die Rechtsprechung zum nordrhein-westfälischen Kommunalrecht </w:t>
      </w:r>
      <w:r>
        <w:rPr>
          <w:sz w:val="24"/>
          <w:lang w:val="de-DE"/>
        </w:rPr>
        <w:lastRenderedPageBreak/>
        <w:t>der Jahre 1984-1989, NWVBl. 1990, 86 (Fn. 138).</w:t>
      </w:r>
    </w:p>
    <w:p w:rsidR="00000000" w:rsidRDefault="00FC5876">
      <w:pPr>
        <w:spacing w:line="360" w:lineRule="auto"/>
        <w:ind w:left="480" w:hangingChars="200" w:hanging="480"/>
        <w:rPr>
          <w:rFonts w:hint="eastAsia"/>
          <w:color w:val="0000FF"/>
        </w:rPr>
      </w:pPr>
      <w:r>
        <w:rPr>
          <w:rFonts w:hint="eastAsia"/>
          <w:lang w:val="de-DE"/>
        </w:rPr>
        <w:t>λ</w:t>
      </w:r>
      <w:r>
        <w:rPr>
          <w:rFonts w:hint="eastAsia"/>
          <w:lang w:val="de-DE"/>
        </w:rPr>
        <w:t xml:space="preserve">  </w:t>
      </w:r>
      <w:r>
        <w:t>Eberhard Schwerdtn</w:t>
      </w:r>
      <w:r>
        <w:t xml:space="preserve">er, Die Weisung - innerdienstlicher Rechtsakt oder anfechtbarer Verwaltungsakt?, VBlBW 1996, </w:t>
      </w:r>
      <w:r>
        <w:rPr>
          <w:color w:val="000000"/>
        </w:rPr>
        <w:t>209</w:t>
      </w:r>
    </w:p>
    <w:p w:rsidR="00000000" w:rsidRDefault="00FC5876">
      <w:pPr>
        <w:spacing w:line="360" w:lineRule="auto"/>
        <w:ind w:left="480" w:hangingChars="200" w:hanging="480"/>
        <w:rPr>
          <w:rFonts w:hint="eastAsia"/>
          <w:color w:val="0000FF"/>
          <w:lang w:val="de-DE"/>
        </w:rPr>
      </w:pPr>
      <w:r>
        <w:rPr>
          <w:rFonts w:hint="eastAsia"/>
          <w:kern w:val="0"/>
          <w:lang w:val="de-DE"/>
        </w:rPr>
        <w:t>λ</w:t>
      </w:r>
      <w:r>
        <w:rPr>
          <w:rFonts w:hint="eastAsia"/>
          <w:kern w:val="0"/>
          <w:lang w:val="de-DE"/>
        </w:rPr>
        <w:t xml:space="preserve">  </w:t>
      </w:r>
      <w:r>
        <w:rPr>
          <w:kern w:val="0"/>
          <w:lang w:val="de-DE"/>
        </w:rPr>
        <w:t xml:space="preserve">Ernst-Lüder Solte: </w:t>
      </w:r>
      <w:r>
        <w:rPr>
          <w:iCs/>
          <w:kern w:val="0"/>
          <w:lang w:val="de-DE"/>
        </w:rPr>
        <w:t>Zur Konkurrentenklage im Beamtenrecht</w:t>
      </w:r>
      <w:r>
        <w:rPr>
          <w:kern w:val="0"/>
          <w:lang w:val="de-DE"/>
        </w:rPr>
        <w:t>, in: NJW 1980, 1027-1035;</w:t>
      </w:r>
    </w:p>
    <w:p w:rsidR="00000000" w:rsidRDefault="00FC5876">
      <w:pPr>
        <w:spacing w:line="360" w:lineRule="auto"/>
        <w:rPr>
          <w:rFonts w:hint="eastAsia"/>
          <w:color w:val="0000FF"/>
        </w:rPr>
      </w:pPr>
      <w:r>
        <w:rPr>
          <w:rFonts w:hint="eastAsia"/>
        </w:rPr>
        <w:t>λ</w:t>
      </w:r>
      <w:r>
        <w:rPr>
          <w:rFonts w:hint="eastAsia"/>
        </w:rPr>
        <w:t xml:space="preserve">  </w:t>
      </w:r>
      <w:r>
        <w:t xml:space="preserve">Hans-Uwe Erichsen, Die Umsetzung von Beamten, DVBl. 1982, </w:t>
      </w:r>
      <w:r>
        <w:rPr>
          <w:color w:val="000000"/>
        </w:rPr>
        <w:t>98</w:t>
      </w:r>
    </w:p>
    <w:p w:rsidR="00000000" w:rsidRDefault="00FC5876">
      <w:pPr>
        <w:spacing w:line="360" w:lineRule="auto"/>
        <w:rPr>
          <w:rFonts w:hint="eastAsia"/>
          <w:color w:val="0000FF"/>
        </w:rPr>
      </w:pPr>
      <w:r>
        <w:rPr>
          <w:rFonts w:hint="eastAsia"/>
          <w:bCs/>
          <w:iCs/>
          <w:lang w:val="de-DE"/>
        </w:rPr>
        <w:t>λ</w:t>
      </w:r>
      <w:r>
        <w:rPr>
          <w:rFonts w:hint="eastAsia"/>
          <w:bCs/>
          <w:iCs/>
          <w:lang w:val="de-DE"/>
        </w:rPr>
        <w:t xml:space="preserve">  </w:t>
      </w:r>
      <w:r>
        <w:rPr>
          <w:bCs/>
          <w:iCs/>
          <w:lang w:val="de-DE"/>
        </w:rPr>
        <w:t>Hans-U</w:t>
      </w:r>
      <w:r>
        <w:rPr>
          <w:bCs/>
          <w:iCs/>
          <w:lang w:val="de-DE"/>
        </w:rPr>
        <w:t>we Erichsen</w:t>
      </w:r>
      <w:r>
        <w:rPr>
          <w:lang w:val="de-DE"/>
        </w:rPr>
        <w:t>, Kommunalaufsicht, DVBl. 1985, 948;</w:t>
      </w:r>
    </w:p>
    <w:p w:rsidR="00000000" w:rsidRDefault="00FC5876">
      <w:pPr>
        <w:pStyle w:val="ad"/>
        <w:spacing w:line="360" w:lineRule="auto"/>
        <w:ind w:left="480" w:hangingChars="200" w:hanging="480"/>
        <w:jc w:val="both"/>
        <w:rPr>
          <w:color w:val="000000"/>
          <w:sz w:val="24"/>
          <w:lang w:val="de-DE"/>
        </w:rPr>
      </w:pPr>
      <w:r>
        <w:rPr>
          <w:rFonts w:hint="eastAsia"/>
          <w:sz w:val="24"/>
          <w:lang w:val="de-DE"/>
        </w:rPr>
        <w:t>λ</w:t>
      </w:r>
      <w:r>
        <w:rPr>
          <w:rFonts w:hint="eastAsia"/>
          <w:sz w:val="24"/>
          <w:lang w:val="de-DE"/>
        </w:rPr>
        <w:t xml:space="preserve">  </w:t>
      </w:r>
      <w:r>
        <w:rPr>
          <w:sz w:val="24"/>
          <w:lang w:val="de-DE"/>
        </w:rPr>
        <w:t>Werner Thieme, Der Gesetzvorbehalt im besonderen Gewaltverhältnis, JZ 1964,</w:t>
      </w:r>
      <w:r>
        <w:rPr>
          <w:color w:val="0000FF"/>
          <w:sz w:val="24"/>
          <w:lang w:val="de-DE"/>
        </w:rPr>
        <w:t xml:space="preserve"> </w:t>
      </w:r>
      <w:r>
        <w:rPr>
          <w:color w:val="000000"/>
          <w:sz w:val="24"/>
          <w:lang w:val="de-DE"/>
        </w:rPr>
        <w:t>83.</w:t>
      </w:r>
    </w:p>
    <w:p w:rsidR="00000000" w:rsidRDefault="00FC5876">
      <w:pPr>
        <w:pStyle w:val="ad"/>
        <w:spacing w:line="360" w:lineRule="auto"/>
        <w:ind w:left="480" w:hangingChars="200" w:hanging="480"/>
        <w:jc w:val="both"/>
        <w:rPr>
          <w:rFonts w:hint="eastAsia"/>
          <w:sz w:val="24"/>
          <w:lang w:val="de-DE"/>
        </w:rPr>
      </w:pPr>
      <w:r>
        <w:rPr>
          <w:rFonts w:hint="eastAsia"/>
          <w:sz w:val="24"/>
          <w:lang w:val="de-DE"/>
        </w:rPr>
        <w:t>λ</w:t>
      </w:r>
      <w:r>
        <w:rPr>
          <w:rFonts w:hint="eastAsia"/>
          <w:sz w:val="24"/>
          <w:lang w:val="de-DE"/>
        </w:rPr>
        <w:t xml:space="preserve">  </w:t>
      </w:r>
      <w:r>
        <w:rPr>
          <w:sz w:val="24"/>
          <w:lang w:val="de-DE"/>
        </w:rPr>
        <w:t>Henning Leupold, Rechtsschutz bei beamtenrechtlichen Umsetzungen,</w:t>
      </w:r>
      <w:r>
        <w:rPr>
          <w:color w:val="FF0000"/>
          <w:sz w:val="24"/>
          <w:lang w:val="de-DE"/>
        </w:rPr>
        <w:t xml:space="preserve"> </w:t>
      </w:r>
      <w:r>
        <w:rPr>
          <w:color w:val="000000"/>
          <w:sz w:val="24"/>
          <w:lang w:val="de-DE"/>
        </w:rPr>
        <w:t xml:space="preserve">DÖD </w:t>
      </w:r>
      <w:r>
        <w:rPr>
          <w:sz w:val="24"/>
          <w:lang w:val="de-DE"/>
        </w:rPr>
        <w:t>2002, 136 ff.</w:t>
      </w:r>
    </w:p>
    <w:p w:rsidR="00000000" w:rsidRDefault="00FC5876">
      <w:pPr>
        <w:pStyle w:val="ad"/>
        <w:spacing w:line="360" w:lineRule="auto"/>
        <w:ind w:left="480" w:hangingChars="200" w:hanging="480"/>
        <w:jc w:val="both"/>
        <w:rPr>
          <w:rFonts w:hint="eastAsia"/>
          <w:sz w:val="24"/>
          <w:lang w:val="de-DE"/>
        </w:rPr>
      </w:pPr>
      <w:r>
        <w:rPr>
          <w:rFonts w:hint="eastAsia"/>
          <w:sz w:val="24"/>
          <w:lang w:val="de-DE"/>
        </w:rPr>
        <w:t>λ</w:t>
      </w:r>
      <w:r>
        <w:rPr>
          <w:rFonts w:hint="eastAsia"/>
          <w:sz w:val="24"/>
          <w:lang w:val="de-DE"/>
        </w:rPr>
        <w:t xml:space="preserve">  </w:t>
      </w:r>
      <w:r>
        <w:rPr>
          <w:sz w:val="24"/>
          <w:lang w:val="de-DE"/>
        </w:rPr>
        <w:t>OVG Greifswald, NVwZ 2000, 945.</w:t>
      </w:r>
    </w:p>
    <w:p w:rsidR="00000000" w:rsidRDefault="00FC5876">
      <w:pPr>
        <w:pStyle w:val="ad"/>
        <w:spacing w:line="360" w:lineRule="auto"/>
        <w:ind w:left="480" w:hangingChars="200" w:hanging="480"/>
        <w:jc w:val="both"/>
        <w:rPr>
          <w:rFonts w:hint="eastAsia"/>
          <w:sz w:val="24"/>
          <w:lang w:val="de-DE"/>
        </w:rPr>
      </w:pPr>
      <w:r>
        <w:rPr>
          <w:rFonts w:hint="eastAsia"/>
          <w:sz w:val="24"/>
          <w:lang w:val="de-DE"/>
        </w:rPr>
        <w:t>λ</w:t>
      </w:r>
      <w:r>
        <w:rPr>
          <w:rFonts w:hint="eastAsia"/>
          <w:sz w:val="24"/>
          <w:lang w:val="de-DE"/>
        </w:rPr>
        <w:t xml:space="preserve">  </w:t>
      </w:r>
      <w:r>
        <w:rPr>
          <w:sz w:val="24"/>
          <w:lang w:val="de-DE" w:eastAsia="ja-JP"/>
        </w:rPr>
        <w:t>Schmitt-Kammler, Jura 1979, 651; ders., DÖV 1980, 291; Lechler, Jura 1979, 415.</w:t>
      </w:r>
    </w:p>
    <w:p w:rsidR="00000000" w:rsidRDefault="00FC5876">
      <w:pPr>
        <w:pStyle w:val="ad"/>
        <w:spacing w:line="360" w:lineRule="auto"/>
        <w:ind w:left="200" w:hanging="200"/>
        <w:jc w:val="both"/>
        <w:rPr>
          <w:sz w:val="24"/>
          <w:lang w:val="de-DE"/>
        </w:rPr>
      </w:pPr>
      <w:r>
        <w:rPr>
          <w:rFonts w:hint="eastAsia"/>
          <w:sz w:val="24"/>
        </w:rPr>
        <w:t>λ</w:t>
      </w:r>
      <w:r>
        <w:rPr>
          <w:rFonts w:hint="eastAsia"/>
          <w:sz w:val="24"/>
        </w:rPr>
        <w:t xml:space="preserve">  </w:t>
      </w:r>
      <w:r>
        <w:rPr>
          <w:iCs/>
          <w:kern w:val="0"/>
          <w:sz w:val="24"/>
          <w:lang w:val="de-DE"/>
        </w:rPr>
        <w:t>Ulrich Battis,</w:t>
      </w:r>
      <w:r>
        <w:rPr>
          <w:bCs/>
          <w:kern w:val="36"/>
          <w:sz w:val="24"/>
          <w:lang w:val="de-DE"/>
        </w:rPr>
        <w:t xml:space="preserve"> Entwicklung des Beamtenrechts im Jahre 2001, </w:t>
      </w:r>
      <w:r>
        <w:rPr>
          <w:kern w:val="0"/>
          <w:sz w:val="24"/>
          <w:lang w:val="de-DE"/>
        </w:rPr>
        <w:t>NJW 2002, 1089.</w:t>
      </w:r>
    </w:p>
    <w:p w:rsidR="00000000" w:rsidRDefault="00FC5876">
      <w:pPr>
        <w:pStyle w:val="ad"/>
        <w:spacing w:line="360" w:lineRule="auto"/>
        <w:jc w:val="both"/>
        <w:rPr>
          <w:rFonts w:hint="eastAsia"/>
          <w:sz w:val="24"/>
          <w:lang w:val="de-DE"/>
        </w:rPr>
      </w:pPr>
    </w:p>
    <w:p w:rsidR="00000000" w:rsidRDefault="00FC5876">
      <w:pPr>
        <w:rPr>
          <w:rFonts w:ascii="標楷體" w:eastAsia="標楷體" w:hAnsi="標楷體" w:hint="eastAsia"/>
          <w:sz w:val="32"/>
          <w:lang w:val="de-DE"/>
        </w:rPr>
      </w:pPr>
      <w:r>
        <w:rPr>
          <w:lang w:val="de-DE"/>
        </w:rPr>
        <w:br w:type="page"/>
      </w:r>
      <w:bookmarkStart w:id="1" w:name="_Toc121199249"/>
      <w:r>
        <w:rPr>
          <w:rFonts w:ascii="標楷體" w:eastAsia="標楷體" w:hAnsi="標楷體" w:hint="eastAsia"/>
          <w:sz w:val="32"/>
          <w:lang w:val="de-DE"/>
        </w:rPr>
        <w:lastRenderedPageBreak/>
        <w:t>附件</w:t>
      </w:r>
      <w:r>
        <w:rPr>
          <w:rFonts w:ascii="標楷體" w:eastAsia="標楷體" w:hAnsi="標楷體" w:hint="eastAsia"/>
          <w:sz w:val="32"/>
          <w:lang w:val="de-DE"/>
        </w:rPr>
        <w:t>(</w:t>
      </w:r>
      <w:r>
        <w:rPr>
          <w:rFonts w:ascii="標楷體" w:eastAsia="標楷體" w:hAnsi="標楷體" w:hint="eastAsia"/>
          <w:sz w:val="32"/>
          <w:lang w:val="de-DE"/>
        </w:rPr>
        <w:t>一</w:t>
      </w:r>
      <w:r>
        <w:rPr>
          <w:rFonts w:ascii="標楷體" w:eastAsia="標楷體" w:hAnsi="標楷體" w:hint="eastAsia"/>
          <w:sz w:val="32"/>
          <w:lang w:val="de-DE"/>
        </w:rPr>
        <w:t>)</w:t>
      </w:r>
      <w:bookmarkEnd w:id="1"/>
    </w:p>
    <w:p w:rsidR="00000000" w:rsidRDefault="00FC5876">
      <w:pPr>
        <w:pStyle w:val="af0"/>
        <w:spacing w:before="180" w:after="180"/>
        <w:rPr>
          <w:rFonts w:ascii="超研澤粗圓" w:eastAsia="超研澤粗圓" w:hint="eastAsia"/>
          <w:sz w:val="28"/>
        </w:rPr>
      </w:pPr>
      <w:r>
        <w:rPr>
          <w:rFonts w:ascii="超研澤粗圓" w:eastAsia="超研澤粗圓" w:hint="eastAsia"/>
          <w:sz w:val="28"/>
        </w:rPr>
        <w:t>公務人員陞遷法</w:t>
      </w:r>
    </w:p>
    <w:p w:rsidR="00000000" w:rsidRDefault="00FC5876">
      <w:pPr>
        <w:pStyle w:val="af0"/>
        <w:spacing w:line="220" w:lineRule="exact"/>
        <w:ind w:left="5580"/>
        <w:rPr>
          <w:rFonts w:hint="eastAsia"/>
          <w:sz w:val="16"/>
        </w:rPr>
      </w:pPr>
      <w:r>
        <w:rPr>
          <w:rFonts w:hint="eastAsia"/>
          <w:sz w:val="16"/>
        </w:rPr>
        <w:t>中華民國八十九年五月十七日公布</w:t>
      </w:r>
    </w:p>
    <w:p w:rsidR="00000000" w:rsidRDefault="00FC5876">
      <w:pPr>
        <w:pStyle w:val="af0"/>
        <w:spacing w:line="220" w:lineRule="exact"/>
        <w:ind w:left="5580"/>
        <w:rPr>
          <w:rFonts w:hint="eastAsia"/>
          <w:sz w:val="16"/>
        </w:rPr>
      </w:pPr>
      <w:r>
        <w:rPr>
          <w:rFonts w:hint="eastAsia"/>
          <w:sz w:val="16"/>
        </w:rPr>
        <w:t>考試院核定自八十九年七月一日施行</w:t>
      </w:r>
    </w:p>
    <w:p w:rsidR="00000000" w:rsidRDefault="00FC5876">
      <w:pPr>
        <w:pStyle w:val="af0"/>
        <w:spacing w:before="120" w:line="320" w:lineRule="exact"/>
        <w:jc w:val="both"/>
        <w:rPr>
          <w:rFonts w:hint="eastAsia"/>
          <w:w w:val="105"/>
          <w:sz w:val="18"/>
        </w:rPr>
      </w:pPr>
      <w:r>
        <w:rPr>
          <w:rFonts w:hint="eastAsia"/>
          <w:spacing w:val="45"/>
          <w:kern w:val="0"/>
          <w:sz w:val="18"/>
        </w:rPr>
        <w:t>第</w:t>
      </w:r>
      <w:r>
        <w:rPr>
          <w:rFonts w:hint="eastAsia"/>
          <w:spacing w:val="45"/>
          <w:sz w:val="18"/>
        </w:rPr>
        <w:t>一</w:t>
      </w:r>
      <w:r>
        <w:rPr>
          <w:rFonts w:hint="eastAsia"/>
          <w:sz w:val="18"/>
        </w:rPr>
        <w:t>條</w:t>
      </w:r>
      <w:r>
        <w:rPr>
          <w:w w:val="105"/>
          <w:sz w:val="18"/>
        </w:rPr>
        <w:t xml:space="preserve"> </w:t>
      </w:r>
      <w:r>
        <w:rPr>
          <w:rFonts w:hint="eastAsia"/>
          <w:w w:val="105"/>
          <w:sz w:val="18"/>
        </w:rPr>
        <w:t xml:space="preserve">  </w:t>
      </w:r>
      <w:r>
        <w:rPr>
          <w:w w:val="105"/>
          <w:sz w:val="18"/>
        </w:rPr>
        <w:t xml:space="preserve"> </w:t>
      </w:r>
      <w:r>
        <w:rPr>
          <w:rFonts w:hint="eastAsia"/>
          <w:w w:val="105"/>
          <w:sz w:val="18"/>
        </w:rPr>
        <w:t>公務人員之陞遷，依本法行之。但法律另有規定者，從其規定。</w:t>
      </w:r>
    </w:p>
    <w:p w:rsidR="00000000" w:rsidRDefault="00FC5876">
      <w:pPr>
        <w:pStyle w:val="af0"/>
        <w:spacing w:line="320" w:lineRule="exact"/>
        <w:ind w:left="729" w:hanging="729"/>
        <w:jc w:val="both"/>
        <w:rPr>
          <w:rFonts w:hint="eastAsia"/>
          <w:w w:val="105"/>
          <w:sz w:val="18"/>
        </w:rPr>
      </w:pPr>
      <w:r>
        <w:rPr>
          <w:rFonts w:hint="eastAsia"/>
          <w:spacing w:val="45"/>
          <w:kern w:val="0"/>
          <w:sz w:val="18"/>
        </w:rPr>
        <w:t>第二</w:t>
      </w:r>
      <w:r>
        <w:rPr>
          <w:rFonts w:hint="eastAsia"/>
          <w:kern w:val="0"/>
          <w:sz w:val="18"/>
        </w:rPr>
        <w:t>條</w:t>
      </w:r>
      <w:r>
        <w:rPr>
          <w:w w:val="105"/>
          <w:sz w:val="18"/>
        </w:rPr>
        <w:t xml:space="preserve"> </w:t>
      </w:r>
      <w:r>
        <w:rPr>
          <w:rFonts w:hint="eastAsia"/>
          <w:w w:val="105"/>
          <w:sz w:val="18"/>
        </w:rPr>
        <w:t xml:space="preserve">  </w:t>
      </w:r>
      <w:r>
        <w:rPr>
          <w:w w:val="105"/>
          <w:sz w:val="18"/>
        </w:rPr>
        <w:t xml:space="preserve"> </w:t>
      </w:r>
      <w:r>
        <w:rPr>
          <w:rFonts w:hint="eastAsia"/>
          <w:w w:val="105"/>
          <w:sz w:val="18"/>
        </w:rPr>
        <w:t>公務人員之</w:t>
      </w:r>
      <w:r>
        <w:rPr>
          <w:rFonts w:hint="eastAsia"/>
          <w:w w:val="105"/>
          <w:sz w:val="18"/>
        </w:rPr>
        <w:t>陞遷，應本人與事適切配合之旨，考量機關特性與職務需要，依資績並重、內陞與外補兼顧原則，採公開、公平、公正方式，擇優陞任或遷調歷練，以拔擢及培育人才。</w:t>
      </w:r>
    </w:p>
    <w:p w:rsidR="00000000" w:rsidRDefault="00FC5876">
      <w:pPr>
        <w:pStyle w:val="af0"/>
        <w:spacing w:line="320" w:lineRule="exact"/>
        <w:ind w:left="729" w:hanging="729"/>
        <w:jc w:val="both"/>
        <w:rPr>
          <w:rFonts w:hint="eastAsia"/>
          <w:w w:val="105"/>
          <w:sz w:val="18"/>
        </w:rPr>
      </w:pPr>
      <w:r>
        <w:rPr>
          <w:rFonts w:hint="eastAsia"/>
          <w:spacing w:val="45"/>
          <w:kern w:val="0"/>
          <w:sz w:val="18"/>
        </w:rPr>
        <w:t>第三</w:t>
      </w:r>
      <w:r>
        <w:rPr>
          <w:rFonts w:hint="eastAsia"/>
          <w:kern w:val="0"/>
          <w:sz w:val="18"/>
        </w:rPr>
        <w:t>條</w:t>
      </w:r>
      <w:r>
        <w:rPr>
          <w:w w:val="105"/>
          <w:sz w:val="18"/>
        </w:rPr>
        <w:t xml:space="preserve"> </w:t>
      </w:r>
      <w:r>
        <w:rPr>
          <w:rFonts w:hint="eastAsia"/>
          <w:w w:val="105"/>
          <w:sz w:val="18"/>
        </w:rPr>
        <w:t xml:space="preserve">  </w:t>
      </w:r>
      <w:r>
        <w:rPr>
          <w:w w:val="105"/>
          <w:sz w:val="18"/>
        </w:rPr>
        <w:t xml:space="preserve"> </w:t>
      </w:r>
      <w:r>
        <w:rPr>
          <w:rFonts w:hint="eastAsia"/>
          <w:w w:val="105"/>
          <w:sz w:val="18"/>
        </w:rPr>
        <w:t>本法以各級政府機關及公立學校（以下簡稱各機關）組織法規中，除政務人員及機要人員外，定有職稱及依法律任用、派用之人員為適用對象。</w:t>
      </w:r>
    </w:p>
    <w:p w:rsidR="00000000" w:rsidRDefault="00FC5876">
      <w:pPr>
        <w:pStyle w:val="af0"/>
        <w:spacing w:line="320" w:lineRule="exact"/>
        <w:jc w:val="both"/>
        <w:rPr>
          <w:rFonts w:hint="eastAsia"/>
          <w:w w:val="105"/>
          <w:sz w:val="18"/>
        </w:rPr>
      </w:pPr>
      <w:r>
        <w:rPr>
          <w:rFonts w:hint="eastAsia"/>
          <w:spacing w:val="45"/>
          <w:kern w:val="0"/>
          <w:sz w:val="18"/>
        </w:rPr>
        <w:t>第四</w:t>
      </w:r>
      <w:r>
        <w:rPr>
          <w:rFonts w:hint="eastAsia"/>
          <w:kern w:val="0"/>
          <w:sz w:val="18"/>
        </w:rPr>
        <w:t>條</w:t>
      </w:r>
      <w:r>
        <w:rPr>
          <w:w w:val="105"/>
          <w:sz w:val="18"/>
        </w:rPr>
        <w:t xml:space="preserve"> </w:t>
      </w:r>
      <w:r>
        <w:rPr>
          <w:rFonts w:hint="eastAsia"/>
          <w:w w:val="105"/>
          <w:sz w:val="18"/>
        </w:rPr>
        <w:t xml:space="preserve">  </w:t>
      </w:r>
      <w:r>
        <w:rPr>
          <w:w w:val="105"/>
          <w:sz w:val="18"/>
        </w:rPr>
        <w:t xml:space="preserve"> </w:t>
      </w:r>
      <w:r>
        <w:rPr>
          <w:rFonts w:hint="eastAsia"/>
          <w:w w:val="105"/>
          <w:sz w:val="18"/>
        </w:rPr>
        <w:t>本法所稱公務人員之陞遷，係指下列情形之一者：</w:t>
      </w:r>
    </w:p>
    <w:p w:rsidR="00000000" w:rsidRDefault="00FC5876">
      <w:pPr>
        <w:pStyle w:val="af0"/>
        <w:spacing w:line="320" w:lineRule="exact"/>
        <w:ind w:left="1104"/>
        <w:jc w:val="both"/>
        <w:rPr>
          <w:rFonts w:hint="eastAsia"/>
          <w:w w:val="105"/>
          <w:sz w:val="18"/>
        </w:rPr>
      </w:pPr>
      <w:r>
        <w:rPr>
          <w:rFonts w:hint="eastAsia"/>
          <w:w w:val="105"/>
          <w:sz w:val="18"/>
        </w:rPr>
        <w:t>一</w:t>
      </w:r>
      <w:r>
        <w:rPr>
          <w:rFonts w:ascii="新細明體" w:eastAsia="新細明體" w:hint="eastAsia"/>
          <w:w w:val="105"/>
          <w:sz w:val="18"/>
        </w:rPr>
        <w:t>、</w:t>
      </w:r>
      <w:r>
        <w:rPr>
          <w:rFonts w:hint="eastAsia"/>
          <w:w w:val="105"/>
          <w:sz w:val="18"/>
        </w:rPr>
        <w:t>陞任較高之職務。</w:t>
      </w:r>
    </w:p>
    <w:p w:rsidR="00000000" w:rsidRDefault="00FC5876">
      <w:pPr>
        <w:pStyle w:val="af0"/>
        <w:spacing w:line="320" w:lineRule="exact"/>
        <w:ind w:left="1104"/>
        <w:jc w:val="both"/>
        <w:rPr>
          <w:rFonts w:hint="eastAsia"/>
          <w:w w:val="105"/>
          <w:sz w:val="18"/>
        </w:rPr>
      </w:pPr>
      <w:r>
        <w:rPr>
          <w:rFonts w:hint="eastAsia"/>
          <w:w w:val="105"/>
          <w:sz w:val="18"/>
        </w:rPr>
        <w:t>二</w:t>
      </w:r>
      <w:r>
        <w:rPr>
          <w:rFonts w:ascii="新細明體" w:eastAsia="新細明體" w:hint="eastAsia"/>
          <w:w w:val="105"/>
          <w:sz w:val="18"/>
        </w:rPr>
        <w:t>、</w:t>
      </w:r>
      <w:r>
        <w:rPr>
          <w:rFonts w:hint="eastAsia"/>
          <w:w w:val="105"/>
          <w:sz w:val="18"/>
        </w:rPr>
        <w:t>非主管職務陞任或遷調主管職務。</w:t>
      </w:r>
    </w:p>
    <w:p w:rsidR="00000000" w:rsidRDefault="00FC5876">
      <w:pPr>
        <w:pStyle w:val="af0"/>
        <w:spacing w:line="320" w:lineRule="exact"/>
        <w:ind w:left="1104"/>
        <w:jc w:val="both"/>
        <w:rPr>
          <w:rFonts w:hint="eastAsia"/>
          <w:w w:val="105"/>
          <w:sz w:val="18"/>
        </w:rPr>
      </w:pPr>
      <w:r>
        <w:rPr>
          <w:rFonts w:hint="eastAsia"/>
          <w:w w:val="105"/>
          <w:sz w:val="18"/>
        </w:rPr>
        <w:t>三</w:t>
      </w:r>
      <w:r>
        <w:rPr>
          <w:rFonts w:ascii="新細明體" w:eastAsia="新細明體" w:hint="eastAsia"/>
          <w:w w:val="105"/>
          <w:sz w:val="18"/>
        </w:rPr>
        <w:t>、</w:t>
      </w:r>
      <w:r>
        <w:rPr>
          <w:rFonts w:hint="eastAsia"/>
          <w:w w:val="105"/>
          <w:sz w:val="18"/>
        </w:rPr>
        <w:t>遷調相當之職務。</w:t>
      </w:r>
    </w:p>
    <w:p w:rsidR="00000000" w:rsidRDefault="00FC5876">
      <w:pPr>
        <w:pStyle w:val="af0"/>
        <w:spacing w:line="320" w:lineRule="exact"/>
        <w:ind w:left="729" w:hanging="729"/>
        <w:jc w:val="both"/>
        <w:rPr>
          <w:rFonts w:hint="eastAsia"/>
          <w:w w:val="105"/>
          <w:sz w:val="18"/>
        </w:rPr>
      </w:pPr>
      <w:r>
        <w:rPr>
          <w:rFonts w:hint="eastAsia"/>
          <w:spacing w:val="45"/>
          <w:kern w:val="0"/>
          <w:sz w:val="18"/>
        </w:rPr>
        <w:t>第五</w:t>
      </w:r>
      <w:r>
        <w:rPr>
          <w:rFonts w:hint="eastAsia"/>
          <w:kern w:val="0"/>
          <w:sz w:val="18"/>
        </w:rPr>
        <w:t>條</w:t>
      </w:r>
      <w:r>
        <w:rPr>
          <w:w w:val="105"/>
          <w:sz w:val="18"/>
        </w:rPr>
        <w:t xml:space="preserve"> </w:t>
      </w:r>
      <w:r>
        <w:rPr>
          <w:rFonts w:hint="eastAsia"/>
          <w:w w:val="105"/>
          <w:sz w:val="18"/>
        </w:rPr>
        <w:t xml:space="preserve">  </w:t>
      </w:r>
      <w:r>
        <w:rPr>
          <w:w w:val="105"/>
          <w:sz w:val="18"/>
        </w:rPr>
        <w:t xml:space="preserve"> </w:t>
      </w:r>
      <w:r>
        <w:rPr>
          <w:rFonts w:hint="eastAsia"/>
          <w:w w:val="105"/>
          <w:sz w:val="18"/>
        </w:rPr>
        <w:t>各機關職務出缺時，除依法申請分發考試及格或依本法得免經甄審之職缺外</w:t>
      </w:r>
      <w:r>
        <w:rPr>
          <w:rFonts w:hint="eastAsia"/>
          <w:w w:val="105"/>
          <w:sz w:val="18"/>
        </w:rPr>
        <w:t>，應就本機關或他機關具有該職務任用資格之人員，本功績原則評定陞遷。</w:t>
      </w:r>
    </w:p>
    <w:p w:rsidR="00000000" w:rsidRDefault="00FC5876">
      <w:pPr>
        <w:pStyle w:val="af0"/>
        <w:spacing w:line="320" w:lineRule="exact"/>
        <w:ind w:left="1104"/>
        <w:jc w:val="both"/>
        <w:rPr>
          <w:rFonts w:hint="eastAsia"/>
          <w:w w:val="105"/>
          <w:sz w:val="18"/>
        </w:rPr>
      </w:pPr>
      <w:r>
        <w:rPr>
          <w:rFonts w:hint="eastAsia"/>
          <w:w w:val="105"/>
          <w:sz w:val="18"/>
        </w:rPr>
        <w:t>各機關職缺如由本機關人員陞遷時，應辦理甄審。如由他機關人員陞遷時，應公開甄選。</w:t>
      </w:r>
    </w:p>
    <w:p w:rsidR="00000000" w:rsidRDefault="00FC5876">
      <w:pPr>
        <w:pStyle w:val="af0"/>
        <w:spacing w:line="320" w:lineRule="exact"/>
        <w:jc w:val="both"/>
        <w:rPr>
          <w:rFonts w:hint="eastAsia"/>
          <w:w w:val="105"/>
          <w:sz w:val="18"/>
        </w:rPr>
      </w:pPr>
      <w:r>
        <w:rPr>
          <w:rFonts w:hint="eastAsia"/>
          <w:spacing w:val="45"/>
          <w:kern w:val="0"/>
          <w:sz w:val="18"/>
        </w:rPr>
        <w:t>第六</w:t>
      </w:r>
      <w:r>
        <w:rPr>
          <w:rFonts w:hint="eastAsia"/>
          <w:kern w:val="0"/>
          <w:sz w:val="18"/>
        </w:rPr>
        <w:t>條</w:t>
      </w:r>
      <w:r>
        <w:rPr>
          <w:w w:val="105"/>
          <w:sz w:val="18"/>
        </w:rPr>
        <w:t xml:space="preserve"> </w:t>
      </w:r>
      <w:r>
        <w:rPr>
          <w:rFonts w:hint="eastAsia"/>
          <w:w w:val="105"/>
          <w:sz w:val="18"/>
        </w:rPr>
        <w:t xml:space="preserve">  </w:t>
      </w:r>
      <w:r>
        <w:rPr>
          <w:w w:val="105"/>
          <w:sz w:val="18"/>
        </w:rPr>
        <w:t xml:space="preserve"> </w:t>
      </w:r>
      <w:r>
        <w:rPr>
          <w:rFonts w:hint="eastAsia"/>
          <w:w w:val="105"/>
          <w:sz w:val="18"/>
        </w:rPr>
        <w:t>各機關應依職務高低及業務需要，訂定陞遷序列表。</w:t>
      </w:r>
    </w:p>
    <w:p w:rsidR="00000000" w:rsidRDefault="00FC5876">
      <w:pPr>
        <w:pStyle w:val="af0"/>
        <w:spacing w:line="320" w:lineRule="exact"/>
        <w:ind w:left="720" w:firstLine="378"/>
        <w:jc w:val="both"/>
        <w:rPr>
          <w:rFonts w:hint="eastAsia"/>
          <w:w w:val="105"/>
          <w:sz w:val="18"/>
        </w:rPr>
      </w:pPr>
      <w:r>
        <w:rPr>
          <w:rFonts w:hint="eastAsia"/>
          <w:w w:val="105"/>
          <w:sz w:val="18"/>
        </w:rPr>
        <w:t>各機關職缺由本機關人員陞遷時，應依陞遷序列逐級辦理陞遷。但次一序列中無適當人選時，得由再次一序列人選陞任。</w:t>
      </w:r>
    </w:p>
    <w:p w:rsidR="00000000" w:rsidRDefault="00FC5876">
      <w:pPr>
        <w:pStyle w:val="af0"/>
        <w:spacing w:line="320" w:lineRule="exact"/>
        <w:ind w:left="729" w:hanging="729"/>
        <w:jc w:val="both"/>
        <w:rPr>
          <w:rFonts w:hint="eastAsia"/>
          <w:w w:val="105"/>
          <w:sz w:val="18"/>
        </w:rPr>
      </w:pPr>
      <w:r>
        <w:rPr>
          <w:rFonts w:hint="eastAsia"/>
          <w:spacing w:val="45"/>
          <w:kern w:val="0"/>
          <w:sz w:val="18"/>
        </w:rPr>
        <w:t>第七</w:t>
      </w:r>
      <w:r>
        <w:rPr>
          <w:rFonts w:hint="eastAsia"/>
          <w:kern w:val="0"/>
          <w:sz w:val="18"/>
        </w:rPr>
        <w:t>條</w:t>
      </w:r>
      <w:r>
        <w:rPr>
          <w:w w:val="105"/>
          <w:sz w:val="18"/>
        </w:rPr>
        <w:t xml:space="preserve"> </w:t>
      </w:r>
      <w:r>
        <w:rPr>
          <w:rFonts w:hint="eastAsia"/>
          <w:w w:val="105"/>
          <w:sz w:val="18"/>
        </w:rPr>
        <w:t xml:space="preserve">  </w:t>
      </w:r>
      <w:r>
        <w:rPr>
          <w:w w:val="105"/>
          <w:sz w:val="18"/>
        </w:rPr>
        <w:t xml:space="preserve"> </w:t>
      </w:r>
      <w:r>
        <w:rPr>
          <w:rFonts w:hint="eastAsia"/>
          <w:w w:val="105"/>
          <w:sz w:val="18"/>
        </w:rPr>
        <w:t>各機關辦理本機關人員之陞任，應注意其品德及對國家之忠誠，並依擬陞任職務所需知能，就考試、學歷、職務歷練、訓練、進修、年資、考績（成）、獎懲及發展潛能等項目，訂定標準，評定分數，並得</w:t>
      </w:r>
      <w:r>
        <w:rPr>
          <w:rFonts w:hint="eastAsia"/>
          <w:w w:val="105"/>
          <w:sz w:val="18"/>
        </w:rPr>
        <w:t>視職缺之職責程度及業務性質，對具有基層服務年資或持有職業證照者酌予加分。必要時，得舉行面試或測驗。如係主管職務，並應評核其領導能力。擬由他機關人員陞任時，得參酌本項規定辦理之。</w:t>
      </w:r>
    </w:p>
    <w:p w:rsidR="00000000" w:rsidRDefault="00FC5876">
      <w:pPr>
        <w:pStyle w:val="af0"/>
        <w:spacing w:line="320" w:lineRule="exact"/>
        <w:ind w:left="720" w:firstLine="378"/>
        <w:jc w:val="both"/>
        <w:rPr>
          <w:rFonts w:hint="eastAsia"/>
          <w:w w:val="105"/>
          <w:sz w:val="18"/>
        </w:rPr>
      </w:pPr>
      <w:r>
        <w:rPr>
          <w:rFonts w:hint="eastAsia"/>
          <w:w w:val="105"/>
          <w:sz w:val="18"/>
        </w:rPr>
        <w:t>依前項所評定之積分有二人以上相同時，以較高職等（官稱官階、官等官階）或訓練進修及發展潛能積分較高者，優先陞任。</w:t>
      </w:r>
    </w:p>
    <w:p w:rsidR="00000000" w:rsidRDefault="00FC5876">
      <w:pPr>
        <w:pStyle w:val="af0"/>
        <w:spacing w:line="320" w:lineRule="exact"/>
        <w:ind w:left="720" w:firstLine="378"/>
        <w:jc w:val="both"/>
        <w:rPr>
          <w:rFonts w:hint="eastAsia"/>
          <w:w w:val="105"/>
          <w:sz w:val="18"/>
        </w:rPr>
      </w:pPr>
      <w:r>
        <w:rPr>
          <w:rFonts w:hint="eastAsia"/>
          <w:w w:val="105"/>
          <w:sz w:val="18"/>
        </w:rPr>
        <w:t>第一項標準，由各主管院訂定。但各主管院得視實際需要授權所屬機關依其業務特性定之。</w:t>
      </w:r>
    </w:p>
    <w:p w:rsidR="00000000" w:rsidRDefault="00FC5876">
      <w:pPr>
        <w:pStyle w:val="af0"/>
        <w:spacing w:line="320" w:lineRule="exact"/>
        <w:ind w:left="720" w:firstLine="378"/>
        <w:jc w:val="both"/>
        <w:rPr>
          <w:rFonts w:hint="eastAsia"/>
          <w:w w:val="105"/>
          <w:sz w:val="18"/>
        </w:rPr>
      </w:pPr>
      <w:r>
        <w:rPr>
          <w:rFonts w:hint="eastAsia"/>
          <w:w w:val="105"/>
          <w:sz w:val="18"/>
        </w:rPr>
        <w:t>各機關辦理公務人員之遷調，得參酌第一項規定，自行訂定資格條件之審查項目。</w:t>
      </w:r>
    </w:p>
    <w:p w:rsidR="00000000" w:rsidRDefault="00FC5876">
      <w:pPr>
        <w:pStyle w:val="af0"/>
        <w:spacing w:line="320" w:lineRule="exact"/>
        <w:ind w:left="729" w:hanging="729"/>
        <w:jc w:val="both"/>
        <w:rPr>
          <w:rFonts w:hint="eastAsia"/>
          <w:w w:val="105"/>
          <w:sz w:val="18"/>
        </w:rPr>
      </w:pPr>
      <w:r>
        <w:rPr>
          <w:rFonts w:hint="eastAsia"/>
          <w:spacing w:val="45"/>
          <w:kern w:val="0"/>
          <w:sz w:val="18"/>
        </w:rPr>
        <w:t>第八</w:t>
      </w:r>
      <w:r>
        <w:rPr>
          <w:rFonts w:hint="eastAsia"/>
          <w:kern w:val="0"/>
          <w:sz w:val="18"/>
        </w:rPr>
        <w:t>條</w:t>
      </w:r>
      <w:r>
        <w:rPr>
          <w:rFonts w:hint="eastAsia"/>
          <w:kern w:val="0"/>
          <w:sz w:val="18"/>
        </w:rPr>
        <w:t xml:space="preserve">  </w:t>
      </w:r>
      <w:r>
        <w:rPr>
          <w:w w:val="105"/>
          <w:sz w:val="18"/>
        </w:rPr>
        <w:t xml:space="preserve">  </w:t>
      </w:r>
      <w:r>
        <w:rPr>
          <w:rFonts w:hint="eastAsia"/>
          <w:w w:val="105"/>
          <w:sz w:val="18"/>
        </w:rPr>
        <w:t>各機關辦理公務人員之陞遷，應組織甄審委員會，辦理甄審</w:t>
      </w:r>
      <w:r>
        <w:rPr>
          <w:rFonts w:hint="eastAsia"/>
          <w:w w:val="105"/>
          <w:sz w:val="18"/>
        </w:rPr>
        <w:t>相關事宜。但本機關人員之遷調，得視業務實際需要．免經甄審程序。</w:t>
      </w:r>
    </w:p>
    <w:p w:rsidR="00000000" w:rsidRDefault="00FC5876">
      <w:pPr>
        <w:pStyle w:val="af0"/>
        <w:spacing w:line="320" w:lineRule="exact"/>
        <w:ind w:left="720" w:firstLine="378"/>
        <w:jc w:val="both"/>
        <w:rPr>
          <w:rFonts w:hint="eastAsia"/>
          <w:w w:val="105"/>
          <w:sz w:val="18"/>
        </w:rPr>
      </w:pPr>
      <w:r>
        <w:rPr>
          <w:rFonts w:hint="eastAsia"/>
          <w:w w:val="105"/>
          <w:sz w:val="18"/>
        </w:rPr>
        <w:t>編制員額較少或業務性質特殊之機關，經主管機關核准者，其人員之陞任甄審得由上級機關統籌辦理，不受前項之限制。</w:t>
      </w:r>
    </w:p>
    <w:p w:rsidR="00000000" w:rsidRDefault="00FC5876">
      <w:pPr>
        <w:pStyle w:val="af0"/>
        <w:spacing w:line="320" w:lineRule="exact"/>
        <w:ind w:left="729" w:hanging="729"/>
        <w:jc w:val="both"/>
        <w:rPr>
          <w:rFonts w:hint="eastAsia"/>
          <w:w w:val="105"/>
          <w:sz w:val="18"/>
        </w:rPr>
      </w:pPr>
      <w:r>
        <w:rPr>
          <w:rFonts w:hint="eastAsia"/>
          <w:spacing w:val="45"/>
          <w:kern w:val="0"/>
          <w:sz w:val="18"/>
        </w:rPr>
        <w:t>第九</w:t>
      </w:r>
      <w:r>
        <w:rPr>
          <w:rFonts w:hint="eastAsia"/>
          <w:kern w:val="0"/>
          <w:sz w:val="18"/>
        </w:rPr>
        <w:t>條</w:t>
      </w:r>
      <w:r>
        <w:rPr>
          <w:w w:val="105"/>
          <w:sz w:val="18"/>
        </w:rPr>
        <w:t xml:space="preserve"> </w:t>
      </w:r>
      <w:r>
        <w:rPr>
          <w:rFonts w:hint="eastAsia"/>
          <w:w w:val="105"/>
          <w:sz w:val="18"/>
        </w:rPr>
        <w:t xml:space="preserve">  </w:t>
      </w:r>
      <w:r>
        <w:rPr>
          <w:w w:val="105"/>
          <w:sz w:val="18"/>
        </w:rPr>
        <w:t xml:space="preserve"> </w:t>
      </w:r>
      <w:r>
        <w:rPr>
          <w:rFonts w:hint="eastAsia"/>
          <w:w w:val="105"/>
          <w:sz w:val="18"/>
        </w:rPr>
        <w:t>各機關辦理公務人員之陞遷，應由人事單位就具有擬陞遷職務任用資格人員，分別情形，依積分高低順序或資格條件造列名冊，並檢同有關資料，報請本機關首長交付甄審委員會評審後，依程序報請機關首長就前三名中圈定陞補之；如陞遷二人以上時，就陞遷人數之二倍中圈定陞補之。</w:t>
      </w:r>
    </w:p>
    <w:p w:rsidR="00000000" w:rsidRDefault="00FC5876">
      <w:pPr>
        <w:pStyle w:val="af0"/>
        <w:spacing w:line="320" w:lineRule="exact"/>
        <w:ind w:left="720" w:firstLine="378"/>
        <w:jc w:val="both"/>
        <w:rPr>
          <w:rFonts w:hint="eastAsia"/>
          <w:w w:val="105"/>
          <w:sz w:val="18"/>
        </w:rPr>
      </w:pPr>
      <w:r>
        <w:rPr>
          <w:rFonts w:hint="eastAsia"/>
          <w:w w:val="105"/>
          <w:sz w:val="18"/>
        </w:rPr>
        <w:t>機關首長對前項甄審委員會報請圈定陞遷之人選有不同意見時，得退回重行依本法</w:t>
      </w:r>
      <w:r>
        <w:rPr>
          <w:rFonts w:hint="eastAsia"/>
          <w:w w:val="105"/>
          <w:sz w:val="18"/>
        </w:rPr>
        <w:t>相關規定改依其他甄選方式辦理陞遷事宜。</w:t>
      </w:r>
    </w:p>
    <w:p w:rsidR="00000000" w:rsidRDefault="00FC5876">
      <w:pPr>
        <w:pStyle w:val="af0"/>
        <w:spacing w:line="320" w:lineRule="exact"/>
        <w:ind w:left="729" w:hanging="729"/>
        <w:jc w:val="both"/>
        <w:rPr>
          <w:rFonts w:hint="eastAsia"/>
          <w:w w:val="105"/>
          <w:sz w:val="18"/>
        </w:rPr>
      </w:pPr>
      <w:r>
        <w:rPr>
          <w:rFonts w:hint="eastAsia"/>
          <w:spacing w:val="45"/>
          <w:kern w:val="0"/>
          <w:sz w:val="18"/>
        </w:rPr>
        <w:t>第</w:t>
      </w:r>
      <w:r>
        <w:rPr>
          <w:rFonts w:hint="eastAsia"/>
          <w:spacing w:val="45"/>
          <w:sz w:val="18"/>
        </w:rPr>
        <w:t>十</w:t>
      </w:r>
      <w:r>
        <w:rPr>
          <w:rFonts w:hint="eastAsia"/>
          <w:sz w:val="18"/>
        </w:rPr>
        <w:t>條</w:t>
      </w:r>
      <w:r>
        <w:rPr>
          <w:w w:val="105"/>
          <w:sz w:val="18"/>
        </w:rPr>
        <w:t xml:space="preserve"> </w:t>
      </w:r>
      <w:r>
        <w:rPr>
          <w:rFonts w:hint="eastAsia"/>
          <w:w w:val="105"/>
          <w:sz w:val="18"/>
        </w:rPr>
        <w:t xml:space="preserve">  </w:t>
      </w:r>
      <w:r>
        <w:rPr>
          <w:w w:val="105"/>
          <w:sz w:val="18"/>
        </w:rPr>
        <w:t xml:space="preserve"> </w:t>
      </w:r>
      <w:r>
        <w:rPr>
          <w:rFonts w:hint="eastAsia"/>
          <w:w w:val="105"/>
          <w:sz w:val="18"/>
        </w:rPr>
        <w:t>各機關下列職務，得免經甄審，由本機關或其上級機關首長核定逕行陞遷，並不受第十二條第六款至第八款之限制：</w:t>
      </w:r>
    </w:p>
    <w:p w:rsidR="00000000" w:rsidRDefault="00FC5876">
      <w:pPr>
        <w:pStyle w:val="af0"/>
        <w:spacing w:line="320" w:lineRule="exact"/>
        <w:ind w:left="1104"/>
        <w:jc w:val="both"/>
        <w:rPr>
          <w:rFonts w:hint="eastAsia"/>
          <w:w w:val="105"/>
          <w:sz w:val="18"/>
        </w:rPr>
      </w:pPr>
      <w:r>
        <w:rPr>
          <w:rFonts w:hint="eastAsia"/>
          <w:w w:val="105"/>
          <w:sz w:val="18"/>
        </w:rPr>
        <w:lastRenderedPageBreak/>
        <w:t>一</w:t>
      </w:r>
      <w:r>
        <w:rPr>
          <w:rFonts w:ascii="新細明體" w:eastAsia="新細明體" w:hint="eastAsia"/>
          <w:w w:val="105"/>
          <w:sz w:val="18"/>
        </w:rPr>
        <w:t>、</w:t>
      </w:r>
      <w:r>
        <w:rPr>
          <w:rFonts w:hint="eastAsia"/>
          <w:w w:val="105"/>
          <w:sz w:val="18"/>
        </w:rPr>
        <w:t>機關首長、副首長。</w:t>
      </w:r>
    </w:p>
    <w:p w:rsidR="00000000" w:rsidRDefault="00FC5876">
      <w:pPr>
        <w:pStyle w:val="af0"/>
        <w:spacing w:line="320" w:lineRule="exact"/>
        <w:ind w:left="1104"/>
        <w:jc w:val="both"/>
        <w:rPr>
          <w:rFonts w:hint="eastAsia"/>
          <w:w w:val="105"/>
          <w:sz w:val="18"/>
        </w:rPr>
      </w:pPr>
      <w:r>
        <w:rPr>
          <w:rFonts w:hint="eastAsia"/>
          <w:w w:val="105"/>
          <w:sz w:val="18"/>
        </w:rPr>
        <w:t>二</w:t>
      </w:r>
      <w:r>
        <w:rPr>
          <w:rFonts w:ascii="新細明體" w:eastAsia="新細明體" w:hint="eastAsia"/>
          <w:w w:val="105"/>
          <w:sz w:val="18"/>
        </w:rPr>
        <w:t>、</w:t>
      </w:r>
      <w:r>
        <w:rPr>
          <w:rFonts w:hint="eastAsia"/>
          <w:w w:val="105"/>
          <w:sz w:val="18"/>
        </w:rPr>
        <w:t>幕僚長、副幕僚長。</w:t>
      </w:r>
    </w:p>
    <w:p w:rsidR="00000000" w:rsidRDefault="00FC5876">
      <w:pPr>
        <w:pStyle w:val="af0"/>
        <w:spacing w:line="320" w:lineRule="exact"/>
        <w:ind w:left="1104"/>
        <w:jc w:val="both"/>
        <w:rPr>
          <w:rFonts w:hint="eastAsia"/>
          <w:w w:val="105"/>
          <w:sz w:val="18"/>
        </w:rPr>
      </w:pPr>
      <w:r>
        <w:rPr>
          <w:rFonts w:hint="eastAsia"/>
          <w:w w:val="105"/>
          <w:sz w:val="18"/>
        </w:rPr>
        <w:t>三</w:t>
      </w:r>
      <w:r>
        <w:rPr>
          <w:rFonts w:ascii="新細明體" w:eastAsia="新細明體" w:hint="eastAsia"/>
          <w:w w:val="105"/>
          <w:sz w:val="18"/>
        </w:rPr>
        <w:t>、</w:t>
      </w:r>
      <w:r>
        <w:rPr>
          <w:rFonts w:hint="eastAsia"/>
          <w:w w:val="105"/>
          <w:sz w:val="18"/>
        </w:rPr>
        <w:t>機關內部一級單位主管以上之人員。</w:t>
      </w:r>
    </w:p>
    <w:p w:rsidR="00000000" w:rsidRDefault="00FC5876">
      <w:pPr>
        <w:pStyle w:val="af0"/>
        <w:spacing w:line="320" w:lineRule="exact"/>
        <w:ind w:left="556" w:hanging="556"/>
        <w:jc w:val="both"/>
        <w:rPr>
          <w:rFonts w:hint="eastAsia"/>
          <w:w w:val="105"/>
          <w:sz w:val="18"/>
        </w:rPr>
      </w:pPr>
      <w:r>
        <w:rPr>
          <w:rFonts w:hint="eastAsia"/>
          <w:kern w:val="0"/>
          <w:sz w:val="18"/>
        </w:rPr>
        <w:t>第十一條</w:t>
      </w:r>
      <w:r>
        <w:rPr>
          <w:w w:val="105"/>
          <w:sz w:val="18"/>
        </w:rPr>
        <w:t xml:space="preserve"> </w:t>
      </w:r>
      <w:r>
        <w:rPr>
          <w:rFonts w:hint="eastAsia"/>
          <w:w w:val="105"/>
          <w:sz w:val="18"/>
        </w:rPr>
        <w:t xml:space="preserve">  </w:t>
      </w:r>
      <w:r>
        <w:rPr>
          <w:w w:val="105"/>
          <w:sz w:val="18"/>
        </w:rPr>
        <w:t xml:space="preserve"> </w:t>
      </w:r>
      <w:r>
        <w:rPr>
          <w:rFonts w:hint="eastAsia"/>
          <w:w w:val="105"/>
          <w:sz w:val="18"/>
        </w:rPr>
        <w:t>各機關下列人員無第十二條各款情事之一，且具有陞任職務任用資格者，得免經甄審優</w:t>
      </w:r>
      <w:r>
        <w:rPr>
          <w:rFonts w:hint="eastAsia"/>
          <w:w w:val="105"/>
          <w:sz w:val="18"/>
        </w:rPr>
        <w:t xml:space="preserve">        </w:t>
      </w:r>
      <w:r>
        <w:rPr>
          <w:rFonts w:hint="eastAsia"/>
          <w:w w:val="105"/>
          <w:sz w:val="18"/>
        </w:rPr>
        <w:t>先陞任：</w:t>
      </w:r>
    </w:p>
    <w:p w:rsidR="00000000" w:rsidRDefault="00FC5876">
      <w:pPr>
        <w:pStyle w:val="af0"/>
        <w:spacing w:line="320" w:lineRule="exact"/>
        <w:ind w:left="1104"/>
        <w:jc w:val="both"/>
        <w:rPr>
          <w:rFonts w:hint="eastAsia"/>
          <w:w w:val="105"/>
          <w:sz w:val="18"/>
        </w:rPr>
      </w:pPr>
      <w:r>
        <w:rPr>
          <w:rFonts w:hint="eastAsia"/>
          <w:w w:val="105"/>
          <w:sz w:val="18"/>
        </w:rPr>
        <w:t>一</w:t>
      </w:r>
      <w:r>
        <w:rPr>
          <w:rFonts w:ascii="新細明體" w:eastAsia="新細明體" w:hint="eastAsia"/>
          <w:w w:val="105"/>
          <w:sz w:val="18"/>
        </w:rPr>
        <w:t>、</w:t>
      </w:r>
      <w:r>
        <w:rPr>
          <w:rFonts w:hint="eastAsia"/>
          <w:w w:val="105"/>
          <w:sz w:val="18"/>
        </w:rPr>
        <w:t>最近三年內曾獲頒勳章、功績獎章、楷模獎章或專業獎章者。</w:t>
      </w:r>
    </w:p>
    <w:p w:rsidR="00000000" w:rsidRDefault="00FC5876">
      <w:pPr>
        <w:pStyle w:val="af0"/>
        <w:spacing w:line="320" w:lineRule="exact"/>
        <w:ind w:left="1104"/>
        <w:jc w:val="both"/>
        <w:rPr>
          <w:rFonts w:hint="eastAsia"/>
          <w:w w:val="105"/>
          <w:sz w:val="18"/>
        </w:rPr>
      </w:pPr>
      <w:r>
        <w:rPr>
          <w:rFonts w:hint="eastAsia"/>
          <w:w w:val="105"/>
          <w:sz w:val="18"/>
        </w:rPr>
        <w:t>二</w:t>
      </w:r>
      <w:r>
        <w:rPr>
          <w:rFonts w:ascii="新細明體" w:eastAsia="新細明體" w:hint="eastAsia"/>
          <w:w w:val="105"/>
          <w:sz w:val="18"/>
        </w:rPr>
        <w:t>、</w:t>
      </w:r>
      <w:r>
        <w:rPr>
          <w:rFonts w:hint="eastAsia"/>
          <w:w w:val="105"/>
          <w:sz w:val="18"/>
        </w:rPr>
        <w:t>最近三年內經一次記二大功辦理專案考績（成）有案者。</w:t>
      </w:r>
    </w:p>
    <w:p w:rsidR="00000000" w:rsidRDefault="00FC5876">
      <w:pPr>
        <w:pStyle w:val="af0"/>
        <w:spacing w:line="320" w:lineRule="exact"/>
        <w:ind w:left="1104"/>
        <w:jc w:val="both"/>
        <w:rPr>
          <w:rFonts w:hint="eastAsia"/>
          <w:w w:val="105"/>
          <w:sz w:val="18"/>
        </w:rPr>
      </w:pPr>
      <w:r>
        <w:rPr>
          <w:rFonts w:hint="eastAsia"/>
          <w:w w:val="105"/>
          <w:sz w:val="18"/>
        </w:rPr>
        <w:t>三</w:t>
      </w:r>
      <w:r>
        <w:rPr>
          <w:rFonts w:ascii="新細明體" w:eastAsia="新細明體" w:hint="eastAsia"/>
          <w:w w:val="105"/>
          <w:sz w:val="18"/>
        </w:rPr>
        <w:t>、</w:t>
      </w:r>
      <w:r>
        <w:rPr>
          <w:rFonts w:hint="eastAsia"/>
          <w:w w:val="105"/>
          <w:sz w:val="18"/>
        </w:rPr>
        <w:t>最近三年內曾當選模範公務人員者</w:t>
      </w:r>
      <w:r>
        <w:rPr>
          <w:rFonts w:hint="eastAsia"/>
          <w:w w:val="105"/>
          <w:sz w:val="18"/>
        </w:rPr>
        <w:t>。</w:t>
      </w:r>
    </w:p>
    <w:p w:rsidR="00000000" w:rsidRDefault="00FC5876">
      <w:pPr>
        <w:pStyle w:val="af0"/>
        <w:spacing w:line="320" w:lineRule="exact"/>
        <w:ind w:left="1104"/>
        <w:jc w:val="both"/>
        <w:rPr>
          <w:rFonts w:hint="eastAsia"/>
          <w:w w:val="105"/>
          <w:sz w:val="18"/>
        </w:rPr>
      </w:pPr>
      <w:r>
        <w:rPr>
          <w:rFonts w:hint="eastAsia"/>
          <w:w w:val="105"/>
          <w:sz w:val="18"/>
        </w:rPr>
        <w:t>四</w:t>
      </w:r>
      <w:r>
        <w:rPr>
          <w:rFonts w:ascii="新細明體" w:eastAsia="新細明體" w:hint="eastAsia"/>
          <w:w w:val="105"/>
          <w:sz w:val="18"/>
        </w:rPr>
        <w:t>、</w:t>
      </w:r>
      <w:r>
        <w:rPr>
          <w:rFonts w:hint="eastAsia"/>
          <w:w w:val="105"/>
          <w:sz w:val="18"/>
        </w:rPr>
        <w:t>曾獲頒公務人員傑出貢獻獎者。</w:t>
      </w:r>
    </w:p>
    <w:p w:rsidR="00000000" w:rsidRDefault="00FC5876">
      <w:pPr>
        <w:pStyle w:val="af0"/>
        <w:spacing w:line="320" w:lineRule="exact"/>
        <w:ind w:left="1104"/>
        <w:jc w:val="both"/>
        <w:rPr>
          <w:rFonts w:hint="eastAsia"/>
          <w:w w:val="105"/>
          <w:sz w:val="18"/>
        </w:rPr>
      </w:pPr>
      <w:r>
        <w:rPr>
          <w:rFonts w:hint="eastAsia"/>
          <w:w w:val="105"/>
          <w:sz w:val="18"/>
        </w:rPr>
        <w:t>五</w:t>
      </w:r>
      <w:r>
        <w:rPr>
          <w:rFonts w:ascii="新細明體" w:eastAsia="新細明體" w:hint="eastAsia"/>
          <w:w w:val="105"/>
          <w:sz w:val="18"/>
        </w:rPr>
        <w:t>、</w:t>
      </w:r>
      <w:r>
        <w:rPr>
          <w:rFonts w:hint="eastAsia"/>
          <w:w w:val="105"/>
          <w:sz w:val="18"/>
        </w:rPr>
        <w:t>經考試及格分發，先以較所具資格為低之職務任用者。</w:t>
      </w:r>
    </w:p>
    <w:p w:rsidR="00000000" w:rsidRDefault="00FC5876">
      <w:pPr>
        <w:pStyle w:val="af0"/>
        <w:spacing w:line="320" w:lineRule="exact"/>
        <w:ind w:left="720" w:firstLine="378"/>
        <w:jc w:val="both"/>
        <w:rPr>
          <w:rFonts w:hint="eastAsia"/>
          <w:w w:val="105"/>
          <w:sz w:val="18"/>
        </w:rPr>
      </w:pPr>
      <w:r>
        <w:rPr>
          <w:rFonts w:hint="eastAsia"/>
          <w:w w:val="105"/>
          <w:sz w:val="18"/>
        </w:rPr>
        <w:t>合於前項得優先陞任條件有二人以上時，如有第五款情形應優先陞任，餘依陞任標準評定積分後，擇優陞任；其構成該條件之事實，以使用一次為限。同時兼具有兩款以上者亦同。</w:t>
      </w:r>
    </w:p>
    <w:p w:rsidR="00000000" w:rsidRDefault="00FC5876">
      <w:pPr>
        <w:pStyle w:val="af0"/>
        <w:spacing w:line="320" w:lineRule="exact"/>
        <w:ind w:left="720" w:firstLine="378"/>
        <w:jc w:val="both"/>
        <w:rPr>
          <w:rFonts w:hint="eastAsia"/>
          <w:w w:val="105"/>
          <w:sz w:val="18"/>
        </w:rPr>
      </w:pPr>
      <w:r>
        <w:rPr>
          <w:rFonts w:hint="eastAsia"/>
          <w:w w:val="105"/>
          <w:sz w:val="18"/>
        </w:rPr>
        <w:t>第一項第一款之專業獎章不含依服務年資頒給者。</w:t>
      </w:r>
    </w:p>
    <w:p w:rsidR="00000000" w:rsidRDefault="00FC5876">
      <w:pPr>
        <w:pStyle w:val="af0"/>
        <w:spacing w:line="320" w:lineRule="exact"/>
        <w:ind w:left="556" w:hanging="556"/>
        <w:jc w:val="both"/>
        <w:rPr>
          <w:rFonts w:hint="eastAsia"/>
          <w:w w:val="105"/>
          <w:sz w:val="18"/>
        </w:rPr>
      </w:pPr>
      <w:r>
        <w:rPr>
          <w:rFonts w:hint="eastAsia"/>
          <w:kern w:val="0"/>
          <w:sz w:val="18"/>
        </w:rPr>
        <w:t>第十二條</w:t>
      </w:r>
      <w:r>
        <w:rPr>
          <w:rFonts w:hint="eastAsia"/>
          <w:kern w:val="0"/>
          <w:sz w:val="18"/>
        </w:rPr>
        <w:t xml:space="preserve">  </w:t>
      </w:r>
      <w:r>
        <w:rPr>
          <w:w w:val="105"/>
          <w:sz w:val="18"/>
        </w:rPr>
        <w:t xml:space="preserve">  </w:t>
      </w:r>
      <w:r>
        <w:rPr>
          <w:rFonts w:hint="eastAsia"/>
          <w:w w:val="105"/>
          <w:sz w:val="18"/>
        </w:rPr>
        <w:t>各機關下列人員不得辦理陞任：</w:t>
      </w:r>
    </w:p>
    <w:p w:rsidR="00000000" w:rsidRDefault="00FC5876">
      <w:pPr>
        <w:pStyle w:val="af0"/>
        <w:spacing w:line="320" w:lineRule="exact"/>
        <w:ind w:left="1104"/>
        <w:jc w:val="both"/>
        <w:rPr>
          <w:rFonts w:hint="eastAsia"/>
          <w:w w:val="105"/>
          <w:sz w:val="18"/>
        </w:rPr>
      </w:pPr>
      <w:r>
        <w:rPr>
          <w:rFonts w:hint="eastAsia"/>
          <w:w w:val="105"/>
          <w:sz w:val="18"/>
        </w:rPr>
        <w:t>一</w:t>
      </w:r>
      <w:r>
        <w:rPr>
          <w:rFonts w:ascii="新細明體" w:eastAsia="新細明體" w:hint="eastAsia"/>
          <w:w w:val="105"/>
          <w:sz w:val="18"/>
        </w:rPr>
        <w:t>、</w:t>
      </w:r>
      <w:r>
        <w:rPr>
          <w:rFonts w:hint="eastAsia"/>
          <w:w w:val="105"/>
          <w:sz w:val="18"/>
        </w:rPr>
        <w:t>最近三年內曾受有期徒刑之判決確定者。</w:t>
      </w:r>
    </w:p>
    <w:p w:rsidR="00000000" w:rsidRDefault="00FC5876">
      <w:pPr>
        <w:pStyle w:val="af0"/>
        <w:spacing w:line="320" w:lineRule="exact"/>
        <w:ind w:left="1104"/>
        <w:jc w:val="both"/>
        <w:rPr>
          <w:rFonts w:hint="eastAsia"/>
          <w:w w:val="105"/>
          <w:sz w:val="18"/>
        </w:rPr>
      </w:pPr>
      <w:r>
        <w:rPr>
          <w:rFonts w:hint="eastAsia"/>
          <w:w w:val="105"/>
          <w:sz w:val="18"/>
        </w:rPr>
        <w:t>二</w:t>
      </w:r>
      <w:r>
        <w:rPr>
          <w:rFonts w:ascii="新細明體" w:eastAsia="新細明體" w:hint="eastAsia"/>
          <w:w w:val="105"/>
          <w:sz w:val="18"/>
        </w:rPr>
        <w:t>、</w:t>
      </w:r>
      <w:r>
        <w:rPr>
          <w:rFonts w:hint="eastAsia"/>
          <w:w w:val="105"/>
          <w:sz w:val="18"/>
        </w:rPr>
        <w:t>最近二年內曾依公務員懲戒法受撤職、休職或降級之處分者。</w:t>
      </w:r>
    </w:p>
    <w:p w:rsidR="00000000" w:rsidRDefault="00FC5876">
      <w:pPr>
        <w:pStyle w:val="af0"/>
        <w:spacing w:line="320" w:lineRule="exact"/>
        <w:ind w:left="1104"/>
        <w:jc w:val="both"/>
        <w:rPr>
          <w:rFonts w:hint="eastAsia"/>
          <w:w w:val="105"/>
          <w:sz w:val="18"/>
        </w:rPr>
      </w:pPr>
      <w:r>
        <w:rPr>
          <w:rFonts w:hint="eastAsia"/>
          <w:w w:val="105"/>
          <w:sz w:val="18"/>
        </w:rPr>
        <w:t>三</w:t>
      </w:r>
      <w:r>
        <w:rPr>
          <w:rFonts w:ascii="新細明體" w:eastAsia="新細明體" w:hint="eastAsia"/>
          <w:w w:val="105"/>
          <w:sz w:val="18"/>
        </w:rPr>
        <w:t>、</w:t>
      </w:r>
      <w:r>
        <w:rPr>
          <w:rFonts w:hint="eastAsia"/>
          <w:w w:val="105"/>
          <w:sz w:val="18"/>
        </w:rPr>
        <w:t>最近二年內曾依公務人員考績法受免職之處分者。</w:t>
      </w:r>
    </w:p>
    <w:p w:rsidR="00000000" w:rsidRDefault="00FC5876">
      <w:pPr>
        <w:pStyle w:val="af0"/>
        <w:spacing w:line="320" w:lineRule="exact"/>
        <w:ind w:left="1104"/>
        <w:jc w:val="both"/>
        <w:rPr>
          <w:rFonts w:hint="eastAsia"/>
          <w:w w:val="105"/>
          <w:sz w:val="18"/>
        </w:rPr>
      </w:pPr>
      <w:r>
        <w:rPr>
          <w:rFonts w:hint="eastAsia"/>
          <w:w w:val="105"/>
          <w:sz w:val="18"/>
        </w:rPr>
        <w:t>四</w:t>
      </w:r>
      <w:r>
        <w:rPr>
          <w:rFonts w:ascii="新細明體" w:eastAsia="新細明體" w:hint="eastAsia"/>
          <w:w w:val="105"/>
          <w:sz w:val="18"/>
        </w:rPr>
        <w:t>、</w:t>
      </w:r>
      <w:r>
        <w:rPr>
          <w:rFonts w:hint="eastAsia"/>
          <w:w w:val="105"/>
          <w:sz w:val="18"/>
        </w:rPr>
        <w:t>最近一年內曾</w:t>
      </w:r>
      <w:r>
        <w:rPr>
          <w:rFonts w:hint="eastAsia"/>
          <w:w w:val="105"/>
          <w:sz w:val="18"/>
        </w:rPr>
        <w:t>依公務員懲戒法受減俸或記過之處分者。</w:t>
      </w:r>
    </w:p>
    <w:p w:rsidR="00000000" w:rsidRDefault="00FC5876">
      <w:pPr>
        <w:pStyle w:val="af0"/>
        <w:spacing w:line="320" w:lineRule="exact"/>
        <w:ind w:left="1104"/>
        <w:jc w:val="both"/>
        <w:rPr>
          <w:rFonts w:hint="eastAsia"/>
          <w:w w:val="105"/>
          <w:sz w:val="18"/>
        </w:rPr>
      </w:pPr>
      <w:r>
        <w:rPr>
          <w:rFonts w:hint="eastAsia"/>
          <w:w w:val="105"/>
          <w:sz w:val="18"/>
        </w:rPr>
        <w:t>五</w:t>
      </w:r>
      <w:r>
        <w:rPr>
          <w:rFonts w:ascii="新細明體" w:eastAsia="新細明體" w:hint="eastAsia"/>
          <w:w w:val="105"/>
          <w:sz w:val="18"/>
        </w:rPr>
        <w:t>、</w:t>
      </w:r>
      <w:r>
        <w:rPr>
          <w:rFonts w:hint="eastAsia"/>
          <w:w w:val="105"/>
          <w:sz w:val="18"/>
        </w:rPr>
        <w:t>最近一年考績（成）列丙等者，或依公務人員考績法曾受累積達一大過以上之處分者。</w:t>
      </w:r>
    </w:p>
    <w:p w:rsidR="00000000" w:rsidRDefault="00FC5876">
      <w:pPr>
        <w:pStyle w:val="af0"/>
        <w:spacing w:line="320" w:lineRule="exact"/>
        <w:ind w:left="1104"/>
        <w:jc w:val="both"/>
        <w:rPr>
          <w:rFonts w:hint="eastAsia"/>
          <w:w w:val="105"/>
          <w:sz w:val="18"/>
        </w:rPr>
      </w:pPr>
      <w:r>
        <w:rPr>
          <w:rFonts w:hint="eastAsia"/>
          <w:w w:val="105"/>
          <w:sz w:val="18"/>
        </w:rPr>
        <w:t>六</w:t>
      </w:r>
      <w:r>
        <w:rPr>
          <w:rFonts w:ascii="新細明體" w:eastAsia="新細明體" w:hint="eastAsia"/>
          <w:w w:val="105"/>
          <w:sz w:val="18"/>
        </w:rPr>
        <w:t>、</w:t>
      </w:r>
      <w:r>
        <w:rPr>
          <w:rFonts w:hint="eastAsia"/>
          <w:w w:val="105"/>
          <w:sz w:val="18"/>
        </w:rPr>
        <w:t>陞任現職或任同序列職務合計不滿一年者。但本機關次一序列職務之人員均未滿一年者，不在此限。</w:t>
      </w:r>
    </w:p>
    <w:p w:rsidR="00000000" w:rsidRDefault="00FC5876">
      <w:pPr>
        <w:pStyle w:val="af0"/>
        <w:spacing w:line="320" w:lineRule="exact"/>
        <w:ind w:left="1104"/>
        <w:jc w:val="both"/>
        <w:rPr>
          <w:rFonts w:hint="eastAsia"/>
          <w:w w:val="105"/>
          <w:sz w:val="18"/>
        </w:rPr>
      </w:pPr>
      <w:r>
        <w:rPr>
          <w:rFonts w:hint="eastAsia"/>
          <w:w w:val="105"/>
          <w:sz w:val="18"/>
        </w:rPr>
        <w:t>七</w:t>
      </w:r>
      <w:r>
        <w:rPr>
          <w:rFonts w:ascii="新細明體" w:eastAsia="新細明體" w:hint="eastAsia"/>
          <w:w w:val="105"/>
          <w:sz w:val="18"/>
        </w:rPr>
        <w:t>、</w:t>
      </w:r>
      <w:r>
        <w:rPr>
          <w:rFonts w:hint="eastAsia"/>
          <w:w w:val="105"/>
          <w:sz w:val="18"/>
        </w:rPr>
        <w:t>經機關核准帶職帶薪進修或研究六個月以上，於進修或研究期間者。</w:t>
      </w:r>
    </w:p>
    <w:p w:rsidR="00000000" w:rsidRDefault="00FC5876">
      <w:pPr>
        <w:pStyle w:val="af0"/>
        <w:spacing w:line="320" w:lineRule="exact"/>
        <w:ind w:left="1104"/>
        <w:jc w:val="both"/>
        <w:rPr>
          <w:rFonts w:hint="eastAsia"/>
          <w:w w:val="105"/>
          <w:sz w:val="18"/>
        </w:rPr>
      </w:pPr>
      <w:r>
        <w:rPr>
          <w:rFonts w:hint="eastAsia"/>
          <w:w w:val="105"/>
          <w:sz w:val="18"/>
        </w:rPr>
        <w:t>八</w:t>
      </w:r>
      <w:r>
        <w:rPr>
          <w:rFonts w:ascii="新細明體" w:eastAsia="新細明體" w:hint="eastAsia"/>
          <w:w w:val="105"/>
          <w:sz w:val="18"/>
        </w:rPr>
        <w:t>、</w:t>
      </w:r>
      <w:r>
        <w:rPr>
          <w:rFonts w:hint="eastAsia"/>
          <w:w w:val="105"/>
          <w:sz w:val="18"/>
        </w:rPr>
        <w:t>經機關核准留職停薪，於留職停薪期間者。</w:t>
      </w:r>
    </w:p>
    <w:p w:rsidR="00000000" w:rsidRDefault="00FC5876">
      <w:pPr>
        <w:pStyle w:val="af0"/>
        <w:spacing w:line="320" w:lineRule="exact"/>
        <w:ind w:left="850" w:hanging="850"/>
        <w:jc w:val="both"/>
        <w:rPr>
          <w:rFonts w:hint="eastAsia"/>
          <w:w w:val="105"/>
          <w:sz w:val="18"/>
        </w:rPr>
      </w:pPr>
      <w:r>
        <w:rPr>
          <w:rFonts w:hint="eastAsia"/>
          <w:kern w:val="0"/>
          <w:sz w:val="18"/>
        </w:rPr>
        <w:t>第十三條</w:t>
      </w:r>
      <w:r>
        <w:rPr>
          <w:w w:val="105"/>
          <w:sz w:val="18"/>
        </w:rPr>
        <w:t xml:space="preserve"> </w:t>
      </w:r>
      <w:r>
        <w:rPr>
          <w:rFonts w:hint="eastAsia"/>
          <w:w w:val="105"/>
          <w:sz w:val="18"/>
        </w:rPr>
        <w:t xml:space="preserve">  </w:t>
      </w:r>
      <w:r>
        <w:rPr>
          <w:w w:val="105"/>
          <w:sz w:val="18"/>
        </w:rPr>
        <w:t xml:space="preserve"> </w:t>
      </w:r>
      <w:r>
        <w:rPr>
          <w:rFonts w:hint="eastAsia"/>
          <w:w w:val="105"/>
          <w:sz w:val="18"/>
        </w:rPr>
        <w:t>各機關對職務列等（稱階、等階）及職務相當之所屬人員，應配合職務性質及業務需要，實施下列各種遷調：</w:t>
      </w:r>
    </w:p>
    <w:p w:rsidR="00000000" w:rsidRDefault="00FC5876">
      <w:pPr>
        <w:pStyle w:val="af0"/>
        <w:spacing w:line="320" w:lineRule="exact"/>
        <w:ind w:left="1104"/>
        <w:jc w:val="both"/>
        <w:rPr>
          <w:rFonts w:hint="eastAsia"/>
          <w:w w:val="105"/>
          <w:sz w:val="18"/>
        </w:rPr>
      </w:pPr>
      <w:r>
        <w:rPr>
          <w:rFonts w:hint="eastAsia"/>
          <w:w w:val="105"/>
          <w:sz w:val="18"/>
        </w:rPr>
        <w:t>一</w:t>
      </w:r>
      <w:r>
        <w:rPr>
          <w:rFonts w:ascii="新細明體" w:eastAsia="新細明體" w:hint="eastAsia"/>
          <w:w w:val="105"/>
          <w:sz w:val="18"/>
        </w:rPr>
        <w:t>、</w:t>
      </w:r>
      <w:r>
        <w:rPr>
          <w:rFonts w:hint="eastAsia"/>
          <w:w w:val="105"/>
          <w:sz w:val="18"/>
        </w:rPr>
        <w:t>本機關內部單位主管之遷調。</w:t>
      </w:r>
    </w:p>
    <w:p w:rsidR="00000000" w:rsidRDefault="00FC5876">
      <w:pPr>
        <w:pStyle w:val="af0"/>
        <w:spacing w:line="320" w:lineRule="exact"/>
        <w:ind w:left="1104"/>
        <w:jc w:val="both"/>
        <w:rPr>
          <w:rFonts w:hint="eastAsia"/>
          <w:w w:val="105"/>
          <w:sz w:val="18"/>
        </w:rPr>
      </w:pPr>
      <w:r>
        <w:rPr>
          <w:rFonts w:hint="eastAsia"/>
          <w:w w:val="105"/>
          <w:sz w:val="18"/>
        </w:rPr>
        <w:t>二</w:t>
      </w:r>
      <w:r>
        <w:rPr>
          <w:rFonts w:ascii="新細明體" w:eastAsia="新細明體" w:hint="eastAsia"/>
          <w:w w:val="105"/>
          <w:sz w:val="18"/>
        </w:rPr>
        <w:t>、</w:t>
      </w:r>
      <w:r>
        <w:rPr>
          <w:rFonts w:hint="eastAsia"/>
          <w:w w:val="105"/>
          <w:sz w:val="18"/>
        </w:rPr>
        <w:t>本機關非主管人員間之遷調。</w:t>
      </w:r>
    </w:p>
    <w:p w:rsidR="00000000" w:rsidRDefault="00FC5876">
      <w:pPr>
        <w:pStyle w:val="af0"/>
        <w:spacing w:line="320" w:lineRule="exact"/>
        <w:ind w:left="1104"/>
        <w:jc w:val="both"/>
        <w:rPr>
          <w:rFonts w:hint="eastAsia"/>
          <w:w w:val="105"/>
          <w:sz w:val="18"/>
        </w:rPr>
      </w:pPr>
      <w:r>
        <w:rPr>
          <w:rFonts w:hint="eastAsia"/>
          <w:w w:val="105"/>
          <w:sz w:val="18"/>
        </w:rPr>
        <w:t>三</w:t>
      </w:r>
      <w:r>
        <w:rPr>
          <w:rFonts w:ascii="新細明體" w:eastAsia="新細明體" w:hint="eastAsia"/>
          <w:w w:val="105"/>
          <w:sz w:val="18"/>
        </w:rPr>
        <w:t>、</w:t>
      </w:r>
      <w:r>
        <w:rPr>
          <w:rFonts w:hint="eastAsia"/>
          <w:w w:val="105"/>
          <w:sz w:val="18"/>
        </w:rPr>
        <w:t>本機關</w:t>
      </w:r>
      <w:r>
        <w:rPr>
          <w:rFonts w:hint="eastAsia"/>
          <w:w w:val="105"/>
          <w:sz w:val="18"/>
        </w:rPr>
        <w:t>主管人員與所屬機關首長或主管人員間之遷調。</w:t>
      </w:r>
    </w:p>
    <w:p w:rsidR="00000000" w:rsidRDefault="00FC5876">
      <w:pPr>
        <w:pStyle w:val="af0"/>
        <w:spacing w:line="320" w:lineRule="exact"/>
        <w:ind w:left="1104"/>
        <w:jc w:val="both"/>
        <w:rPr>
          <w:rFonts w:hint="eastAsia"/>
          <w:w w:val="105"/>
          <w:sz w:val="18"/>
        </w:rPr>
      </w:pPr>
      <w:r>
        <w:rPr>
          <w:rFonts w:hint="eastAsia"/>
          <w:w w:val="105"/>
          <w:sz w:val="18"/>
        </w:rPr>
        <w:t>四</w:t>
      </w:r>
      <w:r>
        <w:rPr>
          <w:rFonts w:ascii="新細明體" w:eastAsia="新細明體" w:hint="eastAsia"/>
          <w:w w:val="105"/>
          <w:sz w:val="18"/>
        </w:rPr>
        <w:t>、</w:t>
      </w:r>
      <w:r>
        <w:rPr>
          <w:rFonts w:hint="eastAsia"/>
          <w:w w:val="105"/>
          <w:sz w:val="18"/>
        </w:rPr>
        <w:t>所屬機關首長或主管人員間之遷調。</w:t>
      </w:r>
    </w:p>
    <w:p w:rsidR="00000000" w:rsidRDefault="00FC5876">
      <w:pPr>
        <w:pStyle w:val="af0"/>
        <w:spacing w:line="320" w:lineRule="exact"/>
        <w:ind w:left="1104"/>
        <w:jc w:val="both"/>
        <w:rPr>
          <w:rFonts w:hint="eastAsia"/>
          <w:w w:val="105"/>
          <w:sz w:val="18"/>
        </w:rPr>
      </w:pPr>
      <w:r>
        <w:rPr>
          <w:rFonts w:hint="eastAsia"/>
          <w:w w:val="105"/>
          <w:sz w:val="18"/>
        </w:rPr>
        <w:t>前項各種遷調規定，由各主管機關定之。</w:t>
      </w:r>
    </w:p>
    <w:p w:rsidR="00000000" w:rsidRDefault="00FC5876">
      <w:pPr>
        <w:pStyle w:val="af0"/>
        <w:spacing w:line="320" w:lineRule="exact"/>
        <w:ind w:left="556" w:hanging="556"/>
        <w:jc w:val="both"/>
        <w:rPr>
          <w:rFonts w:hint="eastAsia"/>
          <w:w w:val="105"/>
          <w:sz w:val="18"/>
        </w:rPr>
      </w:pPr>
      <w:r>
        <w:rPr>
          <w:rFonts w:hint="eastAsia"/>
          <w:kern w:val="0"/>
          <w:sz w:val="18"/>
        </w:rPr>
        <w:t>第十四條</w:t>
      </w:r>
      <w:r>
        <w:rPr>
          <w:w w:val="105"/>
          <w:sz w:val="18"/>
        </w:rPr>
        <w:t xml:space="preserve"> </w:t>
      </w:r>
      <w:r>
        <w:rPr>
          <w:rFonts w:hint="eastAsia"/>
          <w:w w:val="105"/>
          <w:sz w:val="18"/>
        </w:rPr>
        <w:t xml:space="preserve">  </w:t>
      </w:r>
      <w:r>
        <w:rPr>
          <w:w w:val="105"/>
          <w:sz w:val="18"/>
        </w:rPr>
        <w:t xml:space="preserve"> </w:t>
      </w:r>
      <w:r>
        <w:rPr>
          <w:rFonts w:hint="eastAsia"/>
          <w:w w:val="105"/>
          <w:sz w:val="18"/>
        </w:rPr>
        <w:t>公務人員陞任高一官等之職務，應依法經陞官等訓練。</w:t>
      </w:r>
    </w:p>
    <w:p w:rsidR="00000000" w:rsidRDefault="00FC5876">
      <w:pPr>
        <w:pStyle w:val="af0"/>
        <w:spacing w:line="320" w:lineRule="exact"/>
        <w:ind w:left="720" w:firstLine="378"/>
        <w:jc w:val="both"/>
        <w:rPr>
          <w:rFonts w:hint="eastAsia"/>
          <w:w w:val="105"/>
          <w:sz w:val="18"/>
        </w:rPr>
      </w:pPr>
      <w:r>
        <w:rPr>
          <w:rFonts w:hint="eastAsia"/>
          <w:w w:val="105"/>
          <w:sz w:val="18"/>
        </w:rPr>
        <w:t>初任各官等之主管職務，應由各主管機關實施管理才能發展訓練。</w:t>
      </w:r>
    </w:p>
    <w:p w:rsidR="00000000" w:rsidRDefault="00FC5876">
      <w:pPr>
        <w:pStyle w:val="af0"/>
        <w:spacing w:line="320" w:lineRule="exact"/>
        <w:ind w:left="556" w:hanging="556"/>
        <w:jc w:val="both"/>
        <w:rPr>
          <w:rFonts w:hint="eastAsia"/>
          <w:w w:val="105"/>
          <w:sz w:val="18"/>
        </w:rPr>
      </w:pPr>
      <w:r>
        <w:rPr>
          <w:rFonts w:hint="eastAsia"/>
          <w:kern w:val="0"/>
          <w:sz w:val="18"/>
        </w:rPr>
        <w:t>第十五條</w:t>
      </w:r>
      <w:r>
        <w:rPr>
          <w:w w:val="105"/>
          <w:sz w:val="18"/>
        </w:rPr>
        <w:t xml:space="preserve"> </w:t>
      </w:r>
      <w:r>
        <w:rPr>
          <w:rFonts w:hint="eastAsia"/>
          <w:w w:val="105"/>
          <w:sz w:val="18"/>
        </w:rPr>
        <w:t xml:space="preserve">  </w:t>
      </w:r>
      <w:r>
        <w:rPr>
          <w:w w:val="105"/>
          <w:sz w:val="18"/>
        </w:rPr>
        <w:t xml:space="preserve"> </w:t>
      </w:r>
      <w:r>
        <w:rPr>
          <w:rFonts w:hint="eastAsia"/>
          <w:w w:val="105"/>
          <w:sz w:val="18"/>
        </w:rPr>
        <w:t>公務人員對本機關辦理之陞遷，如認有違法致損害其權益者，得依公務人員保障法提起</w:t>
      </w:r>
      <w:r>
        <w:rPr>
          <w:rFonts w:hint="eastAsia"/>
          <w:w w:val="105"/>
          <w:sz w:val="18"/>
        </w:rPr>
        <w:t xml:space="preserve">        </w:t>
      </w:r>
      <w:r>
        <w:rPr>
          <w:rFonts w:hint="eastAsia"/>
          <w:w w:val="105"/>
          <w:sz w:val="18"/>
        </w:rPr>
        <w:t>救濟。</w:t>
      </w:r>
    </w:p>
    <w:p w:rsidR="00000000" w:rsidRDefault="00FC5876">
      <w:pPr>
        <w:pStyle w:val="af0"/>
        <w:spacing w:line="320" w:lineRule="exact"/>
        <w:ind w:left="720" w:hanging="720"/>
        <w:jc w:val="both"/>
        <w:rPr>
          <w:rFonts w:hint="eastAsia"/>
          <w:w w:val="105"/>
          <w:sz w:val="18"/>
        </w:rPr>
      </w:pPr>
      <w:r>
        <w:rPr>
          <w:rFonts w:hint="eastAsia"/>
          <w:kern w:val="0"/>
          <w:sz w:val="18"/>
        </w:rPr>
        <w:t>第十六條</w:t>
      </w:r>
      <w:r>
        <w:rPr>
          <w:w w:val="105"/>
          <w:sz w:val="18"/>
        </w:rPr>
        <w:t xml:space="preserve"> </w:t>
      </w:r>
      <w:r>
        <w:rPr>
          <w:rFonts w:hint="eastAsia"/>
          <w:w w:val="105"/>
          <w:sz w:val="18"/>
        </w:rPr>
        <w:t xml:space="preserve">  </w:t>
      </w:r>
      <w:r>
        <w:rPr>
          <w:w w:val="105"/>
          <w:sz w:val="18"/>
        </w:rPr>
        <w:t xml:space="preserve"> </w:t>
      </w:r>
      <w:r>
        <w:rPr>
          <w:rFonts w:hint="eastAsia"/>
          <w:w w:val="105"/>
          <w:sz w:val="18"/>
        </w:rPr>
        <w:t>各機關辦理陞遷業務人員，不得徇私舞弊、遺漏舛誤或洩漏秘密；其涉及本身、配偶及三親等以內血親、姻親之甄審案，應行迴避。如有違反，視情節予</w:t>
      </w:r>
      <w:r>
        <w:rPr>
          <w:rFonts w:hint="eastAsia"/>
          <w:w w:val="105"/>
          <w:sz w:val="18"/>
        </w:rPr>
        <w:t>以懲處。</w:t>
      </w:r>
    </w:p>
    <w:p w:rsidR="00000000" w:rsidRDefault="00FC5876">
      <w:pPr>
        <w:pStyle w:val="af0"/>
        <w:spacing w:line="320" w:lineRule="exact"/>
        <w:ind w:left="556" w:hanging="556"/>
        <w:jc w:val="both"/>
        <w:rPr>
          <w:rFonts w:hint="eastAsia"/>
          <w:w w:val="105"/>
          <w:sz w:val="18"/>
        </w:rPr>
      </w:pPr>
      <w:r>
        <w:rPr>
          <w:rFonts w:hint="eastAsia"/>
          <w:kern w:val="0"/>
          <w:sz w:val="18"/>
        </w:rPr>
        <w:t>第十七條</w:t>
      </w:r>
      <w:r>
        <w:rPr>
          <w:w w:val="105"/>
          <w:sz w:val="18"/>
        </w:rPr>
        <w:t xml:space="preserve"> </w:t>
      </w:r>
      <w:r>
        <w:rPr>
          <w:rFonts w:hint="eastAsia"/>
          <w:w w:val="105"/>
          <w:sz w:val="18"/>
        </w:rPr>
        <w:t xml:space="preserve">  </w:t>
      </w:r>
      <w:r>
        <w:rPr>
          <w:w w:val="105"/>
          <w:sz w:val="18"/>
        </w:rPr>
        <w:t xml:space="preserve"> </w:t>
      </w:r>
      <w:r>
        <w:rPr>
          <w:rFonts w:hint="eastAsia"/>
          <w:w w:val="105"/>
          <w:sz w:val="18"/>
        </w:rPr>
        <w:t>教育人員、交通事業人員及公營事業人員之陞遷，得準用本法之規定。</w:t>
      </w:r>
    </w:p>
    <w:p w:rsidR="00000000" w:rsidRDefault="00FC5876">
      <w:pPr>
        <w:pStyle w:val="af0"/>
        <w:spacing w:line="320" w:lineRule="exact"/>
        <w:ind w:left="556" w:hanging="556"/>
        <w:jc w:val="both"/>
        <w:rPr>
          <w:rFonts w:hint="eastAsia"/>
          <w:w w:val="105"/>
          <w:sz w:val="18"/>
        </w:rPr>
      </w:pPr>
      <w:r>
        <w:rPr>
          <w:rFonts w:hint="eastAsia"/>
          <w:kern w:val="0"/>
          <w:sz w:val="18"/>
        </w:rPr>
        <w:t>第十八條</w:t>
      </w:r>
      <w:r>
        <w:rPr>
          <w:w w:val="105"/>
          <w:sz w:val="18"/>
        </w:rPr>
        <w:t xml:space="preserve"> </w:t>
      </w:r>
      <w:r>
        <w:rPr>
          <w:rFonts w:hint="eastAsia"/>
          <w:w w:val="105"/>
          <w:sz w:val="18"/>
        </w:rPr>
        <w:t xml:space="preserve">  </w:t>
      </w:r>
      <w:r>
        <w:rPr>
          <w:w w:val="105"/>
          <w:sz w:val="18"/>
        </w:rPr>
        <w:t xml:space="preserve"> </w:t>
      </w:r>
      <w:r>
        <w:rPr>
          <w:rFonts w:hint="eastAsia"/>
          <w:w w:val="105"/>
          <w:sz w:val="18"/>
        </w:rPr>
        <w:t>本法施行細則，由考試院定之。</w:t>
      </w:r>
    </w:p>
    <w:p w:rsidR="00000000" w:rsidRDefault="00FC5876">
      <w:pPr>
        <w:pStyle w:val="af0"/>
        <w:spacing w:line="320" w:lineRule="exact"/>
        <w:ind w:left="556" w:hanging="556"/>
        <w:jc w:val="both"/>
        <w:rPr>
          <w:w w:val="105"/>
          <w:sz w:val="18"/>
        </w:rPr>
      </w:pPr>
      <w:r>
        <w:rPr>
          <w:rFonts w:hint="eastAsia"/>
          <w:kern w:val="0"/>
          <w:sz w:val="18"/>
        </w:rPr>
        <w:t>第十九條</w:t>
      </w:r>
      <w:r>
        <w:rPr>
          <w:w w:val="105"/>
          <w:sz w:val="18"/>
        </w:rPr>
        <w:t xml:space="preserve"> </w:t>
      </w:r>
      <w:r>
        <w:rPr>
          <w:rFonts w:hint="eastAsia"/>
          <w:w w:val="105"/>
          <w:sz w:val="18"/>
        </w:rPr>
        <w:t xml:space="preserve">  </w:t>
      </w:r>
      <w:r>
        <w:rPr>
          <w:w w:val="105"/>
          <w:sz w:val="18"/>
        </w:rPr>
        <w:t xml:space="preserve"> </w:t>
      </w:r>
      <w:r>
        <w:rPr>
          <w:rFonts w:hint="eastAsia"/>
          <w:w w:val="105"/>
          <w:sz w:val="18"/>
        </w:rPr>
        <w:t>本法施行日期，由考試院以命令定之。</w:t>
      </w:r>
    </w:p>
    <w:p w:rsidR="00000000" w:rsidRDefault="00FC5876">
      <w:pPr>
        <w:rPr>
          <w:rFonts w:ascii="標楷體" w:eastAsia="標楷體" w:hAnsi="標楷體"/>
          <w:w w:val="105"/>
          <w:sz w:val="32"/>
        </w:rPr>
      </w:pPr>
      <w:r>
        <w:rPr>
          <w:w w:val="105"/>
          <w:sz w:val="18"/>
        </w:rPr>
        <w:br w:type="page"/>
      </w:r>
      <w:bookmarkStart w:id="2" w:name="_Toc121199250"/>
      <w:r>
        <w:rPr>
          <w:rFonts w:ascii="標楷體" w:eastAsia="標楷體" w:hAnsi="標楷體" w:hint="eastAsia"/>
          <w:sz w:val="32"/>
          <w:lang w:val="de-DE"/>
        </w:rPr>
        <w:lastRenderedPageBreak/>
        <w:t>附件</w:t>
      </w:r>
      <w:r>
        <w:rPr>
          <w:rFonts w:ascii="標楷體" w:eastAsia="標楷體" w:hAnsi="標楷體" w:hint="eastAsia"/>
          <w:sz w:val="32"/>
          <w:lang w:val="de-DE"/>
        </w:rPr>
        <w:t>(</w:t>
      </w:r>
      <w:r>
        <w:rPr>
          <w:rFonts w:ascii="標楷體" w:eastAsia="標楷體" w:hAnsi="標楷體" w:hint="eastAsia"/>
          <w:sz w:val="32"/>
          <w:lang w:val="de-DE"/>
        </w:rPr>
        <w:t>二</w:t>
      </w:r>
      <w:r>
        <w:rPr>
          <w:rFonts w:ascii="標楷體" w:eastAsia="標楷體" w:hAnsi="標楷體" w:hint="eastAsia"/>
          <w:sz w:val="32"/>
          <w:lang w:val="de-DE"/>
        </w:rPr>
        <w:t>)</w:t>
      </w:r>
      <w:bookmarkEnd w:id="2"/>
    </w:p>
    <w:tbl>
      <w:tblPr>
        <w:tblW w:w="5000" w:type="pct"/>
        <w:jc w:val="center"/>
        <w:tblCellSpacing w:w="0" w:type="dxa"/>
        <w:tblCellMar>
          <w:top w:w="30" w:type="dxa"/>
          <w:left w:w="30" w:type="dxa"/>
          <w:bottom w:w="30" w:type="dxa"/>
          <w:right w:w="30" w:type="dxa"/>
        </w:tblCellMar>
        <w:tblLook w:val="0000" w:firstRow="0" w:lastRow="0" w:firstColumn="0" w:lastColumn="0" w:noHBand="0" w:noVBand="0"/>
      </w:tblPr>
      <w:tblGrid>
        <w:gridCol w:w="1110"/>
        <w:gridCol w:w="7340"/>
      </w:tblGrid>
      <w:tr w:rsidR="00000000">
        <w:trPr>
          <w:trHeight w:val="600"/>
          <w:tblCellSpacing w:w="0" w:type="dxa"/>
          <w:jc w:val="center"/>
        </w:trPr>
        <w:tc>
          <w:tcPr>
            <w:tcW w:w="657" w:type="pct"/>
          </w:tcPr>
          <w:p w:rsidR="00000000" w:rsidRDefault="00FC5876">
            <w:pPr>
              <w:widowControl/>
              <w:rPr>
                <w:kern w:val="0"/>
                <w:sz w:val="18"/>
                <w:szCs w:val="18"/>
              </w:rPr>
            </w:pPr>
          </w:p>
        </w:tc>
        <w:tc>
          <w:tcPr>
            <w:tcW w:w="4343" w:type="pct"/>
          </w:tcPr>
          <w:p w:rsidR="00000000" w:rsidRDefault="00FC5876">
            <w:pPr>
              <w:widowControl/>
              <w:rPr>
                <w:kern w:val="0"/>
                <w:sz w:val="18"/>
                <w:szCs w:val="18"/>
              </w:rPr>
            </w:pPr>
            <w:hyperlink r:id="rId25" w:history="1">
              <w:r>
                <w:rPr>
                  <w:kern w:val="0"/>
                  <w:sz w:val="18"/>
                  <w:szCs w:val="18"/>
                </w:rPr>
                <w:t>公務人員陞遷法施行細則</w:t>
              </w:r>
            </w:hyperlink>
            <w:r>
              <w:rPr>
                <w:kern w:val="0"/>
                <w:sz w:val="18"/>
                <w:szCs w:val="18"/>
              </w:rPr>
              <w:t xml:space="preserve"> (</w:t>
            </w:r>
            <w:r>
              <w:rPr>
                <w:kern w:val="0"/>
                <w:sz w:val="18"/>
                <w:szCs w:val="18"/>
              </w:rPr>
              <w:t>民國</w:t>
            </w:r>
            <w:r>
              <w:rPr>
                <w:kern w:val="0"/>
                <w:sz w:val="18"/>
                <w:szCs w:val="18"/>
              </w:rPr>
              <w:t xml:space="preserve"> 91 </w:t>
            </w:r>
            <w:r>
              <w:rPr>
                <w:kern w:val="0"/>
                <w:sz w:val="18"/>
                <w:szCs w:val="18"/>
              </w:rPr>
              <w:t>年</w:t>
            </w:r>
            <w:r>
              <w:rPr>
                <w:kern w:val="0"/>
                <w:sz w:val="18"/>
                <w:szCs w:val="18"/>
              </w:rPr>
              <w:t xml:space="preserve"> 05 </w:t>
            </w:r>
            <w:r>
              <w:rPr>
                <w:kern w:val="0"/>
                <w:sz w:val="18"/>
                <w:szCs w:val="18"/>
              </w:rPr>
              <w:t>月</w:t>
            </w:r>
            <w:r>
              <w:rPr>
                <w:kern w:val="0"/>
                <w:sz w:val="18"/>
                <w:szCs w:val="18"/>
              </w:rPr>
              <w:t xml:space="preserve"> 28 </w:t>
            </w:r>
            <w:r>
              <w:rPr>
                <w:kern w:val="0"/>
                <w:sz w:val="18"/>
                <w:szCs w:val="18"/>
              </w:rPr>
              <w:t>日</w:t>
            </w:r>
            <w:r>
              <w:rPr>
                <w:kern w:val="0"/>
                <w:sz w:val="18"/>
                <w:szCs w:val="18"/>
              </w:rPr>
              <w:t xml:space="preserve"> </w:t>
            </w:r>
            <w:r>
              <w:rPr>
                <w:kern w:val="0"/>
                <w:sz w:val="18"/>
                <w:szCs w:val="18"/>
              </w:rPr>
              <w:t>修正</w:t>
            </w:r>
            <w:r>
              <w:rPr>
                <w:kern w:val="0"/>
                <w:sz w:val="18"/>
                <w:szCs w:val="18"/>
              </w:rPr>
              <w:t xml:space="preserve">) </w:t>
            </w:r>
          </w:p>
        </w:tc>
      </w:tr>
      <w:tr w:rsidR="00000000">
        <w:trPr>
          <w:tblCellSpacing w:w="0" w:type="dxa"/>
          <w:jc w:val="center"/>
        </w:trPr>
        <w:tc>
          <w:tcPr>
            <w:tcW w:w="657" w:type="pct"/>
          </w:tcPr>
          <w:p w:rsidR="00000000" w:rsidRDefault="00FC5876">
            <w:pPr>
              <w:widowControl/>
              <w:rPr>
                <w:kern w:val="0"/>
                <w:sz w:val="18"/>
                <w:szCs w:val="18"/>
              </w:rPr>
            </w:pPr>
            <w:hyperlink r:id="rId26" w:history="1">
              <w:r>
                <w:rPr>
                  <w:kern w:val="0"/>
                  <w:sz w:val="18"/>
                  <w:szCs w:val="18"/>
                </w:rPr>
                <w:t>第</w:t>
              </w:r>
              <w:r>
                <w:rPr>
                  <w:kern w:val="0"/>
                  <w:sz w:val="18"/>
                  <w:szCs w:val="18"/>
                </w:rPr>
                <w:t xml:space="preserve">    1 </w:t>
              </w:r>
              <w:r>
                <w:rPr>
                  <w:kern w:val="0"/>
                  <w:sz w:val="18"/>
                  <w:szCs w:val="18"/>
                </w:rPr>
                <w:t>條</w:t>
              </w:r>
            </w:hyperlink>
            <w:r>
              <w:rPr>
                <w:kern w:val="0"/>
                <w:sz w:val="18"/>
                <w:szCs w:val="18"/>
              </w:rPr>
              <w:t xml:space="preserve"> </w:t>
            </w:r>
          </w:p>
        </w:tc>
        <w:tc>
          <w:tcPr>
            <w:tcW w:w="4343" w:type="pct"/>
            <w:vAlign w:val="center"/>
          </w:tcPr>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本細則依公務人員陞遷法</w:t>
            </w:r>
            <w:r>
              <w:rPr>
                <w:rFonts w:eastAsia="細明體"/>
                <w:kern w:val="0"/>
                <w:sz w:val="18"/>
                <w:szCs w:val="18"/>
              </w:rPr>
              <w:t xml:space="preserve"> (</w:t>
            </w:r>
            <w:r>
              <w:rPr>
                <w:rFonts w:eastAsia="細明體"/>
                <w:kern w:val="0"/>
                <w:sz w:val="18"/>
                <w:szCs w:val="18"/>
              </w:rPr>
              <w:t>以下簡稱本法</w:t>
            </w:r>
            <w:r>
              <w:rPr>
                <w:rFonts w:eastAsia="細明體"/>
                <w:kern w:val="0"/>
                <w:sz w:val="18"/>
                <w:szCs w:val="18"/>
              </w:rPr>
              <w:t xml:space="preserve">) </w:t>
            </w:r>
            <w:r>
              <w:rPr>
                <w:rFonts w:eastAsia="細明體"/>
                <w:kern w:val="0"/>
                <w:sz w:val="18"/>
                <w:szCs w:val="18"/>
              </w:rPr>
              <w:t>第十八條規定訂定之。</w:t>
            </w:r>
          </w:p>
        </w:tc>
      </w:tr>
      <w:tr w:rsidR="00000000">
        <w:trPr>
          <w:tblCellSpacing w:w="0" w:type="dxa"/>
          <w:jc w:val="center"/>
        </w:trPr>
        <w:tc>
          <w:tcPr>
            <w:tcW w:w="657" w:type="pct"/>
          </w:tcPr>
          <w:p w:rsidR="00000000" w:rsidRDefault="00FC5876">
            <w:pPr>
              <w:widowControl/>
              <w:rPr>
                <w:kern w:val="0"/>
                <w:sz w:val="18"/>
                <w:szCs w:val="18"/>
              </w:rPr>
            </w:pPr>
            <w:hyperlink r:id="rId27" w:history="1">
              <w:r>
                <w:rPr>
                  <w:kern w:val="0"/>
                  <w:sz w:val="18"/>
                  <w:szCs w:val="18"/>
                </w:rPr>
                <w:t>第</w:t>
              </w:r>
              <w:r>
                <w:rPr>
                  <w:kern w:val="0"/>
                  <w:sz w:val="18"/>
                  <w:szCs w:val="18"/>
                </w:rPr>
                <w:t xml:space="preserve">    2 </w:t>
              </w:r>
              <w:r>
                <w:rPr>
                  <w:kern w:val="0"/>
                  <w:sz w:val="18"/>
                  <w:szCs w:val="18"/>
                </w:rPr>
                <w:t>條</w:t>
              </w:r>
            </w:hyperlink>
            <w:r>
              <w:rPr>
                <w:kern w:val="0"/>
                <w:sz w:val="18"/>
                <w:szCs w:val="18"/>
              </w:rPr>
              <w:t xml:space="preserve"> </w:t>
            </w:r>
          </w:p>
        </w:tc>
        <w:tc>
          <w:tcPr>
            <w:tcW w:w="4343" w:type="pct"/>
            <w:vAlign w:val="center"/>
          </w:tcPr>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本法第四條第一款所稱陞任較高之職務，指依法陞任高一職等、官稱官階、官等官階</w:t>
            </w:r>
            <w:r>
              <w:rPr>
                <w:rFonts w:eastAsia="細明體"/>
                <w:kern w:val="0"/>
                <w:sz w:val="18"/>
                <w:szCs w:val="18"/>
              </w:rPr>
              <w:t xml:space="preserve"> (</w:t>
            </w:r>
            <w:r>
              <w:rPr>
                <w:rFonts w:eastAsia="細明體"/>
                <w:kern w:val="0"/>
                <w:sz w:val="18"/>
                <w:szCs w:val="18"/>
              </w:rPr>
              <w:t>以下簡稱職等</w:t>
            </w:r>
            <w:r>
              <w:rPr>
                <w:rFonts w:eastAsia="細明體"/>
                <w:kern w:val="0"/>
                <w:sz w:val="18"/>
                <w:szCs w:val="18"/>
              </w:rPr>
              <w:t xml:space="preserve">) </w:t>
            </w:r>
            <w:r>
              <w:rPr>
                <w:rFonts w:eastAsia="細明體"/>
                <w:kern w:val="0"/>
                <w:sz w:val="18"/>
                <w:szCs w:val="18"/>
              </w:rPr>
              <w:t>以上之職務。其職務如跨列二個以上職等時，以所列最高職等高者，為較高之職務；所列最高職等相同時，以所列最低職等高</w:t>
            </w:r>
            <w:r>
              <w:rPr>
                <w:rFonts w:eastAsia="細明體"/>
                <w:kern w:val="0"/>
                <w:sz w:val="18"/>
                <w:szCs w:val="18"/>
              </w:rPr>
              <w:t>者，為較高之職務。</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本法第四條第二款所稱非主管職務陞任或遷調主管職務，指非主管依法陞任高一職等以上之主管職務或調任同一陞遷序列之主管職務。</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本法第四條第三款所稱遷調相當之職務，指依公務人員任用法律調任相當</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列等之職務。</w:t>
            </w:r>
          </w:p>
        </w:tc>
      </w:tr>
      <w:tr w:rsidR="00000000">
        <w:trPr>
          <w:tblCellSpacing w:w="0" w:type="dxa"/>
          <w:jc w:val="center"/>
        </w:trPr>
        <w:tc>
          <w:tcPr>
            <w:tcW w:w="657" w:type="pct"/>
          </w:tcPr>
          <w:p w:rsidR="00000000" w:rsidRDefault="00FC5876">
            <w:pPr>
              <w:widowControl/>
              <w:rPr>
                <w:kern w:val="0"/>
                <w:sz w:val="18"/>
                <w:szCs w:val="18"/>
              </w:rPr>
            </w:pPr>
            <w:hyperlink r:id="rId28" w:history="1">
              <w:r>
                <w:rPr>
                  <w:kern w:val="0"/>
                  <w:sz w:val="18"/>
                  <w:szCs w:val="18"/>
                </w:rPr>
                <w:t>第</w:t>
              </w:r>
              <w:r>
                <w:rPr>
                  <w:kern w:val="0"/>
                  <w:sz w:val="18"/>
                  <w:szCs w:val="18"/>
                </w:rPr>
                <w:t xml:space="preserve">    3 </w:t>
              </w:r>
              <w:r>
                <w:rPr>
                  <w:kern w:val="0"/>
                  <w:sz w:val="18"/>
                  <w:szCs w:val="18"/>
                </w:rPr>
                <w:t>條</w:t>
              </w:r>
            </w:hyperlink>
            <w:r>
              <w:rPr>
                <w:kern w:val="0"/>
                <w:sz w:val="18"/>
                <w:szCs w:val="18"/>
              </w:rPr>
              <w:t xml:space="preserve"> </w:t>
            </w:r>
          </w:p>
        </w:tc>
        <w:tc>
          <w:tcPr>
            <w:tcW w:w="4343" w:type="pct"/>
            <w:vAlign w:val="center"/>
          </w:tcPr>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本法第五條第二項所稱各機關職缺如由本機關人員陞遷時，應辦理甄審。</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如由他機關人員陞遷時，應公開甄選，指各機關人事單位於辦理陞遷</w:t>
            </w:r>
            <w:r>
              <w:rPr>
                <w:rFonts w:eastAsia="細明體"/>
                <w:kern w:val="0"/>
                <w:sz w:val="18"/>
                <w:szCs w:val="18"/>
              </w:rPr>
              <w:t>前，應依本法第二條之原則，簽報機關首長決定職缺擬辦內陞或外補後再行辦理。如擬外補應將職缺之機關名稱、職稱、職系、職等、辦公地點及報名規定等資料於報刊或網路公告。</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各機關辦理公開甄選，除正取名額外，得增列候補名額，其名額不得逾職缺數，並以依序遞補原公開甄選職缺或職務列等相同、性質相近之職缺為限，候補期間為三個月，自甄選結果確定之翌日起算。</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前項候補之名額及期間，應同時於第一項公告內載明。</w:t>
            </w:r>
          </w:p>
        </w:tc>
      </w:tr>
      <w:tr w:rsidR="00000000">
        <w:trPr>
          <w:tblCellSpacing w:w="0" w:type="dxa"/>
          <w:jc w:val="center"/>
        </w:trPr>
        <w:tc>
          <w:tcPr>
            <w:tcW w:w="657" w:type="pct"/>
          </w:tcPr>
          <w:p w:rsidR="00000000" w:rsidRDefault="00FC5876">
            <w:pPr>
              <w:widowControl/>
              <w:rPr>
                <w:kern w:val="0"/>
                <w:sz w:val="18"/>
                <w:szCs w:val="18"/>
              </w:rPr>
            </w:pPr>
            <w:hyperlink r:id="rId29" w:history="1">
              <w:r>
                <w:rPr>
                  <w:kern w:val="0"/>
                  <w:sz w:val="18"/>
                  <w:szCs w:val="18"/>
                </w:rPr>
                <w:t>第</w:t>
              </w:r>
              <w:r>
                <w:rPr>
                  <w:kern w:val="0"/>
                  <w:sz w:val="18"/>
                  <w:szCs w:val="18"/>
                </w:rPr>
                <w:t xml:space="preserve">    4 </w:t>
              </w:r>
              <w:r>
                <w:rPr>
                  <w:kern w:val="0"/>
                  <w:sz w:val="18"/>
                  <w:szCs w:val="18"/>
                </w:rPr>
                <w:t>條</w:t>
              </w:r>
            </w:hyperlink>
            <w:r>
              <w:rPr>
                <w:kern w:val="0"/>
                <w:sz w:val="18"/>
                <w:szCs w:val="18"/>
              </w:rPr>
              <w:t xml:space="preserve"> </w:t>
            </w:r>
          </w:p>
        </w:tc>
        <w:tc>
          <w:tcPr>
            <w:tcW w:w="4343" w:type="pct"/>
            <w:vAlign w:val="center"/>
          </w:tcPr>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各機關依本法第六條第一項訂定陞遷序列表時，其職務列等</w:t>
            </w:r>
            <w:r>
              <w:rPr>
                <w:rFonts w:eastAsia="細明體"/>
                <w:kern w:val="0"/>
                <w:sz w:val="18"/>
                <w:szCs w:val="18"/>
              </w:rPr>
              <w:t xml:space="preserve"> (</w:t>
            </w:r>
            <w:r>
              <w:rPr>
                <w:rFonts w:eastAsia="細明體"/>
                <w:kern w:val="0"/>
                <w:sz w:val="18"/>
                <w:szCs w:val="18"/>
              </w:rPr>
              <w:t>稱階、等階</w:t>
            </w:r>
            <w:r>
              <w:rPr>
                <w:rFonts w:eastAsia="細明體"/>
                <w:kern w:val="0"/>
                <w:sz w:val="18"/>
                <w:szCs w:val="18"/>
              </w:rPr>
              <w:t xml:space="preserve">) </w:t>
            </w:r>
            <w:r>
              <w:rPr>
                <w:rFonts w:eastAsia="細明體"/>
                <w:kern w:val="0"/>
                <w:sz w:val="18"/>
                <w:szCs w:val="18"/>
              </w:rPr>
              <w:t>相同者，應列為同一序列。跨列二個以上職等之職務，其所列最高職等相同最低職等不同者，或實施國內外駐區互調之相當職務，得視業務需要列為同一序列。</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但職務列等相同之主管與非主管職務或具職務歷練先後順序職務，得列為不同序列。</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各機關應於本法施行二個月內，訂定發布陞遷序列表。依本法第八條第二項統籌辦理下級機關人員陞任甄審之機關，其陞遷序列表應包含該下級機關職務。</w:t>
            </w:r>
          </w:p>
        </w:tc>
      </w:tr>
      <w:tr w:rsidR="00000000">
        <w:trPr>
          <w:tblCellSpacing w:w="0" w:type="dxa"/>
          <w:jc w:val="center"/>
        </w:trPr>
        <w:tc>
          <w:tcPr>
            <w:tcW w:w="657" w:type="pct"/>
          </w:tcPr>
          <w:p w:rsidR="00000000" w:rsidRDefault="00FC5876">
            <w:pPr>
              <w:widowControl/>
              <w:rPr>
                <w:kern w:val="0"/>
                <w:sz w:val="18"/>
                <w:szCs w:val="18"/>
              </w:rPr>
            </w:pPr>
            <w:hyperlink r:id="rId30" w:history="1">
              <w:r>
                <w:rPr>
                  <w:kern w:val="0"/>
                  <w:sz w:val="18"/>
                  <w:szCs w:val="18"/>
                </w:rPr>
                <w:t>第</w:t>
              </w:r>
              <w:r>
                <w:rPr>
                  <w:kern w:val="0"/>
                  <w:sz w:val="18"/>
                  <w:szCs w:val="18"/>
                </w:rPr>
                <w:t xml:space="preserve">    5 </w:t>
              </w:r>
              <w:r>
                <w:rPr>
                  <w:kern w:val="0"/>
                  <w:sz w:val="18"/>
                  <w:szCs w:val="18"/>
                </w:rPr>
                <w:t>條</w:t>
              </w:r>
            </w:hyperlink>
            <w:r>
              <w:rPr>
                <w:kern w:val="0"/>
                <w:sz w:val="18"/>
                <w:szCs w:val="18"/>
              </w:rPr>
              <w:t xml:space="preserve"> </w:t>
            </w:r>
          </w:p>
        </w:tc>
        <w:tc>
          <w:tcPr>
            <w:tcW w:w="4343" w:type="pct"/>
            <w:vAlign w:val="center"/>
          </w:tcPr>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本法第七條第三項所稱標準由各主管院訂定，指由行政院、立法院、司法院、考試院及監察院分別訂定。</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總統府、國民大會及國家安全會議準用前項之規定。</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訂定第一項標準時，應依機關業務性質、職務特性或任用層級，就各項目分別訂定評定因素、評分標準及最高分數，並以一百分為滿分。</w:t>
            </w:r>
          </w:p>
        </w:tc>
      </w:tr>
      <w:tr w:rsidR="00000000">
        <w:trPr>
          <w:tblCellSpacing w:w="0" w:type="dxa"/>
          <w:jc w:val="center"/>
        </w:trPr>
        <w:tc>
          <w:tcPr>
            <w:tcW w:w="657" w:type="pct"/>
          </w:tcPr>
          <w:p w:rsidR="00000000" w:rsidRDefault="00FC5876">
            <w:pPr>
              <w:widowControl/>
              <w:rPr>
                <w:kern w:val="0"/>
                <w:sz w:val="18"/>
                <w:szCs w:val="18"/>
              </w:rPr>
            </w:pPr>
            <w:hyperlink r:id="rId31" w:history="1">
              <w:r>
                <w:rPr>
                  <w:kern w:val="0"/>
                  <w:sz w:val="18"/>
                  <w:szCs w:val="18"/>
                </w:rPr>
                <w:t>第</w:t>
              </w:r>
              <w:r>
                <w:rPr>
                  <w:kern w:val="0"/>
                  <w:sz w:val="18"/>
                  <w:szCs w:val="18"/>
                </w:rPr>
                <w:t xml:space="preserve">    6 </w:t>
              </w:r>
              <w:r>
                <w:rPr>
                  <w:kern w:val="0"/>
                  <w:sz w:val="18"/>
                  <w:szCs w:val="18"/>
                </w:rPr>
                <w:t>條</w:t>
              </w:r>
            </w:hyperlink>
            <w:r>
              <w:rPr>
                <w:kern w:val="0"/>
                <w:sz w:val="18"/>
                <w:szCs w:val="18"/>
              </w:rPr>
              <w:t xml:space="preserve"> </w:t>
            </w:r>
          </w:p>
        </w:tc>
        <w:tc>
          <w:tcPr>
            <w:tcW w:w="4343" w:type="pct"/>
            <w:vAlign w:val="center"/>
          </w:tcPr>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本法所稱主管機關為總統府、國民大會、國家安全會議、五院、各部</w:t>
            </w:r>
            <w:r>
              <w:rPr>
                <w:rFonts w:eastAsia="細明體"/>
                <w:kern w:val="0"/>
                <w:sz w:val="18"/>
                <w:szCs w:val="18"/>
              </w:rPr>
              <w:t xml:space="preserve"> (</w:t>
            </w:r>
            <w:r>
              <w:rPr>
                <w:rFonts w:eastAsia="細明體"/>
                <w:kern w:val="0"/>
                <w:sz w:val="18"/>
                <w:szCs w:val="18"/>
              </w:rPr>
              <w:t>會、處、局、署與同層級之機關</w:t>
            </w:r>
            <w:r>
              <w:rPr>
                <w:rFonts w:eastAsia="細明體"/>
                <w:kern w:val="0"/>
                <w:sz w:val="18"/>
                <w:szCs w:val="18"/>
              </w:rPr>
              <w:t xml:space="preserve">) </w:t>
            </w:r>
            <w:r>
              <w:rPr>
                <w:rFonts w:eastAsia="細明體"/>
                <w:kern w:val="0"/>
                <w:sz w:val="18"/>
                <w:szCs w:val="18"/>
              </w:rPr>
              <w:t>、省政府、省諮議會、直轄市政府、直轄市議會、縣</w:t>
            </w:r>
            <w:r>
              <w:rPr>
                <w:rFonts w:eastAsia="細明體"/>
                <w:kern w:val="0"/>
                <w:sz w:val="18"/>
                <w:szCs w:val="18"/>
              </w:rPr>
              <w:t xml:space="preserve"> (</w:t>
            </w:r>
            <w:r>
              <w:rPr>
                <w:rFonts w:eastAsia="細明體"/>
                <w:kern w:val="0"/>
                <w:sz w:val="18"/>
                <w:szCs w:val="18"/>
              </w:rPr>
              <w:t>市</w:t>
            </w:r>
            <w:r>
              <w:rPr>
                <w:rFonts w:eastAsia="細明體"/>
                <w:kern w:val="0"/>
                <w:sz w:val="18"/>
                <w:szCs w:val="18"/>
              </w:rPr>
              <w:t xml:space="preserve">) </w:t>
            </w:r>
            <w:r>
              <w:rPr>
                <w:rFonts w:eastAsia="細明體"/>
                <w:kern w:val="0"/>
                <w:sz w:val="18"/>
                <w:szCs w:val="18"/>
              </w:rPr>
              <w:t>政府及縣</w:t>
            </w:r>
            <w:r>
              <w:rPr>
                <w:rFonts w:eastAsia="細明體"/>
                <w:kern w:val="0"/>
                <w:sz w:val="18"/>
                <w:szCs w:val="18"/>
              </w:rPr>
              <w:t xml:space="preserve"> (</w:t>
            </w:r>
            <w:r>
              <w:rPr>
                <w:rFonts w:eastAsia="細明體"/>
                <w:kern w:val="0"/>
                <w:sz w:val="18"/>
                <w:szCs w:val="18"/>
              </w:rPr>
              <w:t>市</w:t>
            </w:r>
            <w:r>
              <w:rPr>
                <w:rFonts w:eastAsia="細明體"/>
                <w:kern w:val="0"/>
                <w:sz w:val="18"/>
                <w:szCs w:val="18"/>
              </w:rPr>
              <w:t xml:space="preserve">) </w:t>
            </w:r>
            <w:r>
              <w:rPr>
                <w:rFonts w:eastAsia="細明體"/>
                <w:kern w:val="0"/>
                <w:sz w:val="18"/>
                <w:szCs w:val="18"/>
              </w:rPr>
              <w:t>議會。</w:t>
            </w:r>
          </w:p>
        </w:tc>
      </w:tr>
      <w:tr w:rsidR="00000000">
        <w:trPr>
          <w:tblCellSpacing w:w="0" w:type="dxa"/>
          <w:jc w:val="center"/>
        </w:trPr>
        <w:tc>
          <w:tcPr>
            <w:tcW w:w="657" w:type="pct"/>
          </w:tcPr>
          <w:p w:rsidR="00000000" w:rsidRDefault="00FC5876">
            <w:pPr>
              <w:widowControl/>
              <w:rPr>
                <w:kern w:val="0"/>
                <w:sz w:val="18"/>
                <w:szCs w:val="18"/>
              </w:rPr>
            </w:pPr>
            <w:hyperlink r:id="rId32" w:history="1">
              <w:r>
                <w:rPr>
                  <w:kern w:val="0"/>
                  <w:sz w:val="18"/>
                  <w:szCs w:val="18"/>
                </w:rPr>
                <w:t>第</w:t>
              </w:r>
              <w:r>
                <w:rPr>
                  <w:kern w:val="0"/>
                  <w:sz w:val="18"/>
                  <w:szCs w:val="18"/>
                </w:rPr>
                <w:t xml:space="preserve">    7 </w:t>
              </w:r>
              <w:r>
                <w:rPr>
                  <w:kern w:val="0"/>
                  <w:sz w:val="18"/>
                  <w:szCs w:val="18"/>
                </w:rPr>
                <w:t>條</w:t>
              </w:r>
            </w:hyperlink>
            <w:r>
              <w:rPr>
                <w:kern w:val="0"/>
                <w:sz w:val="18"/>
                <w:szCs w:val="18"/>
              </w:rPr>
              <w:t xml:space="preserve"> </w:t>
            </w:r>
          </w:p>
        </w:tc>
        <w:tc>
          <w:tcPr>
            <w:tcW w:w="4343" w:type="pct"/>
            <w:vAlign w:val="center"/>
          </w:tcPr>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本法第八條第一項但書所稱本機關人員之遷調，得視業務實際需要，免經甄審程序，指在本機關陞遷序列表中同一序列各職務間之調任，機關首</w:t>
            </w:r>
            <w:r>
              <w:rPr>
                <w:rFonts w:eastAsia="細明體"/>
                <w:kern w:val="0"/>
                <w:sz w:val="18"/>
                <w:szCs w:val="18"/>
              </w:rPr>
              <w:t>長得逕予核定，毋須辦理甄審。</w:t>
            </w:r>
          </w:p>
        </w:tc>
      </w:tr>
      <w:tr w:rsidR="00000000">
        <w:trPr>
          <w:tblCellSpacing w:w="0" w:type="dxa"/>
          <w:jc w:val="center"/>
        </w:trPr>
        <w:tc>
          <w:tcPr>
            <w:tcW w:w="657" w:type="pct"/>
          </w:tcPr>
          <w:p w:rsidR="00000000" w:rsidRDefault="00FC5876">
            <w:pPr>
              <w:widowControl/>
              <w:rPr>
                <w:kern w:val="0"/>
                <w:sz w:val="18"/>
                <w:szCs w:val="18"/>
              </w:rPr>
            </w:pPr>
            <w:hyperlink r:id="rId33" w:history="1">
              <w:r>
                <w:rPr>
                  <w:kern w:val="0"/>
                  <w:sz w:val="18"/>
                  <w:szCs w:val="18"/>
                </w:rPr>
                <w:t>第</w:t>
              </w:r>
              <w:r>
                <w:rPr>
                  <w:kern w:val="0"/>
                  <w:sz w:val="18"/>
                  <w:szCs w:val="18"/>
                </w:rPr>
                <w:t xml:space="preserve">    8 </w:t>
              </w:r>
              <w:r>
                <w:rPr>
                  <w:kern w:val="0"/>
                  <w:sz w:val="18"/>
                  <w:szCs w:val="18"/>
                </w:rPr>
                <w:t>條</w:t>
              </w:r>
            </w:hyperlink>
            <w:r>
              <w:rPr>
                <w:kern w:val="0"/>
                <w:sz w:val="18"/>
                <w:szCs w:val="18"/>
              </w:rPr>
              <w:t xml:space="preserve"> </w:t>
            </w:r>
          </w:p>
        </w:tc>
        <w:tc>
          <w:tcPr>
            <w:tcW w:w="4343" w:type="pct"/>
            <w:vAlign w:val="center"/>
          </w:tcPr>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各機關依本法第八條規定組織甄審委員會，應置委員五人至二十一人，由機關首長就本機關人員中指定之，並指定一人為主席，人事主管人員為當然委員。但委員每滿三人應有一人由</w:t>
            </w:r>
            <w:r>
              <w:rPr>
                <w:rFonts w:eastAsia="細明體"/>
                <w:kern w:val="0"/>
                <w:sz w:val="18"/>
                <w:szCs w:val="18"/>
              </w:rPr>
              <w:lastRenderedPageBreak/>
              <w:t>本機關人員票選產生之。委員之任期一年，期滿得連任。</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甄審委員會須有應出席人過半數之出席，始得開會，其決議以出席人過半數之同意為之；可否同數時取決於主席。</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甄</w:t>
            </w:r>
            <w:r>
              <w:rPr>
                <w:rFonts w:eastAsia="細明體"/>
                <w:kern w:val="0"/>
                <w:sz w:val="18"/>
                <w:szCs w:val="18"/>
              </w:rPr>
              <w:t>審委員會必要時得與考績委員會合併之。</w:t>
            </w:r>
          </w:p>
        </w:tc>
      </w:tr>
      <w:tr w:rsidR="00000000">
        <w:trPr>
          <w:tblCellSpacing w:w="0" w:type="dxa"/>
          <w:jc w:val="center"/>
        </w:trPr>
        <w:tc>
          <w:tcPr>
            <w:tcW w:w="657" w:type="pct"/>
          </w:tcPr>
          <w:p w:rsidR="00000000" w:rsidRDefault="00FC5876">
            <w:pPr>
              <w:widowControl/>
              <w:rPr>
                <w:kern w:val="0"/>
                <w:sz w:val="18"/>
                <w:szCs w:val="18"/>
              </w:rPr>
            </w:pPr>
            <w:hyperlink r:id="rId34" w:history="1">
              <w:r>
                <w:rPr>
                  <w:kern w:val="0"/>
                  <w:sz w:val="18"/>
                  <w:szCs w:val="18"/>
                </w:rPr>
                <w:t>第</w:t>
              </w:r>
              <w:r>
                <w:rPr>
                  <w:kern w:val="0"/>
                  <w:sz w:val="18"/>
                  <w:szCs w:val="18"/>
                </w:rPr>
                <w:t xml:space="preserve">    9 </w:t>
              </w:r>
              <w:r>
                <w:rPr>
                  <w:kern w:val="0"/>
                  <w:sz w:val="18"/>
                  <w:szCs w:val="18"/>
                </w:rPr>
                <w:t>條</w:t>
              </w:r>
            </w:hyperlink>
            <w:r>
              <w:rPr>
                <w:kern w:val="0"/>
                <w:sz w:val="18"/>
                <w:szCs w:val="18"/>
              </w:rPr>
              <w:t xml:space="preserve"> </w:t>
            </w:r>
          </w:p>
        </w:tc>
        <w:tc>
          <w:tcPr>
            <w:tcW w:w="4343" w:type="pct"/>
            <w:vAlign w:val="center"/>
          </w:tcPr>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甄審委員會，辦理下列事項：</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一</w:t>
            </w:r>
            <w:r>
              <w:rPr>
                <w:rFonts w:eastAsia="細明體"/>
                <w:kern w:val="0"/>
                <w:sz w:val="18"/>
                <w:szCs w:val="18"/>
              </w:rPr>
              <w:t xml:space="preserve">  </w:t>
            </w:r>
            <w:r>
              <w:rPr>
                <w:rFonts w:eastAsia="細明體"/>
                <w:kern w:val="0"/>
                <w:sz w:val="18"/>
                <w:szCs w:val="18"/>
              </w:rPr>
              <w:t>陞任候選人員資績評分之審查。</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二</w:t>
            </w:r>
            <w:r>
              <w:rPr>
                <w:rFonts w:eastAsia="細明體"/>
                <w:kern w:val="0"/>
                <w:sz w:val="18"/>
                <w:szCs w:val="18"/>
              </w:rPr>
              <w:t xml:space="preserve">  </w:t>
            </w:r>
            <w:r>
              <w:rPr>
                <w:rFonts w:eastAsia="細明體"/>
                <w:kern w:val="0"/>
                <w:sz w:val="18"/>
                <w:szCs w:val="18"/>
              </w:rPr>
              <w:t>遷調候選人員資格條件之審查。</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三</w:t>
            </w:r>
            <w:r>
              <w:rPr>
                <w:rFonts w:eastAsia="細明體"/>
                <w:kern w:val="0"/>
                <w:sz w:val="18"/>
                <w:szCs w:val="18"/>
              </w:rPr>
              <w:t xml:space="preserve">  </w:t>
            </w:r>
            <w:r>
              <w:rPr>
                <w:rFonts w:eastAsia="細明體"/>
                <w:kern w:val="0"/>
                <w:sz w:val="18"/>
                <w:szCs w:val="18"/>
              </w:rPr>
              <w:t>面試及測驗方式之決定。</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四</w:t>
            </w:r>
            <w:r>
              <w:rPr>
                <w:rFonts w:eastAsia="細明體"/>
                <w:kern w:val="0"/>
                <w:sz w:val="18"/>
                <w:szCs w:val="18"/>
              </w:rPr>
              <w:t xml:space="preserve">  </w:t>
            </w:r>
            <w:r>
              <w:rPr>
                <w:rFonts w:eastAsia="細明體"/>
                <w:kern w:val="0"/>
                <w:sz w:val="18"/>
                <w:szCs w:val="18"/>
              </w:rPr>
              <w:t>陞任候選人員名次之排定。</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五</w:t>
            </w:r>
            <w:r>
              <w:rPr>
                <w:rFonts w:eastAsia="細明體"/>
                <w:kern w:val="0"/>
                <w:sz w:val="18"/>
                <w:szCs w:val="18"/>
              </w:rPr>
              <w:t xml:space="preserve">  </w:t>
            </w:r>
            <w:r>
              <w:rPr>
                <w:rFonts w:eastAsia="細明體"/>
                <w:kern w:val="0"/>
                <w:sz w:val="18"/>
                <w:szCs w:val="18"/>
              </w:rPr>
              <w:t>遷調候選人員遴用順序之排定。</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六</w:t>
            </w:r>
            <w:r>
              <w:rPr>
                <w:rFonts w:eastAsia="細明體"/>
                <w:kern w:val="0"/>
                <w:sz w:val="18"/>
                <w:szCs w:val="18"/>
              </w:rPr>
              <w:t xml:space="preserve">  </w:t>
            </w:r>
            <w:r>
              <w:rPr>
                <w:rFonts w:eastAsia="細明體"/>
                <w:kern w:val="0"/>
                <w:sz w:val="18"/>
                <w:szCs w:val="18"/>
              </w:rPr>
              <w:t>機關首長交議事項之研議。</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七</w:t>
            </w:r>
            <w:r>
              <w:rPr>
                <w:rFonts w:eastAsia="細明體"/>
                <w:kern w:val="0"/>
                <w:sz w:val="18"/>
                <w:szCs w:val="18"/>
              </w:rPr>
              <w:t xml:space="preserve">  </w:t>
            </w:r>
            <w:r>
              <w:rPr>
                <w:rFonts w:eastAsia="細明體"/>
                <w:kern w:val="0"/>
                <w:sz w:val="18"/>
                <w:szCs w:val="18"/>
              </w:rPr>
              <w:t>其他有關陞遷甄審事項。</w:t>
            </w:r>
          </w:p>
        </w:tc>
      </w:tr>
      <w:tr w:rsidR="00000000">
        <w:trPr>
          <w:tblCellSpacing w:w="0" w:type="dxa"/>
          <w:jc w:val="center"/>
        </w:trPr>
        <w:tc>
          <w:tcPr>
            <w:tcW w:w="657" w:type="pct"/>
          </w:tcPr>
          <w:p w:rsidR="00000000" w:rsidRDefault="00FC5876">
            <w:pPr>
              <w:widowControl/>
              <w:rPr>
                <w:kern w:val="0"/>
                <w:sz w:val="18"/>
                <w:szCs w:val="18"/>
              </w:rPr>
            </w:pPr>
            <w:hyperlink r:id="rId35" w:history="1">
              <w:r>
                <w:rPr>
                  <w:kern w:val="0"/>
                  <w:sz w:val="18"/>
                  <w:szCs w:val="18"/>
                </w:rPr>
                <w:t>第</w:t>
              </w:r>
              <w:r>
                <w:rPr>
                  <w:kern w:val="0"/>
                  <w:sz w:val="18"/>
                  <w:szCs w:val="18"/>
                </w:rPr>
                <w:t xml:space="preserve">   10 </w:t>
              </w:r>
              <w:r>
                <w:rPr>
                  <w:kern w:val="0"/>
                  <w:sz w:val="18"/>
                  <w:szCs w:val="18"/>
                </w:rPr>
                <w:t>條</w:t>
              </w:r>
            </w:hyperlink>
            <w:r>
              <w:rPr>
                <w:kern w:val="0"/>
                <w:sz w:val="18"/>
                <w:szCs w:val="18"/>
              </w:rPr>
              <w:t xml:space="preserve"> </w:t>
            </w:r>
          </w:p>
        </w:tc>
        <w:tc>
          <w:tcPr>
            <w:tcW w:w="4343" w:type="pct"/>
            <w:vAlign w:val="center"/>
          </w:tcPr>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本法第九條第一項所稱應由人事單位就具有擬陞遷職務任用資格人員，分別情形，依積分高低順序或資格條件造列名冊，指各機關辦理公務人員陞遷，人事單位應依下列情形造列名冊：</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一</w:t>
            </w:r>
            <w:r>
              <w:rPr>
                <w:rFonts w:eastAsia="細明體"/>
                <w:kern w:val="0"/>
                <w:sz w:val="18"/>
                <w:szCs w:val="18"/>
              </w:rPr>
              <w:t xml:space="preserve">  </w:t>
            </w:r>
            <w:r>
              <w:rPr>
                <w:rFonts w:eastAsia="細明體"/>
                <w:kern w:val="0"/>
                <w:sz w:val="18"/>
                <w:szCs w:val="18"/>
              </w:rPr>
              <w:t>辦理機關人員陞任時，就具有任用資格人員，依本法第七條所定標準，核計分數後，依積分高低造列。</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二</w:t>
            </w:r>
            <w:r>
              <w:rPr>
                <w:rFonts w:eastAsia="細明體"/>
                <w:kern w:val="0"/>
                <w:sz w:val="18"/>
                <w:szCs w:val="18"/>
              </w:rPr>
              <w:t xml:space="preserve">  </w:t>
            </w:r>
            <w:r>
              <w:rPr>
                <w:rFonts w:eastAsia="細明體"/>
                <w:kern w:val="0"/>
                <w:sz w:val="18"/>
                <w:szCs w:val="18"/>
              </w:rPr>
              <w:t>辦理本機關以外人員公開甄選時，依符合公開甄選人員所具資格條件高低造列。</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三</w:t>
            </w:r>
            <w:r>
              <w:rPr>
                <w:rFonts w:eastAsia="細明體"/>
                <w:kern w:val="0"/>
                <w:sz w:val="18"/>
                <w:szCs w:val="18"/>
              </w:rPr>
              <w:t xml:space="preserve">  </w:t>
            </w:r>
            <w:r>
              <w:rPr>
                <w:rFonts w:eastAsia="細明體"/>
                <w:kern w:val="0"/>
                <w:sz w:val="18"/>
                <w:szCs w:val="18"/>
              </w:rPr>
              <w:t>辦理本機關人員遷調時，依本法相關規定，核計分數</w:t>
            </w:r>
            <w:r>
              <w:rPr>
                <w:rFonts w:eastAsia="細明體"/>
                <w:kern w:val="0"/>
                <w:sz w:val="18"/>
                <w:szCs w:val="18"/>
              </w:rPr>
              <w:t>或依其所具資格條件高低造列。</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前項名冊由人事單位報請機關首長交付甄審委員會評審；甄審委員會評審後，提出陞任候選人員名次或遷調候選人員遴用順序，報請機關首長圈定之。</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本法第九條第二項所稱改依其他甄選方式辦理陞遷事宜，指如由本機關人員陞遷與由他機關人員陞遷之改變，或增列舉行面試或測驗方式等依本法規定辦理之事項。</w:t>
            </w:r>
          </w:p>
        </w:tc>
      </w:tr>
      <w:tr w:rsidR="00000000">
        <w:trPr>
          <w:tblCellSpacing w:w="0" w:type="dxa"/>
          <w:jc w:val="center"/>
        </w:trPr>
        <w:tc>
          <w:tcPr>
            <w:tcW w:w="657" w:type="pct"/>
          </w:tcPr>
          <w:p w:rsidR="00000000" w:rsidRDefault="00FC5876">
            <w:pPr>
              <w:widowControl/>
              <w:rPr>
                <w:kern w:val="0"/>
                <w:sz w:val="18"/>
                <w:szCs w:val="18"/>
              </w:rPr>
            </w:pPr>
            <w:hyperlink r:id="rId36" w:history="1">
              <w:r>
                <w:rPr>
                  <w:kern w:val="0"/>
                  <w:sz w:val="18"/>
                  <w:szCs w:val="18"/>
                </w:rPr>
                <w:t>第</w:t>
              </w:r>
              <w:r>
                <w:rPr>
                  <w:kern w:val="0"/>
                  <w:sz w:val="18"/>
                  <w:szCs w:val="18"/>
                </w:rPr>
                <w:t xml:space="preserve">   11 </w:t>
              </w:r>
              <w:r>
                <w:rPr>
                  <w:kern w:val="0"/>
                  <w:sz w:val="18"/>
                  <w:szCs w:val="18"/>
                </w:rPr>
                <w:t>條</w:t>
              </w:r>
            </w:hyperlink>
            <w:r>
              <w:rPr>
                <w:kern w:val="0"/>
                <w:sz w:val="18"/>
                <w:szCs w:val="18"/>
              </w:rPr>
              <w:t xml:space="preserve"> </w:t>
            </w:r>
          </w:p>
        </w:tc>
        <w:tc>
          <w:tcPr>
            <w:tcW w:w="4343" w:type="pct"/>
            <w:vAlign w:val="center"/>
          </w:tcPr>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本法第十一條第一項第一款所稱勳章，</w:t>
            </w:r>
            <w:r>
              <w:rPr>
                <w:rFonts w:eastAsia="細明體"/>
                <w:kern w:val="0"/>
                <w:sz w:val="18"/>
                <w:szCs w:val="18"/>
              </w:rPr>
              <w:t>依勳章條例之規定。</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本法第十一條第二項所稱陞任標準，指依本法第七條所訂之標準。所稱其構成該條件之事實，以使用一次為限。同時兼具有兩款以上者亦同，指所具本法第十一條第一項各款情事，經獲得優先陞任或擇優陞任後，該各款情事不論所具款項多寡，於下次陞遷時，均不再使用。</w:t>
            </w:r>
          </w:p>
        </w:tc>
      </w:tr>
      <w:tr w:rsidR="00000000">
        <w:trPr>
          <w:tblCellSpacing w:w="0" w:type="dxa"/>
          <w:jc w:val="center"/>
        </w:trPr>
        <w:tc>
          <w:tcPr>
            <w:tcW w:w="657" w:type="pct"/>
          </w:tcPr>
          <w:p w:rsidR="00000000" w:rsidRDefault="00FC5876">
            <w:pPr>
              <w:widowControl/>
              <w:rPr>
                <w:kern w:val="0"/>
                <w:sz w:val="18"/>
                <w:szCs w:val="18"/>
              </w:rPr>
            </w:pPr>
            <w:hyperlink r:id="rId37" w:history="1">
              <w:r>
                <w:rPr>
                  <w:kern w:val="0"/>
                  <w:sz w:val="18"/>
                  <w:szCs w:val="18"/>
                </w:rPr>
                <w:t>第</w:t>
              </w:r>
              <w:r>
                <w:rPr>
                  <w:kern w:val="0"/>
                  <w:sz w:val="18"/>
                  <w:szCs w:val="18"/>
                </w:rPr>
                <w:t xml:space="preserve">   12 </w:t>
              </w:r>
              <w:r>
                <w:rPr>
                  <w:kern w:val="0"/>
                  <w:sz w:val="18"/>
                  <w:szCs w:val="18"/>
                </w:rPr>
                <w:t>條</w:t>
              </w:r>
            </w:hyperlink>
            <w:r>
              <w:rPr>
                <w:kern w:val="0"/>
                <w:sz w:val="18"/>
                <w:szCs w:val="18"/>
              </w:rPr>
              <w:t xml:space="preserve"> </w:t>
            </w:r>
          </w:p>
        </w:tc>
        <w:tc>
          <w:tcPr>
            <w:tcW w:w="4343" w:type="pct"/>
            <w:vAlign w:val="center"/>
          </w:tcPr>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本法第十四條第一項所稱依法經陞官等訓練，指依公務人員任用法律之規定；第二項任各官等</w:t>
            </w:r>
            <w:r>
              <w:rPr>
                <w:rFonts w:eastAsia="細明體"/>
                <w:kern w:val="0"/>
                <w:sz w:val="18"/>
                <w:szCs w:val="18"/>
              </w:rPr>
              <w:t>之主管職務，指依各機關組織法規所定之主管職務。</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應參加主管機關實施管理才能發展訓練之人數較少時，該項訓練得由其上級機關統籌辦理。</w:t>
            </w:r>
          </w:p>
        </w:tc>
      </w:tr>
      <w:tr w:rsidR="00000000">
        <w:trPr>
          <w:tblCellSpacing w:w="0" w:type="dxa"/>
          <w:jc w:val="center"/>
        </w:trPr>
        <w:tc>
          <w:tcPr>
            <w:tcW w:w="657" w:type="pct"/>
          </w:tcPr>
          <w:p w:rsidR="00000000" w:rsidRDefault="00FC5876">
            <w:pPr>
              <w:widowControl/>
              <w:rPr>
                <w:kern w:val="0"/>
                <w:sz w:val="18"/>
                <w:szCs w:val="18"/>
              </w:rPr>
            </w:pPr>
            <w:hyperlink r:id="rId38" w:history="1">
              <w:r>
                <w:rPr>
                  <w:kern w:val="0"/>
                  <w:sz w:val="18"/>
                  <w:szCs w:val="18"/>
                </w:rPr>
                <w:t>第</w:t>
              </w:r>
              <w:r>
                <w:rPr>
                  <w:kern w:val="0"/>
                  <w:sz w:val="18"/>
                  <w:szCs w:val="18"/>
                </w:rPr>
                <w:t xml:space="preserve">   13 </w:t>
              </w:r>
              <w:r>
                <w:rPr>
                  <w:kern w:val="0"/>
                  <w:sz w:val="18"/>
                  <w:szCs w:val="18"/>
                </w:rPr>
                <w:t>條</w:t>
              </w:r>
            </w:hyperlink>
            <w:r>
              <w:rPr>
                <w:kern w:val="0"/>
                <w:sz w:val="18"/>
                <w:szCs w:val="18"/>
              </w:rPr>
              <w:t xml:space="preserve"> </w:t>
            </w:r>
          </w:p>
        </w:tc>
        <w:tc>
          <w:tcPr>
            <w:tcW w:w="4343" w:type="pct"/>
            <w:vAlign w:val="center"/>
          </w:tcPr>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本法第十六條所稱各機關辦理陞遷業務人員，包括甄審委員會委員、與會人員及其他有關工作人員。</w:t>
            </w:r>
          </w:p>
        </w:tc>
      </w:tr>
      <w:tr w:rsidR="00000000">
        <w:trPr>
          <w:tblCellSpacing w:w="0" w:type="dxa"/>
          <w:jc w:val="center"/>
        </w:trPr>
        <w:tc>
          <w:tcPr>
            <w:tcW w:w="657" w:type="pct"/>
          </w:tcPr>
          <w:p w:rsidR="00000000" w:rsidRDefault="00FC5876">
            <w:pPr>
              <w:widowControl/>
              <w:rPr>
                <w:kern w:val="0"/>
                <w:sz w:val="18"/>
                <w:szCs w:val="18"/>
              </w:rPr>
            </w:pPr>
            <w:hyperlink r:id="rId39" w:history="1">
              <w:r>
                <w:rPr>
                  <w:kern w:val="0"/>
                  <w:sz w:val="18"/>
                  <w:szCs w:val="18"/>
                </w:rPr>
                <w:t>第</w:t>
              </w:r>
              <w:r>
                <w:rPr>
                  <w:kern w:val="0"/>
                  <w:sz w:val="18"/>
                  <w:szCs w:val="18"/>
                </w:rPr>
                <w:t xml:space="preserve">   14 </w:t>
              </w:r>
              <w:r>
                <w:rPr>
                  <w:kern w:val="0"/>
                  <w:sz w:val="18"/>
                  <w:szCs w:val="18"/>
                </w:rPr>
                <w:t>條</w:t>
              </w:r>
            </w:hyperlink>
            <w:r>
              <w:rPr>
                <w:kern w:val="0"/>
                <w:sz w:val="18"/>
                <w:szCs w:val="18"/>
              </w:rPr>
              <w:t xml:space="preserve"> </w:t>
            </w:r>
          </w:p>
        </w:tc>
        <w:tc>
          <w:tcPr>
            <w:tcW w:w="4343" w:type="pct"/>
            <w:vAlign w:val="center"/>
          </w:tcPr>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各機關依本法第七條訂定之標準、第十三條訂定之各種遷調規定及第十七條訂定之準用規定，於訂定發布時，應函送銓敘部備查。</w:t>
            </w:r>
          </w:p>
        </w:tc>
      </w:tr>
      <w:tr w:rsidR="00000000">
        <w:trPr>
          <w:tblCellSpacing w:w="0" w:type="dxa"/>
          <w:jc w:val="center"/>
        </w:trPr>
        <w:tc>
          <w:tcPr>
            <w:tcW w:w="657" w:type="pct"/>
          </w:tcPr>
          <w:p w:rsidR="00000000" w:rsidRDefault="00FC5876">
            <w:pPr>
              <w:widowControl/>
              <w:rPr>
                <w:kern w:val="0"/>
                <w:sz w:val="18"/>
                <w:szCs w:val="18"/>
              </w:rPr>
            </w:pPr>
            <w:hyperlink r:id="rId40" w:history="1">
              <w:r>
                <w:rPr>
                  <w:kern w:val="0"/>
                  <w:sz w:val="18"/>
                  <w:szCs w:val="18"/>
                </w:rPr>
                <w:t>第</w:t>
              </w:r>
              <w:r>
                <w:rPr>
                  <w:kern w:val="0"/>
                  <w:sz w:val="18"/>
                  <w:szCs w:val="18"/>
                </w:rPr>
                <w:t xml:space="preserve">   15 </w:t>
              </w:r>
              <w:r>
                <w:rPr>
                  <w:kern w:val="0"/>
                  <w:sz w:val="18"/>
                  <w:szCs w:val="18"/>
                </w:rPr>
                <w:t>條</w:t>
              </w:r>
            </w:hyperlink>
            <w:r>
              <w:rPr>
                <w:kern w:val="0"/>
                <w:sz w:val="18"/>
                <w:szCs w:val="18"/>
              </w:rPr>
              <w:t xml:space="preserve"> </w:t>
            </w:r>
          </w:p>
        </w:tc>
        <w:tc>
          <w:tcPr>
            <w:tcW w:w="4343" w:type="pct"/>
            <w:vAlign w:val="center"/>
          </w:tcPr>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各機關依本法辦理人員陞遷後，應於該員銓審案中，敘明「經</w:t>
            </w:r>
            <w:r>
              <w:rPr>
                <w:rFonts w:eastAsia="細明體"/>
                <w:kern w:val="0"/>
                <w:sz w:val="18"/>
                <w:szCs w:val="18"/>
              </w:rPr>
              <w:t>○○</w:t>
            </w:r>
            <w:r>
              <w:rPr>
                <w:rFonts w:eastAsia="細明體"/>
                <w:kern w:val="0"/>
                <w:sz w:val="18"/>
                <w:szCs w:val="18"/>
              </w:rPr>
              <w:t>機關甄審委員會第</w:t>
            </w:r>
            <w:r>
              <w:rPr>
                <w:rFonts w:eastAsia="細明體"/>
                <w:kern w:val="0"/>
                <w:sz w:val="18"/>
                <w:szCs w:val="18"/>
              </w:rPr>
              <w:t>○</w:t>
            </w:r>
            <w:r>
              <w:rPr>
                <w:rFonts w:eastAsia="細明體"/>
                <w:kern w:val="0"/>
                <w:sz w:val="18"/>
                <w:szCs w:val="18"/>
              </w:rPr>
              <w:t>次會議評審。」；若未經甄審委員會評審者，應敘明其理由及所據法規條款。</w:t>
            </w:r>
          </w:p>
        </w:tc>
      </w:tr>
      <w:tr w:rsidR="00000000">
        <w:trPr>
          <w:tblCellSpacing w:w="0" w:type="dxa"/>
          <w:jc w:val="center"/>
        </w:trPr>
        <w:tc>
          <w:tcPr>
            <w:tcW w:w="657" w:type="pct"/>
          </w:tcPr>
          <w:p w:rsidR="00000000" w:rsidRDefault="00FC5876">
            <w:pPr>
              <w:widowControl/>
              <w:rPr>
                <w:kern w:val="0"/>
                <w:sz w:val="18"/>
                <w:szCs w:val="18"/>
              </w:rPr>
            </w:pPr>
            <w:hyperlink r:id="rId41" w:history="1">
              <w:r>
                <w:rPr>
                  <w:kern w:val="0"/>
                  <w:sz w:val="18"/>
                  <w:szCs w:val="18"/>
                </w:rPr>
                <w:t>第</w:t>
              </w:r>
              <w:r>
                <w:rPr>
                  <w:kern w:val="0"/>
                  <w:sz w:val="18"/>
                  <w:szCs w:val="18"/>
                </w:rPr>
                <w:t xml:space="preserve">   16 </w:t>
              </w:r>
              <w:r>
                <w:rPr>
                  <w:kern w:val="0"/>
                  <w:sz w:val="18"/>
                  <w:szCs w:val="18"/>
                </w:rPr>
                <w:t>條</w:t>
              </w:r>
            </w:hyperlink>
            <w:r>
              <w:rPr>
                <w:kern w:val="0"/>
                <w:sz w:val="18"/>
                <w:szCs w:val="18"/>
              </w:rPr>
              <w:t xml:space="preserve"> </w:t>
            </w:r>
          </w:p>
        </w:tc>
        <w:tc>
          <w:tcPr>
            <w:tcW w:w="4343" w:type="pct"/>
            <w:vAlign w:val="center"/>
          </w:tcPr>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本細則自本法施行之日施行。</w:t>
            </w:r>
          </w:p>
          <w:p w:rsidR="00000000" w:rsidRDefault="00FC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kern w:val="0"/>
                <w:sz w:val="18"/>
                <w:szCs w:val="18"/>
              </w:rPr>
            </w:pPr>
            <w:r>
              <w:rPr>
                <w:rFonts w:eastAsia="細明體"/>
                <w:kern w:val="0"/>
                <w:sz w:val="18"/>
                <w:szCs w:val="18"/>
              </w:rPr>
              <w:t>本細則修正條文，自發布日施行。</w:t>
            </w:r>
          </w:p>
        </w:tc>
      </w:tr>
    </w:tbl>
    <w:p w:rsidR="00000000" w:rsidRDefault="00FC5876">
      <w:pPr>
        <w:pStyle w:val="af0"/>
        <w:spacing w:line="320" w:lineRule="exact"/>
        <w:ind w:left="556" w:hanging="556"/>
        <w:jc w:val="both"/>
        <w:rPr>
          <w:rFonts w:hint="eastAsia"/>
          <w:w w:val="105"/>
          <w:sz w:val="18"/>
        </w:rPr>
      </w:pPr>
    </w:p>
    <w:p w:rsidR="00000000" w:rsidRDefault="00FC5876">
      <w:pPr>
        <w:rPr>
          <w:rFonts w:ascii="標楷體" w:eastAsia="標楷體" w:hAnsi="標楷體" w:hint="eastAsia"/>
          <w:sz w:val="32"/>
          <w:lang w:val="de-DE"/>
        </w:rPr>
      </w:pPr>
      <w:r>
        <w:rPr>
          <w:lang w:val="de-DE"/>
        </w:rPr>
        <w:br w:type="page"/>
      </w:r>
      <w:bookmarkStart w:id="3" w:name="_Toc121199251"/>
      <w:r>
        <w:rPr>
          <w:rFonts w:ascii="標楷體" w:eastAsia="標楷體" w:hAnsi="標楷體" w:hint="eastAsia"/>
          <w:sz w:val="32"/>
          <w:lang w:val="de-DE"/>
        </w:rPr>
        <w:lastRenderedPageBreak/>
        <w:t>附件</w:t>
      </w:r>
      <w:r>
        <w:rPr>
          <w:rFonts w:ascii="標楷體" w:eastAsia="標楷體" w:hAnsi="標楷體" w:hint="eastAsia"/>
          <w:sz w:val="32"/>
          <w:lang w:val="de-DE"/>
        </w:rPr>
        <w:t>(</w:t>
      </w:r>
      <w:r>
        <w:rPr>
          <w:rFonts w:ascii="標楷體" w:eastAsia="標楷體" w:hAnsi="標楷體" w:hint="eastAsia"/>
          <w:sz w:val="32"/>
          <w:lang w:val="de-DE"/>
        </w:rPr>
        <w:t>三</w:t>
      </w:r>
      <w:r>
        <w:rPr>
          <w:rFonts w:ascii="標楷體" w:eastAsia="標楷體" w:hAnsi="標楷體" w:hint="eastAsia"/>
          <w:sz w:val="32"/>
          <w:lang w:val="de-DE"/>
        </w:rPr>
        <w:t>)</w:t>
      </w:r>
      <w:bookmarkEnd w:id="3"/>
    </w:p>
    <w:p w:rsidR="00000000" w:rsidRDefault="00FC5876">
      <w:pPr>
        <w:spacing w:line="320" w:lineRule="exact"/>
        <w:jc w:val="center"/>
        <w:rPr>
          <w:rFonts w:eastAsia="標楷體" w:hint="eastAsia"/>
          <w:sz w:val="28"/>
        </w:rPr>
      </w:pPr>
      <w:r>
        <w:rPr>
          <w:rFonts w:ascii="標楷體" w:eastAsia="標楷體" w:hAnsi="標楷體" w:hint="eastAsia"/>
          <w:sz w:val="28"/>
        </w:rPr>
        <w:t>行</w:t>
      </w:r>
      <w:r>
        <w:rPr>
          <w:rFonts w:eastAsia="標楷體" w:hint="eastAsia"/>
          <w:sz w:val="28"/>
        </w:rPr>
        <w:t>政院所屬人事機關（構）薦任第九職等至簡任第十職等</w:t>
      </w:r>
    </w:p>
    <w:p w:rsidR="00000000" w:rsidRDefault="00FC5876">
      <w:pPr>
        <w:spacing w:line="320" w:lineRule="exact"/>
        <w:jc w:val="center"/>
        <w:rPr>
          <w:rFonts w:eastAsia="標楷體"/>
          <w:sz w:val="28"/>
        </w:rPr>
      </w:pPr>
      <w:r>
        <w:rPr>
          <w:rFonts w:eastAsia="標楷體" w:hint="eastAsia"/>
          <w:sz w:val="28"/>
        </w:rPr>
        <w:t>人事室主任以上人員陞遷序列表</w:t>
      </w:r>
    </w:p>
    <w:p w:rsidR="00000000" w:rsidRDefault="00FC5876">
      <w:pPr>
        <w:spacing w:line="320" w:lineRule="exact"/>
        <w:jc w:val="center"/>
        <w:rPr>
          <w:rFonts w:eastAsia="標楷體"/>
          <w:sz w:val="28"/>
        </w:rPr>
      </w:pPr>
    </w:p>
    <w:p w:rsidR="00000000" w:rsidRDefault="00FC5876">
      <w:pPr>
        <w:pStyle w:val="ab"/>
        <w:spacing w:beforeLines="0" w:before="0" w:after="0" w:line="240" w:lineRule="auto"/>
        <w:ind w:leftChars="1500" w:left="3600" w:firstLineChars="0" w:firstLine="0"/>
        <w:jc w:val="left"/>
        <w:rPr>
          <w:rFonts w:eastAsia="標楷體" w:hint="eastAsia"/>
          <w:sz w:val="18"/>
        </w:rPr>
      </w:pPr>
      <w:r>
        <w:rPr>
          <w:rFonts w:eastAsia="標楷體" w:hint="eastAsia"/>
          <w:sz w:val="18"/>
        </w:rPr>
        <w:t>九十一年四月一日局企字第０九一０一八０三七九號函</w:t>
      </w:r>
    </w:p>
    <w:p w:rsidR="00000000" w:rsidRDefault="00FC5876">
      <w:pPr>
        <w:snapToGrid w:val="0"/>
        <w:ind w:leftChars="1500" w:left="3600"/>
        <w:rPr>
          <w:rFonts w:eastAsia="標楷體" w:hint="eastAsia"/>
          <w:sz w:val="18"/>
        </w:rPr>
      </w:pPr>
      <w:r>
        <w:rPr>
          <w:rFonts w:eastAsia="標楷體" w:hint="eastAsia"/>
          <w:sz w:val="18"/>
        </w:rPr>
        <w:t>九十一年六月五日局企字第０９１００２２１９１號函修正</w:t>
      </w:r>
    </w:p>
    <w:p w:rsidR="00000000" w:rsidRDefault="00FC5876">
      <w:pPr>
        <w:pStyle w:val="ab"/>
        <w:spacing w:beforeLines="0" w:before="0" w:after="0" w:line="240" w:lineRule="auto"/>
        <w:ind w:leftChars="1500" w:left="3600" w:firstLineChars="0" w:firstLine="0"/>
        <w:jc w:val="left"/>
        <w:rPr>
          <w:rFonts w:eastAsia="標楷體" w:hint="eastAsia"/>
          <w:sz w:val="18"/>
        </w:rPr>
      </w:pPr>
      <w:r>
        <w:rPr>
          <w:rFonts w:eastAsia="標楷體" w:hint="eastAsia"/>
          <w:sz w:val="18"/>
        </w:rPr>
        <w:t>九十一年十一月八日局企字第０９１００４５９３３號函修正</w:t>
      </w:r>
    </w:p>
    <w:p w:rsidR="00000000" w:rsidRDefault="00FC5876">
      <w:pPr>
        <w:snapToGrid w:val="0"/>
        <w:ind w:leftChars="1500" w:left="3600"/>
        <w:rPr>
          <w:rFonts w:hint="eastAsia"/>
          <w:sz w:val="16"/>
        </w:rPr>
      </w:pPr>
      <w:r>
        <w:rPr>
          <w:rFonts w:eastAsia="標楷體" w:hint="eastAsia"/>
          <w:sz w:val="18"/>
        </w:rPr>
        <w:t>九十二年十一月二十五日局企字第０９２００５６１４５號函修正</w:t>
      </w:r>
    </w:p>
    <w:p w:rsidR="00000000" w:rsidRDefault="00FC5876">
      <w:pPr>
        <w:snapToGrid w:val="0"/>
        <w:ind w:leftChars="1500" w:left="3600"/>
        <w:rPr>
          <w:rFonts w:hint="eastAsia"/>
          <w:sz w:val="16"/>
        </w:rPr>
      </w:pPr>
      <w:r>
        <w:rPr>
          <w:rFonts w:eastAsia="標楷體" w:hint="eastAsia"/>
          <w:sz w:val="18"/>
        </w:rPr>
        <w:t>九十三年三月十日局企字第０９３００６１３０９號函修正</w:t>
      </w:r>
    </w:p>
    <w:p w:rsidR="00000000" w:rsidRDefault="00FC5876">
      <w:pPr>
        <w:snapToGrid w:val="0"/>
        <w:ind w:leftChars="1500" w:left="3600"/>
        <w:rPr>
          <w:rFonts w:eastAsia="標楷體" w:hint="eastAsia"/>
          <w:sz w:val="18"/>
        </w:rPr>
      </w:pPr>
      <w:r>
        <w:rPr>
          <w:rFonts w:eastAsia="標楷體" w:hint="eastAsia"/>
          <w:sz w:val="18"/>
        </w:rPr>
        <w:t>九十三年五月四日局企字第０９３００６２１８８１號函修正</w:t>
      </w:r>
    </w:p>
    <w:p w:rsidR="00000000" w:rsidRDefault="00FC5876">
      <w:pPr>
        <w:snapToGrid w:val="0"/>
        <w:ind w:leftChars="1500" w:left="3600"/>
        <w:rPr>
          <w:rFonts w:eastAsia="標楷體"/>
          <w:sz w:val="28"/>
        </w:rPr>
      </w:pPr>
      <w:r>
        <w:rPr>
          <w:rFonts w:eastAsia="標楷體" w:hint="eastAsia"/>
          <w:sz w:val="18"/>
        </w:rPr>
        <w:t>九十三年六月十八日局企字第０９３００６２８３９號函修正</w:t>
      </w:r>
    </w:p>
    <w:p w:rsidR="00000000" w:rsidRDefault="00FC5876">
      <w:pPr>
        <w:spacing w:line="320" w:lineRule="exact"/>
        <w:jc w:val="center"/>
        <w:rPr>
          <w:rFonts w:eastAsia="標楷體" w:hint="eastAsi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4"/>
        <w:gridCol w:w="853"/>
        <w:gridCol w:w="1534"/>
        <w:gridCol w:w="3581"/>
        <w:gridCol w:w="1875"/>
      </w:tblGrid>
      <w:tr w:rsidR="00000000">
        <w:tblPrEx>
          <w:tblCellMar>
            <w:top w:w="0" w:type="dxa"/>
            <w:bottom w:w="0" w:type="dxa"/>
          </w:tblCellMar>
        </w:tblPrEx>
        <w:trPr>
          <w:cantSplit/>
          <w:trHeight w:val="149"/>
        </w:trPr>
        <w:tc>
          <w:tcPr>
            <w:tcW w:w="1194" w:type="dxa"/>
          </w:tcPr>
          <w:p w:rsidR="00000000" w:rsidRDefault="00FC5876">
            <w:pPr>
              <w:spacing w:line="320" w:lineRule="exact"/>
              <w:jc w:val="center"/>
              <w:rPr>
                <w:rFonts w:ascii="標楷體" w:eastAsia="標楷體" w:hAnsi="標楷體" w:hint="eastAsia"/>
              </w:rPr>
            </w:pPr>
            <w:r>
              <w:rPr>
                <w:rFonts w:ascii="標楷體" w:eastAsia="標楷體" w:hAnsi="標楷體" w:hint="eastAsia"/>
              </w:rPr>
              <w:t>層次</w:t>
            </w:r>
          </w:p>
        </w:tc>
        <w:tc>
          <w:tcPr>
            <w:tcW w:w="853" w:type="dxa"/>
          </w:tcPr>
          <w:p w:rsidR="00000000" w:rsidRDefault="00FC5876">
            <w:pPr>
              <w:spacing w:line="320" w:lineRule="exact"/>
              <w:jc w:val="center"/>
              <w:rPr>
                <w:rFonts w:ascii="標楷體" w:eastAsia="標楷體" w:hAnsi="標楷體" w:hint="eastAsia"/>
              </w:rPr>
            </w:pPr>
            <w:r>
              <w:rPr>
                <w:rFonts w:ascii="標楷體" w:eastAsia="標楷體" w:hAnsi="標楷體" w:hint="eastAsia"/>
              </w:rPr>
              <w:t>職稱</w:t>
            </w:r>
          </w:p>
        </w:tc>
        <w:tc>
          <w:tcPr>
            <w:tcW w:w="1534" w:type="dxa"/>
          </w:tcPr>
          <w:p w:rsidR="00000000" w:rsidRDefault="00FC5876">
            <w:pPr>
              <w:spacing w:line="320" w:lineRule="exact"/>
              <w:jc w:val="center"/>
              <w:rPr>
                <w:rFonts w:ascii="標楷體" w:eastAsia="標楷體" w:hAnsi="標楷體" w:hint="eastAsia"/>
              </w:rPr>
            </w:pPr>
            <w:r>
              <w:rPr>
                <w:rFonts w:ascii="標楷體" w:eastAsia="標楷體" w:hAnsi="標楷體" w:hint="eastAsia"/>
              </w:rPr>
              <w:t>職等</w:t>
            </w:r>
          </w:p>
        </w:tc>
        <w:tc>
          <w:tcPr>
            <w:tcW w:w="3581" w:type="dxa"/>
          </w:tcPr>
          <w:p w:rsidR="00000000" w:rsidRDefault="00FC5876">
            <w:pPr>
              <w:spacing w:line="320" w:lineRule="exact"/>
              <w:jc w:val="center"/>
              <w:rPr>
                <w:rFonts w:ascii="標楷體" w:eastAsia="標楷體" w:hAnsi="標楷體" w:hint="eastAsia"/>
              </w:rPr>
            </w:pPr>
            <w:r>
              <w:rPr>
                <w:rFonts w:ascii="標楷體" w:eastAsia="標楷體" w:hAnsi="標楷體" w:hint="eastAsia"/>
              </w:rPr>
              <w:t>陞任資格</w:t>
            </w:r>
          </w:p>
        </w:tc>
        <w:tc>
          <w:tcPr>
            <w:tcW w:w="1875" w:type="dxa"/>
          </w:tcPr>
          <w:p w:rsidR="00000000" w:rsidRDefault="00FC5876">
            <w:pPr>
              <w:spacing w:line="320" w:lineRule="exact"/>
              <w:jc w:val="center"/>
              <w:rPr>
                <w:rFonts w:ascii="標楷體" w:eastAsia="標楷體" w:hAnsi="標楷體" w:hint="eastAsia"/>
              </w:rPr>
            </w:pPr>
            <w:r>
              <w:rPr>
                <w:rFonts w:ascii="標楷體" w:eastAsia="標楷體" w:hAnsi="標楷體" w:hint="eastAsia"/>
              </w:rPr>
              <w:t>備註</w:t>
            </w:r>
          </w:p>
        </w:tc>
      </w:tr>
      <w:tr w:rsidR="00000000">
        <w:tblPrEx>
          <w:tblCellMar>
            <w:top w:w="0" w:type="dxa"/>
            <w:bottom w:w="0" w:type="dxa"/>
          </w:tblCellMar>
        </w:tblPrEx>
        <w:trPr>
          <w:cantSplit/>
          <w:trHeight w:val="1674"/>
        </w:trPr>
        <w:tc>
          <w:tcPr>
            <w:tcW w:w="1194" w:type="dxa"/>
            <w:tcBorders>
              <w:bottom w:val="single" w:sz="4" w:space="0" w:color="auto"/>
            </w:tcBorders>
          </w:tcPr>
          <w:p w:rsidR="00000000" w:rsidRDefault="00FC5876">
            <w:pPr>
              <w:spacing w:line="320" w:lineRule="exact"/>
              <w:jc w:val="center"/>
              <w:rPr>
                <w:rFonts w:ascii="標楷體" w:eastAsia="標楷體" w:hAnsi="標楷體" w:hint="eastAsia"/>
              </w:rPr>
            </w:pPr>
            <w:r>
              <w:rPr>
                <w:rFonts w:ascii="標楷體" w:eastAsia="標楷體" w:hAnsi="標楷體" w:hint="eastAsia"/>
              </w:rPr>
              <w:t>第一層次</w:t>
            </w:r>
          </w:p>
        </w:tc>
        <w:tc>
          <w:tcPr>
            <w:tcW w:w="853" w:type="dxa"/>
            <w:tcBorders>
              <w:bottom w:val="single" w:sz="4" w:space="0" w:color="auto"/>
            </w:tcBorders>
          </w:tcPr>
          <w:p w:rsidR="00000000" w:rsidRDefault="00FC5876">
            <w:pPr>
              <w:spacing w:line="320" w:lineRule="exact"/>
              <w:jc w:val="center"/>
              <w:rPr>
                <w:rFonts w:ascii="標楷體" w:eastAsia="標楷體" w:hAnsi="標楷體" w:hint="eastAsia"/>
              </w:rPr>
            </w:pPr>
            <w:r>
              <w:rPr>
                <w:rFonts w:ascii="標楷體" w:eastAsia="標楷體" w:hAnsi="標楷體" w:hint="eastAsia"/>
              </w:rPr>
              <w:t>主任</w:t>
            </w:r>
          </w:p>
        </w:tc>
        <w:tc>
          <w:tcPr>
            <w:tcW w:w="1534" w:type="dxa"/>
            <w:tcBorders>
              <w:bottom w:val="single" w:sz="4" w:space="0" w:color="auto"/>
            </w:tcBorders>
          </w:tcPr>
          <w:p w:rsidR="00000000" w:rsidRDefault="00FC5876">
            <w:pPr>
              <w:spacing w:line="320" w:lineRule="exact"/>
              <w:jc w:val="both"/>
              <w:rPr>
                <w:rFonts w:ascii="標楷體" w:eastAsia="標楷體" w:hAnsi="標楷體" w:hint="eastAsia"/>
              </w:rPr>
            </w:pPr>
            <w:r>
              <w:rPr>
                <w:rFonts w:ascii="標楷體" w:eastAsia="標楷體" w:hAnsi="標楷體" w:hint="eastAsia"/>
              </w:rPr>
              <w:t>薦任第九職等至簡任第十職等</w:t>
            </w:r>
          </w:p>
        </w:tc>
        <w:tc>
          <w:tcPr>
            <w:tcW w:w="3581" w:type="dxa"/>
            <w:tcBorders>
              <w:bottom w:val="single" w:sz="4" w:space="0" w:color="auto"/>
            </w:tcBorders>
          </w:tcPr>
          <w:p w:rsidR="00000000" w:rsidRDefault="00FC5876">
            <w:pPr>
              <w:spacing w:line="320" w:lineRule="exact"/>
              <w:jc w:val="both"/>
              <w:rPr>
                <w:rFonts w:ascii="標楷體" w:eastAsia="標楷體" w:hAnsi="標楷體" w:hint="eastAsia"/>
                <w:b/>
              </w:rPr>
            </w:pPr>
            <w:r>
              <w:rPr>
                <w:rFonts w:ascii="標楷體" w:eastAsia="標楷體" w:hAnsi="標楷體" w:hint="eastAsia"/>
                <w:b/>
              </w:rPr>
              <w:t>應具有公務人員任用法第十七條第一、二項所定簡任資格，並具備下列條件之一：</w:t>
            </w:r>
          </w:p>
          <w:p w:rsidR="00000000" w:rsidRDefault="00FC5876">
            <w:pPr>
              <w:spacing w:line="320" w:lineRule="exact"/>
              <w:ind w:left="412" w:hanging="412"/>
              <w:jc w:val="both"/>
              <w:rPr>
                <w:rFonts w:ascii="標楷體" w:eastAsia="標楷體" w:hAnsi="標楷體" w:hint="eastAsia"/>
              </w:rPr>
            </w:pPr>
            <w:r>
              <w:rPr>
                <w:rFonts w:ascii="標楷體" w:eastAsia="標楷體" w:hAnsi="標楷體" w:hint="eastAsia"/>
                <w:b/>
              </w:rPr>
              <w:t>一、現任或曾任各人事機關（構）薦任第九職等至簡任第十職等人事室副主任等相當層級職務佐理人員一年以上。</w:t>
            </w:r>
          </w:p>
          <w:p w:rsidR="00000000" w:rsidRDefault="00FC5876">
            <w:pPr>
              <w:spacing w:line="320" w:lineRule="exact"/>
              <w:ind w:left="420" w:hanging="420"/>
              <w:jc w:val="both"/>
              <w:rPr>
                <w:rFonts w:ascii="標楷體" w:eastAsia="標楷體" w:hAnsi="標楷體" w:hint="eastAsia"/>
                <w:b/>
              </w:rPr>
            </w:pPr>
            <w:r>
              <w:rPr>
                <w:rFonts w:ascii="標楷體" w:eastAsia="標楷體" w:hAnsi="標楷體" w:hint="eastAsia"/>
              </w:rPr>
              <w:t>二、現任或曾任各人事機關（構）</w:t>
            </w:r>
            <w:r>
              <w:rPr>
                <w:rFonts w:ascii="標楷體" w:eastAsia="標楷體" w:hAnsi="標楷體" w:hint="eastAsia"/>
                <w:b/>
              </w:rPr>
              <w:t>單列</w:t>
            </w:r>
            <w:r>
              <w:rPr>
                <w:rFonts w:ascii="標楷體" w:eastAsia="標楷體" w:hAnsi="標楷體" w:hint="eastAsia"/>
              </w:rPr>
              <w:t>薦任第九職等人事室主任等相當層級</w:t>
            </w:r>
            <w:r>
              <w:rPr>
                <w:rFonts w:ascii="標楷體" w:eastAsia="標楷體" w:hAnsi="標楷體" w:hint="eastAsia"/>
                <w:b/>
                <w:bCs/>
              </w:rPr>
              <w:t>主管、副主管</w:t>
            </w:r>
            <w:r>
              <w:rPr>
                <w:rFonts w:ascii="標楷體" w:eastAsia="標楷體" w:hAnsi="標楷體" w:hint="eastAsia"/>
              </w:rPr>
              <w:t>職務三年以</w:t>
            </w:r>
            <w:r>
              <w:rPr>
                <w:rFonts w:ascii="標楷體" w:eastAsia="標楷體" w:hAnsi="標楷體" w:hint="eastAsia"/>
              </w:rPr>
              <w:t>上</w:t>
            </w:r>
          </w:p>
          <w:p w:rsidR="00000000" w:rsidRDefault="00FC5876">
            <w:pPr>
              <w:spacing w:line="320" w:lineRule="exact"/>
              <w:ind w:left="420" w:hanging="420"/>
              <w:jc w:val="both"/>
              <w:rPr>
                <w:rFonts w:ascii="標楷體" w:eastAsia="標楷體" w:hAnsi="標楷體" w:hint="eastAsia"/>
              </w:rPr>
            </w:pPr>
            <w:r>
              <w:rPr>
                <w:rFonts w:ascii="標楷體" w:eastAsia="標楷體" w:hAnsi="標楷體" w:hint="eastAsia"/>
                <w:b/>
              </w:rPr>
              <w:t>三、現任或曾任各人事機關（構）薦任第七職等至第九職等及薦任第八職等至第九職等人事室主任四年以上，且敘薦任第九職等四年以上。</w:t>
            </w:r>
          </w:p>
        </w:tc>
        <w:tc>
          <w:tcPr>
            <w:tcW w:w="1875" w:type="dxa"/>
            <w:tcBorders>
              <w:bottom w:val="single" w:sz="4" w:space="0" w:color="auto"/>
            </w:tcBorders>
          </w:tcPr>
          <w:p w:rsidR="00000000" w:rsidRDefault="00FC5876">
            <w:pPr>
              <w:spacing w:line="320" w:lineRule="exact"/>
              <w:jc w:val="both"/>
              <w:rPr>
                <w:rFonts w:ascii="標楷體" w:eastAsia="標楷體" w:hAnsi="標楷體" w:hint="eastAsia"/>
              </w:rPr>
            </w:pPr>
            <w:r>
              <w:rPr>
                <w:rFonts w:ascii="標楷體" w:eastAsia="標楷體" w:hAnsi="標楷體" w:hint="eastAsia"/>
              </w:rPr>
              <w:t>簡任第十職等人事室主任之陞任資格比照本層次人員辦理。</w:t>
            </w:r>
          </w:p>
        </w:tc>
      </w:tr>
      <w:tr w:rsidR="00000000">
        <w:tblPrEx>
          <w:tblCellMar>
            <w:top w:w="0" w:type="dxa"/>
            <w:bottom w:w="0" w:type="dxa"/>
          </w:tblCellMar>
        </w:tblPrEx>
        <w:trPr>
          <w:cantSplit/>
          <w:trHeight w:val="1101"/>
        </w:trPr>
        <w:tc>
          <w:tcPr>
            <w:tcW w:w="1194" w:type="dxa"/>
          </w:tcPr>
          <w:p w:rsidR="00000000" w:rsidRDefault="00FC5876">
            <w:pPr>
              <w:spacing w:line="320" w:lineRule="exact"/>
              <w:jc w:val="center"/>
              <w:rPr>
                <w:rFonts w:ascii="標楷體" w:eastAsia="標楷體" w:hAnsi="標楷體" w:hint="eastAsia"/>
              </w:rPr>
            </w:pPr>
            <w:r>
              <w:rPr>
                <w:rFonts w:ascii="標楷體" w:eastAsia="標楷體" w:hAnsi="標楷體" w:hint="eastAsia"/>
              </w:rPr>
              <w:t>第二層次</w:t>
            </w:r>
          </w:p>
        </w:tc>
        <w:tc>
          <w:tcPr>
            <w:tcW w:w="853" w:type="dxa"/>
          </w:tcPr>
          <w:p w:rsidR="00000000" w:rsidRDefault="00FC5876">
            <w:pPr>
              <w:spacing w:line="320" w:lineRule="exact"/>
              <w:jc w:val="center"/>
              <w:rPr>
                <w:rFonts w:ascii="標楷體" w:eastAsia="標楷體" w:hAnsi="標楷體" w:hint="eastAsia"/>
              </w:rPr>
            </w:pPr>
            <w:r>
              <w:rPr>
                <w:rFonts w:ascii="標楷體" w:eastAsia="標楷體" w:hAnsi="標楷體" w:hint="eastAsia"/>
              </w:rPr>
              <w:t>專門委員、視察、秘書</w:t>
            </w:r>
          </w:p>
        </w:tc>
        <w:tc>
          <w:tcPr>
            <w:tcW w:w="1534" w:type="dxa"/>
          </w:tcPr>
          <w:p w:rsidR="00000000" w:rsidRDefault="00FC5876">
            <w:pPr>
              <w:spacing w:line="320" w:lineRule="exact"/>
              <w:jc w:val="both"/>
              <w:rPr>
                <w:rFonts w:ascii="標楷體" w:eastAsia="標楷體" w:hAnsi="標楷體" w:hint="eastAsia"/>
              </w:rPr>
            </w:pPr>
            <w:r>
              <w:rPr>
                <w:rFonts w:ascii="標楷體" w:eastAsia="標楷體" w:hAnsi="標楷體" w:hint="eastAsia"/>
              </w:rPr>
              <w:t>簡任第十職等至第十一職等</w:t>
            </w:r>
          </w:p>
        </w:tc>
        <w:tc>
          <w:tcPr>
            <w:tcW w:w="3581" w:type="dxa"/>
          </w:tcPr>
          <w:p w:rsidR="00000000" w:rsidRDefault="00FC5876">
            <w:pPr>
              <w:pStyle w:val="a5"/>
              <w:spacing w:line="320" w:lineRule="exact"/>
              <w:ind w:left="0" w:firstLineChars="0" w:firstLine="0"/>
              <w:jc w:val="both"/>
              <w:rPr>
                <w:rFonts w:ascii="標楷體" w:eastAsia="標楷體" w:hAnsi="標楷體" w:hint="eastAsia"/>
                <w:sz w:val="24"/>
              </w:rPr>
            </w:pPr>
            <w:r>
              <w:rPr>
                <w:rFonts w:ascii="標楷體" w:eastAsia="標楷體" w:hAnsi="標楷體" w:hint="eastAsia"/>
                <w:sz w:val="24"/>
              </w:rPr>
              <w:t>各主管機關人事機構依權責訂定</w:t>
            </w:r>
          </w:p>
        </w:tc>
        <w:tc>
          <w:tcPr>
            <w:tcW w:w="1875" w:type="dxa"/>
          </w:tcPr>
          <w:p w:rsidR="00000000" w:rsidRDefault="00FC5876">
            <w:pPr>
              <w:spacing w:line="320" w:lineRule="exact"/>
              <w:rPr>
                <w:rFonts w:ascii="標楷體" w:eastAsia="標楷體" w:hAnsi="標楷體" w:hint="eastAsia"/>
              </w:rPr>
            </w:pPr>
            <w:r>
              <w:rPr>
                <w:rFonts w:ascii="標楷體" w:eastAsia="標楷體" w:hAnsi="標楷體" w:hint="eastAsia"/>
              </w:rPr>
              <w:t>本層次職務由主管機關人事機構依規定遴選適當人員報請本局核派。</w:t>
            </w:r>
          </w:p>
        </w:tc>
      </w:tr>
      <w:tr w:rsidR="00000000">
        <w:tblPrEx>
          <w:tblCellMar>
            <w:top w:w="0" w:type="dxa"/>
            <w:bottom w:w="0" w:type="dxa"/>
          </w:tblCellMar>
        </w:tblPrEx>
        <w:trPr>
          <w:trHeight w:val="1101"/>
        </w:trPr>
        <w:tc>
          <w:tcPr>
            <w:tcW w:w="1194" w:type="dxa"/>
          </w:tcPr>
          <w:p w:rsidR="00000000" w:rsidRDefault="00FC5876">
            <w:pPr>
              <w:spacing w:line="320" w:lineRule="exact"/>
              <w:jc w:val="center"/>
              <w:rPr>
                <w:rFonts w:ascii="標楷體" w:eastAsia="標楷體" w:hAnsi="標楷體" w:hint="eastAsia"/>
              </w:rPr>
            </w:pPr>
            <w:r>
              <w:rPr>
                <w:rFonts w:ascii="標楷體" w:eastAsia="標楷體" w:hAnsi="標楷體" w:hint="eastAsia"/>
              </w:rPr>
              <w:t>第三層次</w:t>
            </w:r>
          </w:p>
        </w:tc>
        <w:tc>
          <w:tcPr>
            <w:tcW w:w="853" w:type="dxa"/>
          </w:tcPr>
          <w:p w:rsidR="00000000" w:rsidRDefault="00FC5876">
            <w:pPr>
              <w:spacing w:line="320" w:lineRule="exact"/>
              <w:jc w:val="center"/>
              <w:rPr>
                <w:rFonts w:ascii="標楷體" w:eastAsia="標楷體" w:hAnsi="標楷體" w:hint="eastAsia"/>
              </w:rPr>
            </w:pPr>
            <w:r>
              <w:rPr>
                <w:rFonts w:ascii="標楷體" w:eastAsia="標楷體" w:hAnsi="標楷體" w:hint="eastAsia"/>
              </w:rPr>
              <w:t>主任</w:t>
            </w:r>
          </w:p>
        </w:tc>
        <w:tc>
          <w:tcPr>
            <w:tcW w:w="1534" w:type="dxa"/>
          </w:tcPr>
          <w:p w:rsidR="00000000" w:rsidRDefault="00FC5876">
            <w:pPr>
              <w:spacing w:line="320" w:lineRule="exact"/>
              <w:jc w:val="both"/>
              <w:rPr>
                <w:rFonts w:ascii="標楷體" w:eastAsia="標楷體" w:hAnsi="標楷體" w:hint="eastAsia"/>
              </w:rPr>
            </w:pPr>
            <w:r>
              <w:rPr>
                <w:rFonts w:ascii="標楷體" w:eastAsia="標楷體" w:hAnsi="標楷體" w:hint="eastAsia"/>
              </w:rPr>
              <w:t>簡任第十職等至第十一職等</w:t>
            </w:r>
          </w:p>
        </w:tc>
        <w:tc>
          <w:tcPr>
            <w:tcW w:w="3581" w:type="dxa"/>
          </w:tcPr>
          <w:p w:rsidR="00000000" w:rsidRDefault="00FC5876">
            <w:pPr>
              <w:spacing w:line="320" w:lineRule="exact"/>
              <w:ind w:left="420" w:hanging="420"/>
              <w:jc w:val="both"/>
              <w:rPr>
                <w:rFonts w:ascii="標楷體" w:eastAsia="標楷體" w:hAnsi="標楷體" w:hint="eastAsia"/>
              </w:rPr>
            </w:pPr>
            <w:r>
              <w:rPr>
                <w:rFonts w:ascii="標楷體" w:eastAsia="標楷體" w:hAnsi="標楷體" w:hint="eastAsia"/>
              </w:rPr>
              <w:t>一、擬陞任各主管機關簡任第十職等至第十一職等人事室主任職務者，應具備下列條件之一：</w:t>
            </w:r>
          </w:p>
          <w:p w:rsidR="00000000" w:rsidRDefault="00FC5876">
            <w:pPr>
              <w:pStyle w:val="32"/>
              <w:ind w:left="1160" w:hanging="680"/>
              <w:jc w:val="both"/>
              <w:rPr>
                <w:rFonts w:ascii="標楷體" w:eastAsia="標楷體" w:hAnsi="標楷體" w:hint="eastAsia"/>
                <w:sz w:val="24"/>
                <w:szCs w:val="24"/>
              </w:rPr>
            </w:pPr>
            <w:r>
              <w:rPr>
                <w:rFonts w:ascii="標楷體" w:eastAsia="標楷體" w:hAnsi="標楷體" w:hint="eastAsia"/>
                <w:sz w:val="24"/>
                <w:szCs w:val="24"/>
              </w:rPr>
              <w:t>（一）現任或曾任各人事機關（構）簡任第十職等至</w:t>
            </w:r>
            <w:r>
              <w:rPr>
                <w:rFonts w:ascii="標楷體" w:eastAsia="標楷體" w:hAnsi="標楷體" w:hint="eastAsia"/>
                <w:sz w:val="24"/>
                <w:szCs w:val="24"/>
              </w:rPr>
              <w:lastRenderedPageBreak/>
              <w:t>第十</w:t>
            </w:r>
            <w:r>
              <w:rPr>
                <w:rFonts w:ascii="標楷體" w:eastAsia="標楷體" w:hAnsi="標楷體" w:hint="eastAsia"/>
                <w:sz w:val="24"/>
                <w:szCs w:val="24"/>
              </w:rPr>
              <w:t>一職等專門委員等相當層級人員</w:t>
            </w:r>
            <w:r>
              <w:rPr>
                <w:rFonts w:ascii="標楷體" w:eastAsia="標楷體" w:hAnsi="標楷體" w:hint="eastAsia"/>
                <w:b/>
                <w:bCs/>
                <w:sz w:val="24"/>
                <w:szCs w:val="24"/>
                <w:u w:val="single"/>
              </w:rPr>
              <w:t>二</w:t>
            </w:r>
            <w:r>
              <w:rPr>
                <w:rFonts w:ascii="標楷體" w:eastAsia="標楷體" w:hAnsi="標楷體" w:hint="eastAsia"/>
                <w:sz w:val="24"/>
                <w:szCs w:val="24"/>
              </w:rPr>
              <w:t>年以上。</w:t>
            </w:r>
          </w:p>
          <w:p w:rsidR="00000000" w:rsidRDefault="00FC5876">
            <w:pPr>
              <w:pStyle w:val="32"/>
              <w:ind w:left="1160" w:hanging="680"/>
              <w:jc w:val="both"/>
              <w:rPr>
                <w:rFonts w:ascii="標楷體" w:eastAsia="標楷體" w:hAnsi="標楷體" w:hint="eastAsia"/>
                <w:sz w:val="24"/>
                <w:szCs w:val="24"/>
              </w:rPr>
            </w:pPr>
            <w:r>
              <w:rPr>
                <w:rFonts w:ascii="標楷體" w:eastAsia="標楷體" w:hAnsi="標楷體" w:hint="eastAsia"/>
                <w:sz w:val="24"/>
                <w:szCs w:val="24"/>
              </w:rPr>
              <w:t>（二）現任或曾任各人事機關（構）單列簡任第十職等主任秘書或總幹事一年以上。</w:t>
            </w:r>
          </w:p>
          <w:p w:rsidR="00000000" w:rsidRDefault="00FC5876">
            <w:pPr>
              <w:pStyle w:val="32"/>
              <w:ind w:left="1160" w:hanging="680"/>
              <w:jc w:val="both"/>
              <w:rPr>
                <w:rFonts w:ascii="標楷體" w:eastAsia="標楷體" w:hAnsi="標楷體" w:hint="eastAsia"/>
                <w:b/>
                <w:sz w:val="24"/>
                <w:szCs w:val="24"/>
              </w:rPr>
            </w:pPr>
            <w:r>
              <w:rPr>
                <w:rFonts w:ascii="標楷體" w:eastAsia="標楷體" w:hAnsi="標楷體" w:hint="eastAsia"/>
                <w:b/>
                <w:sz w:val="24"/>
                <w:szCs w:val="24"/>
              </w:rPr>
              <w:t>（三）</w:t>
            </w:r>
            <w:r>
              <w:rPr>
                <w:rFonts w:ascii="標楷體" w:eastAsia="標楷體" w:hAnsi="標楷體" w:hint="eastAsia"/>
                <w:sz w:val="24"/>
                <w:szCs w:val="24"/>
              </w:rPr>
              <w:t>現任或曾任各人事機關（構）單列簡任第十職等人事室主任</w:t>
            </w:r>
            <w:r>
              <w:rPr>
                <w:rFonts w:ascii="標楷體" w:eastAsia="標楷體" w:hAnsi="標楷體" w:hint="eastAsia"/>
                <w:b/>
                <w:bCs/>
                <w:sz w:val="24"/>
                <w:szCs w:val="24"/>
                <w:u w:val="single"/>
              </w:rPr>
              <w:t>四</w:t>
            </w:r>
            <w:r>
              <w:rPr>
                <w:rFonts w:ascii="標楷體" w:eastAsia="標楷體" w:hAnsi="標楷體" w:hint="eastAsia"/>
                <w:b/>
                <w:bCs/>
                <w:sz w:val="24"/>
                <w:szCs w:val="24"/>
              </w:rPr>
              <w:t>年</w:t>
            </w:r>
            <w:r>
              <w:rPr>
                <w:rFonts w:ascii="標楷體" w:eastAsia="標楷體" w:hAnsi="標楷體" w:hint="eastAsia"/>
                <w:sz w:val="24"/>
                <w:szCs w:val="24"/>
              </w:rPr>
              <w:t>以上。</w:t>
            </w:r>
          </w:p>
          <w:p w:rsidR="00000000" w:rsidRDefault="00FC5876">
            <w:pPr>
              <w:pStyle w:val="32"/>
              <w:ind w:left="1160" w:hanging="680"/>
              <w:jc w:val="both"/>
              <w:rPr>
                <w:rFonts w:ascii="標楷體" w:eastAsia="標楷體" w:hAnsi="標楷體" w:hint="eastAsia"/>
                <w:b/>
                <w:sz w:val="24"/>
                <w:szCs w:val="24"/>
              </w:rPr>
            </w:pPr>
            <w:r>
              <w:rPr>
                <w:rFonts w:ascii="標楷體" w:eastAsia="標楷體" w:hAnsi="標楷體" w:hint="eastAsia"/>
                <w:b/>
                <w:sz w:val="24"/>
                <w:szCs w:val="24"/>
              </w:rPr>
              <w:t>（四）</w:t>
            </w:r>
            <w:r>
              <w:rPr>
                <w:rFonts w:ascii="標楷體" w:eastAsia="標楷體" w:hAnsi="標楷體" w:hint="eastAsia"/>
                <w:sz w:val="24"/>
                <w:szCs w:val="24"/>
              </w:rPr>
              <w:t>現任或曾任各人事機關（構）單列簡任第十職等編審等相當層級佐理人員</w:t>
            </w:r>
            <w:r>
              <w:rPr>
                <w:rFonts w:ascii="標楷體" w:eastAsia="標楷體" w:hAnsi="標楷體" w:hint="eastAsia"/>
                <w:b/>
                <w:sz w:val="24"/>
                <w:szCs w:val="24"/>
                <w:u w:val="single"/>
              </w:rPr>
              <w:t>六</w:t>
            </w:r>
            <w:r>
              <w:rPr>
                <w:rFonts w:ascii="標楷體" w:eastAsia="標楷體" w:hAnsi="標楷體" w:hint="eastAsia"/>
                <w:sz w:val="24"/>
                <w:szCs w:val="24"/>
              </w:rPr>
              <w:t>年以上。</w:t>
            </w:r>
          </w:p>
          <w:p w:rsidR="00000000" w:rsidRDefault="00FC5876">
            <w:pPr>
              <w:pStyle w:val="32"/>
              <w:ind w:left="1160" w:hanging="680"/>
              <w:jc w:val="both"/>
              <w:rPr>
                <w:rFonts w:ascii="標楷體" w:eastAsia="標楷體" w:hAnsi="標楷體"/>
                <w:sz w:val="24"/>
                <w:szCs w:val="24"/>
              </w:rPr>
            </w:pPr>
            <w:r>
              <w:rPr>
                <w:rFonts w:ascii="標楷體" w:eastAsia="標楷體" w:hAnsi="標楷體" w:hint="eastAsia"/>
                <w:sz w:val="24"/>
                <w:szCs w:val="24"/>
              </w:rPr>
              <w:t>（五）現任或曾任各人事機關（構）薦任第九職等至簡任第十職等人事室主任，並已敘簡任第十職等職務六年以上。</w:t>
            </w:r>
          </w:p>
          <w:p w:rsidR="00000000" w:rsidRDefault="00FC5876">
            <w:pPr>
              <w:spacing w:line="320" w:lineRule="exact"/>
              <w:ind w:left="420" w:hanging="420"/>
              <w:jc w:val="both"/>
              <w:rPr>
                <w:rFonts w:ascii="標楷體" w:eastAsia="標楷體" w:hAnsi="標楷體" w:hint="eastAsia"/>
              </w:rPr>
            </w:pPr>
            <w:r>
              <w:rPr>
                <w:rFonts w:ascii="標楷體" w:eastAsia="標楷體" w:hAnsi="標楷體" w:hint="eastAsia"/>
              </w:rPr>
              <w:t>二、擬陞任教育部所屬大學簡任第十職等至第十一職等人事室主任者，應具下列條件之一：</w:t>
            </w:r>
          </w:p>
          <w:p w:rsidR="00000000" w:rsidRDefault="00FC5876">
            <w:pPr>
              <w:pStyle w:val="32"/>
              <w:ind w:left="1160" w:hanging="680"/>
              <w:jc w:val="both"/>
              <w:rPr>
                <w:rFonts w:ascii="標楷體" w:eastAsia="標楷體" w:hAnsi="標楷體" w:hint="eastAsia"/>
                <w:sz w:val="24"/>
                <w:szCs w:val="24"/>
              </w:rPr>
            </w:pPr>
            <w:r>
              <w:rPr>
                <w:rFonts w:ascii="標楷體" w:eastAsia="標楷體" w:hAnsi="標楷體" w:hint="eastAsia"/>
                <w:sz w:val="24"/>
                <w:szCs w:val="24"/>
              </w:rPr>
              <w:t>（一）具前項</w:t>
            </w:r>
            <w:r>
              <w:rPr>
                <w:rFonts w:ascii="標楷體" w:eastAsia="標楷體" w:hAnsi="標楷體" w:hint="eastAsia"/>
                <w:b/>
                <w:sz w:val="24"/>
                <w:szCs w:val="24"/>
                <w:u w:val="single"/>
              </w:rPr>
              <w:t>第一款、第二款或第四款</w:t>
            </w:r>
            <w:r>
              <w:rPr>
                <w:rFonts w:ascii="標楷體" w:eastAsia="標楷體" w:hAnsi="標楷體" w:hint="eastAsia"/>
                <w:sz w:val="24"/>
                <w:szCs w:val="24"/>
              </w:rPr>
              <w:t>條件之一者。</w:t>
            </w:r>
          </w:p>
          <w:p w:rsidR="00000000" w:rsidRDefault="00FC5876">
            <w:pPr>
              <w:pStyle w:val="32"/>
              <w:ind w:left="1160" w:hanging="680"/>
              <w:jc w:val="both"/>
              <w:rPr>
                <w:rFonts w:ascii="標楷體" w:eastAsia="標楷體" w:hAnsi="標楷體" w:hint="eastAsia"/>
                <w:sz w:val="24"/>
                <w:szCs w:val="24"/>
              </w:rPr>
            </w:pPr>
            <w:r>
              <w:rPr>
                <w:rFonts w:ascii="標楷體" w:eastAsia="標楷體" w:hAnsi="標楷體" w:hint="eastAsia"/>
                <w:sz w:val="24"/>
                <w:szCs w:val="24"/>
              </w:rPr>
              <w:t>（二）現任</w:t>
            </w:r>
            <w:r>
              <w:rPr>
                <w:rFonts w:ascii="標楷體" w:eastAsia="標楷體" w:hAnsi="標楷體" w:hint="eastAsia"/>
                <w:sz w:val="24"/>
                <w:szCs w:val="24"/>
              </w:rPr>
              <w:t>或曾任各人事機關（構）已敘簡任第十職等人事室主任三年以上。</w:t>
            </w:r>
          </w:p>
        </w:tc>
        <w:tc>
          <w:tcPr>
            <w:tcW w:w="1875" w:type="dxa"/>
          </w:tcPr>
          <w:p w:rsidR="00000000" w:rsidRDefault="00FC5876">
            <w:pPr>
              <w:spacing w:line="320" w:lineRule="exact"/>
              <w:jc w:val="both"/>
              <w:rPr>
                <w:rFonts w:ascii="標楷體" w:eastAsia="標楷體" w:hAnsi="標楷體" w:hint="eastAsia"/>
                <w:b/>
              </w:rPr>
            </w:pPr>
          </w:p>
        </w:tc>
      </w:tr>
      <w:tr w:rsidR="00000000">
        <w:tblPrEx>
          <w:tblCellMar>
            <w:top w:w="0" w:type="dxa"/>
            <w:bottom w:w="0" w:type="dxa"/>
          </w:tblCellMar>
        </w:tblPrEx>
        <w:trPr>
          <w:trHeight w:val="1292"/>
        </w:trPr>
        <w:tc>
          <w:tcPr>
            <w:tcW w:w="1194" w:type="dxa"/>
          </w:tcPr>
          <w:p w:rsidR="00000000" w:rsidRDefault="00FC5876">
            <w:pPr>
              <w:spacing w:line="320" w:lineRule="exact"/>
              <w:jc w:val="center"/>
              <w:rPr>
                <w:rFonts w:ascii="標楷體" w:eastAsia="標楷體" w:hAnsi="標楷體" w:hint="eastAsia"/>
              </w:rPr>
            </w:pPr>
            <w:r>
              <w:rPr>
                <w:rFonts w:ascii="標楷體" w:eastAsia="標楷體" w:hAnsi="標楷體" w:hint="eastAsia"/>
              </w:rPr>
              <w:t>第四層次</w:t>
            </w:r>
          </w:p>
        </w:tc>
        <w:tc>
          <w:tcPr>
            <w:tcW w:w="853" w:type="dxa"/>
            <w:tcBorders>
              <w:bottom w:val="single" w:sz="4" w:space="0" w:color="auto"/>
            </w:tcBorders>
          </w:tcPr>
          <w:p w:rsidR="00000000" w:rsidRDefault="00FC5876">
            <w:pPr>
              <w:spacing w:line="320" w:lineRule="exact"/>
              <w:jc w:val="center"/>
              <w:rPr>
                <w:rFonts w:ascii="標楷體" w:eastAsia="標楷體" w:hAnsi="標楷體" w:hint="eastAsia"/>
              </w:rPr>
            </w:pPr>
            <w:r>
              <w:rPr>
                <w:rFonts w:ascii="標楷體" w:eastAsia="標楷體" w:hAnsi="標楷體" w:hint="eastAsia"/>
              </w:rPr>
              <w:t>副處長</w:t>
            </w:r>
          </w:p>
        </w:tc>
        <w:tc>
          <w:tcPr>
            <w:tcW w:w="1534" w:type="dxa"/>
          </w:tcPr>
          <w:p w:rsidR="00000000" w:rsidRDefault="00FC5876">
            <w:pPr>
              <w:spacing w:line="320" w:lineRule="exact"/>
              <w:jc w:val="both"/>
              <w:rPr>
                <w:rFonts w:ascii="標楷體" w:eastAsia="標楷體" w:hAnsi="標楷體"/>
              </w:rPr>
            </w:pPr>
            <w:r>
              <w:rPr>
                <w:rFonts w:ascii="標楷體" w:eastAsia="標楷體" w:hAnsi="標楷體" w:hint="eastAsia"/>
              </w:rPr>
              <w:t>簡任第十一職等</w:t>
            </w:r>
          </w:p>
        </w:tc>
        <w:tc>
          <w:tcPr>
            <w:tcW w:w="3581" w:type="dxa"/>
          </w:tcPr>
          <w:p w:rsidR="00000000" w:rsidRDefault="00FC5876">
            <w:pPr>
              <w:pStyle w:val="31"/>
              <w:spacing w:line="320" w:lineRule="exact"/>
              <w:rPr>
                <w:rFonts w:ascii="標楷體" w:eastAsia="標楷體" w:hAnsi="標楷體" w:hint="eastAsia"/>
                <w:sz w:val="24"/>
                <w:szCs w:val="24"/>
              </w:rPr>
            </w:pPr>
            <w:r>
              <w:rPr>
                <w:rFonts w:ascii="標楷體" w:eastAsia="標楷體" w:hAnsi="標楷體" w:hint="eastAsia"/>
                <w:sz w:val="24"/>
                <w:szCs w:val="24"/>
              </w:rPr>
              <w:t>應具備下列條件之一：</w:t>
            </w:r>
          </w:p>
          <w:p w:rsidR="00000000" w:rsidRDefault="00FC5876">
            <w:pPr>
              <w:spacing w:line="320" w:lineRule="exact"/>
              <w:ind w:left="420" w:hanging="420"/>
              <w:jc w:val="both"/>
              <w:rPr>
                <w:rFonts w:ascii="標楷體" w:eastAsia="標楷體" w:hAnsi="標楷體" w:hint="eastAsia"/>
              </w:rPr>
            </w:pPr>
            <w:r>
              <w:rPr>
                <w:rFonts w:ascii="標楷體" w:eastAsia="標楷體" w:hAnsi="標楷體" w:hint="eastAsia"/>
              </w:rPr>
              <w:t>一、現任或曾任各人事機關（構）簡任第十職等至第十一職等人事室主任一年以上。</w:t>
            </w:r>
          </w:p>
          <w:p w:rsidR="00000000" w:rsidRDefault="00FC5876">
            <w:pPr>
              <w:spacing w:line="320" w:lineRule="exact"/>
              <w:ind w:left="420" w:hanging="420"/>
              <w:jc w:val="both"/>
              <w:rPr>
                <w:rFonts w:ascii="標楷體" w:eastAsia="標楷體" w:hAnsi="標楷體" w:hint="eastAsia"/>
              </w:rPr>
            </w:pPr>
            <w:r>
              <w:rPr>
                <w:rFonts w:ascii="標楷體" w:eastAsia="標楷體" w:hAnsi="標楷體" w:hint="eastAsia"/>
              </w:rPr>
              <w:t>二、現任或曾任各人事機關（構）簡任第十職等至第十一職等專門委員等相當層級人員三年以上，並具簡任人事主管職</w:t>
            </w:r>
            <w:r>
              <w:rPr>
                <w:rFonts w:ascii="標楷體" w:eastAsia="標楷體" w:hAnsi="標楷體" w:hint="eastAsia"/>
              </w:rPr>
              <w:lastRenderedPageBreak/>
              <w:t>務二年以上工作年資。</w:t>
            </w:r>
          </w:p>
          <w:p w:rsidR="00000000" w:rsidRDefault="00FC5876">
            <w:pPr>
              <w:spacing w:line="320" w:lineRule="exact"/>
              <w:ind w:left="420" w:hanging="420"/>
              <w:jc w:val="both"/>
              <w:rPr>
                <w:rFonts w:ascii="標楷體" w:eastAsia="標楷體" w:hAnsi="標楷體" w:hint="eastAsia"/>
              </w:rPr>
            </w:pPr>
            <w:r>
              <w:rPr>
                <w:rFonts w:ascii="標楷體" w:eastAsia="標楷體" w:hAnsi="標楷體" w:hint="eastAsia"/>
              </w:rPr>
              <w:t>三、現任或曾任各人事機關（構）簡任第十職等至第十一職等專門委員等相當層級人員六年以上。</w:t>
            </w:r>
          </w:p>
          <w:p w:rsidR="00000000" w:rsidRDefault="00FC5876">
            <w:pPr>
              <w:spacing w:line="320" w:lineRule="exact"/>
              <w:ind w:left="560" w:hanging="560"/>
              <w:jc w:val="both"/>
              <w:rPr>
                <w:rFonts w:ascii="標楷體" w:eastAsia="標楷體" w:hAnsi="標楷體"/>
              </w:rPr>
            </w:pPr>
            <w:r>
              <w:rPr>
                <w:rFonts w:ascii="標楷體" w:eastAsia="標楷體" w:hAnsi="標楷體" w:hint="eastAsia"/>
              </w:rPr>
              <w:t>四、現任或曾任各人事機關單列簡任第十職等主任秘書或總幹事三年以上，並合計具簡任主管或非主管年資五年以上</w:t>
            </w:r>
            <w:r>
              <w:rPr>
                <w:rFonts w:ascii="標楷體" w:eastAsia="標楷體" w:hAnsi="標楷體" w:hint="eastAsia"/>
              </w:rPr>
              <w:t>。</w:t>
            </w:r>
          </w:p>
        </w:tc>
        <w:tc>
          <w:tcPr>
            <w:tcW w:w="1875" w:type="dxa"/>
          </w:tcPr>
          <w:p w:rsidR="00000000" w:rsidRDefault="00FC5876">
            <w:pPr>
              <w:spacing w:line="320" w:lineRule="exact"/>
              <w:jc w:val="center"/>
              <w:rPr>
                <w:rFonts w:ascii="標楷體" w:eastAsia="標楷體" w:hAnsi="標楷體"/>
              </w:rPr>
            </w:pPr>
          </w:p>
        </w:tc>
      </w:tr>
      <w:tr w:rsidR="00000000">
        <w:tblPrEx>
          <w:tblCellMar>
            <w:top w:w="0" w:type="dxa"/>
            <w:bottom w:w="0" w:type="dxa"/>
          </w:tblCellMar>
        </w:tblPrEx>
        <w:trPr>
          <w:cantSplit/>
          <w:trHeight w:val="1480"/>
        </w:trPr>
        <w:tc>
          <w:tcPr>
            <w:tcW w:w="1194" w:type="dxa"/>
          </w:tcPr>
          <w:p w:rsidR="00000000" w:rsidRDefault="00FC5876">
            <w:pPr>
              <w:spacing w:line="320" w:lineRule="exact"/>
              <w:jc w:val="center"/>
              <w:rPr>
                <w:rFonts w:ascii="標楷體" w:eastAsia="標楷體" w:hAnsi="標楷體" w:hint="eastAsia"/>
              </w:rPr>
            </w:pPr>
            <w:r>
              <w:rPr>
                <w:rFonts w:ascii="標楷體" w:eastAsia="標楷體" w:hAnsi="標楷體" w:hint="eastAsia"/>
              </w:rPr>
              <w:t>第五層次</w:t>
            </w:r>
          </w:p>
        </w:tc>
        <w:tc>
          <w:tcPr>
            <w:tcW w:w="853" w:type="dxa"/>
            <w:tcBorders>
              <w:bottom w:val="single" w:sz="4" w:space="0" w:color="auto"/>
            </w:tcBorders>
          </w:tcPr>
          <w:p w:rsidR="00000000" w:rsidRDefault="00FC5876">
            <w:pPr>
              <w:spacing w:line="320" w:lineRule="exact"/>
              <w:jc w:val="center"/>
              <w:rPr>
                <w:rFonts w:ascii="標楷體" w:eastAsia="標楷體" w:hAnsi="標楷體" w:hint="eastAsia"/>
              </w:rPr>
            </w:pPr>
            <w:r>
              <w:rPr>
                <w:rFonts w:ascii="標楷體" w:eastAsia="標楷體" w:hAnsi="標楷體" w:hint="eastAsia"/>
              </w:rPr>
              <w:t>處長</w:t>
            </w:r>
          </w:p>
        </w:tc>
        <w:tc>
          <w:tcPr>
            <w:tcW w:w="1534" w:type="dxa"/>
          </w:tcPr>
          <w:p w:rsidR="00000000" w:rsidRDefault="00FC5876">
            <w:pPr>
              <w:spacing w:line="320" w:lineRule="exact"/>
              <w:jc w:val="both"/>
              <w:rPr>
                <w:rFonts w:ascii="標楷體" w:eastAsia="標楷體" w:hAnsi="標楷體"/>
              </w:rPr>
            </w:pPr>
            <w:r>
              <w:rPr>
                <w:rFonts w:ascii="標楷體" w:eastAsia="標楷體" w:hAnsi="標楷體" w:hint="eastAsia"/>
              </w:rPr>
              <w:t>簡任第十二職等</w:t>
            </w:r>
          </w:p>
        </w:tc>
        <w:tc>
          <w:tcPr>
            <w:tcW w:w="3581" w:type="dxa"/>
          </w:tcPr>
          <w:p w:rsidR="00000000" w:rsidRDefault="00FC5876">
            <w:pPr>
              <w:spacing w:line="320" w:lineRule="exact"/>
              <w:jc w:val="both"/>
              <w:rPr>
                <w:rFonts w:ascii="標楷體" w:eastAsia="標楷體" w:hAnsi="標楷體" w:hint="eastAsia"/>
              </w:rPr>
            </w:pPr>
          </w:p>
        </w:tc>
        <w:tc>
          <w:tcPr>
            <w:tcW w:w="1875" w:type="dxa"/>
          </w:tcPr>
          <w:p w:rsidR="00000000" w:rsidRDefault="00FC5876">
            <w:pPr>
              <w:spacing w:line="320" w:lineRule="exact"/>
              <w:jc w:val="both"/>
              <w:rPr>
                <w:rFonts w:ascii="標楷體" w:eastAsia="標楷體" w:hAnsi="標楷體" w:hint="eastAsia"/>
              </w:rPr>
            </w:pPr>
            <w:r>
              <w:rPr>
                <w:rFonts w:ascii="標楷體" w:eastAsia="標楷體" w:hAnsi="標楷體" w:hint="eastAsia"/>
              </w:rPr>
              <w:t>本層次職務陞遷，得免經甄審。</w:t>
            </w:r>
          </w:p>
        </w:tc>
      </w:tr>
      <w:tr w:rsidR="00000000">
        <w:tblPrEx>
          <w:tblCellMar>
            <w:top w:w="0" w:type="dxa"/>
            <w:bottom w:w="0" w:type="dxa"/>
          </w:tblCellMar>
        </w:tblPrEx>
        <w:trPr>
          <w:cantSplit/>
          <w:trHeight w:val="993"/>
        </w:trPr>
        <w:tc>
          <w:tcPr>
            <w:tcW w:w="1194" w:type="dxa"/>
          </w:tcPr>
          <w:p w:rsidR="00000000" w:rsidRDefault="00FC5876">
            <w:pPr>
              <w:spacing w:line="320" w:lineRule="exact"/>
              <w:jc w:val="center"/>
              <w:rPr>
                <w:rFonts w:ascii="標楷體" w:eastAsia="標楷體" w:hAnsi="標楷體" w:hint="eastAsia"/>
              </w:rPr>
            </w:pPr>
            <w:r>
              <w:rPr>
                <w:rFonts w:ascii="標楷體" w:eastAsia="標楷體" w:hAnsi="標楷體" w:hint="eastAsia"/>
              </w:rPr>
              <w:t>第六層次</w:t>
            </w:r>
          </w:p>
        </w:tc>
        <w:tc>
          <w:tcPr>
            <w:tcW w:w="853" w:type="dxa"/>
            <w:tcBorders>
              <w:bottom w:val="single" w:sz="4" w:space="0" w:color="auto"/>
            </w:tcBorders>
          </w:tcPr>
          <w:p w:rsidR="00000000" w:rsidRDefault="00FC5876">
            <w:pPr>
              <w:spacing w:line="320" w:lineRule="exact"/>
              <w:jc w:val="center"/>
              <w:rPr>
                <w:rFonts w:ascii="標楷體" w:eastAsia="標楷體" w:hAnsi="標楷體" w:hint="eastAsia"/>
              </w:rPr>
            </w:pPr>
            <w:r>
              <w:rPr>
                <w:rFonts w:ascii="標楷體" w:eastAsia="標楷體" w:hAnsi="標楷體" w:hint="eastAsia"/>
              </w:rPr>
              <w:t>處長</w:t>
            </w:r>
          </w:p>
        </w:tc>
        <w:tc>
          <w:tcPr>
            <w:tcW w:w="1534" w:type="dxa"/>
          </w:tcPr>
          <w:p w:rsidR="00000000" w:rsidRDefault="00FC5876">
            <w:pPr>
              <w:spacing w:line="320" w:lineRule="exact"/>
              <w:jc w:val="both"/>
              <w:rPr>
                <w:rFonts w:ascii="標楷體" w:eastAsia="標楷體" w:hAnsi="標楷體"/>
              </w:rPr>
            </w:pPr>
            <w:r>
              <w:rPr>
                <w:rFonts w:ascii="標楷體" w:eastAsia="標楷體" w:hAnsi="標楷體" w:hint="eastAsia"/>
              </w:rPr>
              <w:t>簡任第十三職等</w:t>
            </w:r>
          </w:p>
        </w:tc>
        <w:tc>
          <w:tcPr>
            <w:tcW w:w="3581" w:type="dxa"/>
          </w:tcPr>
          <w:p w:rsidR="00000000" w:rsidRDefault="00FC5876">
            <w:pPr>
              <w:spacing w:line="320" w:lineRule="exact"/>
              <w:jc w:val="both"/>
              <w:rPr>
                <w:rFonts w:ascii="標楷體" w:eastAsia="標楷體" w:hAnsi="標楷體"/>
              </w:rPr>
            </w:pPr>
          </w:p>
        </w:tc>
        <w:tc>
          <w:tcPr>
            <w:tcW w:w="1875" w:type="dxa"/>
          </w:tcPr>
          <w:p w:rsidR="00000000" w:rsidRDefault="00FC5876">
            <w:pPr>
              <w:spacing w:line="320" w:lineRule="exact"/>
              <w:jc w:val="both"/>
              <w:rPr>
                <w:rFonts w:ascii="標楷體" w:eastAsia="標楷體" w:hAnsi="標楷體"/>
              </w:rPr>
            </w:pPr>
            <w:r>
              <w:rPr>
                <w:rFonts w:ascii="標楷體" w:eastAsia="標楷體" w:hAnsi="標楷體" w:hint="eastAsia"/>
              </w:rPr>
              <w:t>本層次職務陞遷，得免經甄審。</w:t>
            </w:r>
          </w:p>
        </w:tc>
      </w:tr>
    </w:tbl>
    <w:p w:rsidR="00000000" w:rsidRDefault="00FC5876">
      <w:pPr>
        <w:spacing w:line="400" w:lineRule="exact"/>
        <w:rPr>
          <w:rFonts w:eastAsia="標楷體" w:hint="eastAsia"/>
          <w:sz w:val="28"/>
        </w:rPr>
      </w:pPr>
      <w:r>
        <w:rPr>
          <w:rFonts w:eastAsia="標楷體" w:hint="eastAsia"/>
          <w:sz w:val="28"/>
        </w:rPr>
        <w:t>附註：</w:t>
      </w:r>
    </w:p>
    <w:p w:rsidR="00000000" w:rsidRDefault="00FC5876">
      <w:pPr>
        <w:pStyle w:val="21"/>
        <w:numPr>
          <w:ilvl w:val="0"/>
          <w:numId w:val="13"/>
        </w:numPr>
        <w:spacing w:after="0" w:line="400" w:lineRule="exact"/>
        <w:jc w:val="both"/>
        <w:rPr>
          <w:rFonts w:hint="eastAsia"/>
        </w:rPr>
      </w:pPr>
      <w:r>
        <w:rPr>
          <w:rFonts w:hint="eastAsia"/>
        </w:rPr>
        <w:t>簡任第十職等至第十一職等人事室主任，其中臺灣省政府、福建省政府、臺北市議會、高雄市議會、各縣（市）政府人事室主任，得免經甄審程序；但擬陞任各縣（市）政府人事室主任者，其遴用之優先順序如下：</w:t>
      </w:r>
    </w:p>
    <w:p w:rsidR="00000000" w:rsidRDefault="00FC5876">
      <w:pPr>
        <w:pStyle w:val="21"/>
        <w:numPr>
          <w:ilvl w:val="1"/>
          <w:numId w:val="14"/>
        </w:numPr>
        <w:spacing w:after="0" w:line="400" w:lineRule="exact"/>
        <w:jc w:val="both"/>
        <w:rPr>
          <w:rFonts w:hint="eastAsia"/>
          <w:sz w:val="32"/>
        </w:rPr>
      </w:pPr>
      <w:r>
        <w:rPr>
          <w:rFonts w:hint="eastAsia"/>
        </w:rPr>
        <w:t>現任或曾任各人事機關（構）簡任第十職等至第十一職等專門委員等相當層級人員一年以上者。</w:t>
      </w:r>
    </w:p>
    <w:p w:rsidR="00000000" w:rsidRDefault="00FC5876">
      <w:pPr>
        <w:pStyle w:val="21"/>
        <w:numPr>
          <w:ilvl w:val="1"/>
          <w:numId w:val="14"/>
        </w:numPr>
        <w:spacing w:after="0" w:line="400" w:lineRule="exact"/>
        <w:jc w:val="both"/>
        <w:rPr>
          <w:rFonts w:hint="eastAsia"/>
          <w:sz w:val="32"/>
        </w:rPr>
      </w:pPr>
      <w:r>
        <w:rPr>
          <w:rFonts w:hint="eastAsia"/>
        </w:rPr>
        <w:t>現任或曾任各人事機關（構）單列簡任第十職等或薦任第九職等至簡任第十職等人事室主任，並已敘</w:t>
      </w:r>
      <w:r>
        <w:rPr>
          <w:rFonts w:hint="eastAsia"/>
        </w:rPr>
        <w:t>簡任第十職等資格一年以上者。</w:t>
      </w:r>
    </w:p>
    <w:p w:rsidR="00000000" w:rsidRDefault="00FC5876">
      <w:pPr>
        <w:pStyle w:val="21"/>
        <w:numPr>
          <w:ilvl w:val="1"/>
          <w:numId w:val="14"/>
        </w:numPr>
        <w:spacing w:after="0" w:line="400" w:lineRule="exact"/>
        <w:jc w:val="both"/>
        <w:rPr>
          <w:rFonts w:hint="eastAsia"/>
          <w:sz w:val="32"/>
        </w:rPr>
      </w:pPr>
      <w:r>
        <w:rPr>
          <w:rFonts w:hint="eastAsia"/>
        </w:rPr>
        <w:t>現任或曾任各人事機關（構）單列簡任第十職等或薦任第九職等至簡任第十職等非主管職務，並已敘簡任第十職等資格三年以上者。</w:t>
      </w:r>
    </w:p>
    <w:p w:rsidR="00000000" w:rsidRDefault="00FC5876">
      <w:pPr>
        <w:pStyle w:val="21"/>
        <w:spacing w:line="400" w:lineRule="exact"/>
        <w:ind w:left="560" w:hanging="560"/>
        <w:rPr>
          <w:rFonts w:hint="eastAsia"/>
        </w:rPr>
      </w:pPr>
      <w:r>
        <w:rPr>
          <w:rFonts w:hint="eastAsia"/>
        </w:rPr>
        <w:t>二、外補人員（係指行政院以外人事人員及非現職人事人員）比照表列職務所列資格條件辦理。</w:t>
      </w:r>
    </w:p>
    <w:p w:rsidR="00000000" w:rsidRDefault="00FC5876">
      <w:pPr>
        <w:pStyle w:val="21"/>
        <w:spacing w:line="400" w:lineRule="exact"/>
        <w:ind w:left="560" w:hanging="560"/>
      </w:pPr>
      <w:r>
        <w:rPr>
          <w:rFonts w:hint="eastAsia"/>
        </w:rPr>
        <w:t>三、現任或曾任人事</w:t>
      </w:r>
      <w:r>
        <w:t>主</w:t>
      </w:r>
      <w:r>
        <w:rPr>
          <w:rFonts w:hint="eastAsia"/>
        </w:rPr>
        <w:t>管機關簡任第十職等至第十一職等單位主管人員，且符合『現職公務人員調任辦法』之調任規定者，其任人事主管機關簡任第十職等至第十一職等單位主管之年資得視為表列簡任人事主管工作年資。</w:t>
      </w:r>
    </w:p>
    <w:p w:rsidR="00000000" w:rsidRDefault="00FC5876">
      <w:pPr>
        <w:pStyle w:val="21"/>
        <w:spacing w:line="400" w:lineRule="exact"/>
        <w:ind w:left="560" w:hanging="560"/>
        <w:rPr>
          <w:rFonts w:hint="eastAsia"/>
        </w:rPr>
      </w:pPr>
      <w:bookmarkStart w:id="4" w:name="OLE_LINK1"/>
      <w:r>
        <w:rPr>
          <w:rFonts w:hint="eastAsia"/>
        </w:rPr>
        <w:t>四、</w:t>
      </w:r>
      <w:r>
        <w:t>各</w:t>
      </w:r>
      <w:r>
        <w:rPr>
          <w:rFonts w:hint="eastAsia"/>
        </w:rPr>
        <w:t>縣市議會人事室主任職務列簡任第十職等，不適用本表；並得免經甄審。</w:t>
      </w:r>
      <w:bookmarkEnd w:id="4"/>
    </w:p>
    <w:p w:rsidR="00000000" w:rsidRDefault="00FC5876">
      <w:pPr>
        <w:pStyle w:val="21"/>
        <w:spacing w:line="400" w:lineRule="exact"/>
        <w:ind w:left="560" w:hanging="560"/>
        <w:rPr>
          <w:rFonts w:hint="eastAsia"/>
        </w:rPr>
      </w:pPr>
    </w:p>
    <w:p w:rsidR="00000000" w:rsidRDefault="00FC5876">
      <w:pPr>
        <w:pStyle w:val="21"/>
        <w:spacing w:line="400" w:lineRule="exact"/>
        <w:ind w:left="560" w:hanging="560"/>
        <w:rPr>
          <w:rFonts w:hint="eastAsia"/>
        </w:rPr>
      </w:pPr>
    </w:p>
    <w:p w:rsidR="00000000" w:rsidRDefault="00FC5876">
      <w:pPr>
        <w:pStyle w:val="21"/>
        <w:spacing w:line="400" w:lineRule="exact"/>
        <w:ind w:left="560" w:hanging="560"/>
        <w:rPr>
          <w:rFonts w:hint="eastAsia"/>
        </w:rPr>
      </w:pPr>
    </w:p>
    <w:p w:rsidR="00000000" w:rsidRDefault="00FC5876">
      <w:pPr>
        <w:rPr>
          <w:rFonts w:ascii="標楷體" w:eastAsia="標楷體" w:hAnsi="標楷體" w:hint="eastAsia"/>
          <w:sz w:val="32"/>
        </w:rPr>
      </w:pPr>
      <w:bookmarkStart w:id="5" w:name="_Toc121199252"/>
      <w:r>
        <w:rPr>
          <w:rFonts w:ascii="標楷體" w:eastAsia="標楷體" w:hAnsi="標楷體" w:hint="eastAsia"/>
          <w:sz w:val="32"/>
        </w:rPr>
        <w:lastRenderedPageBreak/>
        <w:t>附件</w:t>
      </w:r>
      <w:r>
        <w:rPr>
          <w:rFonts w:ascii="標楷體" w:eastAsia="標楷體" w:hAnsi="標楷體" w:hint="eastAsia"/>
          <w:sz w:val="32"/>
        </w:rPr>
        <w:t>(</w:t>
      </w:r>
      <w:r>
        <w:rPr>
          <w:rFonts w:ascii="標楷體" w:eastAsia="標楷體" w:hAnsi="標楷體" w:hint="eastAsia"/>
          <w:sz w:val="32"/>
        </w:rPr>
        <w:t>四</w:t>
      </w:r>
      <w:r>
        <w:rPr>
          <w:rFonts w:ascii="標楷體" w:eastAsia="標楷體" w:hAnsi="標楷體" w:hint="eastAsia"/>
          <w:sz w:val="32"/>
        </w:rPr>
        <w:t>)</w:t>
      </w:r>
      <w:bookmarkEnd w:id="5"/>
    </w:p>
    <w:p w:rsidR="00000000" w:rsidRDefault="00FC5876">
      <w:pPr>
        <w:snapToGrid w:val="0"/>
        <w:spacing w:afterLines="50" w:after="180" w:line="460" w:lineRule="exact"/>
        <w:jc w:val="distribute"/>
        <w:rPr>
          <w:rFonts w:eastAsia="標楷體" w:hint="eastAsia"/>
          <w:b/>
          <w:bCs/>
          <w:sz w:val="36"/>
        </w:rPr>
      </w:pPr>
      <w:r>
        <w:rPr>
          <w:rFonts w:eastAsia="標楷體" w:hint="eastAsia"/>
          <w:b/>
          <w:bCs/>
          <w:sz w:val="36"/>
        </w:rPr>
        <w:t>本會委託研究「公務人員陞遷之救濟」期中報告審查會議紀錄</w:t>
      </w:r>
    </w:p>
    <w:p w:rsidR="00000000" w:rsidRDefault="00FC5876">
      <w:pPr>
        <w:snapToGrid w:val="0"/>
        <w:spacing w:line="440" w:lineRule="exact"/>
        <w:jc w:val="both"/>
        <w:rPr>
          <w:rFonts w:eastAsia="標楷體" w:hint="eastAsia"/>
          <w:sz w:val="34"/>
        </w:rPr>
      </w:pPr>
      <w:r>
        <w:rPr>
          <w:rFonts w:eastAsia="標楷體" w:hint="eastAsia"/>
          <w:sz w:val="34"/>
        </w:rPr>
        <w:t>壹、開會時間：民國</w:t>
      </w:r>
      <w:r>
        <w:rPr>
          <w:rFonts w:eastAsia="標楷體" w:hint="eastAsia"/>
          <w:sz w:val="34"/>
        </w:rPr>
        <w:t>94</w:t>
      </w:r>
      <w:r>
        <w:rPr>
          <w:rFonts w:eastAsia="標楷體" w:hint="eastAsia"/>
          <w:sz w:val="34"/>
        </w:rPr>
        <w:t>年</w:t>
      </w:r>
      <w:r>
        <w:rPr>
          <w:rFonts w:eastAsia="標楷體" w:hint="eastAsia"/>
          <w:sz w:val="34"/>
        </w:rPr>
        <w:t>9</w:t>
      </w:r>
      <w:r>
        <w:rPr>
          <w:rFonts w:eastAsia="標楷體" w:hint="eastAsia"/>
          <w:sz w:val="34"/>
        </w:rPr>
        <w:t>月</w:t>
      </w:r>
      <w:r>
        <w:rPr>
          <w:rFonts w:eastAsia="標楷體" w:hint="eastAsia"/>
          <w:sz w:val="34"/>
        </w:rPr>
        <w:t>20</w:t>
      </w:r>
      <w:r>
        <w:rPr>
          <w:rFonts w:eastAsia="標楷體" w:hint="eastAsia"/>
          <w:sz w:val="34"/>
        </w:rPr>
        <w:t>日（星期二）下午</w:t>
      </w:r>
      <w:r>
        <w:rPr>
          <w:rFonts w:eastAsia="標楷體" w:hint="eastAsia"/>
          <w:sz w:val="34"/>
        </w:rPr>
        <w:t>2</w:t>
      </w:r>
      <w:r>
        <w:rPr>
          <w:rFonts w:eastAsia="標楷體" w:hint="eastAsia"/>
          <w:sz w:val="34"/>
        </w:rPr>
        <w:t>時</w:t>
      </w:r>
    </w:p>
    <w:p w:rsidR="00000000" w:rsidRDefault="00FC5876">
      <w:pPr>
        <w:snapToGrid w:val="0"/>
        <w:spacing w:line="440" w:lineRule="exact"/>
        <w:jc w:val="both"/>
        <w:rPr>
          <w:rFonts w:eastAsia="標楷體" w:hint="eastAsia"/>
          <w:sz w:val="34"/>
        </w:rPr>
      </w:pPr>
      <w:r>
        <w:rPr>
          <w:rFonts w:eastAsia="標楷體" w:hint="eastAsia"/>
          <w:sz w:val="34"/>
        </w:rPr>
        <w:t>貳、開會地點：本會</w:t>
      </w:r>
      <w:r>
        <w:rPr>
          <w:rFonts w:eastAsia="標楷體" w:hint="eastAsia"/>
          <w:sz w:val="34"/>
        </w:rPr>
        <w:t>7</w:t>
      </w:r>
      <w:r>
        <w:rPr>
          <w:rFonts w:eastAsia="標楷體" w:hint="eastAsia"/>
          <w:sz w:val="34"/>
        </w:rPr>
        <w:t>樓第</w:t>
      </w:r>
      <w:r>
        <w:rPr>
          <w:rFonts w:eastAsia="標楷體" w:hint="eastAsia"/>
          <w:sz w:val="34"/>
        </w:rPr>
        <w:t>2</w:t>
      </w:r>
      <w:r>
        <w:rPr>
          <w:rFonts w:eastAsia="標楷體" w:hint="eastAsia"/>
          <w:sz w:val="34"/>
        </w:rPr>
        <w:t>會議室</w:t>
      </w:r>
    </w:p>
    <w:p w:rsidR="00000000" w:rsidRDefault="00FC5876">
      <w:pPr>
        <w:snapToGrid w:val="0"/>
        <w:spacing w:line="440" w:lineRule="exact"/>
        <w:rPr>
          <w:rFonts w:eastAsia="標楷體" w:hint="eastAsia"/>
          <w:sz w:val="34"/>
        </w:rPr>
      </w:pPr>
      <w:r>
        <w:rPr>
          <w:rFonts w:eastAsia="標楷體" w:hint="eastAsia"/>
          <w:sz w:val="34"/>
        </w:rPr>
        <w:t>參、主席：周主任委員弘憲</w:t>
      </w:r>
    </w:p>
    <w:p w:rsidR="00000000" w:rsidRDefault="00FC5876">
      <w:pPr>
        <w:snapToGrid w:val="0"/>
        <w:spacing w:line="440" w:lineRule="exact"/>
        <w:ind w:firstLineChars="500" w:firstLine="1700"/>
        <w:rPr>
          <w:rFonts w:eastAsia="標楷體" w:hint="eastAsia"/>
          <w:sz w:val="34"/>
        </w:rPr>
      </w:pPr>
      <w:r>
        <w:rPr>
          <w:rFonts w:eastAsia="標楷體" w:hint="eastAsia"/>
          <w:sz w:val="34"/>
        </w:rPr>
        <w:t>記錄：陳怡靜</w:t>
      </w:r>
      <w:r>
        <w:rPr>
          <w:rFonts w:eastAsia="標楷體" w:hint="eastAsia"/>
          <w:sz w:val="34"/>
        </w:rPr>
        <w:t xml:space="preserve">                                                </w:t>
      </w:r>
      <w:r>
        <w:rPr>
          <w:rFonts w:eastAsia="標楷體" w:hint="eastAsia"/>
          <w:sz w:val="34"/>
        </w:rPr>
        <w:t>肆、出（列）席人員：如簽到單</w:t>
      </w:r>
    </w:p>
    <w:p w:rsidR="00000000" w:rsidRDefault="00FC5876">
      <w:pPr>
        <w:snapToGrid w:val="0"/>
        <w:spacing w:line="440" w:lineRule="exact"/>
        <w:jc w:val="both"/>
        <w:rPr>
          <w:rFonts w:eastAsia="標楷體" w:hint="eastAsia"/>
          <w:sz w:val="34"/>
        </w:rPr>
      </w:pPr>
      <w:r>
        <w:rPr>
          <w:rFonts w:eastAsia="標楷體" w:hint="eastAsia"/>
          <w:sz w:val="34"/>
        </w:rPr>
        <w:t>伍、討論：</w:t>
      </w:r>
      <w:r>
        <w:rPr>
          <w:rFonts w:eastAsia="標楷體" w:hint="eastAsia"/>
          <w:sz w:val="34"/>
        </w:rPr>
        <w:t xml:space="preserve">                                       </w:t>
      </w:r>
    </w:p>
    <w:p w:rsidR="00000000" w:rsidRDefault="00FC5876">
      <w:pPr>
        <w:pStyle w:val="a5"/>
        <w:spacing w:line="440" w:lineRule="exact"/>
        <w:ind w:left="25" w:firstLineChars="0" w:firstLine="0"/>
        <w:jc w:val="both"/>
        <w:rPr>
          <w:rFonts w:eastAsia="標楷體" w:hint="eastAsia"/>
          <w:sz w:val="32"/>
        </w:rPr>
      </w:pPr>
      <w:r>
        <w:rPr>
          <w:rFonts w:eastAsia="標楷體" w:hint="eastAsia"/>
          <w:sz w:val="32"/>
        </w:rPr>
        <w:t>一、研究團隊報告：</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（一）首先提出說明的是，目前完成的期中報告於大綱部分大致上與委託研究計畫書所列沒有太大</w:t>
      </w:r>
      <w:r>
        <w:rPr>
          <w:rFonts w:ascii="標楷體" w:eastAsia="標楷體" w:hAnsi="標楷體" w:hint="eastAsia"/>
          <w:sz w:val="32"/>
        </w:rPr>
        <w:t>出入，惟依研究成果及方向，認為有細部討論必要之部分，則有細部綱要之加列，例如對於公務人員的陞遷程序試作分析歸納等。而期中研究成果之進度與原委託研究計畫書所擬進度相同，業已完成相關文獻的蒐集整理以及問題的發見分析。至於公務人員於陞遷程序之救濟，即有關救濟制度的選擇以及相關程序處理部分，於彙整今天與會人員的寶貴意見後，將進一步於期末報告內提出具體的研究成果。</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（二）公務人員的陞遷可謂相當複雜的程序，包含相當多的機關內部先行處置。對於想要獲得陞遷的公務人員而言，都有可能認為這些機關內部程序處置會影響其權益，而均有</w:t>
      </w:r>
      <w:r>
        <w:rPr>
          <w:rFonts w:ascii="標楷體" w:eastAsia="標楷體" w:hAnsi="標楷體" w:hint="eastAsia"/>
          <w:sz w:val="32"/>
        </w:rPr>
        <w:t>提出救濟的可能。本研究爰將公務人員的陞遷視為一個完整的程序來處理，試就每一個階段性決定加以定性後，尋求在每一個階段提出救濟之可能性；另外對於實務見解部分，亦即貴會各個階段提出救濟之事件決定進行歸納。依研究團隊的解讀，貴會係以陞遷決定始認為有行政處分的出現；至陞遷決定前可能有的程序決定，則大多審認係管理措施或非屬</w:t>
      </w:r>
      <w:r>
        <w:rPr>
          <w:rFonts w:ascii="標楷體" w:eastAsia="標楷體" w:hAnsi="標楷體" w:hint="eastAsia"/>
          <w:sz w:val="32"/>
        </w:rPr>
        <w:lastRenderedPageBreak/>
        <w:t>具體管理措施。</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（三）對於陞遷決定的法律性質部分，由於公務人員保障法（以下簡稱保障法）的二元救濟體系及大法官解釋深遠的影響，因而保障法所稱行政處分可謂透過大法官解釋加以擴張之「行政處分」，與學說上之認</w:t>
      </w:r>
      <w:r>
        <w:rPr>
          <w:rFonts w:ascii="標楷體" w:eastAsia="標楷體" w:hAnsi="標楷體" w:hint="eastAsia"/>
          <w:sz w:val="32"/>
        </w:rPr>
        <w:t>定尚有岐異。目前研究團隊的看法，則認為保障法之規定對於實務上的處理或將造成些許障礙，例如對於公務人員權益有重大影響之非行政處分（在此指依行政程序法第</w:t>
      </w:r>
      <w:r>
        <w:rPr>
          <w:rFonts w:ascii="標楷體" w:eastAsia="標楷體" w:hAnsi="標楷體" w:hint="eastAsia"/>
          <w:sz w:val="32"/>
        </w:rPr>
        <w:t>92</w:t>
      </w:r>
      <w:r>
        <w:rPr>
          <w:rFonts w:ascii="標楷體" w:eastAsia="標楷體" w:hAnsi="標楷體" w:hint="eastAsia"/>
          <w:sz w:val="32"/>
        </w:rPr>
        <w:t>條所定要件檢驗者），究應寬認其屬行政程序法第</w:t>
      </w:r>
      <w:r>
        <w:rPr>
          <w:rFonts w:ascii="標楷體" w:eastAsia="標楷體" w:hAnsi="標楷體" w:hint="eastAsia"/>
          <w:sz w:val="32"/>
        </w:rPr>
        <w:t>92</w:t>
      </w:r>
      <w:r>
        <w:rPr>
          <w:rFonts w:ascii="標楷體" w:eastAsia="標楷體" w:hAnsi="標楷體" w:hint="eastAsia"/>
          <w:sz w:val="32"/>
        </w:rPr>
        <w:t>條之「行政處分」來處理？抑或只能循申訴、再申訴程序救濟？由以上疑義亦能夠發現，由於保障法與行政訴訟程序規定在訴訟類型上的落差亦將而導致相關問題的產生。是以目前保障救濟類型的有限性而言，以行政處分概念的擴張來加強公務人員之保障，或許是一種解決的操作處理方式；惟就整個法體系的完整性以觀，行政訴訟程序既已規定多元的救</w:t>
      </w:r>
      <w:r>
        <w:rPr>
          <w:rFonts w:ascii="標楷體" w:eastAsia="標楷體" w:hAnsi="標楷體" w:hint="eastAsia"/>
          <w:sz w:val="32"/>
        </w:rPr>
        <w:t>濟類型，建議貴會能將保障救濟類型之多元化列入未來修法之考量。</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四）對於陞遷程序的程序行為部分，循行政程序法規定之思維以觀，程序中的決定，如被認為是具有直接對外發生法效性的具體行為者，肯認其有獨立提起法律上救濟之可能性，至此所謂法律上救濟可能性，其實並不排除保障法以外的救濟途徑。而行政程序法第</w:t>
      </w:r>
      <w:r>
        <w:rPr>
          <w:rFonts w:ascii="標楷體" w:eastAsia="標楷體" w:hAnsi="標楷體" w:hint="eastAsia"/>
          <w:sz w:val="32"/>
        </w:rPr>
        <w:t>174</w:t>
      </w:r>
      <w:r>
        <w:rPr>
          <w:rFonts w:ascii="標楷體" w:eastAsia="標楷體" w:hAnsi="標楷體" w:hint="eastAsia"/>
          <w:sz w:val="32"/>
        </w:rPr>
        <w:t>條但書之例外規定，似乎也容納了該等程序行為之外部救濟可能空間。</w:t>
      </w:r>
    </w:p>
    <w:p w:rsidR="00000000" w:rsidRDefault="00FC5876">
      <w:pPr>
        <w:pStyle w:val="a5"/>
        <w:spacing w:line="440" w:lineRule="exact"/>
        <w:ind w:left="640" w:hanging="640"/>
        <w:jc w:val="both"/>
        <w:rPr>
          <w:rFonts w:ascii="標楷體" w:eastAsia="標楷體" w:hAnsi="標楷體" w:hint="eastAsia"/>
          <w:sz w:val="32"/>
        </w:rPr>
      </w:pPr>
      <w:r>
        <w:rPr>
          <w:rFonts w:ascii="標楷體" w:eastAsia="標楷體" w:hAnsi="標楷體" w:hint="eastAsia"/>
          <w:sz w:val="32"/>
        </w:rPr>
        <w:t>（五）研究團隊之後續方向，將針對陞遷程序各階段中公務人員之陞遷請求權之有無、法令依據等進行研究探討，並據以研析該階段中救濟制度的選擇及可能性。另參照</w:t>
      </w:r>
      <w:r>
        <w:rPr>
          <w:rFonts w:ascii="標楷體" w:eastAsia="標楷體" w:hAnsi="標楷體" w:hint="eastAsia"/>
          <w:sz w:val="32"/>
        </w:rPr>
        <w:t>日本的暫時權利保護制度及德國晚近對於職務安定原則之批判等，進行比較法之研究，並試圖為我國公務人員陞遷之救濟上窒礙之處，提出較為可行之建議。</w:t>
      </w:r>
    </w:p>
    <w:p w:rsidR="00000000" w:rsidRDefault="00FC5876">
      <w:pPr>
        <w:pStyle w:val="a5"/>
        <w:spacing w:line="440" w:lineRule="exact"/>
        <w:ind w:left="25" w:firstLineChars="0" w:firstLine="0"/>
        <w:jc w:val="both"/>
        <w:rPr>
          <w:rFonts w:ascii="標楷體" w:eastAsia="標楷體" w:hAnsi="標楷體" w:hint="eastAsia"/>
          <w:sz w:val="32"/>
        </w:rPr>
      </w:pPr>
      <w:r>
        <w:rPr>
          <w:rFonts w:ascii="標楷體" w:eastAsia="標楷體" w:hAnsi="標楷體" w:hint="eastAsia"/>
          <w:sz w:val="32"/>
        </w:rPr>
        <w:lastRenderedPageBreak/>
        <w:t>二、審查意見：</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（一）就研究期程及經費核銷部分，請研究團隊注意配合辦理。</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（二）期中報告就本會對於陞遷事件之決定進行歸納整理部</w:t>
      </w:r>
      <w:r>
        <w:rPr>
          <w:rFonts w:ascii="標楷體" w:eastAsia="標楷體" w:hAnsi="標楷體" w:hint="eastAsia"/>
          <w:sz w:val="32"/>
        </w:rPr>
        <w:t xml:space="preserve"> </w:t>
      </w:r>
      <w:r>
        <w:rPr>
          <w:rFonts w:ascii="標楷體" w:eastAsia="標楷體" w:hAnsi="標楷體" w:hint="eastAsia"/>
          <w:sz w:val="32"/>
        </w:rPr>
        <w:t>分，其中某些分析解讀與本會之決定意旨尚有差距，將俟會後再與研究團隊進行溝通。</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（三）本會於</w:t>
      </w:r>
      <w:r>
        <w:rPr>
          <w:rFonts w:ascii="標楷體" w:eastAsia="標楷體" w:hAnsi="標楷體" w:hint="eastAsia"/>
          <w:sz w:val="32"/>
        </w:rPr>
        <w:t>92</w:t>
      </w:r>
      <w:r>
        <w:rPr>
          <w:rFonts w:ascii="標楷體" w:eastAsia="標楷體" w:hAnsi="標楷體" w:hint="eastAsia"/>
          <w:sz w:val="32"/>
        </w:rPr>
        <w:t>年</w:t>
      </w:r>
      <w:r>
        <w:rPr>
          <w:rFonts w:ascii="標楷體" w:eastAsia="標楷體" w:hAnsi="標楷體" w:hint="eastAsia"/>
          <w:sz w:val="32"/>
        </w:rPr>
        <w:t>10</w:t>
      </w:r>
      <w:r>
        <w:rPr>
          <w:rFonts w:ascii="標楷體" w:eastAsia="標楷體" w:hAnsi="標楷體" w:hint="eastAsia"/>
          <w:sz w:val="32"/>
        </w:rPr>
        <w:t>月</w:t>
      </w:r>
      <w:r>
        <w:rPr>
          <w:rFonts w:ascii="標楷體" w:eastAsia="標楷體" w:hAnsi="標楷體" w:hint="eastAsia"/>
          <w:sz w:val="32"/>
        </w:rPr>
        <w:t>17</w:t>
      </w:r>
      <w:r>
        <w:rPr>
          <w:rFonts w:ascii="標楷體" w:eastAsia="標楷體" w:hAnsi="標楷體" w:hint="eastAsia"/>
          <w:sz w:val="32"/>
        </w:rPr>
        <w:t>日曾就陞遷救濟程序之選擇及本會之處理方式等疑義，邀請學者專家進行座談，獲致相關決議並對本會實務形成相當的影響。就這一部分如能於期末報告內多</w:t>
      </w:r>
      <w:r>
        <w:rPr>
          <w:rFonts w:ascii="標楷體" w:eastAsia="標楷體" w:hAnsi="標楷體" w:hint="eastAsia"/>
          <w:sz w:val="32"/>
        </w:rPr>
        <w:t>做著墨，應較能完整呈現本會實務見解的變遷及緣由。</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四）關於行政處分與管理措施之界定部分，一為回歸行政處分之要素來判斷，一則循司法院大法官解釋作為判別標準。然而行政處分的要素檢驗，與大法官解釋所構成之判別標準有無融合可能性？亦即有無可能以「對於公務人員權益發生重大影響」聯結至地位之分辨</w:t>
      </w:r>
      <w:r>
        <w:rPr>
          <w:rFonts w:ascii="標楷體" w:eastAsia="標楷體" w:hAnsi="標楷體"/>
          <w:sz w:val="32"/>
        </w:rPr>
        <w:t>—</w:t>
      </w:r>
      <w:r>
        <w:rPr>
          <w:rFonts w:ascii="標楷體" w:eastAsia="標楷體" w:hAnsi="標楷體" w:hint="eastAsia"/>
          <w:sz w:val="32"/>
        </w:rPr>
        <w:t>如有重大影響者，即得立於人民之地位來做觀察；如無，則仍立於職務地位</w:t>
      </w:r>
      <w:r>
        <w:rPr>
          <w:rFonts w:ascii="標楷體" w:eastAsia="標楷體" w:hAnsi="標楷體"/>
          <w:sz w:val="32"/>
        </w:rPr>
        <w:t>—</w:t>
      </w:r>
      <w:r>
        <w:rPr>
          <w:rFonts w:ascii="標楷體" w:eastAsia="標楷體" w:hAnsi="標楷體" w:hint="eastAsia"/>
          <w:sz w:val="32"/>
        </w:rPr>
        <w:t>並進一步作為區分對內或對外發生法律效果之判別標準？</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（五）本會對於部分陞遷決定前之程序行為，之所以將其認定為管理措施並據以實體審理，事實上係以陞遷程序一旦完</w:t>
      </w:r>
      <w:r>
        <w:rPr>
          <w:rFonts w:ascii="標楷體" w:eastAsia="標楷體" w:hAnsi="標楷體" w:hint="eastAsia"/>
          <w:sz w:val="32"/>
        </w:rPr>
        <w:t>成，對於其他未獲陞遷之競爭者似已無救濟實益，因而對於部分程序決定寬認為管理措施以資救濟。惟類此程序決定，研究團隊如認均有得獨立提起法律上救濟之可能性者，有無過度救濟之嫌？</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（六）職務安定原則為德國公務員在制度保障上之要求。我國雖無明文規定，惟以我國公務人員的陞遷上之職務連動性，有無以此導引出職務安定原則此一制度性保障之可能？</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（七）以原則與原則之衝突觀點來看，期中報告似有以公務人員的陞遷儘量能在任命完成之前加以處理，例如透</w:t>
      </w:r>
      <w:r>
        <w:rPr>
          <w:rFonts w:ascii="標楷體" w:eastAsia="標楷體" w:hAnsi="標楷體" w:hint="eastAsia"/>
          <w:sz w:val="32"/>
        </w:rPr>
        <w:lastRenderedPageBreak/>
        <w:t>過假處分的運用等，以達救濟實益之面向。</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（八）對於公務人員權益有重大影響的內部處置，如</w:t>
      </w:r>
      <w:r>
        <w:rPr>
          <w:rFonts w:ascii="標楷體" w:eastAsia="標楷體" w:hAnsi="標楷體" w:hint="eastAsia"/>
          <w:sz w:val="32"/>
        </w:rPr>
        <w:t>直接以給付訴訟向行政法院提出，固為一種解套方式，惟依公務人員對於國家忠誠關係來看，應否參考德國對於公務人員救濟之限制，亦即要求公務人員對於系爭紛爭向外部行政法院提出前，應先經過行政體系之協調及內部檢視？至於保障法救濟類型不足的部分，應為未來修法的思考方向。</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（九）對於機關首長圈選陞遷人員的判斷餘地，有無師法德國「最佳選擇原則」之可能？</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（十）研究團隊於期中報告已就本會對於陞遷程序相關爭議提出整理，可否進一步提出分析或建言？</w:t>
      </w:r>
    </w:p>
    <w:p w:rsidR="00000000" w:rsidRDefault="00FC5876">
      <w:pPr>
        <w:pStyle w:val="a5"/>
        <w:spacing w:line="440" w:lineRule="exact"/>
        <w:ind w:left="1280" w:hangingChars="400" w:hanging="1280"/>
        <w:jc w:val="both"/>
        <w:rPr>
          <w:rFonts w:ascii="標楷體" w:eastAsia="標楷體" w:hAnsi="標楷體" w:hint="eastAsia"/>
          <w:sz w:val="32"/>
        </w:rPr>
      </w:pPr>
      <w:r>
        <w:rPr>
          <w:rFonts w:ascii="標楷體" w:eastAsia="標楷體" w:hAnsi="標楷體" w:hint="eastAsia"/>
          <w:sz w:val="32"/>
        </w:rPr>
        <w:t>（十一）目前很多公務人員陞遷救濟困境之產生，肇因於公務人員陞遷法之明文規定，該等規定</w:t>
      </w:r>
      <w:r>
        <w:rPr>
          <w:rFonts w:ascii="標楷體" w:eastAsia="標楷體" w:hAnsi="標楷體" w:hint="eastAsia"/>
          <w:sz w:val="32"/>
        </w:rPr>
        <w:t>如能修正，問題應能夠迎刃而解。研究團隊不妨就此部分亦加以研究，本會亦可向權責機關銓敘部提出相關之修法建議。</w:t>
      </w:r>
    </w:p>
    <w:p w:rsidR="00000000" w:rsidRDefault="00FC5876">
      <w:pPr>
        <w:pStyle w:val="a5"/>
        <w:spacing w:line="440" w:lineRule="exact"/>
        <w:ind w:left="640" w:hanging="640"/>
        <w:jc w:val="both"/>
        <w:rPr>
          <w:rFonts w:ascii="標楷體" w:eastAsia="標楷體" w:hAnsi="標楷體" w:hint="eastAsia"/>
          <w:sz w:val="32"/>
        </w:rPr>
      </w:pPr>
      <w:r>
        <w:rPr>
          <w:rFonts w:ascii="標楷體" w:eastAsia="標楷體" w:hAnsi="標楷體" w:hint="eastAsia"/>
          <w:sz w:val="32"/>
        </w:rPr>
        <w:t>二、研究團隊回應：</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（一）有關研究團隊對於貴會決定意旨解讀有誤部分，將於會後進行瞭解及修正。</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（二）貴會</w:t>
      </w:r>
      <w:r>
        <w:rPr>
          <w:rFonts w:ascii="標楷體" w:eastAsia="標楷體" w:hAnsi="標楷體" w:hint="eastAsia"/>
          <w:sz w:val="32"/>
        </w:rPr>
        <w:t>92</w:t>
      </w:r>
      <w:r>
        <w:rPr>
          <w:rFonts w:ascii="標楷體" w:eastAsia="標楷體" w:hAnsi="標楷體" w:hint="eastAsia"/>
          <w:sz w:val="32"/>
        </w:rPr>
        <w:t>年</w:t>
      </w:r>
      <w:r>
        <w:rPr>
          <w:rFonts w:ascii="標楷體" w:eastAsia="標楷體" w:hAnsi="標楷體" w:hint="eastAsia"/>
          <w:sz w:val="32"/>
        </w:rPr>
        <w:t>10</w:t>
      </w:r>
      <w:r>
        <w:rPr>
          <w:rFonts w:ascii="標楷體" w:eastAsia="標楷體" w:hAnsi="標楷體" w:hint="eastAsia"/>
          <w:sz w:val="32"/>
        </w:rPr>
        <w:t>月</w:t>
      </w:r>
      <w:r>
        <w:rPr>
          <w:rFonts w:ascii="標楷體" w:eastAsia="標楷體" w:hAnsi="標楷體" w:hint="eastAsia"/>
          <w:sz w:val="32"/>
        </w:rPr>
        <w:t>17</w:t>
      </w:r>
      <w:r>
        <w:rPr>
          <w:rFonts w:ascii="標楷體" w:eastAsia="標楷體" w:hAnsi="標楷體" w:hint="eastAsia"/>
          <w:sz w:val="32"/>
        </w:rPr>
        <w:t>日會議結論及相關實務見解之轉變，將於期末報告中補充說明之。</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三）研究團隊對於行政處分的理解，係認為大法官解釋所稱「對於公務人員權益有重大影響」應係可否救濟之標準，而非內部性或外部性之判斷準則，亦即不會決定其法律行為的性質。如先跳脫保障法的規定而言，對於有重大影響的內部措施部分，應該</w:t>
      </w:r>
      <w:r>
        <w:rPr>
          <w:rFonts w:ascii="標楷體" w:eastAsia="標楷體" w:hAnsi="標楷體" w:hint="eastAsia"/>
          <w:sz w:val="32"/>
        </w:rPr>
        <w:t>可以進入一般給付訴訟，也就不會碰觸到是否為行政處分的問題。目前因為保障法二元救濟體系規定的關係，必須先判斷是否為行政處分，並據為救濟程序之決定。就對於公務人員有重大影響的內部措施，可能因而即產生救</w:t>
      </w:r>
      <w:r>
        <w:rPr>
          <w:rFonts w:ascii="標楷體" w:eastAsia="標楷體" w:hAnsi="標楷體" w:hint="eastAsia"/>
          <w:sz w:val="32"/>
        </w:rPr>
        <w:lastRenderedPageBreak/>
        <w:t>濟上的窒礙。</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四）有關職務安定原則，也就是原則與原則產生衝突的部分，研究團隊認為，既稱為原則，也就是並非永久恆定之定律，應於個案中調和斟酌該原則之適用。我國憲法雖無德國般有職務安定原則之明文，惟以職務安定原則背後的法理思維來說，其源起在於信賴保護原則，假若依行政程序法規定，即使行政處分係違法，行政機關不一定依職權</w:t>
      </w:r>
      <w:r>
        <w:rPr>
          <w:rFonts w:ascii="標楷體" w:eastAsia="標楷體" w:hAnsi="標楷體" w:hint="eastAsia"/>
          <w:sz w:val="32"/>
        </w:rPr>
        <w:t>撤銷之；況以我國公務人員之職務連動性來說，可謂在公益上形成相當之斟酌餘地，即便無職務安定原則之明文，單就我國行政程序法第</w:t>
      </w:r>
      <w:r>
        <w:rPr>
          <w:rFonts w:ascii="標楷體" w:eastAsia="標楷體" w:hAnsi="標楷體" w:hint="eastAsia"/>
          <w:sz w:val="32"/>
        </w:rPr>
        <w:t>117</w:t>
      </w:r>
      <w:r>
        <w:rPr>
          <w:rFonts w:ascii="標楷體" w:eastAsia="標楷體" w:hAnsi="標楷體" w:hint="eastAsia"/>
          <w:sz w:val="32"/>
        </w:rPr>
        <w:t>條以下規定，對於信賴保護原則在公務人員救濟具體的適用上，應足當之。</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（五）研究團隊的研究方向的確是有運用暫時權利保護制度，來解決陞遷程序完成後，難以回復或無救濟實益困境之意圖，而這一部份將於期末報告中有較為具體的呈現。</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（六）對於判斷餘地的理解，研究團隊依照學說上的規範授權說來看，以公務人員陞遷法對於人員圈選，既然已明文授權機關首長有其裁量空間，在相關條文修法前，此一部份就比較難以突</w:t>
      </w:r>
      <w:r>
        <w:rPr>
          <w:rFonts w:ascii="標楷體" w:eastAsia="標楷體" w:hAnsi="標楷體" w:hint="eastAsia"/>
          <w:sz w:val="32"/>
        </w:rPr>
        <w:t>破。</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（七）研究團隊對於其他與會人員的意見，將依研究成果儘量呈現。</w:t>
      </w:r>
    </w:p>
    <w:p w:rsidR="00000000" w:rsidRDefault="00FC5876">
      <w:pPr>
        <w:pStyle w:val="a5"/>
        <w:spacing w:line="440" w:lineRule="exact"/>
        <w:ind w:left="0" w:firstLineChars="0" w:firstLine="0"/>
        <w:jc w:val="both"/>
        <w:rPr>
          <w:rFonts w:ascii="標楷體" w:eastAsia="標楷體" w:hAnsi="標楷體" w:hint="eastAsia"/>
          <w:sz w:val="32"/>
        </w:rPr>
      </w:pPr>
      <w:r>
        <w:rPr>
          <w:rFonts w:ascii="標楷體" w:eastAsia="標楷體" w:hAnsi="標楷體" w:hint="eastAsia"/>
          <w:sz w:val="32"/>
        </w:rPr>
        <w:t>陸、決議：</w:t>
      </w:r>
    </w:p>
    <w:p w:rsidR="00000000" w:rsidRDefault="00FC5876">
      <w:pPr>
        <w:pStyle w:val="a5"/>
        <w:spacing w:line="440" w:lineRule="exact"/>
        <w:ind w:left="640" w:hanging="640"/>
        <w:jc w:val="both"/>
        <w:rPr>
          <w:rFonts w:ascii="標楷體" w:eastAsia="標楷體" w:hAnsi="標楷體" w:hint="eastAsia"/>
          <w:sz w:val="32"/>
        </w:rPr>
      </w:pPr>
      <w:r>
        <w:rPr>
          <w:rFonts w:ascii="標楷體" w:eastAsia="標楷體" w:hAnsi="標楷體" w:hint="eastAsia"/>
          <w:sz w:val="32"/>
        </w:rPr>
        <w:t>一、本會議與會人員之意見，請研究團隊儘量參採納入期末報告研究。</w:t>
      </w:r>
    </w:p>
    <w:p w:rsidR="00000000" w:rsidRDefault="00FC5876">
      <w:pPr>
        <w:pStyle w:val="a5"/>
        <w:spacing w:line="440" w:lineRule="exact"/>
        <w:ind w:left="0" w:firstLineChars="0" w:firstLine="0"/>
        <w:jc w:val="both"/>
        <w:rPr>
          <w:rFonts w:ascii="標楷體" w:eastAsia="標楷體" w:hAnsi="標楷體" w:hint="eastAsia"/>
          <w:sz w:val="32"/>
        </w:rPr>
      </w:pPr>
      <w:r>
        <w:rPr>
          <w:rFonts w:ascii="標楷體" w:eastAsia="標楷體" w:hAnsi="標楷體" w:hint="eastAsia"/>
          <w:sz w:val="32"/>
        </w:rPr>
        <w:t>二、感謝研究團隊的辛勞。</w:t>
      </w:r>
    </w:p>
    <w:p w:rsidR="00000000" w:rsidRDefault="00FC5876">
      <w:pPr>
        <w:pStyle w:val="a5"/>
        <w:spacing w:line="440" w:lineRule="exact"/>
        <w:ind w:left="0" w:firstLineChars="0" w:firstLine="0"/>
        <w:jc w:val="both"/>
        <w:rPr>
          <w:rFonts w:ascii="標楷體" w:eastAsia="標楷體" w:hAnsi="標楷體" w:hint="eastAsia"/>
          <w:sz w:val="32"/>
        </w:rPr>
      </w:pPr>
    </w:p>
    <w:p w:rsidR="00000000" w:rsidRDefault="00FC5876">
      <w:pPr>
        <w:pStyle w:val="a5"/>
        <w:spacing w:line="440" w:lineRule="exact"/>
        <w:ind w:left="0" w:firstLineChars="0" w:firstLine="0"/>
        <w:jc w:val="center"/>
        <w:rPr>
          <w:rFonts w:ascii="標楷體" w:eastAsia="標楷體" w:hAnsi="標楷體" w:hint="eastAsia"/>
          <w:sz w:val="32"/>
        </w:rPr>
      </w:pPr>
      <w:r>
        <w:rPr>
          <w:rFonts w:ascii="標楷體" w:eastAsia="標楷體" w:hAnsi="標楷體" w:hint="eastAsia"/>
          <w:sz w:val="32"/>
        </w:rPr>
        <w:t>主</w:t>
      </w:r>
      <w:r>
        <w:rPr>
          <w:rFonts w:ascii="標楷體" w:eastAsia="標楷體" w:hAnsi="標楷體" w:hint="eastAsia"/>
          <w:sz w:val="32"/>
        </w:rPr>
        <w:t xml:space="preserve">  </w:t>
      </w:r>
      <w:r>
        <w:rPr>
          <w:rFonts w:ascii="標楷體" w:eastAsia="標楷體" w:hAnsi="標楷體" w:hint="eastAsia"/>
          <w:sz w:val="32"/>
        </w:rPr>
        <w:t>席</w:t>
      </w:r>
      <w:r>
        <w:rPr>
          <w:rFonts w:ascii="標楷體" w:eastAsia="標楷體" w:hAnsi="標楷體" w:hint="eastAsia"/>
          <w:sz w:val="32"/>
        </w:rPr>
        <w:t xml:space="preserve">   </w:t>
      </w:r>
      <w:r>
        <w:rPr>
          <w:rFonts w:ascii="標楷體" w:eastAsia="標楷體" w:hAnsi="標楷體" w:hint="eastAsia"/>
          <w:sz w:val="32"/>
        </w:rPr>
        <w:t>周弘憲</w:t>
      </w:r>
    </w:p>
    <w:p w:rsidR="00000000" w:rsidRDefault="00FC5876">
      <w:pPr>
        <w:pStyle w:val="21"/>
        <w:spacing w:line="400" w:lineRule="exact"/>
        <w:ind w:left="560" w:hanging="560"/>
        <w:rPr>
          <w:rFonts w:ascii="標楷體" w:eastAsia="標楷體" w:hAnsi="標楷體" w:hint="eastAsia"/>
          <w:kern w:val="0"/>
          <w:sz w:val="32"/>
          <w:szCs w:val="20"/>
        </w:rPr>
      </w:pPr>
    </w:p>
    <w:p w:rsidR="00000000" w:rsidRDefault="00FC5876">
      <w:pPr>
        <w:pStyle w:val="21"/>
        <w:spacing w:line="400" w:lineRule="exact"/>
        <w:ind w:left="560" w:hanging="560"/>
        <w:rPr>
          <w:rFonts w:ascii="標楷體" w:eastAsia="標楷體" w:hAnsi="標楷體" w:hint="eastAsia"/>
          <w:kern w:val="0"/>
          <w:sz w:val="32"/>
          <w:szCs w:val="20"/>
        </w:rPr>
      </w:pPr>
    </w:p>
    <w:p w:rsidR="00000000" w:rsidRDefault="00FC5876">
      <w:pPr>
        <w:pStyle w:val="21"/>
        <w:spacing w:line="400" w:lineRule="exact"/>
        <w:ind w:left="560" w:hanging="560"/>
        <w:rPr>
          <w:rFonts w:ascii="標楷體" w:eastAsia="標楷體" w:hAnsi="標楷體" w:hint="eastAsia"/>
          <w:kern w:val="0"/>
          <w:sz w:val="32"/>
          <w:szCs w:val="20"/>
        </w:rPr>
      </w:pPr>
    </w:p>
    <w:p w:rsidR="00000000" w:rsidRDefault="00FC5876">
      <w:pPr>
        <w:rPr>
          <w:rFonts w:ascii="標楷體" w:eastAsia="標楷體" w:hAnsi="標楷體" w:hint="eastAsia"/>
          <w:sz w:val="32"/>
        </w:rPr>
      </w:pPr>
      <w:bookmarkStart w:id="6" w:name="_Toc121199253"/>
      <w:r>
        <w:rPr>
          <w:rFonts w:ascii="標楷體" w:eastAsia="標楷體" w:hAnsi="標楷體" w:hint="eastAsia"/>
          <w:sz w:val="32"/>
        </w:rPr>
        <w:lastRenderedPageBreak/>
        <w:t>附件</w:t>
      </w:r>
      <w:r>
        <w:rPr>
          <w:rFonts w:ascii="標楷體" w:eastAsia="標楷體" w:hAnsi="標楷體" w:hint="eastAsia"/>
          <w:sz w:val="32"/>
        </w:rPr>
        <w:t>(</w:t>
      </w:r>
      <w:r>
        <w:rPr>
          <w:rFonts w:ascii="標楷體" w:eastAsia="標楷體" w:hAnsi="標楷體" w:hint="eastAsia"/>
          <w:sz w:val="32"/>
        </w:rPr>
        <w:t>五</w:t>
      </w:r>
      <w:r>
        <w:rPr>
          <w:rFonts w:ascii="標楷體" w:eastAsia="標楷體" w:hAnsi="標楷體" w:hint="eastAsia"/>
          <w:sz w:val="32"/>
        </w:rPr>
        <w:t>)</w:t>
      </w:r>
      <w:bookmarkEnd w:id="6"/>
    </w:p>
    <w:p w:rsidR="00000000" w:rsidRDefault="00FC5876">
      <w:pPr>
        <w:snapToGrid w:val="0"/>
        <w:spacing w:afterLines="50" w:after="180" w:line="460" w:lineRule="exact"/>
        <w:jc w:val="distribute"/>
        <w:rPr>
          <w:rFonts w:eastAsia="標楷體" w:hint="eastAsia"/>
          <w:b/>
          <w:bCs/>
          <w:sz w:val="36"/>
        </w:rPr>
      </w:pPr>
      <w:r>
        <w:rPr>
          <w:rFonts w:eastAsia="標楷體" w:hint="eastAsia"/>
          <w:b/>
          <w:bCs/>
          <w:sz w:val="36"/>
        </w:rPr>
        <w:t>本會委託研究「公務人員陞遷之救濟」期末報告審查會議紀錄</w:t>
      </w:r>
    </w:p>
    <w:p w:rsidR="00000000" w:rsidRDefault="00FC5876">
      <w:pPr>
        <w:snapToGrid w:val="0"/>
        <w:spacing w:line="440" w:lineRule="exact"/>
        <w:jc w:val="both"/>
        <w:rPr>
          <w:rFonts w:eastAsia="標楷體" w:hint="eastAsia"/>
          <w:sz w:val="34"/>
        </w:rPr>
      </w:pPr>
      <w:r>
        <w:rPr>
          <w:rFonts w:eastAsia="標楷體" w:hint="eastAsia"/>
          <w:sz w:val="34"/>
        </w:rPr>
        <w:t>壹、開會時間：民國</w:t>
      </w:r>
      <w:r>
        <w:rPr>
          <w:rFonts w:eastAsia="標楷體" w:hint="eastAsia"/>
          <w:sz w:val="34"/>
        </w:rPr>
        <w:t>94</w:t>
      </w:r>
      <w:r>
        <w:rPr>
          <w:rFonts w:eastAsia="標楷體" w:hint="eastAsia"/>
          <w:sz w:val="34"/>
        </w:rPr>
        <w:t>年</w:t>
      </w:r>
      <w:r>
        <w:rPr>
          <w:rFonts w:eastAsia="標楷體" w:hint="eastAsia"/>
          <w:sz w:val="34"/>
        </w:rPr>
        <w:t>11</w:t>
      </w:r>
      <w:r>
        <w:rPr>
          <w:rFonts w:eastAsia="標楷體" w:hint="eastAsia"/>
          <w:sz w:val="34"/>
        </w:rPr>
        <w:t>月</w:t>
      </w:r>
      <w:r>
        <w:rPr>
          <w:rFonts w:eastAsia="標楷體" w:hint="eastAsia"/>
          <w:sz w:val="34"/>
        </w:rPr>
        <w:t>22</w:t>
      </w:r>
      <w:r>
        <w:rPr>
          <w:rFonts w:eastAsia="標楷體" w:hint="eastAsia"/>
          <w:sz w:val="34"/>
        </w:rPr>
        <w:t>日（星期二）下午</w:t>
      </w:r>
      <w:r>
        <w:rPr>
          <w:rFonts w:eastAsia="標楷體" w:hint="eastAsia"/>
          <w:sz w:val="34"/>
        </w:rPr>
        <w:t>2</w:t>
      </w:r>
      <w:r>
        <w:rPr>
          <w:rFonts w:eastAsia="標楷體" w:hint="eastAsia"/>
          <w:sz w:val="34"/>
        </w:rPr>
        <w:t>時</w:t>
      </w:r>
    </w:p>
    <w:p w:rsidR="00000000" w:rsidRDefault="00FC5876">
      <w:pPr>
        <w:snapToGrid w:val="0"/>
        <w:spacing w:line="440" w:lineRule="exact"/>
        <w:jc w:val="both"/>
        <w:rPr>
          <w:rFonts w:eastAsia="標楷體" w:hint="eastAsia"/>
          <w:sz w:val="34"/>
        </w:rPr>
      </w:pPr>
      <w:r>
        <w:rPr>
          <w:rFonts w:eastAsia="標楷體" w:hint="eastAsia"/>
          <w:sz w:val="34"/>
        </w:rPr>
        <w:t>貳、開會地點：本會</w:t>
      </w:r>
      <w:r>
        <w:rPr>
          <w:rFonts w:eastAsia="標楷體" w:hint="eastAsia"/>
          <w:sz w:val="34"/>
        </w:rPr>
        <w:t>7</w:t>
      </w:r>
      <w:r>
        <w:rPr>
          <w:rFonts w:eastAsia="標楷體" w:hint="eastAsia"/>
          <w:sz w:val="34"/>
        </w:rPr>
        <w:t>樓第</w:t>
      </w:r>
      <w:r>
        <w:rPr>
          <w:rFonts w:eastAsia="標楷體" w:hint="eastAsia"/>
          <w:sz w:val="34"/>
        </w:rPr>
        <w:t>2</w:t>
      </w:r>
      <w:r>
        <w:rPr>
          <w:rFonts w:eastAsia="標楷體" w:hint="eastAsia"/>
          <w:sz w:val="34"/>
        </w:rPr>
        <w:t>會議室</w:t>
      </w:r>
    </w:p>
    <w:p w:rsidR="00000000" w:rsidRDefault="00FC5876">
      <w:pPr>
        <w:snapToGrid w:val="0"/>
        <w:spacing w:line="440" w:lineRule="exact"/>
        <w:rPr>
          <w:rFonts w:eastAsia="標楷體" w:hint="eastAsia"/>
          <w:sz w:val="34"/>
        </w:rPr>
      </w:pPr>
      <w:r>
        <w:rPr>
          <w:rFonts w:eastAsia="標楷體" w:hint="eastAsia"/>
          <w:sz w:val="34"/>
        </w:rPr>
        <w:t>參、主席：周主任委員弘憲</w:t>
      </w:r>
    </w:p>
    <w:p w:rsidR="00000000" w:rsidRDefault="00FC5876">
      <w:pPr>
        <w:snapToGrid w:val="0"/>
        <w:spacing w:line="440" w:lineRule="exact"/>
        <w:ind w:firstLineChars="500" w:firstLine="1700"/>
        <w:rPr>
          <w:rFonts w:eastAsia="標楷體" w:hint="eastAsia"/>
          <w:sz w:val="34"/>
        </w:rPr>
      </w:pPr>
      <w:r>
        <w:rPr>
          <w:rFonts w:eastAsia="標楷體" w:hint="eastAsia"/>
          <w:sz w:val="34"/>
        </w:rPr>
        <w:t>記錄：陳怡靜</w:t>
      </w:r>
      <w:r>
        <w:rPr>
          <w:rFonts w:eastAsia="標楷體" w:hint="eastAsia"/>
          <w:sz w:val="34"/>
        </w:rPr>
        <w:t xml:space="preserve">                                                </w:t>
      </w:r>
      <w:r>
        <w:rPr>
          <w:rFonts w:eastAsia="標楷體" w:hint="eastAsia"/>
          <w:sz w:val="34"/>
        </w:rPr>
        <w:t>肆、出（列）席人員：</w:t>
      </w:r>
      <w:r>
        <w:rPr>
          <w:rFonts w:eastAsia="標楷體" w:hint="eastAsia"/>
          <w:sz w:val="34"/>
        </w:rPr>
        <w:t>如簽到單</w:t>
      </w:r>
    </w:p>
    <w:p w:rsidR="00000000" w:rsidRDefault="00FC5876">
      <w:pPr>
        <w:snapToGrid w:val="0"/>
        <w:spacing w:line="440" w:lineRule="exact"/>
        <w:jc w:val="both"/>
        <w:rPr>
          <w:rFonts w:eastAsia="標楷體" w:hint="eastAsia"/>
          <w:sz w:val="34"/>
        </w:rPr>
      </w:pPr>
      <w:r>
        <w:rPr>
          <w:rFonts w:eastAsia="標楷體" w:hint="eastAsia"/>
          <w:sz w:val="34"/>
        </w:rPr>
        <w:t>伍、討論：</w:t>
      </w:r>
      <w:r>
        <w:rPr>
          <w:rFonts w:eastAsia="標楷體" w:hint="eastAsia"/>
          <w:sz w:val="34"/>
        </w:rPr>
        <w:t xml:space="preserve">                                       </w:t>
      </w:r>
    </w:p>
    <w:p w:rsidR="00000000" w:rsidRDefault="00FC5876">
      <w:pPr>
        <w:pStyle w:val="a5"/>
        <w:spacing w:line="440" w:lineRule="exact"/>
        <w:ind w:left="25" w:firstLineChars="0" w:firstLine="0"/>
        <w:jc w:val="both"/>
        <w:rPr>
          <w:rFonts w:ascii="標楷體" w:eastAsia="標楷體" w:hAnsi="標楷體" w:hint="eastAsia"/>
          <w:sz w:val="32"/>
        </w:rPr>
      </w:pPr>
      <w:r>
        <w:rPr>
          <w:rFonts w:ascii="標楷體" w:eastAsia="標楷體" w:hAnsi="標楷體" w:hint="eastAsia"/>
          <w:sz w:val="32"/>
        </w:rPr>
        <w:t>一、研究團隊報告：</w:t>
      </w:r>
    </w:p>
    <w:p w:rsidR="00000000" w:rsidRDefault="00FC5876">
      <w:pPr>
        <w:pStyle w:val="a5"/>
        <w:spacing w:line="440" w:lineRule="exact"/>
        <w:ind w:left="640" w:hanging="640"/>
        <w:jc w:val="both"/>
        <w:rPr>
          <w:rFonts w:ascii="標楷體" w:eastAsia="標楷體" w:hAnsi="標楷體" w:hint="eastAsia"/>
          <w:sz w:val="32"/>
        </w:rPr>
      </w:pPr>
      <w:r>
        <w:rPr>
          <w:rFonts w:ascii="標楷體" w:eastAsia="標楷體" w:hAnsi="標楷體" w:hint="eastAsia"/>
          <w:sz w:val="32"/>
        </w:rPr>
        <w:t>（一）有關公務人員陞遷救濟的訴訟類型選擇方面：</w:t>
      </w:r>
    </w:p>
    <w:p w:rsidR="00000000" w:rsidRDefault="00FC5876">
      <w:pPr>
        <w:pStyle w:val="a5"/>
        <w:spacing w:line="440" w:lineRule="exact"/>
        <w:ind w:leftChars="66" w:left="718" w:hangingChars="175"/>
        <w:jc w:val="both"/>
        <w:rPr>
          <w:rFonts w:ascii="標楷體" w:eastAsia="標楷體" w:hAnsi="標楷體" w:hint="eastAsia"/>
          <w:sz w:val="32"/>
        </w:rPr>
      </w:pPr>
      <w:r>
        <w:rPr>
          <w:rFonts w:ascii="標楷體" w:eastAsia="標楷體" w:hAnsi="標楷體" w:hint="eastAsia"/>
          <w:sz w:val="32"/>
        </w:rPr>
        <w:t>1</w:t>
      </w:r>
      <w:r>
        <w:rPr>
          <w:rFonts w:ascii="標楷體" w:eastAsia="標楷體" w:hAnsi="標楷體" w:hint="eastAsia"/>
          <w:sz w:val="32"/>
        </w:rPr>
        <w:t>、撤銷訴訟：</w:t>
      </w:r>
    </w:p>
    <w:p w:rsidR="00000000" w:rsidRDefault="00FC5876">
      <w:pPr>
        <w:pStyle w:val="a5"/>
        <w:spacing w:line="440" w:lineRule="exact"/>
        <w:ind w:leftChars="100" w:left="1040" w:hangingChars="250" w:hanging="800"/>
        <w:jc w:val="both"/>
        <w:rPr>
          <w:rFonts w:ascii="標楷體" w:eastAsia="標楷體" w:hAnsi="標楷體" w:hint="eastAsia"/>
          <w:sz w:val="32"/>
        </w:rPr>
      </w:pPr>
      <w:r>
        <w:rPr>
          <w:rFonts w:ascii="標楷體" w:eastAsia="標楷體" w:hAnsi="標楷體" w:hint="eastAsia"/>
          <w:sz w:val="32"/>
        </w:rPr>
        <w:t>（</w:t>
      </w:r>
      <w:r>
        <w:rPr>
          <w:rFonts w:ascii="標楷體" w:eastAsia="標楷體" w:hAnsi="標楷體" w:hint="eastAsia"/>
          <w:sz w:val="32"/>
        </w:rPr>
        <w:t>1</w:t>
      </w:r>
      <w:r>
        <w:rPr>
          <w:rFonts w:ascii="標楷體" w:eastAsia="標楷體" w:hAnsi="標楷體" w:hint="eastAsia"/>
          <w:sz w:val="32"/>
        </w:rPr>
        <w:t>）利害第三人提出之救濟中，訴訟參加是必要的，亦即應容許原來被圈選陞遷的人員參加</w:t>
      </w:r>
      <w:r>
        <w:rPr>
          <w:rFonts w:ascii="標楷體" w:eastAsia="標楷體" w:hAnsi="標楷體" w:hint="eastAsia"/>
          <w:sz w:val="32"/>
        </w:rPr>
        <w:t>,</w:t>
      </w:r>
      <w:r>
        <w:rPr>
          <w:rFonts w:ascii="標楷體" w:eastAsia="標楷體" w:hAnsi="標楷體" w:hint="eastAsia"/>
          <w:sz w:val="32"/>
        </w:rPr>
        <w:t>並屬於必要參加類型。</w:t>
      </w:r>
    </w:p>
    <w:p w:rsidR="00000000" w:rsidRDefault="00FC5876">
      <w:pPr>
        <w:pStyle w:val="a5"/>
        <w:spacing w:line="440" w:lineRule="exact"/>
        <w:ind w:leftChars="100" w:left="1040" w:hangingChars="250" w:hanging="800"/>
        <w:jc w:val="both"/>
        <w:rPr>
          <w:rFonts w:ascii="標楷體" w:eastAsia="標楷體" w:hAnsi="標楷體" w:hint="eastAsia"/>
          <w:sz w:val="32"/>
        </w:rPr>
      </w:pPr>
      <w:r>
        <w:rPr>
          <w:rFonts w:ascii="標楷體" w:eastAsia="標楷體" w:hAnsi="標楷體" w:hint="eastAsia"/>
          <w:sz w:val="32"/>
        </w:rPr>
        <w:t>（</w:t>
      </w:r>
      <w:r>
        <w:rPr>
          <w:rFonts w:ascii="標楷體" w:eastAsia="標楷體" w:hAnsi="標楷體" w:hint="eastAsia"/>
          <w:sz w:val="32"/>
        </w:rPr>
        <w:t>2</w:t>
      </w:r>
      <w:r>
        <w:rPr>
          <w:rFonts w:ascii="標楷體" w:eastAsia="標楷體" w:hAnsi="標楷體" w:hint="eastAsia"/>
          <w:sz w:val="32"/>
        </w:rPr>
        <w:t>）基於訴訟經濟的考量，同一陞遷程序中的候選人應於同一個訴訟程序中來做處理。</w:t>
      </w:r>
    </w:p>
    <w:p w:rsidR="00000000" w:rsidRDefault="00FC5876">
      <w:pPr>
        <w:pStyle w:val="a5"/>
        <w:spacing w:line="440" w:lineRule="exact"/>
        <w:ind w:leftChars="100" w:left="1040" w:hangingChars="250" w:hanging="800"/>
        <w:jc w:val="both"/>
        <w:rPr>
          <w:rFonts w:ascii="標楷體" w:eastAsia="標楷體" w:hAnsi="標楷體" w:hint="eastAsia"/>
          <w:sz w:val="32"/>
        </w:rPr>
      </w:pPr>
      <w:r>
        <w:rPr>
          <w:rFonts w:ascii="標楷體" w:eastAsia="標楷體" w:hAnsi="標楷體" w:hint="eastAsia"/>
          <w:sz w:val="32"/>
        </w:rPr>
        <w:t>（</w:t>
      </w:r>
      <w:r>
        <w:rPr>
          <w:rFonts w:ascii="標楷體" w:eastAsia="標楷體" w:hAnsi="標楷體" w:hint="eastAsia"/>
          <w:sz w:val="32"/>
        </w:rPr>
        <w:t>3</w:t>
      </w:r>
      <w:r>
        <w:rPr>
          <w:rFonts w:ascii="標楷體" w:eastAsia="標楷體" w:hAnsi="標楷體" w:hint="eastAsia"/>
          <w:sz w:val="32"/>
        </w:rPr>
        <w:t>）德國行政法院法第</w:t>
      </w:r>
      <w:r>
        <w:rPr>
          <w:rFonts w:ascii="標楷體" w:eastAsia="標楷體" w:hAnsi="標楷體" w:hint="eastAsia"/>
          <w:sz w:val="32"/>
        </w:rPr>
        <w:t>66</w:t>
      </w:r>
      <w:r>
        <w:rPr>
          <w:rFonts w:ascii="標楷體" w:eastAsia="標楷體" w:hAnsi="標楷體" w:hint="eastAsia"/>
          <w:sz w:val="32"/>
        </w:rPr>
        <w:t>條規定，同一陞遷程序備選人如超過</w:t>
      </w:r>
      <w:r>
        <w:rPr>
          <w:rFonts w:ascii="標楷體" w:eastAsia="標楷體" w:hAnsi="標楷體" w:hint="eastAsia"/>
          <w:sz w:val="32"/>
        </w:rPr>
        <w:t>50</w:t>
      </w:r>
      <w:r>
        <w:rPr>
          <w:rFonts w:ascii="標楷體" w:eastAsia="標楷體" w:hAnsi="標楷體" w:hint="eastAsia"/>
          <w:sz w:val="32"/>
        </w:rPr>
        <w:t>個人的話，法院應以公告或政府電子刊物等方式，由候選人自行登記參加訴訟，</w:t>
      </w:r>
      <w:r>
        <w:rPr>
          <w:rFonts w:ascii="標楷體" w:eastAsia="標楷體" w:hAnsi="標楷體" w:hint="eastAsia"/>
          <w:sz w:val="32"/>
        </w:rPr>
        <w:t>3</w:t>
      </w:r>
      <w:r>
        <w:rPr>
          <w:rFonts w:ascii="標楷體" w:eastAsia="標楷體" w:hAnsi="標楷體" w:hint="eastAsia"/>
          <w:sz w:val="32"/>
        </w:rPr>
        <w:t>個月內不</w:t>
      </w:r>
      <w:r>
        <w:rPr>
          <w:rFonts w:ascii="標楷體" w:eastAsia="標楷體" w:hAnsi="標楷體" w:hint="eastAsia"/>
          <w:sz w:val="32"/>
        </w:rPr>
        <w:t>為登記即產生失權效果，才不會讓訴訟變成龐大而冗長的程序。同時並規定法院在利害關係人相當明顯，並有參加訴訟之必要，卻未在</w:t>
      </w:r>
      <w:r>
        <w:rPr>
          <w:rFonts w:ascii="標楷體" w:eastAsia="標楷體" w:hAnsi="標楷體" w:hint="eastAsia"/>
          <w:sz w:val="32"/>
        </w:rPr>
        <w:t>3</w:t>
      </w:r>
      <w:r>
        <w:rPr>
          <w:rFonts w:ascii="標楷體" w:eastAsia="標楷體" w:hAnsi="標楷體" w:hint="eastAsia"/>
          <w:sz w:val="32"/>
        </w:rPr>
        <w:t>個月內登記參加者，法院得命其必要參加訴訟。</w:t>
      </w:r>
    </w:p>
    <w:p w:rsidR="00000000" w:rsidRDefault="00FC5876">
      <w:pPr>
        <w:pStyle w:val="a5"/>
        <w:spacing w:line="440" w:lineRule="exact"/>
        <w:ind w:left="0" w:firstLineChars="0" w:firstLine="0"/>
        <w:jc w:val="both"/>
        <w:rPr>
          <w:rFonts w:ascii="標楷體" w:eastAsia="標楷體" w:hAnsi="標楷體" w:hint="eastAsia"/>
          <w:sz w:val="32"/>
        </w:rPr>
      </w:pPr>
      <w:r>
        <w:rPr>
          <w:rFonts w:ascii="標楷體" w:eastAsia="標楷體" w:hAnsi="標楷體" w:hint="eastAsia"/>
          <w:sz w:val="32"/>
        </w:rPr>
        <w:t>2</w:t>
      </w:r>
      <w:r>
        <w:rPr>
          <w:rFonts w:ascii="標楷體" w:eastAsia="標楷體" w:hAnsi="標楷體" w:hint="eastAsia"/>
          <w:sz w:val="32"/>
        </w:rPr>
        <w:t>、課予義務訴訟：</w:t>
      </w:r>
    </w:p>
    <w:p w:rsidR="00000000" w:rsidRDefault="00FC5876">
      <w:pPr>
        <w:pStyle w:val="a5"/>
        <w:spacing w:line="440" w:lineRule="exact"/>
        <w:ind w:leftChars="100" w:left="1040" w:hangingChars="250" w:hanging="800"/>
        <w:jc w:val="both"/>
        <w:rPr>
          <w:rFonts w:ascii="標楷體" w:eastAsia="標楷體" w:hAnsi="標楷體" w:hint="eastAsia"/>
          <w:sz w:val="32"/>
        </w:rPr>
      </w:pPr>
      <w:r>
        <w:rPr>
          <w:rFonts w:ascii="標楷體" w:eastAsia="標楷體" w:hAnsi="標楷體" w:hint="eastAsia"/>
          <w:sz w:val="32"/>
        </w:rPr>
        <w:t>（</w:t>
      </w:r>
      <w:r>
        <w:rPr>
          <w:rFonts w:ascii="標楷體" w:eastAsia="標楷體" w:hAnsi="標楷體" w:hint="eastAsia"/>
          <w:sz w:val="32"/>
        </w:rPr>
        <w:t>1</w:t>
      </w:r>
      <w:r>
        <w:rPr>
          <w:rFonts w:ascii="標楷體" w:eastAsia="標楷體" w:hAnsi="標楷體" w:hint="eastAsia"/>
          <w:sz w:val="32"/>
        </w:rPr>
        <w:t>）請求行政法院命行政機關給予對自己有利的決定，因而實務上常與撤銷訴訟作結合。</w:t>
      </w:r>
    </w:p>
    <w:p w:rsidR="00000000" w:rsidRDefault="00FC5876">
      <w:pPr>
        <w:pStyle w:val="a5"/>
        <w:spacing w:line="440" w:lineRule="exact"/>
        <w:ind w:leftChars="100" w:left="1040" w:hangingChars="250" w:hanging="800"/>
        <w:jc w:val="both"/>
        <w:rPr>
          <w:rFonts w:ascii="標楷體" w:eastAsia="標楷體" w:hAnsi="標楷體" w:hint="eastAsia"/>
          <w:sz w:val="32"/>
        </w:rPr>
      </w:pPr>
      <w:r>
        <w:rPr>
          <w:rFonts w:ascii="標楷體" w:eastAsia="標楷體" w:hAnsi="標楷體" w:hint="eastAsia"/>
          <w:sz w:val="32"/>
        </w:rPr>
        <w:t>（</w:t>
      </w:r>
      <w:r>
        <w:rPr>
          <w:rFonts w:ascii="標楷體" w:eastAsia="標楷體" w:hAnsi="標楷體" w:hint="eastAsia"/>
          <w:sz w:val="32"/>
        </w:rPr>
        <w:t>2</w:t>
      </w:r>
      <w:r>
        <w:rPr>
          <w:rFonts w:ascii="標楷體" w:eastAsia="標楷體" w:hAnsi="標楷體" w:hint="eastAsia"/>
          <w:sz w:val="32"/>
        </w:rPr>
        <w:t>）裁判的類型上，由於牽涉主管長官的裁量權限，因而即便行政法院認應給予當事人陞遷機會或有重行決</w:t>
      </w:r>
      <w:r>
        <w:rPr>
          <w:rFonts w:ascii="標楷體" w:eastAsia="標楷體" w:hAnsi="標楷體" w:hint="eastAsia"/>
          <w:sz w:val="32"/>
        </w:rPr>
        <w:lastRenderedPageBreak/>
        <w:t>定之必要時，尚無由直接命行政機關應該給予陞遷，僅能命行政機關重行審酌客觀因素，重為適法及合義務的裁量決定。</w:t>
      </w:r>
    </w:p>
    <w:p w:rsidR="00000000" w:rsidRDefault="00FC5876">
      <w:pPr>
        <w:pStyle w:val="a5"/>
        <w:spacing w:line="440" w:lineRule="exact"/>
        <w:ind w:left="640" w:hanging="640"/>
        <w:jc w:val="both"/>
        <w:rPr>
          <w:rFonts w:ascii="標楷體" w:eastAsia="標楷體" w:hAnsi="標楷體" w:hint="eastAsia"/>
          <w:sz w:val="32"/>
        </w:rPr>
      </w:pPr>
      <w:r>
        <w:rPr>
          <w:rFonts w:ascii="標楷體" w:eastAsia="標楷體" w:hAnsi="標楷體" w:hint="eastAsia"/>
          <w:sz w:val="32"/>
        </w:rPr>
        <w:t>3</w:t>
      </w:r>
      <w:r>
        <w:rPr>
          <w:rFonts w:ascii="標楷體" w:eastAsia="標楷體" w:hAnsi="標楷體" w:hint="eastAsia"/>
          <w:sz w:val="32"/>
        </w:rPr>
        <w:t>、確認訴訟及違法確認訴訟：在撤銷訴訟中一</w:t>
      </w:r>
      <w:r>
        <w:rPr>
          <w:rFonts w:ascii="標楷體" w:eastAsia="標楷體" w:hAnsi="標楷體" w:hint="eastAsia"/>
          <w:sz w:val="32"/>
        </w:rPr>
        <w:t>併論列。</w:t>
      </w:r>
    </w:p>
    <w:p w:rsidR="00000000" w:rsidRDefault="00FC5876">
      <w:pPr>
        <w:pStyle w:val="a5"/>
        <w:spacing w:line="440" w:lineRule="exact"/>
        <w:ind w:left="2710" w:hangingChars="847" w:hanging="2710"/>
        <w:jc w:val="both"/>
        <w:rPr>
          <w:rFonts w:ascii="標楷體" w:eastAsia="標楷體" w:hAnsi="標楷體" w:hint="eastAsia"/>
          <w:sz w:val="32"/>
        </w:rPr>
      </w:pPr>
      <w:r>
        <w:rPr>
          <w:rFonts w:ascii="標楷體" w:eastAsia="標楷體" w:hAnsi="標楷體" w:hint="eastAsia"/>
          <w:sz w:val="32"/>
        </w:rPr>
        <w:t>4</w:t>
      </w:r>
      <w:r>
        <w:rPr>
          <w:rFonts w:ascii="標楷體" w:eastAsia="標楷體" w:hAnsi="標楷體" w:hint="eastAsia"/>
          <w:sz w:val="32"/>
        </w:rPr>
        <w:t>、一般給付訴訟：</w:t>
      </w:r>
    </w:p>
    <w:p w:rsidR="00000000" w:rsidRDefault="00FC5876">
      <w:pPr>
        <w:pStyle w:val="a5"/>
        <w:spacing w:line="440" w:lineRule="exact"/>
        <w:ind w:leftChars="100" w:left="1040" w:hangingChars="250" w:hanging="800"/>
        <w:jc w:val="both"/>
        <w:rPr>
          <w:rFonts w:ascii="標楷體" w:eastAsia="標楷體" w:hAnsi="標楷體" w:hint="eastAsia"/>
          <w:sz w:val="32"/>
        </w:rPr>
      </w:pPr>
      <w:r>
        <w:rPr>
          <w:rFonts w:ascii="標楷體" w:eastAsia="標楷體" w:hAnsi="標楷體" w:hint="eastAsia"/>
          <w:sz w:val="32"/>
        </w:rPr>
        <w:t>（</w:t>
      </w:r>
      <w:r>
        <w:rPr>
          <w:rFonts w:ascii="標楷體" w:eastAsia="標楷體" w:hAnsi="標楷體" w:hint="eastAsia"/>
          <w:sz w:val="32"/>
        </w:rPr>
        <w:t>1</w:t>
      </w:r>
      <w:r>
        <w:rPr>
          <w:rFonts w:ascii="標楷體" w:eastAsia="標楷體" w:hAnsi="標楷體" w:hint="eastAsia"/>
          <w:sz w:val="32"/>
        </w:rPr>
        <w:t>）陞遷案件的程序決定上，例如資訊提供的部分，也許可以透過此一訴訟類型來獲得救濟。讓公務人員對於事實給付行為有所不服時，可以透過此一訴訟類型予以解決。</w:t>
      </w:r>
    </w:p>
    <w:p w:rsidR="00000000" w:rsidRDefault="00FC5876">
      <w:pPr>
        <w:pStyle w:val="a5"/>
        <w:spacing w:line="440" w:lineRule="exact"/>
        <w:ind w:leftChars="100" w:left="1040" w:hangingChars="250" w:hanging="800"/>
        <w:jc w:val="both"/>
        <w:rPr>
          <w:rFonts w:ascii="標楷體" w:eastAsia="標楷體" w:hAnsi="標楷體" w:hint="eastAsia"/>
          <w:sz w:val="32"/>
        </w:rPr>
      </w:pPr>
      <w:r>
        <w:rPr>
          <w:rFonts w:ascii="標楷體" w:eastAsia="標楷體" w:hAnsi="標楷體" w:hint="eastAsia"/>
          <w:sz w:val="32"/>
        </w:rPr>
        <w:t>（</w:t>
      </w:r>
      <w:r>
        <w:rPr>
          <w:rFonts w:ascii="標楷體" w:eastAsia="標楷體" w:hAnsi="標楷體" w:hint="eastAsia"/>
          <w:sz w:val="32"/>
        </w:rPr>
        <w:t>2</w:t>
      </w:r>
      <w:r>
        <w:rPr>
          <w:rFonts w:ascii="標楷體" w:eastAsia="標楷體" w:hAnsi="標楷體" w:hint="eastAsia"/>
          <w:sz w:val="32"/>
        </w:rPr>
        <w:t>）同時在公務人員相關救濟如未能通過公務人員保障法有關復審程序之要件檢驗時，得以跳過復審程序直接親近司法，這應該是比較能夠保障公務人員權益的作法。</w:t>
      </w:r>
    </w:p>
    <w:p w:rsidR="00000000" w:rsidRDefault="00FC5876">
      <w:pPr>
        <w:pStyle w:val="a5"/>
        <w:spacing w:line="440" w:lineRule="exact"/>
        <w:ind w:left="640" w:hanging="640"/>
        <w:jc w:val="both"/>
        <w:rPr>
          <w:rFonts w:ascii="標楷體" w:eastAsia="標楷體" w:hAnsi="標楷體" w:hint="eastAsia"/>
          <w:sz w:val="32"/>
        </w:rPr>
      </w:pPr>
      <w:r>
        <w:rPr>
          <w:rFonts w:ascii="標楷體" w:eastAsia="標楷體" w:hAnsi="標楷體" w:hint="eastAsia"/>
          <w:sz w:val="32"/>
        </w:rPr>
        <w:t>5</w:t>
      </w:r>
      <w:r>
        <w:rPr>
          <w:rFonts w:ascii="標楷體" w:eastAsia="標楷體" w:hAnsi="標楷體" w:hint="eastAsia"/>
          <w:sz w:val="32"/>
        </w:rPr>
        <w:t>、一般撤銷訴訟：</w:t>
      </w:r>
    </w:p>
    <w:p w:rsidR="00000000" w:rsidRDefault="00FC5876">
      <w:pPr>
        <w:pStyle w:val="a5"/>
        <w:spacing w:line="440" w:lineRule="exact"/>
        <w:ind w:leftChars="100" w:left="1040" w:hangingChars="250" w:hanging="800"/>
        <w:jc w:val="both"/>
        <w:rPr>
          <w:rFonts w:ascii="標楷體" w:eastAsia="標楷體" w:hAnsi="標楷體" w:hint="eastAsia"/>
          <w:sz w:val="32"/>
        </w:rPr>
      </w:pPr>
      <w:r>
        <w:rPr>
          <w:rFonts w:ascii="標楷體" w:eastAsia="標楷體" w:hAnsi="標楷體" w:hint="eastAsia"/>
          <w:sz w:val="32"/>
        </w:rPr>
        <w:t>（</w:t>
      </w:r>
      <w:r>
        <w:rPr>
          <w:rFonts w:ascii="標楷體" w:eastAsia="標楷體" w:hAnsi="標楷體" w:hint="eastAsia"/>
          <w:sz w:val="32"/>
        </w:rPr>
        <w:t>1</w:t>
      </w:r>
      <w:r>
        <w:rPr>
          <w:rFonts w:ascii="標楷體" w:eastAsia="標楷體" w:hAnsi="標楷體" w:hint="eastAsia"/>
          <w:sz w:val="32"/>
        </w:rPr>
        <w:t>）由於陞遷的最終決定或中間的程序決定未必會被歸類為行政處分，德國為預防這種在學理上會被認定為內部決定的行政行為，因欠缺行政處分的外貌而被排除於撤銷訴訟之外</w:t>
      </w:r>
      <w:r>
        <w:rPr>
          <w:rFonts w:ascii="標楷體" w:eastAsia="標楷體" w:hAnsi="標楷體" w:hint="eastAsia"/>
          <w:sz w:val="32"/>
        </w:rPr>
        <w:t>，認為對於這種可能影響公務人員權益的非行政處分的具體決定，仍應給予訴訟的機會，因而於德國現行法列舉的各種訴訟類型外，另外承認「無名的抗告訴訟」或「無名的形成訴訟」—一般撤銷訴訟。</w:t>
      </w:r>
    </w:p>
    <w:p w:rsidR="00000000" w:rsidRDefault="00FC5876">
      <w:pPr>
        <w:pStyle w:val="a5"/>
        <w:spacing w:line="440" w:lineRule="exact"/>
        <w:ind w:leftChars="100" w:left="1040" w:hangingChars="250" w:hanging="800"/>
        <w:jc w:val="both"/>
        <w:rPr>
          <w:rFonts w:ascii="標楷體" w:eastAsia="標楷體" w:hAnsi="標楷體" w:hint="eastAsia"/>
          <w:sz w:val="32"/>
        </w:rPr>
      </w:pPr>
      <w:r>
        <w:rPr>
          <w:rFonts w:ascii="標楷體" w:eastAsia="標楷體" w:hAnsi="標楷體" w:hint="eastAsia"/>
          <w:sz w:val="32"/>
        </w:rPr>
        <w:t>（</w:t>
      </w:r>
      <w:r>
        <w:rPr>
          <w:rFonts w:ascii="標楷體" w:eastAsia="標楷體" w:hAnsi="標楷體" w:hint="eastAsia"/>
          <w:sz w:val="32"/>
        </w:rPr>
        <w:t>2</w:t>
      </w:r>
      <w:r>
        <w:rPr>
          <w:rFonts w:ascii="標楷體" w:eastAsia="標楷體" w:hAnsi="標楷體" w:hint="eastAsia"/>
          <w:sz w:val="32"/>
        </w:rPr>
        <w:t>）如果我國現行法下實務的操作可以承認這種類型的訴訟的話，即使在公務人員保障法擴大行政程序法第</w:t>
      </w:r>
      <w:r>
        <w:rPr>
          <w:rFonts w:ascii="標楷體" w:eastAsia="標楷體" w:hAnsi="標楷體" w:hint="eastAsia"/>
          <w:sz w:val="32"/>
        </w:rPr>
        <w:t>92</w:t>
      </w:r>
      <w:r>
        <w:rPr>
          <w:rFonts w:ascii="標楷體" w:eastAsia="標楷體" w:hAnsi="標楷體" w:hint="eastAsia"/>
          <w:sz w:val="32"/>
        </w:rPr>
        <w:t>條第</w:t>
      </w:r>
      <w:r>
        <w:rPr>
          <w:rFonts w:ascii="標楷體" w:eastAsia="標楷體" w:hAnsi="標楷體" w:hint="eastAsia"/>
          <w:sz w:val="32"/>
        </w:rPr>
        <w:t>1</w:t>
      </w:r>
      <w:r>
        <w:rPr>
          <w:rFonts w:ascii="標楷體" w:eastAsia="標楷體" w:hAnsi="標楷體" w:hint="eastAsia"/>
          <w:sz w:val="32"/>
        </w:rPr>
        <w:t>項所定義行政處分的行政行為，這些並非傳統行政處分的案件在進入司法程序時，未必僅限於撤銷訴訟之提起。當然這是需要實務上的配合才有可能操作的。</w:t>
      </w:r>
    </w:p>
    <w:p w:rsidR="00000000" w:rsidRDefault="00FC5876">
      <w:pPr>
        <w:pStyle w:val="a5"/>
        <w:spacing w:line="440" w:lineRule="exact"/>
        <w:ind w:left="640" w:hanging="640"/>
        <w:jc w:val="both"/>
        <w:rPr>
          <w:rFonts w:ascii="標楷體" w:eastAsia="標楷體" w:hAnsi="標楷體" w:hint="eastAsia"/>
          <w:sz w:val="32"/>
        </w:rPr>
      </w:pPr>
      <w:r>
        <w:rPr>
          <w:rFonts w:ascii="標楷體" w:eastAsia="標楷體" w:hAnsi="標楷體" w:hint="eastAsia"/>
          <w:sz w:val="32"/>
        </w:rPr>
        <w:t>（二）陞遷之救濟長常會發生已無權利保護必要之困境：</w:t>
      </w:r>
    </w:p>
    <w:p w:rsidR="00000000" w:rsidRDefault="00FC5876">
      <w:pPr>
        <w:pStyle w:val="a5"/>
        <w:spacing w:line="440" w:lineRule="exact"/>
        <w:ind w:left="480" w:hangingChars="150" w:hanging="480"/>
        <w:jc w:val="both"/>
        <w:rPr>
          <w:rFonts w:ascii="標楷體" w:eastAsia="標楷體" w:hAnsi="標楷體" w:hint="eastAsia"/>
          <w:sz w:val="32"/>
        </w:rPr>
      </w:pPr>
      <w:r>
        <w:rPr>
          <w:rFonts w:ascii="標楷體" w:eastAsia="標楷體" w:hAnsi="標楷體" w:hint="eastAsia"/>
          <w:sz w:val="32"/>
        </w:rPr>
        <w:t>1</w:t>
      </w:r>
      <w:r>
        <w:rPr>
          <w:rFonts w:ascii="標楷體" w:eastAsia="標楷體" w:hAnsi="標楷體" w:hint="eastAsia"/>
          <w:sz w:val="32"/>
        </w:rPr>
        <w:t>、公務人員在陞遷中，通常在最終的</w:t>
      </w:r>
      <w:r>
        <w:rPr>
          <w:rFonts w:ascii="標楷體" w:eastAsia="標楷體" w:hAnsi="標楷體" w:hint="eastAsia"/>
          <w:sz w:val="32"/>
        </w:rPr>
        <w:t>程序完結後才得知自己未獲陞遷，往往均已面臨無救濟實益的窘境，即已無權利</w:t>
      </w:r>
      <w:r>
        <w:rPr>
          <w:rFonts w:ascii="標楷體" w:eastAsia="標楷體" w:hAnsi="標楷體" w:hint="eastAsia"/>
          <w:sz w:val="32"/>
        </w:rPr>
        <w:lastRenderedPageBreak/>
        <w:t>保護之必要。</w:t>
      </w:r>
    </w:p>
    <w:p w:rsidR="00000000" w:rsidRDefault="00FC5876">
      <w:pPr>
        <w:pStyle w:val="a5"/>
        <w:spacing w:line="440" w:lineRule="exact"/>
        <w:ind w:left="480" w:hangingChars="150" w:hanging="480"/>
        <w:jc w:val="both"/>
        <w:rPr>
          <w:rFonts w:ascii="標楷體" w:eastAsia="標楷體" w:hAnsi="標楷體" w:hint="eastAsia"/>
          <w:sz w:val="32"/>
        </w:rPr>
      </w:pPr>
      <w:r>
        <w:rPr>
          <w:rFonts w:ascii="標楷體" w:eastAsia="標楷體" w:hAnsi="標楷體" w:hint="eastAsia"/>
          <w:sz w:val="32"/>
        </w:rPr>
        <w:t>2</w:t>
      </w:r>
      <w:r>
        <w:rPr>
          <w:rFonts w:ascii="標楷體" w:eastAsia="標楷體" w:hAnsi="標楷體" w:hint="eastAsia"/>
          <w:sz w:val="32"/>
        </w:rPr>
        <w:t>、德國法為解決這種無法救濟的困境，容許當事人如在提起撤銷訴訟已無權利保護必要時，得轉換為違法行政處分的確認訴訟，此乃法定轉換，無須為訴之變更。當然違法確認訴訟的利益是必備的要件</w:t>
      </w:r>
      <w:r>
        <w:rPr>
          <w:rFonts w:ascii="標楷體" w:eastAsia="標楷體" w:hAnsi="標楷體"/>
          <w:sz w:val="32"/>
        </w:rPr>
        <w:t>—</w:t>
      </w:r>
      <w:r>
        <w:rPr>
          <w:rFonts w:ascii="標楷體" w:eastAsia="標楷體" w:hAnsi="標楷體" w:hint="eastAsia"/>
          <w:sz w:val="32"/>
        </w:rPr>
        <w:t>亦即在該違法的陞遷決定已無法變更時，可以轉換為損害賠償之請求，或請求在日後陞遷案件的辦理上，避免重複發生類似錯誤的危險。</w:t>
      </w:r>
    </w:p>
    <w:p w:rsidR="00000000" w:rsidRDefault="00FC5876">
      <w:pPr>
        <w:pStyle w:val="a5"/>
        <w:spacing w:line="440" w:lineRule="exact"/>
        <w:ind w:left="480" w:hangingChars="150" w:hanging="480"/>
        <w:jc w:val="both"/>
        <w:rPr>
          <w:rFonts w:ascii="標楷體" w:eastAsia="標楷體" w:hAnsi="標楷體" w:hint="eastAsia"/>
          <w:sz w:val="32"/>
        </w:rPr>
      </w:pPr>
      <w:r>
        <w:rPr>
          <w:rFonts w:ascii="標楷體" w:eastAsia="標楷體" w:hAnsi="標楷體" w:hint="eastAsia"/>
          <w:sz w:val="32"/>
        </w:rPr>
        <w:t>3</w:t>
      </w:r>
      <w:r>
        <w:rPr>
          <w:rFonts w:ascii="標楷體" w:eastAsia="標楷體" w:hAnsi="標楷體" w:hint="eastAsia"/>
          <w:sz w:val="32"/>
        </w:rPr>
        <w:t>、訴訟類型的轉換在於尊重已形成的法秩序以及職務安定原則的思考；而職務安定原則的思考則出於信賴保護原則的考量—亦即國家公權力行</w:t>
      </w:r>
      <w:r>
        <w:rPr>
          <w:rFonts w:ascii="標楷體" w:eastAsia="標楷體" w:hAnsi="標楷體" w:hint="eastAsia"/>
          <w:sz w:val="32"/>
        </w:rPr>
        <w:t>為所造成的穩定的法律秩序，不容許事後作任意的變動，特別是涉及公務人員職缺的連鎖效應，可能會對其他公務人員甚或整個公務人員體系造成影響。</w:t>
      </w:r>
    </w:p>
    <w:p w:rsidR="00000000" w:rsidRDefault="00FC5876">
      <w:pPr>
        <w:pStyle w:val="a5"/>
        <w:spacing w:line="440" w:lineRule="exact"/>
        <w:ind w:left="480" w:hangingChars="150" w:hanging="480"/>
        <w:jc w:val="both"/>
        <w:rPr>
          <w:rFonts w:ascii="標楷體" w:eastAsia="標楷體" w:hAnsi="標楷體" w:hint="eastAsia"/>
          <w:sz w:val="32"/>
        </w:rPr>
      </w:pPr>
      <w:r>
        <w:rPr>
          <w:rFonts w:ascii="標楷體" w:eastAsia="標楷體" w:hAnsi="標楷體" w:hint="eastAsia"/>
          <w:sz w:val="32"/>
        </w:rPr>
        <w:t>4</w:t>
      </w:r>
      <w:r>
        <w:rPr>
          <w:rFonts w:ascii="標楷體" w:eastAsia="標楷體" w:hAnsi="標楷體" w:hint="eastAsia"/>
          <w:sz w:val="32"/>
        </w:rPr>
        <w:t>、我國現行法規雖無明文規定可以導出職務安定原則，然而從信賴保護原則中應該可以得出相同的結論。</w:t>
      </w:r>
    </w:p>
    <w:p w:rsidR="00000000" w:rsidRDefault="00FC5876">
      <w:pPr>
        <w:pStyle w:val="a5"/>
        <w:spacing w:line="440" w:lineRule="exact"/>
        <w:ind w:left="480" w:hangingChars="150" w:hanging="480"/>
        <w:jc w:val="both"/>
        <w:rPr>
          <w:rFonts w:ascii="標楷體" w:eastAsia="標楷體" w:hAnsi="標楷體" w:hint="eastAsia"/>
          <w:sz w:val="32"/>
        </w:rPr>
      </w:pPr>
      <w:r>
        <w:rPr>
          <w:rFonts w:ascii="標楷體" w:eastAsia="標楷體" w:hAnsi="標楷體" w:hint="eastAsia"/>
          <w:sz w:val="32"/>
        </w:rPr>
        <w:t>5</w:t>
      </w:r>
      <w:r>
        <w:rPr>
          <w:rFonts w:ascii="標楷體" w:eastAsia="標楷體" w:hAnsi="標楷體" w:hint="eastAsia"/>
          <w:sz w:val="32"/>
        </w:rPr>
        <w:t>、本報告對於貴會就劉慶蜀案所運用的情況裁判方式，對於職務安定原則在我國的適用是採取肯定的看法。至於臺北高等行政法院所為判決，可能僅考慮到形式合法性的要求，而未能對於該處分經撤銷後對公益造成的影響、職缺之調整及整體法秩序的安定等做整體考量。</w:t>
      </w:r>
    </w:p>
    <w:p w:rsidR="00000000" w:rsidRDefault="00FC5876">
      <w:pPr>
        <w:pStyle w:val="a5"/>
        <w:spacing w:line="440" w:lineRule="exact"/>
        <w:ind w:left="640" w:hanging="640"/>
        <w:jc w:val="both"/>
        <w:rPr>
          <w:rFonts w:ascii="標楷體" w:eastAsia="標楷體" w:hAnsi="標楷體" w:hint="eastAsia"/>
          <w:sz w:val="32"/>
        </w:rPr>
      </w:pPr>
      <w:r>
        <w:rPr>
          <w:rFonts w:ascii="標楷體" w:eastAsia="標楷體" w:hAnsi="標楷體" w:hint="eastAsia"/>
          <w:sz w:val="32"/>
        </w:rPr>
        <w:t>（三）暫時權利保護制度的運用：提前其救</w:t>
      </w:r>
      <w:r>
        <w:rPr>
          <w:rFonts w:ascii="標楷體" w:eastAsia="標楷體" w:hAnsi="標楷體" w:hint="eastAsia"/>
          <w:sz w:val="32"/>
        </w:rPr>
        <w:t>濟</w:t>
      </w:r>
    </w:p>
    <w:p w:rsidR="00000000" w:rsidRDefault="00FC5876">
      <w:pPr>
        <w:pStyle w:val="a5"/>
        <w:spacing w:line="440" w:lineRule="exact"/>
        <w:ind w:left="480" w:hangingChars="150" w:hanging="480"/>
        <w:jc w:val="both"/>
        <w:rPr>
          <w:rFonts w:ascii="標楷體" w:eastAsia="標楷體" w:hAnsi="標楷體" w:hint="eastAsia"/>
          <w:sz w:val="32"/>
        </w:rPr>
      </w:pPr>
      <w:r>
        <w:rPr>
          <w:rFonts w:ascii="標楷體" w:eastAsia="標楷體" w:hAnsi="標楷體" w:hint="eastAsia"/>
          <w:sz w:val="32"/>
        </w:rPr>
        <w:t>1</w:t>
      </w:r>
      <w:r>
        <w:rPr>
          <w:rFonts w:ascii="標楷體" w:eastAsia="標楷體" w:hAnsi="標楷體" w:hint="eastAsia"/>
          <w:sz w:val="32"/>
        </w:rPr>
        <w:t>、在陞遷決定還沒有確定之前，可以容許定一個暫時狀態，避免該陞遷處分執行並發生效力。</w:t>
      </w:r>
    </w:p>
    <w:p w:rsidR="00000000" w:rsidRDefault="00FC5876">
      <w:pPr>
        <w:pStyle w:val="a5"/>
        <w:spacing w:line="440" w:lineRule="exact"/>
        <w:ind w:left="480" w:hangingChars="150" w:hanging="480"/>
        <w:jc w:val="both"/>
        <w:rPr>
          <w:rFonts w:ascii="標楷體" w:eastAsia="標楷體" w:hAnsi="標楷體" w:hint="eastAsia"/>
          <w:sz w:val="32"/>
        </w:rPr>
      </w:pPr>
      <w:r>
        <w:rPr>
          <w:rFonts w:ascii="標楷體" w:eastAsia="標楷體" w:hAnsi="標楷體" w:hint="eastAsia"/>
          <w:sz w:val="32"/>
        </w:rPr>
        <w:t>2</w:t>
      </w:r>
      <w:r>
        <w:rPr>
          <w:rFonts w:ascii="標楷體" w:eastAsia="標楷體" w:hAnsi="標楷體" w:hint="eastAsia"/>
          <w:sz w:val="32"/>
        </w:rPr>
        <w:t>、公務人員保障法僅於第</w:t>
      </w:r>
      <w:r>
        <w:rPr>
          <w:rFonts w:ascii="標楷體" w:eastAsia="標楷體" w:hAnsi="標楷體" w:hint="eastAsia"/>
          <w:sz w:val="32"/>
        </w:rPr>
        <w:t>89</w:t>
      </w:r>
      <w:r>
        <w:rPr>
          <w:rFonts w:ascii="標楷體" w:eastAsia="標楷體" w:hAnsi="標楷體" w:hint="eastAsia"/>
          <w:sz w:val="32"/>
        </w:rPr>
        <w:t>條設計停止執行的制度，與行政訴訟法中所定暫時權利保護制度相較，感覺上較為薄弱。如未能從立法制度考量是否予以體系性配合的話，行政訴訟法第</w:t>
      </w:r>
      <w:r>
        <w:rPr>
          <w:rFonts w:ascii="標楷體" w:eastAsia="標楷體" w:hAnsi="標楷體" w:hint="eastAsia"/>
          <w:sz w:val="32"/>
        </w:rPr>
        <w:t>116</w:t>
      </w:r>
      <w:r>
        <w:rPr>
          <w:rFonts w:ascii="標楷體" w:eastAsia="標楷體" w:hAnsi="標楷體" w:hint="eastAsia"/>
          <w:sz w:val="32"/>
        </w:rPr>
        <w:t>條第</w:t>
      </w:r>
      <w:r>
        <w:rPr>
          <w:rFonts w:ascii="標楷體" w:eastAsia="標楷體" w:hAnsi="標楷體" w:hint="eastAsia"/>
          <w:sz w:val="32"/>
        </w:rPr>
        <w:t>2</w:t>
      </w:r>
      <w:r>
        <w:rPr>
          <w:rFonts w:ascii="標楷體" w:eastAsia="標楷體" w:hAnsi="標楷體" w:hint="eastAsia"/>
          <w:sz w:val="32"/>
        </w:rPr>
        <w:t>項規定：「行政訴訟繫屬中，行政法院認為原處分或決定之執行，將發生難於回復之損害，且有急迫情事者，得依職權或依聲請裁定停止執行。但於公益有重大影響，或原告之訴在法律上顯無理由者，不得為之。」可以作為補充，亦即在訴訟未繫屬前即得要求停</w:t>
      </w:r>
      <w:r>
        <w:rPr>
          <w:rFonts w:ascii="標楷體" w:eastAsia="標楷體" w:hAnsi="標楷體" w:hint="eastAsia"/>
          <w:sz w:val="32"/>
        </w:rPr>
        <w:lastRenderedPageBreak/>
        <w:t>止執行，可能是比較</w:t>
      </w:r>
      <w:r>
        <w:rPr>
          <w:rFonts w:ascii="標楷體" w:eastAsia="標楷體" w:hAnsi="標楷體" w:hint="eastAsia"/>
          <w:sz w:val="32"/>
        </w:rPr>
        <w:t>好的處理方式。</w:t>
      </w:r>
    </w:p>
    <w:p w:rsidR="00000000" w:rsidRDefault="00FC5876">
      <w:pPr>
        <w:pStyle w:val="a5"/>
        <w:spacing w:line="440" w:lineRule="exact"/>
        <w:ind w:left="480" w:hangingChars="150" w:hanging="480"/>
        <w:jc w:val="both"/>
        <w:rPr>
          <w:rFonts w:ascii="標楷體" w:eastAsia="標楷體" w:hAnsi="標楷體" w:hint="eastAsia"/>
          <w:sz w:val="32"/>
        </w:rPr>
      </w:pPr>
      <w:r>
        <w:rPr>
          <w:rFonts w:ascii="標楷體" w:eastAsia="標楷體" w:hAnsi="標楷體" w:hint="eastAsia"/>
          <w:sz w:val="32"/>
        </w:rPr>
        <w:t>3</w:t>
      </w:r>
      <w:r>
        <w:rPr>
          <w:rFonts w:ascii="標楷體" w:eastAsia="標楷體" w:hAnsi="標楷體" w:hint="eastAsia"/>
          <w:sz w:val="32"/>
        </w:rPr>
        <w:t>、對於貴會在保障實務上就職務安定原則如何確保乙節，本報告認為應善予運用保障法第</w:t>
      </w:r>
      <w:r>
        <w:rPr>
          <w:rFonts w:ascii="標楷體" w:eastAsia="標楷體" w:hAnsi="標楷體" w:hint="eastAsia"/>
          <w:sz w:val="32"/>
        </w:rPr>
        <w:t>67</w:t>
      </w:r>
      <w:r>
        <w:rPr>
          <w:rFonts w:ascii="標楷體" w:eastAsia="標楷體" w:hAnsi="標楷體" w:hint="eastAsia"/>
          <w:sz w:val="32"/>
        </w:rPr>
        <w:t>條規定，對於現行制度上的解決是很好的處理方式。如果從比較法上來觀察的話，德國法的觀察也是如此：新的任命已經完成時，行政法院會將撤銷處分的請求權轉換為損害賠償的請求權，此種轉換並非在弱化當事人在憲法上所保障的訴訟權，同時訴訟權之保障亦非僅限於訴訟類型的提供而已，僅在於接近司法的途徑，同樣能夠滿足保障訴訟權的憲法要求。</w:t>
      </w:r>
    </w:p>
    <w:p w:rsidR="00000000" w:rsidRDefault="00FC5876">
      <w:pPr>
        <w:pStyle w:val="a5"/>
        <w:spacing w:line="440" w:lineRule="exact"/>
        <w:ind w:left="25" w:firstLineChars="0" w:firstLine="0"/>
        <w:jc w:val="both"/>
        <w:rPr>
          <w:rFonts w:ascii="標楷體" w:eastAsia="標楷體" w:hAnsi="標楷體" w:hint="eastAsia"/>
          <w:sz w:val="32"/>
        </w:rPr>
      </w:pPr>
      <w:r>
        <w:rPr>
          <w:rFonts w:ascii="標楷體" w:eastAsia="標楷體" w:hAnsi="標楷體" w:hint="eastAsia"/>
          <w:sz w:val="32"/>
        </w:rPr>
        <w:t>二、審查意見：</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（一）研究報告提及立法政策上有形成的空間，是傾向於對整個陞遷的救濟應採取多元化</w:t>
      </w:r>
      <w:r>
        <w:rPr>
          <w:rFonts w:ascii="標楷體" w:eastAsia="標楷體" w:hAnsi="標楷體" w:hint="eastAsia"/>
          <w:sz w:val="32"/>
        </w:rPr>
        <w:t>的訴訟類型？還是在於保障法的審查類型應予增加調整？</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（二）研究團隊提及德國法在處理多數人未獲陞遷的救濟程序所為設計。然而在我國現行法對於參加並無類似明文的狀況下，對本會實務處理上有無具體建議？</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三）我國訴訟權在解釋上採概括保護原則。在有權利就有救濟的前提觀點下，無須再落入有處分才有救濟的窠臼，因而現行保障制度有很大的調整必要性。行政處分的概念應該是在於訴訟類型的指向功能，而非排除救濟可能。至於非處分的部分，可以考量保障法第</w:t>
      </w:r>
      <w:r>
        <w:rPr>
          <w:rFonts w:ascii="標楷體" w:eastAsia="標楷體" w:hAnsi="標楷體" w:hint="eastAsia"/>
          <w:sz w:val="32"/>
        </w:rPr>
        <w:t>17</w:t>
      </w:r>
      <w:r>
        <w:rPr>
          <w:rFonts w:ascii="標楷體" w:eastAsia="標楷體" w:hAnsi="標楷體" w:hint="eastAsia"/>
          <w:sz w:val="32"/>
        </w:rPr>
        <w:t>條規定之命異議制度，與現行保障制度如何提起行政爭訟的部分來做結合。非處分的類型有</w:t>
      </w:r>
      <w:r>
        <w:rPr>
          <w:rFonts w:ascii="標楷體" w:eastAsia="標楷體" w:hAnsi="標楷體" w:hint="eastAsia"/>
          <w:sz w:val="32"/>
        </w:rPr>
        <w:t>兩種：影響公務人員權益的部分，應允許提起一般給付訴訟或確認訴訟來解決；但是對於公務人員權益沒有影響的部分，應該能夠運用命異議制度來解決。因而在非處分的部分，對於公務人員權益是否造成影響，即有其區分實益。</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（四）行政處分應如何界定，我國自大法官解釋以來，可區分為三種見解：第一種為取代型界定：就「對外發生法律效果」之行政處分要件，業已完全被「對公務人</w:t>
      </w:r>
      <w:r>
        <w:rPr>
          <w:rFonts w:ascii="標楷體" w:eastAsia="標楷體" w:hAnsi="標楷體" w:hint="eastAsia"/>
          <w:sz w:val="32"/>
        </w:rPr>
        <w:lastRenderedPageBreak/>
        <w:t>員權益有無重大影響」所取代。第二種為附帶型界定：基本上先依照行政處分的要件判斷，再附加對公務人員權益是否有重大影響之雙重判斷。第三種為回歸行政處分認定的觀點。過去僅</w:t>
      </w:r>
      <w:r>
        <w:rPr>
          <w:rFonts w:ascii="標楷體" w:eastAsia="標楷體" w:hAnsi="標楷體" w:hint="eastAsia"/>
          <w:sz w:val="32"/>
        </w:rPr>
        <w:t>有撤銷訴訟一種類型下，大法官能夠以「對公務人員權益有無重大影響」來操作，已經是很大的突破，絕對值得肯定，然而在目前訴訟類型較為多元化的型態下，是否還需要維持以往大法官解釋的觀點，即待進一步思考。如欲採取回歸基本認定觀點者，究應如何界定對外效果？在個案法規上有無主觀公權利之導出，可能是對外效果的判別重點。公務人員基本上具備雙重身分，個人權利主體的身分以及國家職務執行者的身分，因而個別事項如能由法規導出具有個人權利時，才會產生對外效果（法規無法導出時，通常會轉往基本權的討論）。理解上，職務執行者通常不享有基本權</w:t>
      </w:r>
      <w:r>
        <w:rPr>
          <w:rFonts w:ascii="標楷體" w:eastAsia="標楷體" w:hAnsi="標楷體" w:hint="eastAsia"/>
          <w:sz w:val="32"/>
        </w:rPr>
        <w:t>，此亦為行政功能性的維持所需；例外在核心權利部分才會享有基本權利。德國</w:t>
      </w:r>
      <w:r>
        <w:rPr>
          <w:rFonts w:ascii="標楷體" w:eastAsia="標楷體" w:hAnsi="標楷體" w:hint="eastAsia"/>
          <w:sz w:val="32"/>
        </w:rPr>
        <w:t>1976</w:t>
      </w:r>
      <w:r>
        <w:rPr>
          <w:rFonts w:ascii="標楷體" w:eastAsia="標楷體" w:hAnsi="標楷體" w:hint="eastAsia"/>
          <w:sz w:val="32"/>
        </w:rPr>
        <w:t>年的職務調整判決，就是採取以上的區分方式，對於職務執行者造成權益影響的部分，德國法院認為雖非行政處分，但承認可以提起給付跟確認訴訟。然而比較弔詭的是，同意提起一般給付訴訟的話，由之前的邏輯推演上，似乎是有訴權上的欠缺。當我們論證陞遷決定究為行政處分抑或管理措施時，如何導出陞遷被拒絕是管理措施、他人陞遷的派令是行政處分的結論，前揭對內、對外的論述應該是必要且不致使當事人難以理解的方式。在此連帶導出在無瑕疵裁量請求部分，是否屬於主觀公</w:t>
      </w:r>
      <w:r>
        <w:rPr>
          <w:rFonts w:ascii="標楷體" w:eastAsia="標楷體" w:hAnsi="標楷體" w:hint="eastAsia"/>
          <w:sz w:val="32"/>
        </w:rPr>
        <w:t>權利被侵害？</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五）研究團隊對於程序請求權的論述，完全贊同：亦即不進入實體部分，認為公務人員至少有程序上請求權。然而報告中對於程序請求權僅提及閱覽卷宗請求權，其他諸如聽證、陳述意見、附記理由等程序又如何？在陞遷救濟的閱覽卷宗請求上比較特殊的是，當事人</w:t>
      </w:r>
      <w:r>
        <w:rPr>
          <w:rFonts w:ascii="標楷體" w:eastAsia="標楷體" w:hAnsi="標楷體" w:hint="eastAsia"/>
          <w:sz w:val="32"/>
        </w:rPr>
        <w:lastRenderedPageBreak/>
        <w:t>常常不只想看自己的資訊，同時還想看別人的資料，否則無從為攻擊防禦，此即涉及有效權利保護，同時亦涉及資訊自決權的問題。曾見判決中有一種比較特殊的看法：不能夠影印攝影，但可以觀看跟抄寫，以調和兩者，然而在我國此點比較沒有問題，因為目前實務上是連自己的資訊都無法取得。</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（六）職務安定原則，研究團隊傾向贊同該原則可以由信賴保護原則導出。然而在報告第</w:t>
      </w:r>
      <w:r>
        <w:rPr>
          <w:rFonts w:ascii="標楷體" w:eastAsia="標楷體" w:hAnsi="標楷體" w:hint="eastAsia"/>
          <w:sz w:val="32"/>
        </w:rPr>
        <w:t>86</w:t>
      </w:r>
      <w:r>
        <w:rPr>
          <w:rFonts w:ascii="標楷體" w:eastAsia="標楷體" w:hAnsi="標楷體" w:hint="eastAsia"/>
          <w:sz w:val="32"/>
        </w:rPr>
        <w:t>頁提出，倘仍有撤銷可能（或持續撤銷訴訟審理之必要）時，仍有權利保護必要，不太能夠瞭解此部分所指何謂？</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七）第三人效力問題，德國聯邦行政法院過去否認第三人效力處分的存在，並指出造成侵害的是機關的否准陞遷，而非他人的陞遷。這個部分對照我國目前陞遷實務，未獲陞遷者並不會得到一個未獲陞遷的書面通知，似無法逕行運用德國聯邦法院的推論，是否因為如此，我國比較具有承認第三人效力處分的可能性？</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（八）一般形成訴訟在德國經常受到批判，指其形</w:t>
      </w:r>
      <w:r>
        <w:rPr>
          <w:rFonts w:ascii="標楷體" w:eastAsia="標楷體" w:hAnsi="標楷體" w:hint="eastAsia"/>
          <w:sz w:val="32"/>
        </w:rPr>
        <w:t>成法官造法，基本上已然脫逸行政訴訟法的規範範圍。而在我國法制面，如果採取回歸行政處分認定的觀點，能夠透過一般給付訴訟跟確認訴訟達成救濟目的時，是否還有承認一般形成訴訟此一類型的必要？在現有訴訟類型無法解決有效救濟之需求時，可能才有運用一般形成訴訟的必要。</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（九）從行政程序法來思考的話，依德國行政程序法第</w:t>
      </w:r>
      <w:r>
        <w:rPr>
          <w:rFonts w:ascii="標楷體" w:eastAsia="標楷體" w:hAnsi="標楷體" w:hint="eastAsia"/>
          <w:sz w:val="32"/>
        </w:rPr>
        <w:t>48</w:t>
      </w:r>
      <w:r>
        <w:rPr>
          <w:rFonts w:ascii="標楷體" w:eastAsia="標楷體" w:hAnsi="標楷體" w:hint="eastAsia"/>
          <w:sz w:val="32"/>
        </w:rPr>
        <w:t>條，我國行政程序法第</w:t>
      </w:r>
      <w:r>
        <w:rPr>
          <w:rFonts w:ascii="標楷體" w:eastAsia="標楷體" w:hAnsi="標楷體" w:hint="eastAsia"/>
          <w:sz w:val="32"/>
        </w:rPr>
        <w:t>117</w:t>
      </w:r>
      <w:r>
        <w:rPr>
          <w:rFonts w:ascii="標楷體" w:eastAsia="標楷體" w:hAnsi="標楷體" w:hint="eastAsia"/>
          <w:sz w:val="32"/>
        </w:rPr>
        <w:t>條規定，請求機關對於違法行政處分職權撤銷時，當事人具有無瑕疵裁量請求權。如果被拒絕的話，對照德國就裁量減縮至零時，可以請求陞遷的看法，基於相同的解釋，機關的拒絕陞遷決定，本身還是</w:t>
      </w:r>
      <w:r>
        <w:rPr>
          <w:rFonts w:ascii="標楷體" w:eastAsia="標楷體" w:hAnsi="標楷體" w:hint="eastAsia"/>
          <w:sz w:val="32"/>
        </w:rPr>
        <w:t>屬於行政處分，因為有一個無瑕疵裁量的權利存在。這一點在陞遷的部分是比較困擾的問題，對於機關陞遷拒絕的決定，應該可以導出是</w:t>
      </w:r>
      <w:r>
        <w:rPr>
          <w:rFonts w:ascii="標楷體" w:eastAsia="標楷體" w:hAnsi="標楷體" w:hint="eastAsia"/>
          <w:sz w:val="32"/>
        </w:rPr>
        <w:lastRenderedPageBreak/>
        <w:t>一個行政處分。然而如果公務人員在此被定位為職務執行者的話，可能轉換為非行政處分亦不無可能。因而有關於雙重身分的區分，應該是一個相當重要的區分點。</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（十）對於本會於</w:t>
      </w:r>
      <w:r>
        <w:rPr>
          <w:rFonts w:ascii="標楷體" w:eastAsia="標楷體" w:hAnsi="標楷體" w:hint="eastAsia"/>
          <w:sz w:val="32"/>
        </w:rPr>
        <w:t>92</w:t>
      </w:r>
      <w:r>
        <w:rPr>
          <w:rFonts w:ascii="標楷體" w:eastAsia="標楷體" w:hAnsi="標楷體" w:hint="eastAsia"/>
          <w:sz w:val="32"/>
        </w:rPr>
        <w:t>年</w:t>
      </w:r>
      <w:r>
        <w:rPr>
          <w:rFonts w:ascii="標楷體" w:eastAsia="標楷體" w:hAnsi="標楷體" w:hint="eastAsia"/>
          <w:sz w:val="32"/>
        </w:rPr>
        <w:t>10</w:t>
      </w:r>
      <w:r>
        <w:rPr>
          <w:rFonts w:ascii="標楷體" w:eastAsia="標楷體" w:hAnsi="標楷體" w:hint="eastAsia"/>
          <w:sz w:val="32"/>
        </w:rPr>
        <w:t>月</w:t>
      </w:r>
      <w:r>
        <w:rPr>
          <w:rFonts w:ascii="標楷體" w:eastAsia="標楷體" w:hAnsi="標楷體" w:hint="eastAsia"/>
          <w:sz w:val="32"/>
        </w:rPr>
        <w:t>17</w:t>
      </w:r>
      <w:r>
        <w:rPr>
          <w:rFonts w:ascii="標楷體" w:eastAsia="標楷體" w:hAnsi="標楷體" w:hint="eastAsia"/>
          <w:sz w:val="32"/>
        </w:rPr>
        <w:t>日之會議決議，研究團隊有無進一步的建議？</w:t>
      </w:r>
    </w:p>
    <w:p w:rsidR="00000000" w:rsidRDefault="00FC5876">
      <w:pPr>
        <w:pStyle w:val="a5"/>
        <w:spacing w:line="440" w:lineRule="exact"/>
        <w:ind w:left="640" w:hanging="640"/>
        <w:jc w:val="both"/>
        <w:rPr>
          <w:rFonts w:ascii="標楷體" w:eastAsia="標楷體" w:hAnsi="標楷體" w:hint="eastAsia"/>
          <w:sz w:val="32"/>
        </w:rPr>
      </w:pPr>
      <w:r>
        <w:rPr>
          <w:rFonts w:ascii="標楷體" w:eastAsia="標楷體" w:hAnsi="標楷體" w:hint="eastAsia"/>
          <w:sz w:val="32"/>
        </w:rPr>
        <w:t>二、研究團隊回應：</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（一）有關研究團隊對於貴會決定意旨解讀有誤部分，將於期末報告再加以修正。至於與會人員的意見，亦斟酌納入期末報告作為補充。</w:t>
      </w:r>
    </w:p>
    <w:p w:rsidR="00000000" w:rsidRDefault="00FC5876">
      <w:pPr>
        <w:pStyle w:val="a5"/>
        <w:spacing w:line="440" w:lineRule="exact"/>
        <w:ind w:left="640" w:hanging="640"/>
        <w:jc w:val="both"/>
        <w:rPr>
          <w:rFonts w:ascii="標楷體" w:eastAsia="標楷體" w:hAnsi="標楷體" w:hint="eastAsia"/>
          <w:sz w:val="32"/>
        </w:rPr>
      </w:pPr>
      <w:r>
        <w:rPr>
          <w:rFonts w:ascii="標楷體" w:eastAsia="標楷體" w:hAnsi="標楷體" w:hint="eastAsia"/>
          <w:sz w:val="32"/>
        </w:rPr>
        <w:t>（二）有關研究團隊所建議的立法</w:t>
      </w:r>
      <w:r>
        <w:rPr>
          <w:rFonts w:ascii="標楷體" w:eastAsia="標楷體" w:hAnsi="標楷體" w:hint="eastAsia"/>
          <w:sz w:val="32"/>
        </w:rPr>
        <w:t>政策上有形成的空間乙節。</w:t>
      </w:r>
    </w:p>
    <w:p w:rsidR="00000000" w:rsidRDefault="00FC5876">
      <w:pPr>
        <w:pStyle w:val="a5"/>
        <w:spacing w:line="440" w:lineRule="exact"/>
        <w:ind w:leftChars="199" w:left="958" w:hangingChars="150" w:hanging="480"/>
        <w:jc w:val="both"/>
        <w:rPr>
          <w:rFonts w:ascii="標楷體" w:eastAsia="標楷體" w:hAnsi="標楷體" w:hint="eastAsia"/>
          <w:sz w:val="32"/>
        </w:rPr>
      </w:pPr>
      <w:r>
        <w:rPr>
          <w:rFonts w:ascii="標楷體" w:eastAsia="標楷體" w:hAnsi="標楷體" w:hint="eastAsia"/>
          <w:sz w:val="32"/>
        </w:rPr>
        <w:t>1</w:t>
      </w:r>
      <w:r>
        <w:rPr>
          <w:rFonts w:ascii="標楷體" w:eastAsia="標楷體" w:hAnsi="標楷體" w:hint="eastAsia"/>
          <w:sz w:val="32"/>
        </w:rPr>
        <w:t>、以公務人員保障法（以下簡稱保障法）所設救濟類型來看，僅有撤銷型及怠為處分之課予義務型復審</w:t>
      </w:r>
      <w:r>
        <w:rPr>
          <w:rFonts w:ascii="標楷體" w:eastAsia="標楷體" w:hAnsi="標楷體" w:hint="eastAsia"/>
          <w:sz w:val="32"/>
        </w:rPr>
        <w:t>2</w:t>
      </w:r>
      <w:r>
        <w:rPr>
          <w:rFonts w:ascii="標楷體" w:eastAsia="標楷體" w:hAnsi="標楷體" w:hint="eastAsia"/>
          <w:sz w:val="32"/>
        </w:rPr>
        <w:t>種，與行政訴訟法所規定之訴訟種類有所落差。從立法政策上觀察，當然是以儘量與現有訴訟型態做配套式的設計，會是比較妥適的處理方式。</w:t>
      </w:r>
    </w:p>
    <w:p w:rsidR="00000000" w:rsidRDefault="00FC5876">
      <w:pPr>
        <w:pStyle w:val="a5"/>
        <w:spacing w:line="440" w:lineRule="exact"/>
        <w:ind w:leftChars="199" w:left="958" w:hangingChars="150" w:hanging="480"/>
        <w:jc w:val="both"/>
        <w:rPr>
          <w:rFonts w:ascii="標楷體" w:eastAsia="標楷體" w:hAnsi="標楷體" w:hint="eastAsia"/>
          <w:sz w:val="32"/>
        </w:rPr>
      </w:pPr>
      <w:r>
        <w:rPr>
          <w:rFonts w:ascii="標楷體" w:eastAsia="標楷體" w:hAnsi="標楷體" w:hint="eastAsia"/>
          <w:sz w:val="32"/>
        </w:rPr>
        <w:t>2</w:t>
      </w:r>
      <w:r>
        <w:rPr>
          <w:rFonts w:ascii="標楷體" w:eastAsia="標楷體" w:hAnsi="標楷體" w:hint="eastAsia"/>
          <w:sz w:val="32"/>
        </w:rPr>
        <w:t>、至於在修法前應如何處理？以目前實務上貴會所採取儘量納入復審程序的方式，盡量讓當事人能夠進入救濟程序，固然為一種不錯的解決途徑。然而在僅能運用行政處分的撤銷訴訟上，對於欠缺行政處分外觀的內部行政行為，現行法雖未限制其不能夠進入司法救濟，要如何救濟卻不無疑義。不過</w:t>
      </w:r>
      <w:r>
        <w:rPr>
          <w:rFonts w:ascii="標楷體" w:eastAsia="標楷體" w:hAnsi="標楷體" w:hint="eastAsia"/>
          <w:sz w:val="32"/>
        </w:rPr>
        <w:t>這部分的問題並非貴會所能解決，而是在行政法院審理時，法官所需考量的範疇：</w:t>
      </w:r>
    </w:p>
    <w:p w:rsidR="00000000" w:rsidRDefault="00FC5876">
      <w:pPr>
        <w:pStyle w:val="a5"/>
        <w:spacing w:line="440" w:lineRule="exact"/>
        <w:ind w:leftChars="150" w:left="1160" w:hangingChars="250" w:hanging="800"/>
        <w:jc w:val="both"/>
        <w:rPr>
          <w:rFonts w:ascii="標楷體" w:eastAsia="標楷體" w:hAnsi="標楷體" w:hint="eastAsia"/>
          <w:sz w:val="32"/>
        </w:rPr>
      </w:pPr>
      <w:r>
        <w:rPr>
          <w:rFonts w:ascii="標楷體" w:eastAsia="標楷體" w:hAnsi="標楷體" w:hint="eastAsia"/>
          <w:sz w:val="32"/>
        </w:rPr>
        <w:t>（</w:t>
      </w:r>
      <w:r>
        <w:rPr>
          <w:rFonts w:ascii="標楷體" w:eastAsia="標楷體" w:hAnsi="標楷體" w:hint="eastAsia"/>
          <w:sz w:val="32"/>
        </w:rPr>
        <w:t>1</w:t>
      </w:r>
      <w:r>
        <w:rPr>
          <w:rFonts w:ascii="標楷體" w:eastAsia="標楷體" w:hAnsi="標楷體" w:hint="eastAsia"/>
          <w:sz w:val="32"/>
        </w:rPr>
        <w:t>）由於當事人不服的是欠缺行政處分外觀的機關內部行政行為，因而在訴訟型態的選擇上，撤銷訴訟是可以排除的。</w:t>
      </w:r>
    </w:p>
    <w:p w:rsidR="00000000" w:rsidRDefault="00FC5876">
      <w:pPr>
        <w:pStyle w:val="a5"/>
        <w:spacing w:line="440" w:lineRule="exact"/>
        <w:ind w:leftChars="150" w:left="1160" w:hangingChars="250" w:hanging="800"/>
        <w:jc w:val="both"/>
        <w:rPr>
          <w:rFonts w:ascii="標楷體" w:eastAsia="標楷體" w:hAnsi="標楷體" w:hint="eastAsia"/>
          <w:sz w:val="32"/>
        </w:rPr>
      </w:pPr>
      <w:r>
        <w:rPr>
          <w:rFonts w:ascii="標楷體" w:eastAsia="標楷體" w:hAnsi="標楷體" w:hint="eastAsia"/>
          <w:sz w:val="32"/>
        </w:rPr>
        <w:t>（</w:t>
      </w:r>
      <w:r>
        <w:rPr>
          <w:rFonts w:ascii="標楷體" w:eastAsia="標楷體" w:hAnsi="標楷體" w:hint="eastAsia"/>
          <w:sz w:val="32"/>
        </w:rPr>
        <w:t>2</w:t>
      </w:r>
      <w:r>
        <w:rPr>
          <w:rFonts w:ascii="標楷體" w:eastAsia="標楷體" w:hAnsi="標楷體" w:hint="eastAsia"/>
          <w:sz w:val="32"/>
        </w:rPr>
        <w:t>）在當事人選擇</w:t>
      </w:r>
      <w:r>
        <w:rPr>
          <w:rFonts w:ascii="標楷體" w:eastAsia="標楷體" w:hAnsi="標楷體" w:hint="eastAsia"/>
          <w:b/>
          <w:bCs/>
          <w:sz w:val="32"/>
        </w:rPr>
        <w:t>確認訴訟</w:t>
      </w:r>
      <w:r>
        <w:rPr>
          <w:rFonts w:ascii="標楷體" w:eastAsia="標楷體" w:hAnsi="標楷體" w:hint="eastAsia"/>
          <w:sz w:val="32"/>
        </w:rPr>
        <w:t>的情形，由於無須涉及究否行政處分之認定前提，僅在於確定法律關係，不會牽涉到行政處分撤銷的補充性；如果當事人提起的是</w:t>
      </w:r>
      <w:r>
        <w:rPr>
          <w:rFonts w:ascii="標楷體" w:eastAsia="標楷體" w:hAnsi="標楷體" w:hint="eastAsia"/>
          <w:b/>
          <w:bCs/>
          <w:sz w:val="32"/>
        </w:rPr>
        <w:t>一般給付訴訟</w:t>
      </w:r>
      <w:r>
        <w:rPr>
          <w:rFonts w:ascii="標楷體" w:eastAsia="標楷體" w:hAnsi="標楷體" w:hint="eastAsia"/>
          <w:sz w:val="32"/>
        </w:rPr>
        <w:t>，也沒有訴願或復審前置的要求，行政法院</w:t>
      </w:r>
      <w:r>
        <w:rPr>
          <w:rFonts w:ascii="標楷體" w:eastAsia="標楷體" w:hAnsi="標楷體" w:hint="eastAsia"/>
          <w:sz w:val="32"/>
        </w:rPr>
        <w:lastRenderedPageBreak/>
        <w:t>法官應該都是會受理的。例如公務人員要求服務機關提供個人的陞遷資料經否准（事實行為），這種拒絕決定無須經</w:t>
      </w:r>
      <w:r>
        <w:rPr>
          <w:rFonts w:ascii="標楷體" w:eastAsia="標楷體" w:hAnsi="標楷體" w:hint="eastAsia"/>
          <w:sz w:val="32"/>
        </w:rPr>
        <w:t xml:space="preserve">  </w:t>
      </w:r>
      <w:r>
        <w:rPr>
          <w:rFonts w:ascii="標楷體" w:eastAsia="標楷體" w:hAnsi="標楷體" w:hint="eastAsia"/>
          <w:sz w:val="32"/>
        </w:rPr>
        <w:t>貴會審理，當事人可以直接提起一般給</w:t>
      </w:r>
      <w:r>
        <w:rPr>
          <w:rFonts w:ascii="標楷體" w:eastAsia="標楷體" w:hAnsi="標楷體" w:hint="eastAsia"/>
          <w:sz w:val="32"/>
        </w:rPr>
        <w:t>付訴訟；即便當事人向</w:t>
      </w:r>
      <w:r>
        <w:rPr>
          <w:rFonts w:ascii="標楷體" w:eastAsia="標楷體" w:hAnsi="標楷體" w:hint="eastAsia"/>
          <w:sz w:val="32"/>
        </w:rPr>
        <w:t xml:space="preserve">  </w:t>
      </w:r>
      <w:r>
        <w:rPr>
          <w:rFonts w:ascii="標楷體" w:eastAsia="標楷體" w:hAnsi="標楷體" w:hint="eastAsia"/>
          <w:sz w:val="32"/>
        </w:rPr>
        <w:t>貴會提起救濟，依目前之審理實務，對於該拒絕決定也可以進入申訴、再申訴程序。更進一步來講，當事人如果因再申訴決定未獲救濟而提起行政訴訟，行政法院法官應該不至於認為再申訴決定具有確定力而不予受理。以上的思考可能並非</w:t>
      </w:r>
      <w:r>
        <w:rPr>
          <w:rFonts w:ascii="標楷體" w:eastAsia="標楷體" w:hAnsi="標楷體" w:hint="eastAsia"/>
          <w:sz w:val="32"/>
        </w:rPr>
        <w:t xml:space="preserve">  </w:t>
      </w:r>
      <w:r>
        <w:rPr>
          <w:rFonts w:ascii="標楷體" w:eastAsia="標楷體" w:hAnsi="標楷體" w:hint="eastAsia"/>
          <w:sz w:val="32"/>
        </w:rPr>
        <w:t>貴會所得處理。然而基於人民訴訟權的保障觀點，研究團隊認為行政法院法官在此一面向上應採取開放的觀點，應該儘量給予人民進入法院處理的機會。以達成人民訴訟權之實現。</w:t>
      </w:r>
    </w:p>
    <w:p w:rsidR="00000000" w:rsidRDefault="00FC5876">
      <w:pPr>
        <w:pStyle w:val="a5"/>
        <w:spacing w:line="440" w:lineRule="exact"/>
        <w:ind w:leftChars="199" w:left="958" w:hangingChars="150" w:hanging="480"/>
        <w:jc w:val="both"/>
        <w:rPr>
          <w:rFonts w:ascii="標楷體" w:eastAsia="標楷體" w:hAnsi="標楷體" w:hint="eastAsia"/>
          <w:sz w:val="32"/>
        </w:rPr>
      </w:pPr>
      <w:r>
        <w:rPr>
          <w:rFonts w:ascii="標楷體" w:eastAsia="標楷體" w:hAnsi="標楷體" w:hint="eastAsia"/>
          <w:sz w:val="32"/>
        </w:rPr>
        <w:t>3</w:t>
      </w:r>
      <w:r>
        <w:rPr>
          <w:rFonts w:ascii="標楷體" w:eastAsia="標楷體" w:hAnsi="標楷體" w:hint="eastAsia"/>
          <w:sz w:val="32"/>
        </w:rPr>
        <w:t>、雖然在現行法規上，保障法與現行行政訴訟類型還無法互相配套連結，然而實務運作上，對於公務人員的救濟，倒不致形成過</w:t>
      </w:r>
      <w:r>
        <w:rPr>
          <w:rFonts w:ascii="標楷體" w:eastAsia="標楷體" w:hAnsi="標楷體" w:hint="eastAsia"/>
          <w:sz w:val="32"/>
        </w:rPr>
        <w:t>大的漏洞或阻滯。</w:t>
      </w:r>
    </w:p>
    <w:p w:rsidR="00000000" w:rsidRDefault="00FC5876">
      <w:pPr>
        <w:pStyle w:val="a5"/>
        <w:spacing w:line="440" w:lineRule="exact"/>
        <w:ind w:leftChars="150" w:left="1160" w:hangingChars="250" w:hanging="800"/>
        <w:jc w:val="both"/>
        <w:rPr>
          <w:rFonts w:ascii="標楷體" w:eastAsia="標楷體" w:hAnsi="標楷體" w:hint="eastAsia"/>
          <w:sz w:val="32"/>
        </w:rPr>
      </w:pPr>
      <w:r>
        <w:rPr>
          <w:rFonts w:ascii="標楷體" w:eastAsia="標楷體" w:hAnsi="標楷體" w:hint="eastAsia"/>
          <w:sz w:val="32"/>
        </w:rPr>
        <w:t>（</w:t>
      </w:r>
      <w:r>
        <w:rPr>
          <w:rFonts w:ascii="標楷體" w:eastAsia="標楷體" w:hAnsi="標楷體" w:hint="eastAsia"/>
          <w:sz w:val="32"/>
        </w:rPr>
        <w:t>1</w:t>
      </w:r>
      <w:r>
        <w:rPr>
          <w:rFonts w:ascii="標楷體" w:eastAsia="標楷體" w:hAnsi="標楷體" w:hint="eastAsia"/>
          <w:sz w:val="32"/>
        </w:rPr>
        <w:t>）在以復審前置為要件的訴訟型態，例如在課予義務的復審在公務人員保障法之規定顯有不足，即有擴大的必要，否則僅為行政機關所為拒絕決定究否行政處分爭論不休，反而無法達到救濟之目的。</w:t>
      </w:r>
    </w:p>
    <w:p w:rsidR="00000000" w:rsidRDefault="00FC5876">
      <w:pPr>
        <w:pStyle w:val="a5"/>
        <w:spacing w:line="440" w:lineRule="exact"/>
        <w:ind w:leftChars="150" w:left="1160" w:hangingChars="250" w:hanging="800"/>
        <w:jc w:val="both"/>
        <w:rPr>
          <w:rFonts w:ascii="標楷體" w:eastAsia="標楷體" w:hAnsi="標楷體" w:hint="eastAsia"/>
          <w:sz w:val="32"/>
        </w:rPr>
      </w:pPr>
      <w:r>
        <w:rPr>
          <w:rFonts w:ascii="標楷體" w:eastAsia="標楷體" w:hAnsi="標楷體" w:hint="eastAsia"/>
          <w:sz w:val="32"/>
        </w:rPr>
        <w:t>（</w:t>
      </w:r>
      <w:r>
        <w:rPr>
          <w:rFonts w:ascii="標楷體" w:eastAsia="標楷體" w:hAnsi="標楷體" w:hint="eastAsia"/>
          <w:sz w:val="32"/>
        </w:rPr>
        <w:t>2</w:t>
      </w:r>
      <w:r>
        <w:rPr>
          <w:rFonts w:ascii="標楷體" w:eastAsia="標楷體" w:hAnsi="標楷體" w:hint="eastAsia"/>
          <w:sz w:val="32"/>
        </w:rPr>
        <w:t>）至於一般給付訴訟的型態是否合宜納入保障法來做配套？由於一般給付訴訟並無訴願（復審）前置之要件，因而將該種訴訟型態配套納入法規的話，反而限制公務人員接近法院的權限，造成前置程序對於救濟的鉗制，在立法政策上是否可行，值得思考。</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（三）訴訟參加的部分，由於現行保障法及行政訴訟法對此均無規定，實務運作上確實產生困擾</w:t>
      </w:r>
      <w:r>
        <w:rPr>
          <w:rFonts w:ascii="標楷體" w:eastAsia="標楷體" w:hAnsi="標楷體" w:hint="eastAsia"/>
          <w:sz w:val="32"/>
        </w:rPr>
        <w:t>。假如利害關係人在公告期間內，未向法院申請登記，即產生失權的效果，同時需概括承受他人提出主張所產生的利益及不利益。由於涉及基本權利的影響，如果僅以類推解釋或比較法的解釋來套用德國法規，似有法律保留原則之違反。這是在立法政策上必須納入，現行制度可</w:t>
      </w:r>
      <w:r>
        <w:rPr>
          <w:rFonts w:ascii="標楷體" w:eastAsia="標楷體" w:hAnsi="標楷體" w:hint="eastAsia"/>
          <w:sz w:val="32"/>
        </w:rPr>
        <w:lastRenderedPageBreak/>
        <w:t>能沒有辦法解決的部分。</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四）行政處分的認定，本研究與實務上的操作在認定的寬嚴上有所不同。當然在採取嚴格認定標準時，會產生是否影響當事人權益救濟可能之疑慮，因而在訴訟類型採取較寬廣的訴訟類型。連結之前所提到的一般撤銷訴訟類型而言，有時行政機關所為決定無法通過行政程序法</w:t>
      </w:r>
      <w:r>
        <w:rPr>
          <w:rFonts w:ascii="標楷體" w:eastAsia="標楷體" w:hAnsi="標楷體" w:hint="eastAsia"/>
          <w:sz w:val="32"/>
        </w:rPr>
        <w:t>第</w:t>
      </w:r>
      <w:r>
        <w:rPr>
          <w:rFonts w:ascii="標楷體" w:eastAsia="標楷體" w:hAnsi="標楷體" w:hint="eastAsia"/>
          <w:sz w:val="32"/>
        </w:rPr>
        <w:t>92</w:t>
      </w:r>
      <w:r>
        <w:rPr>
          <w:rFonts w:ascii="標楷體" w:eastAsia="標楷體" w:hAnsi="標楷體" w:hint="eastAsia"/>
          <w:sz w:val="32"/>
        </w:rPr>
        <w:t>條第</w:t>
      </w:r>
      <w:r>
        <w:rPr>
          <w:rFonts w:ascii="標楷體" w:eastAsia="標楷體" w:hAnsi="標楷體" w:hint="eastAsia"/>
          <w:sz w:val="32"/>
        </w:rPr>
        <w:t>1</w:t>
      </w:r>
      <w:r>
        <w:rPr>
          <w:rFonts w:ascii="標楷體" w:eastAsia="標楷體" w:hAnsi="標楷體" w:hint="eastAsia"/>
          <w:sz w:val="32"/>
        </w:rPr>
        <w:t>項所定要件之檢驗，然而卻有必要運用行政法院的力量加以撤銷，由一般撤銷訴訟與撤銷訴訟共同承載、形成判決之下，可以達到權利保障的功能。行政處分僅具帶路的功能，並不會剝奪後續救濟的進行。至於為何特別強調一般撤銷訴訟及一般形成訴訟？由於一般給付訴訟沒有立即形成的效果，有賴進一步的執行，以現行給付訴訟的執行成效而言，是有待斟酌的。與其等待行政法院作成一個尚待執行的給付型裁判，倒不如透過法院作成一個溯及既往的形成判決，同時在意欲機關撤銷程序決定時，一般形成訴訟應有其必要性，給付訴訟則尚須進一步轉折。退而求其</w:t>
      </w:r>
      <w:r>
        <w:rPr>
          <w:rFonts w:ascii="標楷體" w:eastAsia="標楷體" w:hAnsi="標楷體" w:hint="eastAsia"/>
          <w:sz w:val="32"/>
        </w:rPr>
        <w:t>次，如果目前實務尚無法接受一般撤銷或一般形成訴訟的話，當然運用一般給付訴訟是暫時可以達成作用的，然而其執行成效就有待觀察。</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五）本研究在程序請求權主要討論的是資訊公開的部分。如果機關所為決定只是一個內部管理措施而無法符合行政程序法的要求，此時要求聽證或附記等程序，可能會產生解釋上的問題，還需要進一步從基本權的程序保障來做轉折。至於資訊閱覽部分，期末報告將再補充加論德國的作法：要求主管機關在陞遷程序當中，應主動提供當事人及他人的陞遷資料，而無待當事人提出要求，是一種義務。當然跟我國目前實務上是有一段落差，惟</w:t>
      </w:r>
      <w:r>
        <w:rPr>
          <w:rFonts w:ascii="標楷體" w:eastAsia="標楷體" w:hAnsi="標楷體" w:hint="eastAsia"/>
          <w:sz w:val="32"/>
        </w:rPr>
        <w:t>仍得作為比較法上之參考。</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（六）至於職務安定原則的例外論述，在預算或職缺可能的前提之下，主管長官有可能額外騰出一個新的職缺</w:t>
      </w:r>
      <w:r>
        <w:rPr>
          <w:rFonts w:ascii="標楷體" w:eastAsia="標楷體" w:hAnsi="標楷體" w:hint="eastAsia"/>
          <w:sz w:val="32"/>
        </w:rPr>
        <w:lastRenderedPageBreak/>
        <w:t>時，當事人在職務安定原則下才有繼續救濟的機會；另一種解釋方式則為訴訟型態轉換為損害賠償請求權。</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（七）本報告在第</w:t>
      </w:r>
      <w:r>
        <w:rPr>
          <w:rFonts w:ascii="標楷體" w:eastAsia="標楷體" w:hAnsi="標楷體" w:hint="eastAsia"/>
          <w:sz w:val="32"/>
        </w:rPr>
        <w:t>76</w:t>
      </w:r>
      <w:r>
        <w:rPr>
          <w:rFonts w:ascii="標楷體" w:eastAsia="標楷體" w:hAnsi="標楷體" w:hint="eastAsia"/>
          <w:sz w:val="32"/>
        </w:rPr>
        <w:t>頁中曾提出，研究團隊認為機關拒絕陞遷的決定並不一定是行政處分，需視其對於公務人員權利影響的部分而定，同時權利上亦有實體及程序之別。然而此仍須在個案中個別操作，尚無法有所定論。</w:t>
      </w:r>
    </w:p>
    <w:p w:rsidR="00000000" w:rsidRDefault="00FC5876">
      <w:pPr>
        <w:pStyle w:val="a5"/>
        <w:spacing w:line="440" w:lineRule="exact"/>
        <w:ind w:left="960" w:hangingChars="300" w:hanging="960"/>
        <w:jc w:val="both"/>
        <w:rPr>
          <w:rFonts w:ascii="標楷體" w:eastAsia="標楷體" w:hAnsi="標楷體" w:hint="eastAsia"/>
          <w:sz w:val="32"/>
        </w:rPr>
      </w:pPr>
      <w:r>
        <w:rPr>
          <w:rFonts w:ascii="標楷體" w:eastAsia="標楷體" w:hAnsi="標楷體" w:hint="eastAsia"/>
          <w:sz w:val="32"/>
        </w:rPr>
        <w:t>（八）研究團隊認為，訴訟類型僅在於提供進入司法程序的鑰匙，至於進入以後如何轉換類型，則是另外一個層</w:t>
      </w:r>
      <w:r>
        <w:rPr>
          <w:rFonts w:ascii="標楷體" w:eastAsia="標楷體" w:hAnsi="標楷體" w:hint="eastAsia"/>
          <w:sz w:val="32"/>
        </w:rPr>
        <w:t>次的問題。因而各種訴訟類型在前提要件應該明確，只是一個形式要求而已，並非藉此阻卻人民的救濟機會。將來在保障法的立法政策上如果能夠配合的話，同時在訴訟型態的設計上如需以復審為前置時，再依各種訴訟類型個別加以設計。</w:t>
      </w:r>
    </w:p>
    <w:p w:rsidR="00000000" w:rsidRDefault="00FC5876">
      <w:pPr>
        <w:pStyle w:val="a5"/>
        <w:spacing w:line="440" w:lineRule="exact"/>
        <w:ind w:left="0" w:firstLineChars="0" w:firstLine="0"/>
        <w:jc w:val="both"/>
        <w:rPr>
          <w:rFonts w:ascii="標楷體" w:eastAsia="標楷體" w:hAnsi="標楷體" w:hint="eastAsia"/>
          <w:sz w:val="32"/>
        </w:rPr>
      </w:pPr>
      <w:r>
        <w:rPr>
          <w:rFonts w:ascii="標楷體" w:eastAsia="標楷體" w:hAnsi="標楷體" w:hint="eastAsia"/>
          <w:sz w:val="32"/>
        </w:rPr>
        <w:t>陸、決議：</w:t>
      </w:r>
    </w:p>
    <w:p w:rsidR="00000000" w:rsidRDefault="00FC5876">
      <w:pPr>
        <w:pStyle w:val="a5"/>
        <w:spacing w:line="440" w:lineRule="exact"/>
        <w:ind w:left="640" w:hanging="640"/>
        <w:jc w:val="both"/>
        <w:rPr>
          <w:rFonts w:ascii="標楷體" w:eastAsia="標楷體" w:hAnsi="標楷體" w:hint="eastAsia"/>
          <w:sz w:val="32"/>
        </w:rPr>
      </w:pPr>
      <w:r>
        <w:rPr>
          <w:rFonts w:ascii="標楷體" w:eastAsia="標楷體" w:hAnsi="標楷體" w:hint="eastAsia"/>
          <w:sz w:val="32"/>
        </w:rPr>
        <w:t>一、就研究期程及經費核銷部分，請研究團隊注意配合辦理。</w:t>
      </w:r>
    </w:p>
    <w:p w:rsidR="00000000" w:rsidRDefault="00FC5876">
      <w:pPr>
        <w:pStyle w:val="a5"/>
        <w:spacing w:line="440" w:lineRule="exact"/>
        <w:ind w:left="0" w:firstLineChars="0" w:firstLine="0"/>
        <w:jc w:val="both"/>
        <w:rPr>
          <w:rFonts w:ascii="標楷體" w:eastAsia="標楷體" w:hAnsi="標楷體" w:hint="eastAsia"/>
          <w:sz w:val="32"/>
        </w:rPr>
      </w:pPr>
      <w:r>
        <w:rPr>
          <w:rFonts w:ascii="標楷體" w:eastAsia="標楷體" w:hAnsi="標楷體" w:hint="eastAsia"/>
          <w:sz w:val="32"/>
        </w:rPr>
        <w:t>二、感謝研究團隊的辛勞。</w:t>
      </w:r>
    </w:p>
    <w:p w:rsidR="00000000" w:rsidRDefault="00FC5876">
      <w:pPr>
        <w:pStyle w:val="a5"/>
        <w:spacing w:line="440" w:lineRule="exact"/>
        <w:ind w:left="0" w:firstLineChars="0" w:firstLine="0"/>
        <w:jc w:val="both"/>
        <w:rPr>
          <w:rFonts w:ascii="標楷體" w:eastAsia="標楷體" w:hAnsi="標楷體" w:hint="eastAsia"/>
          <w:sz w:val="32"/>
        </w:rPr>
      </w:pPr>
    </w:p>
    <w:p w:rsidR="00000000" w:rsidRDefault="00FC5876">
      <w:pPr>
        <w:pStyle w:val="a5"/>
        <w:spacing w:line="440" w:lineRule="exact"/>
        <w:ind w:left="0" w:firstLineChars="0" w:firstLine="0"/>
        <w:jc w:val="center"/>
        <w:rPr>
          <w:rFonts w:ascii="標楷體" w:eastAsia="標楷體" w:hAnsi="標楷體" w:hint="eastAsia"/>
          <w:sz w:val="32"/>
        </w:rPr>
      </w:pPr>
      <w:r>
        <w:rPr>
          <w:rFonts w:ascii="標楷體" w:eastAsia="標楷體" w:hAnsi="標楷體" w:hint="eastAsia"/>
          <w:sz w:val="32"/>
        </w:rPr>
        <w:t>主</w:t>
      </w:r>
      <w:r>
        <w:rPr>
          <w:rFonts w:ascii="標楷體" w:eastAsia="標楷體" w:hAnsi="標楷體" w:hint="eastAsia"/>
          <w:sz w:val="32"/>
        </w:rPr>
        <w:t xml:space="preserve">  </w:t>
      </w:r>
      <w:r>
        <w:rPr>
          <w:rFonts w:ascii="標楷體" w:eastAsia="標楷體" w:hAnsi="標楷體" w:hint="eastAsia"/>
          <w:sz w:val="32"/>
        </w:rPr>
        <w:t>席</w:t>
      </w:r>
      <w:r>
        <w:rPr>
          <w:rFonts w:ascii="標楷體" w:eastAsia="標楷體" w:hAnsi="標楷體" w:hint="eastAsia"/>
          <w:sz w:val="32"/>
        </w:rPr>
        <w:t xml:space="preserve">   </w:t>
      </w:r>
      <w:r>
        <w:rPr>
          <w:rFonts w:ascii="標楷體" w:eastAsia="標楷體" w:hAnsi="標楷體" w:hint="eastAsia"/>
          <w:sz w:val="32"/>
        </w:rPr>
        <w:t>周弘憲</w:t>
      </w:r>
    </w:p>
    <w:p w:rsidR="00FC5876" w:rsidRDefault="00FC5876">
      <w:pPr>
        <w:pStyle w:val="21"/>
        <w:spacing w:line="400" w:lineRule="exact"/>
        <w:ind w:left="560" w:hanging="560"/>
        <w:rPr>
          <w:rFonts w:ascii="標楷體" w:eastAsia="標楷體" w:hAnsi="標楷體" w:hint="eastAsia"/>
          <w:sz w:val="32"/>
        </w:rPr>
      </w:pPr>
    </w:p>
    <w:sectPr w:rsidR="00FC5876">
      <w:footerReference w:type="even" r:id="rId42"/>
      <w:footerReference w:type="default" r:id="rId43"/>
      <w:pgSz w:w="11906" w:h="16838"/>
      <w:pgMar w:top="1418" w:right="1758"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876" w:rsidRDefault="00FC5876">
      <w:r>
        <w:separator/>
      </w:r>
    </w:p>
  </w:endnote>
  <w:endnote w:type="continuationSeparator" w:id="0">
    <w:p w:rsidR="00FC5876" w:rsidRDefault="00FC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超研澤粗圓">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C587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FC58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C587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94A4F">
      <w:rPr>
        <w:rStyle w:val="a7"/>
        <w:noProof/>
      </w:rPr>
      <w:t>31</w:t>
    </w:r>
    <w:r>
      <w:rPr>
        <w:rStyle w:val="a7"/>
      </w:rPr>
      <w:fldChar w:fldCharType="end"/>
    </w:r>
  </w:p>
  <w:p w:rsidR="00000000" w:rsidRDefault="00FC58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876" w:rsidRDefault="00FC5876">
      <w:pPr>
        <w:snapToGrid w:val="0"/>
        <w:spacing w:beforeLines="50" w:before="120" w:afterLines="50" w:after="120" w:line="360" w:lineRule="auto"/>
      </w:pPr>
      <w:r>
        <w:separator/>
      </w:r>
    </w:p>
  </w:footnote>
  <w:footnote w:type="continuationSeparator" w:id="0">
    <w:p w:rsidR="00FC5876" w:rsidRDefault="00FC5876">
      <w:pPr>
        <w:snapToGrid w:val="0"/>
        <w:spacing w:beforeLines="50" w:before="120" w:afterLines="50" w:after="12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513_"/>
      </v:shape>
    </w:pict>
  </w:numPicBullet>
  <w:abstractNum w:abstractNumId="0" w15:restartNumberingAfterBreak="0">
    <w:nsid w:val="FFFFFF7C"/>
    <w:multiLevelType w:val="singleLevel"/>
    <w:tmpl w:val="A9D005D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D1E8D7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0A98C88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E08125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D1C862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07E973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F6AE13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656519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3961E5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C6EFFE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7F1579"/>
    <w:multiLevelType w:val="hybridMultilevel"/>
    <w:tmpl w:val="FF72784A"/>
    <w:lvl w:ilvl="0" w:tplc="784C5B5A">
      <w:start w:val="13"/>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42F1E3A"/>
    <w:multiLevelType w:val="hybridMultilevel"/>
    <w:tmpl w:val="956CD016"/>
    <w:lvl w:ilvl="0" w:tplc="6A6E9994">
      <w:start w:val="1"/>
      <w:numFmt w:val="bullet"/>
      <w:lvlText w:val=""/>
      <w:lvlPicBulletId w:val="0"/>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8F006FE"/>
    <w:multiLevelType w:val="hybridMultilevel"/>
    <w:tmpl w:val="ECC4D3AE"/>
    <w:lvl w:ilvl="0" w:tplc="254E763A">
      <w:start w:val="2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C0B4117"/>
    <w:multiLevelType w:val="hybridMultilevel"/>
    <w:tmpl w:val="A2644FFA"/>
    <w:lvl w:ilvl="0" w:tplc="FD56535E">
      <w:start w:val="1"/>
      <w:numFmt w:val="taiwaneseCountingThousand"/>
      <w:lvlText w:val="（%1）"/>
      <w:lvlJc w:val="left"/>
      <w:pPr>
        <w:tabs>
          <w:tab w:val="num" w:pos="1080"/>
        </w:tabs>
        <w:ind w:left="1080" w:hanging="1080"/>
      </w:pPr>
      <w:rPr>
        <w:rFonts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5620A5"/>
    <w:multiLevelType w:val="hybridMultilevel"/>
    <w:tmpl w:val="A14415D8"/>
    <w:lvl w:ilvl="0" w:tplc="F4B66D18">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868035B"/>
    <w:multiLevelType w:val="hybridMultilevel"/>
    <w:tmpl w:val="CE7AA770"/>
    <w:lvl w:ilvl="0" w:tplc="7E4A469A">
      <w:start w:val="26"/>
      <w:numFmt w:val="decimal"/>
      <w:lvlText w:val="%1."/>
      <w:lvlJc w:val="left"/>
      <w:pPr>
        <w:tabs>
          <w:tab w:val="num" w:pos="360"/>
        </w:tabs>
        <w:ind w:left="360" w:hanging="360"/>
      </w:pPr>
      <w:rPr>
        <w:rFonts w:eastAsia="新細明體"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6F5E1C"/>
    <w:multiLevelType w:val="hybridMultilevel"/>
    <w:tmpl w:val="B524AE04"/>
    <w:lvl w:ilvl="0" w:tplc="FFFFFFFF">
      <w:start w:val="1"/>
      <w:numFmt w:val="taiwaneseCountingThousand"/>
      <w:lvlText w:val="%1、"/>
      <w:lvlJc w:val="left"/>
      <w:pPr>
        <w:tabs>
          <w:tab w:val="num" w:pos="720"/>
        </w:tabs>
        <w:ind w:left="720" w:hanging="720"/>
      </w:pPr>
      <w:rPr>
        <w:rFonts w:hint="eastAsia"/>
        <w:b w:val="0"/>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19C83BB9"/>
    <w:multiLevelType w:val="hybridMultilevel"/>
    <w:tmpl w:val="A6F0E03E"/>
    <w:lvl w:ilvl="0" w:tplc="18EA46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EF43D9"/>
    <w:multiLevelType w:val="hybridMultilevel"/>
    <w:tmpl w:val="748828EC"/>
    <w:lvl w:ilvl="0" w:tplc="910C1978">
      <w:start w:val="1"/>
      <w:numFmt w:val="decimal"/>
      <w:lvlText w:val="%1."/>
      <w:lvlJc w:val="left"/>
      <w:pPr>
        <w:tabs>
          <w:tab w:val="num" w:pos="1140"/>
        </w:tabs>
        <w:ind w:left="1140" w:hanging="66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20D70612"/>
    <w:multiLevelType w:val="hybridMultilevel"/>
    <w:tmpl w:val="2E8C00EE"/>
    <w:lvl w:ilvl="0" w:tplc="80CA28D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C1712A"/>
    <w:multiLevelType w:val="hybridMultilevel"/>
    <w:tmpl w:val="A690598E"/>
    <w:lvl w:ilvl="0" w:tplc="37BEE66E">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A31304"/>
    <w:multiLevelType w:val="hybridMultilevel"/>
    <w:tmpl w:val="E8162A92"/>
    <w:lvl w:ilvl="0" w:tplc="4770E99E">
      <w:start w:val="3"/>
      <w:numFmt w:val="decimal"/>
      <w:lvlText w:val="%1."/>
      <w:lvlJc w:val="left"/>
      <w:pPr>
        <w:tabs>
          <w:tab w:val="num" w:pos="420"/>
        </w:tabs>
        <w:ind w:left="420" w:hanging="4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FA2955"/>
    <w:multiLevelType w:val="hybridMultilevel"/>
    <w:tmpl w:val="F53A38A4"/>
    <w:lvl w:ilvl="0" w:tplc="63284FFC">
      <w:start w:val="4"/>
      <w:numFmt w:val="decimal"/>
      <w:lvlText w:val="%1."/>
      <w:lvlJc w:val="left"/>
      <w:pPr>
        <w:tabs>
          <w:tab w:val="num" w:pos="420"/>
        </w:tabs>
        <w:ind w:left="420" w:hanging="4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6A04CBD"/>
    <w:multiLevelType w:val="hybridMultilevel"/>
    <w:tmpl w:val="47283BE8"/>
    <w:lvl w:ilvl="0" w:tplc="6A6E9994">
      <w:start w:val="1"/>
      <w:numFmt w:val="bullet"/>
      <w:lvlText w:val=""/>
      <w:lvlPicBulletId w:val="0"/>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A42773"/>
    <w:multiLevelType w:val="hybridMultilevel"/>
    <w:tmpl w:val="C8446CE4"/>
    <w:lvl w:ilvl="0" w:tplc="4C641A72">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B00B77"/>
    <w:multiLevelType w:val="hybridMultilevel"/>
    <w:tmpl w:val="CF2A3916"/>
    <w:lvl w:ilvl="0" w:tplc="1922738A">
      <w:start w:val="6"/>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5B3826"/>
    <w:multiLevelType w:val="hybridMultilevel"/>
    <w:tmpl w:val="B1CA2E62"/>
    <w:lvl w:ilvl="0" w:tplc="6A6E9994">
      <w:start w:val="1"/>
      <w:numFmt w:val="bullet"/>
      <w:lvlText w:val=""/>
      <w:lvlPicBulletId w:val="0"/>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4987200"/>
    <w:multiLevelType w:val="multilevel"/>
    <w:tmpl w:val="853CB26E"/>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28" w15:restartNumberingAfterBreak="0">
    <w:nsid w:val="64F1494D"/>
    <w:multiLevelType w:val="hybridMultilevel"/>
    <w:tmpl w:val="9DE6FE48"/>
    <w:lvl w:ilvl="0" w:tplc="A822CA9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7F6BB2"/>
    <w:multiLevelType w:val="hybridMultilevel"/>
    <w:tmpl w:val="AE98ACD8"/>
    <w:lvl w:ilvl="0" w:tplc="275E8CCA">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39317C"/>
    <w:multiLevelType w:val="multilevel"/>
    <w:tmpl w:val="6C90635E"/>
    <w:lvl w:ilvl="0">
      <w:start w:val="1"/>
      <w:numFmt w:val="decimal"/>
      <w:lvlText w:val="%1."/>
      <w:lvlJc w:val="left"/>
      <w:pPr>
        <w:tabs>
          <w:tab w:val="num" w:pos="840"/>
        </w:tabs>
        <w:ind w:left="840" w:hanging="360"/>
      </w:pPr>
      <w:rPr>
        <w:rFonts w:hint="eastAsia"/>
      </w:rPr>
    </w:lvl>
    <w:lvl w:ilvl="1">
      <w:start w:val="1"/>
      <w:numFmt w:val="decimal"/>
      <w:isLgl/>
      <w:lvlText w:val="%1.%2."/>
      <w:lvlJc w:val="left"/>
      <w:pPr>
        <w:tabs>
          <w:tab w:val="num" w:pos="1260"/>
        </w:tabs>
        <w:ind w:left="1260" w:hanging="720"/>
      </w:pPr>
      <w:rPr>
        <w:rFonts w:hint="eastAsia"/>
        <w:sz w:val="26"/>
        <w:szCs w:val="26"/>
      </w:rPr>
    </w:lvl>
    <w:lvl w:ilvl="2">
      <w:start w:val="1"/>
      <w:numFmt w:val="decimal"/>
      <w:isLgl/>
      <w:lvlText w:val="%1.%2.%3."/>
      <w:lvlJc w:val="left"/>
      <w:pPr>
        <w:tabs>
          <w:tab w:val="num" w:pos="1204"/>
        </w:tabs>
        <w:ind w:left="1204" w:hanging="720"/>
      </w:pPr>
      <w:rPr>
        <w:rFonts w:hint="eastAsia"/>
      </w:rPr>
    </w:lvl>
    <w:lvl w:ilvl="3">
      <w:start w:val="1"/>
      <w:numFmt w:val="decimal"/>
      <w:isLgl/>
      <w:lvlText w:val="%1.%2.%3.%4."/>
      <w:lvlJc w:val="left"/>
      <w:pPr>
        <w:tabs>
          <w:tab w:val="num" w:pos="1566"/>
        </w:tabs>
        <w:ind w:left="1566" w:hanging="1080"/>
      </w:pPr>
      <w:rPr>
        <w:rFonts w:hint="eastAsia"/>
      </w:rPr>
    </w:lvl>
    <w:lvl w:ilvl="4">
      <w:start w:val="1"/>
      <w:numFmt w:val="decimal"/>
      <w:isLgl/>
      <w:lvlText w:val="%1.%2.%3.%4.%5."/>
      <w:lvlJc w:val="left"/>
      <w:pPr>
        <w:tabs>
          <w:tab w:val="num" w:pos="1928"/>
        </w:tabs>
        <w:ind w:left="1928" w:hanging="1440"/>
      </w:pPr>
      <w:rPr>
        <w:rFonts w:hint="eastAsia"/>
      </w:rPr>
    </w:lvl>
    <w:lvl w:ilvl="5">
      <w:start w:val="1"/>
      <w:numFmt w:val="decimal"/>
      <w:isLgl/>
      <w:lvlText w:val="%1.%2.%3.%4.%5.%6."/>
      <w:lvlJc w:val="left"/>
      <w:pPr>
        <w:tabs>
          <w:tab w:val="num" w:pos="1930"/>
        </w:tabs>
        <w:ind w:left="1930" w:hanging="1440"/>
      </w:pPr>
      <w:rPr>
        <w:rFonts w:hint="eastAsia"/>
      </w:rPr>
    </w:lvl>
    <w:lvl w:ilvl="6">
      <w:start w:val="1"/>
      <w:numFmt w:val="decimal"/>
      <w:isLgl/>
      <w:lvlText w:val="%1.%2.%3.%4.%5.%6.%7."/>
      <w:lvlJc w:val="left"/>
      <w:pPr>
        <w:tabs>
          <w:tab w:val="num" w:pos="2292"/>
        </w:tabs>
        <w:ind w:left="2292" w:hanging="1800"/>
      </w:pPr>
      <w:rPr>
        <w:rFonts w:hint="eastAsia"/>
      </w:rPr>
    </w:lvl>
    <w:lvl w:ilvl="7">
      <w:start w:val="1"/>
      <w:numFmt w:val="decimal"/>
      <w:isLgl/>
      <w:lvlText w:val="%1.%2.%3.%4.%5.%6.%7.%8."/>
      <w:lvlJc w:val="left"/>
      <w:pPr>
        <w:tabs>
          <w:tab w:val="num" w:pos="2654"/>
        </w:tabs>
        <w:ind w:left="2654" w:hanging="2160"/>
      </w:pPr>
      <w:rPr>
        <w:rFonts w:hint="eastAsia"/>
      </w:rPr>
    </w:lvl>
    <w:lvl w:ilvl="8">
      <w:start w:val="1"/>
      <w:numFmt w:val="decimal"/>
      <w:isLgl/>
      <w:lvlText w:val="%1.%2.%3.%4.%5.%6.%7.%8.%9."/>
      <w:lvlJc w:val="left"/>
      <w:pPr>
        <w:tabs>
          <w:tab w:val="num" w:pos="2656"/>
        </w:tabs>
        <w:ind w:left="2656" w:hanging="2160"/>
      </w:pPr>
      <w:rPr>
        <w:rFonts w:hint="eastAsia"/>
      </w:rPr>
    </w:lvl>
  </w:abstractNum>
  <w:abstractNum w:abstractNumId="31" w15:restartNumberingAfterBreak="0">
    <w:nsid w:val="6E812CB2"/>
    <w:multiLevelType w:val="hybridMultilevel"/>
    <w:tmpl w:val="8DA80082"/>
    <w:lvl w:ilvl="0" w:tplc="4E0C8E3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7652B20"/>
    <w:multiLevelType w:val="hybridMultilevel"/>
    <w:tmpl w:val="A4C2511A"/>
    <w:lvl w:ilvl="0" w:tplc="A6907088">
      <w:start w:val="1"/>
      <w:numFmt w:val="taiwaneseCountingThousand"/>
      <w:lvlText w:val="%1、"/>
      <w:lvlJc w:val="left"/>
      <w:pPr>
        <w:tabs>
          <w:tab w:val="num" w:pos="1587"/>
        </w:tabs>
        <w:ind w:left="1587" w:hanging="1035"/>
      </w:pPr>
    </w:lvl>
    <w:lvl w:ilvl="1" w:tplc="DBAA83BE">
      <w:start w:val="1"/>
      <w:numFmt w:val="taiwaneseCountingThousand"/>
      <w:lvlText w:val="（%2）"/>
      <w:lvlJc w:val="left"/>
      <w:pPr>
        <w:tabs>
          <w:tab w:val="num" w:pos="2307"/>
        </w:tabs>
        <w:ind w:left="2307" w:hanging="1275"/>
      </w:pPr>
    </w:lvl>
    <w:lvl w:ilvl="2" w:tplc="0409001B">
      <w:start w:val="1"/>
      <w:numFmt w:val="lowerRoman"/>
      <w:lvlText w:val="%3."/>
      <w:lvlJc w:val="right"/>
      <w:pPr>
        <w:tabs>
          <w:tab w:val="num" w:pos="1992"/>
        </w:tabs>
        <w:ind w:left="1992"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BF6C43"/>
    <w:multiLevelType w:val="hybridMultilevel"/>
    <w:tmpl w:val="17F8F73A"/>
    <w:lvl w:ilvl="0" w:tplc="BD8C3338">
      <w:start w:val="19"/>
      <w:numFmt w:val="decimal"/>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1"/>
  </w:num>
  <w:num w:numId="16">
    <w:abstractNumId w:val="23"/>
  </w:num>
  <w:num w:numId="17">
    <w:abstractNumId w:val="26"/>
  </w:num>
  <w:num w:numId="18">
    <w:abstractNumId w:val="17"/>
  </w:num>
  <w:num w:numId="19">
    <w:abstractNumId w:val="19"/>
  </w:num>
  <w:num w:numId="20">
    <w:abstractNumId w:val="20"/>
  </w:num>
  <w:num w:numId="21">
    <w:abstractNumId w:val="13"/>
  </w:num>
  <w:num w:numId="22">
    <w:abstractNumId w:val="31"/>
  </w:num>
  <w:num w:numId="23">
    <w:abstractNumId w:val="18"/>
  </w:num>
  <w:num w:numId="24">
    <w:abstractNumId w:val="22"/>
  </w:num>
  <w:num w:numId="25">
    <w:abstractNumId w:val="29"/>
  </w:num>
  <w:num w:numId="26">
    <w:abstractNumId w:val="21"/>
  </w:num>
  <w:num w:numId="27">
    <w:abstractNumId w:val="25"/>
  </w:num>
  <w:num w:numId="28">
    <w:abstractNumId w:val="24"/>
  </w:num>
  <w:num w:numId="29">
    <w:abstractNumId w:val="12"/>
  </w:num>
  <w:num w:numId="30">
    <w:abstractNumId w:val="33"/>
  </w:num>
  <w:num w:numId="31">
    <w:abstractNumId w:val="15"/>
  </w:num>
  <w:num w:numId="32">
    <w:abstractNumId w:val="10"/>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4F"/>
    <w:rsid w:val="00F94A4F"/>
    <w:rsid w:val="00FC58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D7B67E-468E-41CE-AC48-9D0F2B94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napToGrid w:val="0"/>
      <w:spacing w:beforeLines="50" w:before="50" w:afterLines="50" w:after="50" w:line="360" w:lineRule="auto"/>
      <w:jc w:val="both"/>
      <w:outlineLvl w:val="0"/>
    </w:pPr>
    <w:rPr>
      <w:rFonts w:eastAsia="標楷體"/>
      <w:b/>
      <w:snapToGrid w:val="0"/>
      <w:kern w:val="0"/>
      <w:sz w:val="32"/>
      <w:szCs w:val="32"/>
    </w:rPr>
  </w:style>
  <w:style w:type="paragraph" w:styleId="2">
    <w:name w:val="heading 2"/>
    <w:basedOn w:val="a"/>
    <w:next w:val="a"/>
    <w:autoRedefine/>
    <w:qFormat/>
    <w:pPr>
      <w:keepNext/>
      <w:adjustRightInd w:val="0"/>
      <w:snapToGrid w:val="0"/>
      <w:spacing w:beforeLines="50" w:before="180" w:afterLines="50" w:after="180" w:line="360" w:lineRule="auto"/>
      <w:jc w:val="both"/>
      <w:outlineLvl w:val="1"/>
    </w:pPr>
    <w:rPr>
      <w:rFonts w:eastAsia="標楷體"/>
      <w:b/>
      <w:snapToGrid w:val="0"/>
      <w:kern w:val="0"/>
      <w:sz w:val="28"/>
      <w:szCs w:val="28"/>
    </w:rPr>
  </w:style>
  <w:style w:type="paragraph" w:styleId="3">
    <w:name w:val="heading 3"/>
    <w:basedOn w:val="a"/>
    <w:next w:val="a"/>
    <w:autoRedefine/>
    <w:qFormat/>
    <w:pPr>
      <w:keepNext/>
      <w:adjustRightInd w:val="0"/>
      <w:snapToGrid w:val="0"/>
      <w:spacing w:beforeLines="50" w:before="50" w:afterLines="50" w:after="50" w:line="360" w:lineRule="auto"/>
      <w:jc w:val="both"/>
      <w:outlineLvl w:val="2"/>
    </w:pPr>
    <w:rPr>
      <w:rFonts w:ascii="Arial" w:eastAsia="標楷體" w:hAnsi="Arial"/>
      <w:bCs/>
      <w:snapToGrid w:val="0"/>
      <w:kern w:val="0"/>
      <w:sz w:val="26"/>
      <w:szCs w:val="26"/>
    </w:rPr>
  </w:style>
  <w:style w:type="paragraph" w:styleId="4">
    <w:name w:val="heading 4"/>
    <w:basedOn w:val="a"/>
    <w:next w:val="a"/>
    <w:autoRedefine/>
    <w:qFormat/>
    <w:pPr>
      <w:keepNext/>
      <w:adjustRightInd w:val="0"/>
      <w:snapToGrid w:val="0"/>
      <w:spacing w:beforeLines="50" w:before="180" w:afterLines="50" w:after="180" w:line="360" w:lineRule="auto"/>
      <w:jc w:val="both"/>
      <w:outlineLvl w:val="3"/>
    </w:pPr>
    <w:rPr>
      <w:rFonts w:ascii="Arial" w:eastAsia="標楷體" w:hAnsi="Arial"/>
      <w:b/>
      <w:snapToGrid w:val="0"/>
      <w:kern w:val="0"/>
    </w:rPr>
  </w:style>
  <w:style w:type="paragraph" w:styleId="5">
    <w:name w:val="heading 5"/>
    <w:basedOn w:val="a"/>
    <w:next w:val="a0"/>
    <w:qFormat/>
    <w:pPr>
      <w:keepNext/>
      <w:spacing w:before="120" w:after="120"/>
      <w:ind w:left="425"/>
      <w:outlineLvl w:val="4"/>
    </w:pPr>
    <w:rPr>
      <w:rFonts w:ascii="Arial" w:eastAsia="標楷體" w:hAnsi="Arial"/>
      <w:b/>
      <w:spacing w:val="30"/>
      <w:sz w:val="28"/>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0">
    <w:name w:val="Normal Indent"/>
    <w:basedOn w:val="a"/>
    <w:semiHidden/>
    <w:pPr>
      <w:ind w:left="480"/>
    </w:pPr>
    <w:rPr>
      <w:spacing w:val="30"/>
      <w:szCs w:val="20"/>
    </w:rPr>
  </w:style>
  <w:style w:type="paragraph" w:styleId="a4">
    <w:name w:val="Block Text"/>
    <w:basedOn w:val="a"/>
    <w:semiHidden/>
    <w:pPr>
      <w:widowControl/>
      <w:ind w:left="113" w:right="113"/>
    </w:pPr>
  </w:style>
  <w:style w:type="paragraph" w:styleId="a5">
    <w:name w:val="Body Text Indent"/>
    <w:basedOn w:val="a"/>
    <w:semiHidden/>
    <w:pPr>
      <w:ind w:left="560" w:hangingChars="200" w:hanging="560"/>
    </w:pPr>
    <w:rPr>
      <w:sz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1"/>
    <w:semiHidden/>
  </w:style>
  <w:style w:type="paragraph" w:customStyle="1" w:styleId="30">
    <w:name w:val="內文3"/>
    <w:basedOn w:val="a"/>
    <w:pPr>
      <w:widowControl/>
      <w:tabs>
        <w:tab w:val="left" w:pos="567"/>
      </w:tabs>
      <w:spacing w:before="120" w:after="120"/>
      <w:ind w:left="1644" w:hanging="1077"/>
    </w:pPr>
    <w:rPr>
      <w:rFonts w:eastAsia="標楷體"/>
      <w:noProof/>
      <w:spacing w:val="30"/>
      <w:kern w:val="0"/>
      <w:sz w:val="22"/>
      <w:szCs w:val="20"/>
    </w:rPr>
  </w:style>
  <w:style w:type="paragraph" w:customStyle="1" w:styleId="20">
    <w:name w:val="內文2"/>
    <w:pPr>
      <w:spacing w:before="120" w:after="120"/>
    </w:pPr>
    <w:rPr>
      <w:rFonts w:eastAsia="標楷體"/>
      <w:noProof/>
      <w:spacing w:val="20"/>
    </w:rPr>
  </w:style>
  <w:style w:type="character" w:styleId="a8">
    <w:name w:val="Hyperlink"/>
    <w:basedOn w:val="a1"/>
    <w:semiHidden/>
    <w:rPr>
      <w:color w:val="0000FF"/>
      <w:u w:val="single"/>
    </w:rPr>
  </w:style>
  <w:style w:type="character" w:styleId="a9">
    <w:name w:val="Strong"/>
    <w:basedOn w:val="a1"/>
    <w:qFormat/>
    <w:rPr>
      <w:b/>
      <w:bCs/>
    </w:rPr>
  </w:style>
  <w:style w:type="paragraph" w:styleId="aa">
    <w:name w:val="Date"/>
    <w:basedOn w:val="a"/>
    <w:next w:val="a"/>
    <w:semiHidden/>
    <w:pPr>
      <w:jc w:val="right"/>
    </w:pPr>
  </w:style>
  <w:style w:type="paragraph" w:styleId="ab">
    <w:name w:val="Body Text"/>
    <w:basedOn w:val="a"/>
    <w:semiHidden/>
    <w:pPr>
      <w:adjustRightInd w:val="0"/>
      <w:snapToGrid w:val="0"/>
      <w:spacing w:beforeLines="50" w:before="50" w:after="120" w:line="360" w:lineRule="auto"/>
      <w:ind w:firstLineChars="200" w:firstLine="200"/>
      <w:jc w:val="both"/>
    </w:pPr>
    <w:rPr>
      <w:lang w:val="de-DE"/>
    </w:rPr>
  </w:style>
  <w:style w:type="character" w:customStyle="1" w:styleId="ac">
    <w:name w:val=" 字元 字元"/>
    <w:basedOn w:val="a1"/>
    <w:rPr>
      <w:rFonts w:eastAsia="新細明體"/>
      <w:kern w:val="2"/>
      <w:sz w:val="24"/>
      <w:szCs w:val="24"/>
      <w:lang w:val="de-DE" w:eastAsia="zh-TW" w:bidi="ar-SA"/>
    </w:rPr>
  </w:style>
  <w:style w:type="paragraph" w:styleId="21">
    <w:name w:val="Body Text 2"/>
    <w:basedOn w:val="a"/>
    <w:semiHidden/>
    <w:pPr>
      <w:spacing w:after="120" w:line="480" w:lineRule="auto"/>
    </w:pPr>
  </w:style>
  <w:style w:type="paragraph" w:styleId="ad">
    <w:name w:val="footnote text"/>
    <w:basedOn w:val="a"/>
    <w:semiHidden/>
    <w:pPr>
      <w:snapToGrid w:val="0"/>
    </w:pPr>
    <w:rPr>
      <w:sz w:val="20"/>
      <w:szCs w:val="20"/>
    </w:rPr>
  </w:style>
  <w:style w:type="character" w:styleId="ae">
    <w:name w:val="footnote reference"/>
    <w:basedOn w:val="a1"/>
    <w:semiHidden/>
    <w:rPr>
      <w:vertAlign w:val="superscript"/>
    </w:rPr>
  </w:style>
  <w:style w:type="paragraph" w:styleId="31">
    <w:name w:val="Body Text 3"/>
    <w:basedOn w:val="a"/>
    <w:semiHidden/>
    <w:pPr>
      <w:spacing w:after="120"/>
    </w:pPr>
    <w:rPr>
      <w:sz w:val="16"/>
      <w:szCs w:val="16"/>
    </w:rPr>
  </w:style>
  <w:style w:type="paragraph" w:styleId="af">
    <w:name w:val="Note Heading"/>
    <w:basedOn w:val="a"/>
    <w:next w:val="a"/>
    <w:semiHidden/>
    <w:pPr>
      <w:jc w:val="center"/>
    </w:pPr>
  </w:style>
  <w:style w:type="paragraph" w:styleId="af0">
    <w:name w:val="Plain Text"/>
    <w:basedOn w:val="a"/>
    <w:semiHidden/>
    <w:rPr>
      <w:rFonts w:ascii="細明體" w:eastAsia="細明體" w:hAnsi="Courier New"/>
      <w:szCs w:val="20"/>
    </w:rPr>
  </w:style>
  <w:style w:type="paragraph" w:styleId="af1">
    <w:name w:val="Closing"/>
    <w:basedOn w:val="a"/>
    <w:semiHidden/>
    <w:pPr>
      <w:ind w:leftChars="1800" w:left="100"/>
    </w:pPr>
    <w:rPr>
      <w:lang w:val="de-DE"/>
    </w:rPr>
  </w:style>
  <w:style w:type="paragraph" w:styleId="32">
    <w:name w:val="Body Text Indent 3"/>
    <w:basedOn w:val="a"/>
    <w:semiHidden/>
    <w:pPr>
      <w:spacing w:after="120"/>
      <w:ind w:leftChars="200" w:left="480"/>
    </w:pPr>
    <w:rPr>
      <w:sz w:val="16"/>
      <w:szCs w:val="16"/>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stext1">
    <w:name w:val="stext1"/>
    <w:basedOn w:val="a1"/>
    <w:rPr>
      <w:sz w:val="19"/>
      <w:szCs w:val="19"/>
    </w:rPr>
  </w:style>
  <w:style w:type="character" w:customStyle="1" w:styleId="stext">
    <w:name w:val="stext"/>
    <w:basedOn w:val="a1"/>
  </w:style>
  <w:style w:type="paragraph" w:customStyle="1" w:styleId="af2">
    <w:name w:val="本文 + 新細明體"/>
    <w:basedOn w:val="ab"/>
    <w:pPr>
      <w:spacing w:before="180"/>
      <w:ind w:firstLine="480"/>
    </w:pPr>
    <w:rPr>
      <w:rFonts w:ascii="新細明體" w:hAnsi="新細明體"/>
    </w:rPr>
  </w:style>
  <w:style w:type="character" w:customStyle="1" w:styleId="af3">
    <w:name w:val="本文 + 新細明體 字元"/>
    <w:basedOn w:val="ac"/>
    <w:rPr>
      <w:rFonts w:ascii="新細明體" w:eastAsia="新細明體" w:hAnsi="新細明體"/>
      <w:kern w:val="2"/>
      <w:sz w:val="24"/>
      <w:szCs w:val="24"/>
      <w:lang w:val="de-DE" w:eastAsia="zh-TW" w:bidi="ar-SA"/>
    </w:rPr>
  </w:style>
  <w:style w:type="paragraph" w:customStyle="1" w:styleId="22">
    <w:name w:val="本文 + 第一行:  2 字元"/>
    <w:aliases w:val="套用前:  0.5 列"/>
    <w:basedOn w:val="ab"/>
    <w:pPr>
      <w:spacing w:before="180"/>
      <w:ind w:firstLine="480"/>
    </w:pPr>
  </w:style>
  <w:style w:type="character" w:customStyle="1" w:styleId="text">
    <w:name w:val="text"/>
    <w:basedOn w:val="a1"/>
  </w:style>
  <w:style w:type="paragraph" w:styleId="10">
    <w:name w:val="toc 1"/>
    <w:basedOn w:val="a"/>
    <w:next w:val="a"/>
    <w:autoRedefine/>
    <w:semiHidden/>
  </w:style>
  <w:style w:type="paragraph" w:customStyle="1" w:styleId="af4">
    <w:name w:val="(一)中黑"/>
    <w:basedOn w:val="a"/>
    <w:autoRedefine/>
    <w:pPr>
      <w:snapToGrid w:val="0"/>
      <w:spacing w:line="300" w:lineRule="auto"/>
      <w:ind w:left="1800" w:hanging="1800"/>
      <w:jc w:val="both"/>
    </w:pPr>
    <w:rPr>
      <w:rFonts w:ascii="標楷體" w:eastAsia="標楷體" w:hAnsi="標楷體"/>
      <w:b/>
      <w:bCs/>
      <w:spacing w:val="4"/>
      <w:sz w:val="40"/>
      <w:szCs w:val="40"/>
    </w:rPr>
  </w:style>
  <w:style w:type="paragraph" w:customStyle="1" w:styleId="11">
    <w:name w:val="(1)"/>
    <w:basedOn w:val="a"/>
    <w:autoRedefine/>
    <w:pPr>
      <w:snapToGrid w:val="0"/>
      <w:spacing w:line="300" w:lineRule="auto"/>
      <w:ind w:left="2160" w:hanging="1194"/>
      <w:jc w:val="both"/>
    </w:pPr>
    <w:rPr>
      <w:rFonts w:ascii="標楷體" w:eastAsia="標楷體" w:hAnsi="標楷體"/>
      <w:bCs/>
      <w:sz w:val="40"/>
      <w:szCs w:val="40"/>
    </w:rPr>
  </w:style>
  <w:style w:type="paragraph" w:customStyle="1" w:styleId="12">
    <w:name w:val="1.(本文)"/>
    <w:basedOn w:val="a"/>
    <w:autoRedefine/>
    <w:pPr>
      <w:kinsoku w:val="0"/>
      <w:overflowPunct w:val="0"/>
      <w:autoSpaceDE w:val="0"/>
      <w:autoSpaceDN w:val="0"/>
      <w:adjustRightInd w:val="0"/>
      <w:snapToGrid w:val="0"/>
      <w:spacing w:line="300" w:lineRule="auto"/>
      <w:ind w:left="1680" w:hanging="1680"/>
      <w:jc w:val="both"/>
    </w:pPr>
    <w:rPr>
      <w:rFonts w:ascii="標楷體" w:eastAsia="標楷體" w:hAnsi="標楷體"/>
      <w:sz w:val="22"/>
      <w:szCs w:val="40"/>
    </w:rPr>
  </w:style>
  <w:style w:type="paragraph" w:styleId="af5">
    <w:name w:val="header"/>
    <w:basedOn w:val="a"/>
    <w:semiHidden/>
    <w:pPr>
      <w:tabs>
        <w:tab w:val="center" w:pos="4153"/>
        <w:tab w:val="right" w:pos="8306"/>
      </w:tabs>
      <w:snapToGrid w:val="0"/>
    </w:pPr>
    <w:rPr>
      <w:sz w:val="20"/>
      <w:szCs w:val="20"/>
    </w:rPr>
  </w:style>
  <w:style w:type="paragraph" w:styleId="23">
    <w:name w:val="toc 2"/>
    <w:basedOn w:val="a"/>
    <w:next w:val="a"/>
    <w:autoRedefine/>
    <w:semiHidden/>
    <w:pPr>
      <w:ind w:leftChars="200" w:left="480"/>
    </w:pPr>
  </w:style>
  <w:style w:type="paragraph" w:styleId="33">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f6">
    <w:name w:val="table of figures"/>
    <w:basedOn w:val="a"/>
    <w:next w:val="a"/>
    <w:semiHidden/>
    <w:pPr>
      <w:ind w:leftChars="400" w:left="960" w:hangingChars="20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jp/exec/obidos/search-handle-url/index=books-jp&amp;field-author=%E6%BB%8B%2C%20%E9%AB%98%E6%A9%8B/249-9529278-9106767" TargetMode="External"/><Relationship Id="rId13" Type="http://schemas.openxmlformats.org/officeDocument/2006/relationships/hyperlink" Target="http://www.amazon.co.jp/exec/obidos/search-handle-url/index=books-jp&amp;field-author=%E6%96%89%E5%BF%97%2C%20%E6%9D%91%E7%94%B0/249-9529278-9106767" TargetMode="External"/><Relationship Id="rId18" Type="http://schemas.openxmlformats.org/officeDocument/2006/relationships/hyperlink" Target="http://www.amazon.co.jp/exec/obidos/search-handle-url/index=books-jp&amp;field-author=%E7%BE%A9%E4%B8%80%2C%20%E8%8A%9D%E6%B1%A0/249-9529278-9106767" TargetMode="External"/><Relationship Id="rId26" Type="http://schemas.openxmlformats.org/officeDocument/2006/relationships/hyperlink" Target="http://law.moj.gov.tw/Scripts/Query1B.asp?no=1S01100341" TargetMode="External"/><Relationship Id="rId39" Type="http://schemas.openxmlformats.org/officeDocument/2006/relationships/hyperlink" Target="http://law.moj.gov.tw/Scripts/Query1B.asp?no=1S011003414" TargetMode="External"/><Relationship Id="rId3" Type="http://schemas.openxmlformats.org/officeDocument/2006/relationships/settings" Target="settings.xml"/><Relationship Id="rId21" Type="http://schemas.openxmlformats.org/officeDocument/2006/relationships/hyperlink" Target="http://www.amazon.co.jp/exec/obidos/search-handle-url/index=books-jp&amp;field-author=%E5%8A%9B%2C%20%E5%AE%A4%E4%BA%95/249-9529278-9106767" TargetMode="External"/><Relationship Id="rId34" Type="http://schemas.openxmlformats.org/officeDocument/2006/relationships/hyperlink" Target="http://law.moj.gov.tw/Scripts/Query1B.asp?no=1S01100349" TargetMode="External"/><Relationship Id="rId42" Type="http://schemas.openxmlformats.org/officeDocument/2006/relationships/footer" Target="footer1.xml"/><Relationship Id="rId7" Type="http://schemas.openxmlformats.org/officeDocument/2006/relationships/hyperlink" Target="http://www.amazon.co.jp/exec/obidos/search-handle-url/index=books-jp&amp;field-author=%E5%85%89%E9%83%8E%2C%20%E5%B0%8F%E6%97%A9%E5%B7%9D/249-9529278-9106767" TargetMode="External"/><Relationship Id="rId12" Type="http://schemas.openxmlformats.org/officeDocument/2006/relationships/hyperlink" Target="http://www.amazon.co.jp/exec/obidos/search-handle-url/index=books-jp&amp;field-author=%E7%A7%80%E5%A4%AB%2C%20%E7%A6%8F%E4%BA%95/249-9529278-9106767" TargetMode="External"/><Relationship Id="rId17" Type="http://schemas.openxmlformats.org/officeDocument/2006/relationships/hyperlink" Target="http://www.amazon.co.jp/exec/obidos/search-handle-url/index=books-jp&amp;field-author=%E5%AE%8F%2C%20%E5%A1%A9%E9%87%8E/249-9529278-9106767" TargetMode="External"/><Relationship Id="rId25" Type="http://schemas.openxmlformats.org/officeDocument/2006/relationships/hyperlink" Target="http://law.moj.gov.tw/Scripts/newsdetail.asp?no=1S0110034" TargetMode="External"/><Relationship Id="rId33" Type="http://schemas.openxmlformats.org/officeDocument/2006/relationships/hyperlink" Target="http://law.moj.gov.tw/Scripts/Query1B.asp?no=1S01100348" TargetMode="External"/><Relationship Id="rId38" Type="http://schemas.openxmlformats.org/officeDocument/2006/relationships/hyperlink" Target="http://law.moj.gov.tw/Scripts/Query1B.asp?no=1S011003413" TargetMode="External"/><Relationship Id="rId2" Type="http://schemas.openxmlformats.org/officeDocument/2006/relationships/styles" Target="styles.xml"/><Relationship Id="rId16" Type="http://schemas.openxmlformats.org/officeDocument/2006/relationships/hyperlink" Target="http://www.amazon.co.jp/exec/obidos/search-handle-url/index=books-jp&amp;field-author=%E5%BC%98%E4%B9%8B%E4%BA%AE%2C%20%E6%9C%A8%E6%9D%91/249-9529278-9106767" TargetMode="External"/><Relationship Id="rId20" Type="http://schemas.openxmlformats.org/officeDocument/2006/relationships/hyperlink" Target="http://www.amazon.co.jp/exec/obidos/search-handle-url/index=books-jp&amp;field-author=%E6%BB%8B%2C%20%E9%AB%98%E6%A9%8B/249-9529278-9106767" TargetMode="External"/><Relationship Id="rId29" Type="http://schemas.openxmlformats.org/officeDocument/2006/relationships/hyperlink" Target="http://law.moj.gov.tw/Scripts/Query1B.asp?no=1S01100344" TargetMode="External"/><Relationship Id="rId41" Type="http://schemas.openxmlformats.org/officeDocument/2006/relationships/hyperlink" Target="http://law.moj.gov.tw/Scripts/Query1B.asp?no=1S0110034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jp/exec/obidos/search-handle-url/index=books-jp&amp;field-author=%E4%B9%85%E8%B5%B7%2C%20%E5%B0%8F%E6%9E%97/249-9529278-9106767" TargetMode="External"/><Relationship Id="rId24" Type="http://schemas.openxmlformats.org/officeDocument/2006/relationships/hyperlink" Target="http://www.amazon.co.jp/exec/obidos/search-handle-url/index=books-jp&amp;field-author=%E6%B3%B0%E9%9A%86%2C%20%E9%98%BF%E9%83%A8/249-9529278-9106767" TargetMode="External"/><Relationship Id="rId32" Type="http://schemas.openxmlformats.org/officeDocument/2006/relationships/hyperlink" Target="http://law.moj.gov.tw/Scripts/Query1B.asp?no=1S01100347" TargetMode="External"/><Relationship Id="rId37" Type="http://schemas.openxmlformats.org/officeDocument/2006/relationships/hyperlink" Target="http://law.moj.gov.tw/Scripts/Query1B.asp?no=1S011003412" TargetMode="External"/><Relationship Id="rId40" Type="http://schemas.openxmlformats.org/officeDocument/2006/relationships/hyperlink" Target="http://law.moj.gov.tw/Scripts/Query1B.asp?no=1S011003415"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mazon.co.jp/exec/obidos/search-handle-url/index=books-jp&amp;field-author=%E9%9B%85%E8%A1%8C%2C%20%E8%97%A4%E5%B1%B1/249-9529278-9106767" TargetMode="External"/><Relationship Id="rId23" Type="http://schemas.openxmlformats.org/officeDocument/2006/relationships/hyperlink" Target="http://www.amazon.co.jp/exec/obidos/search-handle-url/index=books-jp&amp;field-author=%E7%BE%A9%E4%B8%80%2C%20%E8%8A%9D%E6%B1%A0/249-9529278-9106767" TargetMode="External"/><Relationship Id="rId28" Type="http://schemas.openxmlformats.org/officeDocument/2006/relationships/hyperlink" Target="http://law.moj.gov.tw/Scripts/Query1B.asp?no=1S01100343" TargetMode="External"/><Relationship Id="rId36" Type="http://schemas.openxmlformats.org/officeDocument/2006/relationships/hyperlink" Target="http://law.moj.gov.tw/Scripts/Query1B.asp?no=1S011003411" TargetMode="External"/><Relationship Id="rId10" Type="http://schemas.openxmlformats.org/officeDocument/2006/relationships/hyperlink" Target="http://www.amazon.co.jp/exec/obidos/search-handle-url/index=books-jp&amp;field-author=%E5%85%8B%E4%B9%9F%2C%20%E5%AE%87%E8%B3%80/249-9529278-9106767" TargetMode="External"/><Relationship Id="rId19" Type="http://schemas.openxmlformats.org/officeDocument/2006/relationships/hyperlink" Target="http://www.amazon.co.jp/exec/obidos/search-handle-url/index=books-jp&amp;field-author=%E5%8D%9A%E6%96%B9%2C%20%E5%8D%97/249-9529278-9106767" TargetMode="External"/><Relationship Id="rId31" Type="http://schemas.openxmlformats.org/officeDocument/2006/relationships/hyperlink" Target="http://law.moj.gov.tw/Scripts/Query1B.asp?no=1S0110034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jp/exec/obidos/search-handle-url/index=books-jp&amp;field-author=%E5%8D%9A%E4%B9%8B%2C%20%E6%A9%8B%E6%9C%AC/249-9529278-9106767" TargetMode="External"/><Relationship Id="rId14" Type="http://schemas.openxmlformats.org/officeDocument/2006/relationships/hyperlink" Target="http://www.amazon.co.jp/exec/obidos/search-handle-url/index=books-jp&amp;field-author=%E6%95%8F%E8%A3%95%2C%20%E8%B6%8A%E6%99%BA/249-9529278-9106767" TargetMode="External"/><Relationship Id="rId22" Type="http://schemas.openxmlformats.org/officeDocument/2006/relationships/hyperlink" Target="http://www.amazon.co.jp/exec/obidos/search-handle-url/index=books-jp&amp;field-author=%E6%B8%85%2C%20%E6%B5%9C%E5%B7%9D/249-9529278-9106767" TargetMode="External"/><Relationship Id="rId27" Type="http://schemas.openxmlformats.org/officeDocument/2006/relationships/hyperlink" Target="http://law.moj.gov.tw/Scripts/Query1B.asp?no=1S01100342" TargetMode="External"/><Relationship Id="rId30" Type="http://schemas.openxmlformats.org/officeDocument/2006/relationships/hyperlink" Target="http://law.moj.gov.tw/Scripts/Query1B.asp?no=1S01100345" TargetMode="External"/><Relationship Id="rId35" Type="http://schemas.openxmlformats.org/officeDocument/2006/relationships/hyperlink" Target="http://law.moj.gov.tw/Scripts/Query1B.asp?no=1S011003410" TargetMode="External"/><Relationship Id="rId43"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4151</Words>
  <Characters>23663</Characters>
  <Application>Microsoft Office Word</Application>
  <DocSecurity>0</DocSecurity>
  <Lines>197</Lines>
  <Paragraphs>55</Paragraphs>
  <ScaleCrop>false</ScaleCrop>
  <Company>CCU</Company>
  <LinksUpToDate>false</LinksUpToDate>
  <CharactersWithSpaces>27759</CharactersWithSpaces>
  <SharedDoc>false</SharedDoc>
  <HLinks>
    <vt:vector size="216" baseType="variant">
      <vt:variant>
        <vt:i4>1376270</vt:i4>
      </vt:variant>
      <vt:variant>
        <vt:i4>102</vt:i4>
      </vt:variant>
      <vt:variant>
        <vt:i4>0</vt:i4>
      </vt:variant>
      <vt:variant>
        <vt:i4>5</vt:i4>
      </vt:variant>
      <vt:variant>
        <vt:lpwstr>http://law.moj.gov.tw/Scripts/Query1B.asp?no=1S011003416</vt:lpwstr>
      </vt:variant>
      <vt:variant>
        <vt:lpwstr/>
      </vt:variant>
      <vt:variant>
        <vt:i4>1441806</vt:i4>
      </vt:variant>
      <vt:variant>
        <vt:i4>99</vt:i4>
      </vt:variant>
      <vt:variant>
        <vt:i4>0</vt:i4>
      </vt:variant>
      <vt:variant>
        <vt:i4>5</vt:i4>
      </vt:variant>
      <vt:variant>
        <vt:lpwstr>http://law.moj.gov.tw/Scripts/Query1B.asp?no=1S011003415</vt:lpwstr>
      </vt:variant>
      <vt:variant>
        <vt:lpwstr/>
      </vt:variant>
      <vt:variant>
        <vt:i4>1507342</vt:i4>
      </vt:variant>
      <vt:variant>
        <vt:i4>96</vt:i4>
      </vt:variant>
      <vt:variant>
        <vt:i4>0</vt:i4>
      </vt:variant>
      <vt:variant>
        <vt:i4>5</vt:i4>
      </vt:variant>
      <vt:variant>
        <vt:lpwstr>http://law.moj.gov.tw/Scripts/Query1B.asp?no=1S011003414</vt:lpwstr>
      </vt:variant>
      <vt:variant>
        <vt:lpwstr/>
      </vt:variant>
      <vt:variant>
        <vt:i4>1048590</vt:i4>
      </vt:variant>
      <vt:variant>
        <vt:i4>93</vt:i4>
      </vt:variant>
      <vt:variant>
        <vt:i4>0</vt:i4>
      </vt:variant>
      <vt:variant>
        <vt:i4>5</vt:i4>
      </vt:variant>
      <vt:variant>
        <vt:lpwstr>http://law.moj.gov.tw/Scripts/Query1B.asp?no=1S011003413</vt:lpwstr>
      </vt:variant>
      <vt:variant>
        <vt:lpwstr/>
      </vt:variant>
      <vt:variant>
        <vt:i4>1114126</vt:i4>
      </vt:variant>
      <vt:variant>
        <vt:i4>90</vt:i4>
      </vt:variant>
      <vt:variant>
        <vt:i4>0</vt:i4>
      </vt:variant>
      <vt:variant>
        <vt:i4>5</vt:i4>
      </vt:variant>
      <vt:variant>
        <vt:lpwstr>http://law.moj.gov.tw/Scripts/Query1B.asp?no=1S011003412</vt:lpwstr>
      </vt:variant>
      <vt:variant>
        <vt:lpwstr/>
      </vt:variant>
      <vt:variant>
        <vt:i4>1179662</vt:i4>
      </vt:variant>
      <vt:variant>
        <vt:i4>87</vt:i4>
      </vt:variant>
      <vt:variant>
        <vt:i4>0</vt:i4>
      </vt:variant>
      <vt:variant>
        <vt:i4>5</vt:i4>
      </vt:variant>
      <vt:variant>
        <vt:lpwstr>http://law.moj.gov.tw/Scripts/Query1B.asp?no=1S011003411</vt:lpwstr>
      </vt:variant>
      <vt:variant>
        <vt:lpwstr/>
      </vt:variant>
      <vt:variant>
        <vt:i4>1245198</vt:i4>
      </vt:variant>
      <vt:variant>
        <vt:i4>84</vt:i4>
      </vt:variant>
      <vt:variant>
        <vt:i4>0</vt:i4>
      </vt:variant>
      <vt:variant>
        <vt:i4>5</vt:i4>
      </vt:variant>
      <vt:variant>
        <vt:lpwstr>http://law.moj.gov.tw/Scripts/Query1B.asp?no=1S011003410</vt:lpwstr>
      </vt:variant>
      <vt:variant>
        <vt:lpwstr/>
      </vt:variant>
      <vt:variant>
        <vt:i4>2293823</vt:i4>
      </vt:variant>
      <vt:variant>
        <vt:i4>81</vt:i4>
      </vt:variant>
      <vt:variant>
        <vt:i4>0</vt:i4>
      </vt:variant>
      <vt:variant>
        <vt:i4>5</vt:i4>
      </vt:variant>
      <vt:variant>
        <vt:lpwstr>http://law.moj.gov.tw/Scripts/Query1B.asp?no=1S01100349</vt:lpwstr>
      </vt:variant>
      <vt:variant>
        <vt:lpwstr/>
      </vt:variant>
      <vt:variant>
        <vt:i4>2293823</vt:i4>
      </vt:variant>
      <vt:variant>
        <vt:i4>78</vt:i4>
      </vt:variant>
      <vt:variant>
        <vt:i4>0</vt:i4>
      </vt:variant>
      <vt:variant>
        <vt:i4>5</vt:i4>
      </vt:variant>
      <vt:variant>
        <vt:lpwstr>http://law.moj.gov.tw/Scripts/Query1B.asp?no=1S01100348</vt:lpwstr>
      </vt:variant>
      <vt:variant>
        <vt:lpwstr/>
      </vt:variant>
      <vt:variant>
        <vt:i4>2293823</vt:i4>
      </vt:variant>
      <vt:variant>
        <vt:i4>75</vt:i4>
      </vt:variant>
      <vt:variant>
        <vt:i4>0</vt:i4>
      </vt:variant>
      <vt:variant>
        <vt:i4>5</vt:i4>
      </vt:variant>
      <vt:variant>
        <vt:lpwstr>http://law.moj.gov.tw/Scripts/Query1B.asp?no=1S01100347</vt:lpwstr>
      </vt:variant>
      <vt:variant>
        <vt:lpwstr/>
      </vt:variant>
      <vt:variant>
        <vt:i4>2293823</vt:i4>
      </vt:variant>
      <vt:variant>
        <vt:i4>72</vt:i4>
      </vt:variant>
      <vt:variant>
        <vt:i4>0</vt:i4>
      </vt:variant>
      <vt:variant>
        <vt:i4>5</vt:i4>
      </vt:variant>
      <vt:variant>
        <vt:lpwstr>http://law.moj.gov.tw/Scripts/Query1B.asp?no=1S01100346</vt:lpwstr>
      </vt:variant>
      <vt:variant>
        <vt:lpwstr/>
      </vt:variant>
      <vt:variant>
        <vt:i4>2293823</vt:i4>
      </vt:variant>
      <vt:variant>
        <vt:i4>69</vt:i4>
      </vt:variant>
      <vt:variant>
        <vt:i4>0</vt:i4>
      </vt:variant>
      <vt:variant>
        <vt:i4>5</vt:i4>
      </vt:variant>
      <vt:variant>
        <vt:lpwstr>http://law.moj.gov.tw/Scripts/Query1B.asp?no=1S01100345</vt:lpwstr>
      </vt:variant>
      <vt:variant>
        <vt:lpwstr/>
      </vt:variant>
      <vt:variant>
        <vt:i4>2293823</vt:i4>
      </vt:variant>
      <vt:variant>
        <vt:i4>66</vt:i4>
      </vt:variant>
      <vt:variant>
        <vt:i4>0</vt:i4>
      </vt:variant>
      <vt:variant>
        <vt:i4>5</vt:i4>
      </vt:variant>
      <vt:variant>
        <vt:lpwstr>http://law.moj.gov.tw/Scripts/Query1B.asp?no=1S01100344</vt:lpwstr>
      </vt:variant>
      <vt:variant>
        <vt:lpwstr/>
      </vt:variant>
      <vt:variant>
        <vt:i4>2293823</vt:i4>
      </vt:variant>
      <vt:variant>
        <vt:i4>63</vt:i4>
      </vt:variant>
      <vt:variant>
        <vt:i4>0</vt:i4>
      </vt:variant>
      <vt:variant>
        <vt:i4>5</vt:i4>
      </vt:variant>
      <vt:variant>
        <vt:lpwstr>http://law.moj.gov.tw/Scripts/Query1B.asp?no=1S01100343</vt:lpwstr>
      </vt:variant>
      <vt:variant>
        <vt:lpwstr/>
      </vt:variant>
      <vt:variant>
        <vt:i4>2293823</vt:i4>
      </vt:variant>
      <vt:variant>
        <vt:i4>60</vt:i4>
      </vt:variant>
      <vt:variant>
        <vt:i4>0</vt:i4>
      </vt:variant>
      <vt:variant>
        <vt:i4>5</vt:i4>
      </vt:variant>
      <vt:variant>
        <vt:lpwstr>http://law.moj.gov.tw/Scripts/Query1B.asp?no=1S01100342</vt:lpwstr>
      </vt:variant>
      <vt:variant>
        <vt:lpwstr/>
      </vt:variant>
      <vt:variant>
        <vt:i4>2293823</vt:i4>
      </vt:variant>
      <vt:variant>
        <vt:i4>57</vt:i4>
      </vt:variant>
      <vt:variant>
        <vt:i4>0</vt:i4>
      </vt:variant>
      <vt:variant>
        <vt:i4>5</vt:i4>
      </vt:variant>
      <vt:variant>
        <vt:lpwstr>http://law.moj.gov.tw/Scripts/Query1B.asp?no=1S01100341</vt:lpwstr>
      </vt:variant>
      <vt:variant>
        <vt:lpwstr/>
      </vt:variant>
      <vt:variant>
        <vt:i4>5308510</vt:i4>
      </vt:variant>
      <vt:variant>
        <vt:i4>54</vt:i4>
      </vt:variant>
      <vt:variant>
        <vt:i4>0</vt:i4>
      </vt:variant>
      <vt:variant>
        <vt:i4>5</vt:i4>
      </vt:variant>
      <vt:variant>
        <vt:lpwstr>http://law.moj.gov.tw/Scripts/newsdetail.asp?no=1S0110034</vt:lpwstr>
      </vt:variant>
      <vt:variant>
        <vt:lpwstr/>
      </vt:variant>
      <vt:variant>
        <vt:i4>2228277</vt:i4>
      </vt:variant>
      <vt:variant>
        <vt:i4>51</vt:i4>
      </vt:variant>
      <vt:variant>
        <vt:i4>0</vt:i4>
      </vt:variant>
      <vt:variant>
        <vt:i4>5</vt:i4>
      </vt:variant>
      <vt:variant>
        <vt:lpwstr>http://www.amazon.co.jp/exec/obidos/search-handle-url/index=books-jp&amp;field-author=%E6%B3%B0%E9%9A%86%2C %E9%98%BF%E9%83%A8/249-9529278-9106767</vt:lpwstr>
      </vt:variant>
      <vt:variant>
        <vt:lpwstr/>
      </vt:variant>
      <vt:variant>
        <vt:i4>7864420</vt:i4>
      </vt:variant>
      <vt:variant>
        <vt:i4>48</vt:i4>
      </vt:variant>
      <vt:variant>
        <vt:i4>0</vt:i4>
      </vt:variant>
      <vt:variant>
        <vt:i4>5</vt:i4>
      </vt:variant>
      <vt:variant>
        <vt:lpwstr>http://www.amazon.co.jp/exec/obidos/search-handle-url/index=books-jp&amp;field-author=%E7%BE%A9%E4%B8%80%2C %E8%8A%9D%E6%B1%A0/249-9529278-9106767</vt:lpwstr>
      </vt:variant>
      <vt:variant>
        <vt:lpwstr/>
      </vt:variant>
      <vt:variant>
        <vt:i4>5832787</vt:i4>
      </vt:variant>
      <vt:variant>
        <vt:i4>45</vt:i4>
      </vt:variant>
      <vt:variant>
        <vt:i4>0</vt:i4>
      </vt:variant>
      <vt:variant>
        <vt:i4>5</vt:i4>
      </vt:variant>
      <vt:variant>
        <vt:lpwstr>http://www.amazon.co.jp/exec/obidos/search-handle-url/index=books-jp&amp;field-author=%E6%B8%85%2C %E6%B5%9C%E5%B7%9D/249-9529278-9106767</vt:lpwstr>
      </vt:variant>
      <vt:variant>
        <vt:lpwstr/>
      </vt:variant>
      <vt:variant>
        <vt:i4>5</vt:i4>
      </vt:variant>
      <vt:variant>
        <vt:i4>42</vt:i4>
      </vt:variant>
      <vt:variant>
        <vt:i4>0</vt:i4>
      </vt:variant>
      <vt:variant>
        <vt:i4>5</vt:i4>
      </vt:variant>
      <vt:variant>
        <vt:lpwstr>http://www.amazon.co.jp/exec/obidos/search-handle-url/index=books-jp&amp;field-author=%E5%8A%9B%2C %E5%AE%A4%E4%BA%95/249-9529278-9106767</vt:lpwstr>
      </vt:variant>
      <vt:variant>
        <vt:lpwstr/>
      </vt:variant>
      <vt:variant>
        <vt:i4>5963861</vt:i4>
      </vt:variant>
      <vt:variant>
        <vt:i4>39</vt:i4>
      </vt:variant>
      <vt:variant>
        <vt:i4>0</vt:i4>
      </vt:variant>
      <vt:variant>
        <vt:i4>5</vt:i4>
      </vt:variant>
      <vt:variant>
        <vt:lpwstr>http://www.amazon.co.jp/exec/obidos/search-handle-url/index=books-jp&amp;field-author=%E6%BB%8B%2C %E9%AB%98%E6%A9%8B/249-9529278-9106767</vt:lpwstr>
      </vt:variant>
      <vt:variant>
        <vt:lpwstr/>
      </vt:variant>
      <vt:variant>
        <vt:i4>131163</vt:i4>
      </vt:variant>
      <vt:variant>
        <vt:i4>36</vt:i4>
      </vt:variant>
      <vt:variant>
        <vt:i4>0</vt:i4>
      </vt:variant>
      <vt:variant>
        <vt:i4>5</vt:i4>
      </vt:variant>
      <vt:variant>
        <vt:lpwstr>http://www.amazon.co.jp/exec/obidos/search-handle-url/index=books-jp&amp;field-author=%E5%8D%9A%E6%96%B9%2C %E5%8D%97/249-9529278-9106767</vt:lpwstr>
      </vt:variant>
      <vt:variant>
        <vt:lpwstr/>
      </vt:variant>
      <vt:variant>
        <vt:i4>7864420</vt:i4>
      </vt:variant>
      <vt:variant>
        <vt:i4>33</vt:i4>
      </vt:variant>
      <vt:variant>
        <vt:i4>0</vt:i4>
      </vt:variant>
      <vt:variant>
        <vt:i4>5</vt:i4>
      </vt:variant>
      <vt:variant>
        <vt:lpwstr>http://www.amazon.co.jp/exec/obidos/search-handle-url/index=books-jp&amp;field-author=%E7%BE%A9%E4%B8%80%2C %E8%8A%9D%E6%B1%A0/249-9529278-9106767</vt:lpwstr>
      </vt:variant>
      <vt:variant>
        <vt:lpwstr/>
      </vt:variant>
      <vt:variant>
        <vt:i4>6225931</vt:i4>
      </vt:variant>
      <vt:variant>
        <vt:i4>30</vt:i4>
      </vt:variant>
      <vt:variant>
        <vt:i4>0</vt:i4>
      </vt:variant>
      <vt:variant>
        <vt:i4>5</vt:i4>
      </vt:variant>
      <vt:variant>
        <vt:lpwstr>http://www.amazon.co.jp/exec/obidos/search-handle-url/index=books-jp&amp;field-author=%E5%AE%8F%2C %E5%A1%A9%E9%87%8E/249-9529278-9106767</vt:lpwstr>
      </vt:variant>
      <vt:variant>
        <vt:lpwstr/>
      </vt:variant>
      <vt:variant>
        <vt:i4>2359340</vt:i4>
      </vt:variant>
      <vt:variant>
        <vt:i4>27</vt:i4>
      </vt:variant>
      <vt:variant>
        <vt:i4>0</vt:i4>
      </vt:variant>
      <vt:variant>
        <vt:i4>5</vt:i4>
      </vt:variant>
      <vt:variant>
        <vt:lpwstr>http://www.amazon.co.jp/exec/obidos/search-handle-url/index=books-jp&amp;field-author=%E5%BC%98%E4%B9%8B%E4%BA%AE%2C %E6%9C%A8%E6%9D%91/249-9529278-9106767</vt:lpwstr>
      </vt:variant>
      <vt:variant>
        <vt:lpwstr/>
      </vt:variant>
      <vt:variant>
        <vt:i4>7733350</vt:i4>
      </vt:variant>
      <vt:variant>
        <vt:i4>24</vt:i4>
      </vt:variant>
      <vt:variant>
        <vt:i4>0</vt:i4>
      </vt:variant>
      <vt:variant>
        <vt:i4>5</vt:i4>
      </vt:variant>
      <vt:variant>
        <vt:lpwstr>http://www.amazon.co.jp/exec/obidos/search-handle-url/index=books-jp&amp;field-author=%E9%9B%85%E8%A1%8C%2C %E8%97%A4%E5%B1%B1/249-9529278-9106767</vt:lpwstr>
      </vt:variant>
      <vt:variant>
        <vt:lpwstr/>
      </vt:variant>
      <vt:variant>
        <vt:i4>2555967</vt:i4>
      </vt:variant>
      <vt:variant>
        <vt:i4>21</vt:i4>
      </vt:variant>
      <vt:variant>
        <vt:i4>0</vt:i4>
      </vt:variant>
      <vt:variant>
        <vt:i4>5</vt:i4>
      </vt:variant>
      <vt:variant>
        <vt:lpwstr>http://www.amazon.co.jp/exec/obidos/search-handle-url/index=books-jp&amp;field-author=%E6%95%8F%E8%A3%95%2C %E8%B6%8A%E6%99%BA/249-9529278-9106767</vt:lpwstr>
      </vt:variant>
      <vt:variant>
        <vt:lpwstr/>
      </vt:variant>
      <vt:variant>
        <vt:i4>2818109</vt:i4>
      </vt:variant>
      <vt:variant>
        <vt:i4>18</vt:i4>
      </vt:variant>
      <vt:variant>
        <vt:i4>0</vt:i4>
      </vt:variant>
      <vt:variant>
        <vt:i4>5</vt:i4>
      </vt:variant>
      <vt:variant>
        <vt:lpwstr>http://www.amazon.co.jp/exec/obidos/search-handle-url/index=books-jp&amp;field-author=%E6%96%89%E5%BF%97%2C %E6%9D%91%E7%94%B0/249-9529278-9106767</vt:lpwstr>
      </vt:variant>
      <vt:variant>
        <vt:lpwstr/>
      </vt:variant>
      <vt:variant>
        <vt:i4>7471207</vt:i4>
      </vt:variant>
      <vt:variant>
        <vt:i4>15</vt:i4>
      </vt:variant>
      <vt:variant>
        <vt:i4>0</vt:i4>
      </vt:variant>
      <vt:variant>
        <vt:i4>5</vt:i4>
      </vt:variant>
      <vt:variant>
        <vt:lpwstr>http://www.amazon.co.jp/exec/obidos/search-handle-url/index=books-jp&amp;field-author=%E7%A7%80%E5%A4%AB%2C %E7%A6%8F%E4%BA%95/249-9529278-9106767</vt:lpwstr>
      </vt:variant>
      <vt:variant>
        <vt:lpwstr/>
      </vt:variant>
      <vt:variant>
        <vt:i4>7995493</vt:i4>
      </vt:variant>
      <vt:variant>
        <vt:i4>12</vt:i4>
      </vt:variant>
      <vt:variant>
        <vt:i4>0</vt:i4>
      </vt:variant>
      <vt:variant>
        <vt:i4>5</vt:i4>
      </vt:variant>
      <vt:variant>
        <vt:lpwstr>http://www.amazon.co.jp/exec/obidos/search-handle-url/index=books-jp&amp;field-author=%E4%B9%85%E8%B5%B7%2C %E5%B0%8F%E6%9E%97/249-9529278-9106767</vt:lpwstr>
      </vt:variant>
      <vt:variant>
        <vt:lpwstr/>
      </vt:variant>
      <vt:variant>
        <vt:i4>2883643</vt:i4>
      </vt:variant>
      <vt:variant>
        <vt:i4>9</vt:i4>
      </vt:variant>
      <vt:variant>
        <vt:i4>0</vt:i4>
      </vt:variant>
      <vt:variant>
        <vt:i4>5</vt:i4>
      </vt:variant>
      <vt:variant>
        <vt:lpwstr>http://www.amazon.co.jp/exec/obidos/search-handle-url/index=books-jp&amp;field-author=%E5%85%8B%E4%B9%9F%2C %E5%AE%87%E8%B3%80/249-9529278-9106767</vt:lpwstr>
      </vt:variant>
      <vt:variant>
        <vt:lpwstr/>
      </vt:variant>
      <vt:variant>
        <vt:i4>2228326</vt:i4>
      </vt:variant>
      <vt:variant>
        <vt:i4>6</vt:i4>
      </vt:variant>
      <vt:variant>
        <vt:i4>0</vt:i4>
      </vt:variant>
      <vt:variant>
        <vt:i4>5</vt:i4>
      </vt:variant>
      <vt:variant>
        <vt:lpwstr>http://www.amazon.co.jp/exec/obidos/search-handle-url/index=books-jp&amp;field-author=%E5%8D%9A%E4%B9%8B%2C %E6%A9%8B%E6%9C%AC/249-9529278-9106767</vt:lpwstr>
      </vt:variant>
      <vt:variant>
        <vt:lpwstr/>
      </vt:variant>
      <vt:variant>
        <vt:i4>5963861</vt:i4>
      </vt:variant>
      <vt:variant>
        <vt:i4>3</vt:i4>
      </vt:variant>
      <vt:variant>
        <vt:i4>0</vt:i4>
      </vt:variant>
      <vt:variant>
        <vt:i4>5</vt:i4>
      </vt:variant>
      <vt:variant>
        <vt:lpwstr>http://www.amazon.co.jp/exec/obidos/search-handle-url/index=books-jp&amp;field-author=%E6%BB%8B%2C %E9%AB%98%E6%A9%8B/249-9529278-9106767</vt:lpwstr>
      </vt:variant>
      <vt:variant>
        <vt:lpwstr/>
      </vt:variant>
      <vt:variant>
        <vt:i4>2949234</vt:i4>
      </vt:variant>
      <vt:variant>
        <vt:i4>0</vt:i4>
      </vt:variant>
      <vt:variant>
        <vt:i4>0</vt:i4>
      </vt:variant>
      <vt:variant>
        <vt:i4>5</vt:i4>
      </vt:variant>
      <vt:variant>
        <vt:lpwstr>http://www.amazon.co.jp/exec/obidos/search-handle-url/index=books-jp&amp;field-author=%E5%85%89%E9%83%8E%2C %E5%B0%8F%E6%97%A9%E5%B7%9D/249-9529278-9106767</vt:lpwstr>
      </vt:variant>
      <vt:variant>
        <vt:lpwstr/>
      </vt:variant>
      <vt:variant>
        <vt:i4>4063317</vt:i4>
      </vt:variant>
      <vt:variant>
        <vt:i4>56650</vt:i4>
      </vt:variant>
      <vt:variant>
        <vt:i4>1025</vt:i4>
      </vt:variant>
      <vt:variant>
        <vt:i4>1</vt:i4>
      </vt:variant>
      <vt:variant>
        <vt:lpwstr>BD14513_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一、研究人員經費</dc:title>
  <dc:subject/>
  <dc:creator>CCU</dc:creator>
  <cp:keywords/>
  <dc:description/>
  <cp:lastModifiedBy>卓卿雲</cp:lastModifiedBy>
  <cp:revision>2</cp:revision>
  <cp:lastPrinted>2004-04-08T14:27:00Z</cp:lastPrinted>
  <dcterms:created xsi:type="dcterms:W3CDTF">2021-09-22T10:37:00Z</dcterms:created>
  <dcterms:modified xsi:type="dcterms:W3CDTF">2021-09-22T10:37:00Z</dcterms:modified>
</cp:coreProperties>
</file>