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753B">
      <w:pPr>
        <w:pStyle w:val="1"/>
        <w:spacing w:before="180" w:after="180" w:line="480" w:lineRule="auto"/>
        <w:rPr>
          <w:bCs/>
          <w:lang w:val="de-DE"/>
        </w:rPr>
      </w:pPr>
      <w:bookmarkStart w:id="0" w:name="_Toc121199190"/>
      <w:bookmarkStart w:id="1" w:name="_Toc121212662"/>
      <w:bookmarkStart w:id="2" w:name="_Toc121212925"/>
      <w:bookmarkStart w:id="3" w:name="_GoBack"/>
      <w:bookmarkEnd w:id="3"/>
      <w:r>
        <w:rPr>
          <w:bCs/>
          <w:lang w:val="de-DE"/>
        </w:rPr>
        <w:t>1.</w:t>
      </w:r>
      <w:r>
        <w:rPr>
          <w:bCs/>
          <w:lang w:val="de-DE"/>
        </w:rPr>
        <w:t>研究目的</w:t>
      </w:r>
      <w:bookmarkEnd w:id="0"/>
      <w:bookmarkEnd w:id="1"/>
      <w:bookmarkEnd w:id="2"/>
    </w:p>
    <w:p w:rsidR="00000000" w:rsidRDefault="0088753B">
      <w:pPr>
        <w:pStyle w:val="2"/>
        <w:spacing w:line="480" w:lineRule="auto"/>
        <w:rPr>
          <w:lang w:val="de-DE"/>
        </w:rPr>
      </w:pPr>
      <w:bookmarkStart w:id="4" w:name="_Toc121199191"/>
      <w:bookmarkStart w:id="5" w:name="_Toc121212663"/>
      <w:bookmarkStart w:id="6" w:name="_Toc121212926"/>
      <w:r>
        <w:rPr>
          <w:lang w:val="de-DE"/>
        </w:rPr>
        <w:t>1.1.</w:t>
      </w:r>
      <w:r>
        <w:rPr>
          <w:lang w:val="de-DE"/>
        </w:rPr>
        <w:t>研究主旨</w:t>
      </w:r>
      <w:bookmarkEnd w:id="4"/>
      <w:bookmarkEnd w:id="5"/>
      <w:bookmarkEnd w:id="6"/>
    </w:p>
    <w:p w:rsidR="00000000" w:rsidRDefault="0088753B">
      <w:pPr>
        <w:pStyle w:val="ab"/>
        <w:spacing w:before="180" w:line="480" w:lineRule="auto"/>
        <w:ind w:firstLine="480"/>
      </w:pPr>
      <w:r>
        <w:rPr>
          <w:rFonts w:hint="eastAsia"/>
        </w:rPr>
        <w:t>公務人員陞遷原為公務人員任用制度的一種類型。同時也是最能反映組織公平性與策略性的制度。陞遷制度的目標，即要能適當地運用組織內所有員工，進而同時極大化組織績效與個人滿足感，而這些目標的達成，均有賴陞遷制度的設計，同時兼顧到公平性與策略性</w:t>
      </w:r>
      <w:r>
        <w:rPr>
          <w:rStyle w:val="ae"/>
        </w:rPr>
        <w:footnoteReference w:id="1"/>
      </w:r>
      <w:r>
        <w:rPr>
          <w:rFonts w:hint="eastAsia"/>
        </w:rPr>
        <w:t>。由於陞遷避免不了競爭，因此每一個公務人員的陞遷按所涉及的問題，往往不是僅存在於單一個人權益影響的層次而已。</w:t>
      </w:r>
      <w:r>
        <w:t>本研究計畫「公務人員陞遷之救濟」主要研究重心集中於公務人員陞遷（</w:t>
      </w:r>
      <w:r>
        <w:t>Promotion, Beförderung</w:t>
      </w:r>
      <w:r>
        <w:t>）事件中衍生出與權利救濟相關</w:t>
      </w:r>
      <w:r>
        <w:t>之法律問題。包括公務人員是否具有請求陞遷之主觀公權利？公務人員就陞遷已辦理完竣且已由第三人陞任時，是否仍有爭訟實益？以及其他於陞遷過程所生爭議問題。</w:t>
      </w:r>
    </w:p>
    <w:p w:rsidR="00000000" w:rsidRDefault="0088753B">
      <w:pPr>
        <w:pStyle w:val="2"/>
        <w:spacing w:line="480" w:lineRule="auto"/>
        <w:rPr>
          <w:lang w:val="de-DE"/>
        </w:rPr>
      </w:pPr>
      <w:bookmarkStart w:id="7" w:name="_Toc121199192"/>
      <w:bookmarkStart w:id="8" w:name="_Toc121212664"/>
      <w:bookmarkStart w:id="9" w:name="_Toc121212927"/>
      <w:r>
        <w:rPr>
          <w:lang w:val="de-DE"/>
        </w:rPr>
        <w:t>1.2.</w:t>
      </w:r>
      <w:r>
        <w:rPr>
          <w:lang w:val="de-DE"/>
        </w:rPr>
        <w:t>研究主題背景及相關研究之檢討</w:t>
      </w:r>
      <w:bookmarkEnd w:id="7"/>
      <w:bookmarkEnd w:id="8"/>
      <w:bookmarkEnd w:id="9"/>
    </w:p>
    <w:p w:rsidR="00000000" w:rsidRDefault="0088753B">
      <w:pPr>
        <w:pStyle w:val="ab"/>
        <w:spacing w:before="180" w:line="480" w:lineRule="auto"/>
        <w:ind w:firstLine="480"/>
      </w:pPr>
      <w:r>
        <w:t>根據目前公務人員保障法之規定，有關公務人員權益救濟採取有其歷史成因而相當特殊的二元管道。亦即申訴管道與復審管道。針對陞遷事件，儘管論者多所批評，然仍則多認為應經申訴程序，而非復審程序（例如，保訓會保障案件決定書</w:t>
      </w:r>
      <w:r>
        <w:t>90</w:t>
      </w:r>
      <w:r>
        <w:t>公申決字第</w:t>
      </w:r>
      <w:r>
        <w:t>0042</w:t>
      </w:r>
      <w:r>
        <w:t>號）。原因無他，因為復審標的限於對公務人員不利益之處分（含重大權利影響之措施），至於陞遷事件</w:t>
      </w:r>
      <w:r>
        <w:t>則被認為僅屬機關內部之管理措施，復審程序無法受理。</w:t>
      </w:r>
    </w:p>
    <w:p w:rsidR="00000000" w:rsidRDefault="0088753B">
      <w:pPr>
        <w:pStyle w:val="ab"/>
        <w:spacing w:before="180" w:line="480" w:lineRule="auto"/>
        <w:ind w:firstLine="480"/>
      </w:pPr>
      <w:r>
        <w:lastRenderedPageBreak/>
        <w:t>如果認為陞遷亦屬於會對公務人員權益產生重大影響的事件，欲擴大解釋復審受理事件的範圍，必須進一步解決期於爭訟程序中將面臨的問題。</w:t>
      </w:r>
    </w:p>
    <w:p w:rsidR="00000000" w:rsidRDefault="0088753B">
      <w:pPr>
        <w:pStyle w:val="ab"/>
        <w:spacing w:before="180" w:line="480" w:lineRule="auto"/>
        <w:ind w:firstLine="480"/>
      </w:pPr>
      <w:r>
        <w:t>首先，我們必須先承認對於陞遷之決定乃可能對於公務人員發生不利益之處分。同時有必須說明保障法上的不利處分與行政程序法第</w:t>
      </w:r>
      <w:r>
        <w:t>92</w:t>
      </w:r>
      <w:r>
        <w:t>條第</w:t>
      </w:r>
      <w:r>
        <w:t>1</w:t>
      </w:r>
      <w:r>
        <w:t>項之行政處分範圍有別。同時必須要解決受理復審事件後，如果進一步提起行政訴訟時，訴訟類型的配合。</w:t>
      </w:r>
    </w:p>
    <w:p w:rsidR="00000000" w:rsidRDefault="0088753B">
      <w:pPr>
        <w:pStyle w:val="ab"/>
        <w:spacing w:before="180" w:line="480" w:lineRule="auto"/>
        <w:ind w:firstLine="480"/>
      </w:pPr>
      <w:r>
        <w:t>可以想像地，陞遷請求之公務人員多希望救濟機關給予其給付之決定。在此必須滿足給付請求的重要前提要件，亦即陞遷請求</w:t>
      </w:r>
      <w:r>
        <w:t>乃公務人員公法上之公權利。否則聲請主體即非適格（即不具訴訟權能）。其次，公務人員之陞遷事件，事實上多常見於一種多數申請者的競爭關係中。有關競爭者的法律救濟乃是行政爭訟法制中相當特殊的一類。此時爭訟之主體，同要面臨是否具有公權利的解釋難題。</w:t>
      </w:r>
    </w:p>
    <w:p w:rsidR="00000000" w:rsidRDefault="0088753B">
      <w:pPr>
        <w:pStyle w:val="ab"/>
        <w:spacing w:before="180" w:line="480" w:lineRule="auto"/>
        <w:ind w:firstLine="480"/>
      </w:pPr>
      <w:r>
        <w:t>在公務人員陞遷之競爭者爭訟事件中，另有一些相當特殊的救濟需求。例如，陞遷程序已經辦理完畢，對於自己未獲陞遷的救濟，往往須要訴求一個給付的裁判（例如課予義務訴訟）。但是假如自己尚未提出申請，而由其他競爭者先行陞遷，可能阻斷自己陞遷機會時，可能須要的是一個撤銷他人陞遷的形成決</w:t>
      </w:r>
      <w:r>
        <w:t>定。如果陞遷機會唯一，在競爭者當中，他人陞遷完成，而自己未獲陞遷，此時恐怕提起的訴訟就不只一種，往往須要結合撤銷與給付訴訟，合併為之。在此，我們同時必須討論原告提起訴訟是否具備原告適格，同時還要進一步評估爭訟事件有無由紛爭解決機關提共救濟之實益（即有無權利保護之必要性）。</w:t>
      </w:r>
    </w:p>
    <w:p w:rsidR="00000000" w:rsidRDefault="0088753B">
      <w:pPr>
        <w:pStyle w:val="ab"/>
        <w:spacing w:before="180" w:line="480" w:lineRule="auto"/>
        <w:ind w:firstLine="480"/>
      </w:pPr>
      <w:r>
        <w:t>最後，在公務人員陞遷的競爭爭訟關係中，應該特別強調暫時性權利保護制度的功能。因為陞遷機會往往唯一，競爭者之間的關係往往是一種「零合」的競</w:t>
      </w:r>
      <w:r>
        <w:lastRenderedPageBreak/>
        <w:t>爭關係。假如沒有暫時性的救濟制度，即使爭訟程序完成，恐怕也已無救濟實益。</w:t>
      </w:r>
    </w:p>
    <w:p w:rsidR="00000000" w:rsidRDefault="0088753B">
      <w:pPr>
        <w:pStyle w:val="2"/>
        <w:spacing w:line="480" w:lineRule="auto"/>
        <w:rPr>
          <w:lang w:val="de-DE"/>
        </w:rPr>
      </w:pPr>
      <w:bookmarkStart w:id="10" w:name="_Toc121199193"/>
      <w:bookmarkStart w:id="11" w:name="_Toc121212665"/>
      <w:bookmarkStart w:id="12" w:name="_Toc121212928"/>
      <w:r>
        <w:rPr>
          <w:lang w:val="de-DE"/>
        </w:rPr>
        <w:t>1.3.</w:t>
      </w:r>
      <w:r>
        <w:rPr>
          <w:lang w:val="de-DE"/>
        </w:rPr>
        <w:t>研究方法與過程</w:t>
      </w:r>
      <w:bookmarkEnd w:id="10"/>
      <w:bookmarkEnd w:id="11"/>
      <w:bookmarkEnd w:id="12"/>
    </w:p>
    <w:p w:rsidR="00000000" w:rsidRDefault="0088753B">
      <w:pPr>
        <w:pStyle w:val="ab"/>
        <w:spacing w:before="180" w:line="480" w:lineRule="auto"/>
        <w:ind w:firstLine="480"/>
        <w:rPr>
          <w:rFonts w:hint="eastAsia"/>
        </w:rPr>
      </w:pPr>
      <w:r>
        <w:t>以上</w:t>
      </w:r>
      <w:r>
        <w:t>初步分析之問題，在目前行政訴訟新制中的運作經驗仍嫌不足。國內對此等攸關公務人員權益問題之探討仍未蓬勃。鑑於我國行政訴訟法制之建制受德國行政法院法之影響深遠，同時也略採日本行政事件訴訟之規定，因此本研究乃採取比較法之研究。除德國實務上已經有可資參酌之豐富經驗外，日本國於</w:t>
      </w:r>
      <w:r>
        <w:rPr>
          <w:rFonts w:hint="eastAsia"/>
        </w:rPr>
        <w:t>2004</w:t>
      </w:r>
      <w:r>
        <w:t>年新修訂之行政訴訟事件法，有相當值得借鏡之處，因此本研究希望透過德國與日本相關制度之運作經驗，提供我法法制操作之參考，解決目前理論與實務面臨之困境。</w:t>
      </w:r>
    </w:p>
    <w:p w:rsidR="00000000" w:rsidRDefault="0088753B">
      <w:pPr>
        <w:pStyle w:val="2"/>
        <w:spacing w:line="480" w:lineRule="auto"/>
        <w:rPr>
          <w:rFonts w:hint="eastAsia"/>
          <w:lang w:val="de-DE"/>
        </w:rPr>
      </w:pPr>
      <w:bookmarkStart w:id="13" w:name="_Toc121199194"/>
      <w:bookmarkStart w:id="14" w:name="_Toc121212666"/>
      <w:bookmarkStart w:id="15" w:name="_Toc121212929"/>
      <w:r>
        <w:rPr>
          <w:lang w:val="de-DE"/>
        </w:rPr>
        <w:t>1.4.</w:t>
      </w:r>
      <w:r>
        <w:rPr>
          <w:lang w:val="de-DE"/>
        </w:rPr>
        <w:t>研究進度及預期完成之工作項目</w:t>
      </w:r>
      <w:bookmarkEnd w:id="13"/>
      <w:bookmarkEnd w:id="14"/>
      <w:bookmarkEnd w:id="15"/>
    </w:p>
    <w:p w:rsidR="00000000" w:rsidRDefault="0088753B">
      <w:pPr>
        <w:pStyle w:val="ab"/>
        <w:spacing w:before="180" w:line="480" w:lineRule="auto"/>
        <w:ind w:firstLine="480"/>
      </w:pPr>
      <w:r>
        <w:t>本研究計畫預計六個月內完成，其詳細研究進度及預期</w:t>
      </w:r>
      <w:r>
        <w:t>完成之各工作項目如下：</w:t>
      </w:r>
    </w:p>
    <w:p w:rsidR="00000000" w:rsidRDefault="0088753B">
      <w:pPr>
        <w:pStyle w:val="ab"/>
        <w:spacing w:before="180" w:line="480" w:lineRule="auto"/>
        <w:ind w:firstLine="480"/>
      </w:pPr>
      <w:r>
        <w:t>第一月上旬</w:t>
      </w:r>
      <w:r>
        <w:tab/>
      </w:r>
      <w:r>
        <w:tab/>
      </w:r>
      <w:r>
        <w:tab/>
      </w:r>
      <w:r>
        <w:tab/>
      </w:r>
      <w:r>
        <w:tab/>
      </w:r>
      <w:r>
        <w:t>提出研究計畫書及締約</w:t>
      </w:r>
    </w:p>
    <w:p w:rsidR="00000000" w:rsidRDefault="0088753B">
      <w:pPr>
        <w:pStyle w:val="ab"/>
        <w:spacing w:before="180" w:line="480" w:lineRule="auto"/>
        <w:ind w:firstLine="480"/>
      </w:pPr>
      <w:r>
        <w:rPr>
          <w:rFonts w:hAnsi="Arial"/>
        </w:rPr>
        <w:t>第一月中旬至第三月底</w:t>
      </w:r>
      <w:r>
        <w:tab/>
      </w:r>
      <w:r>
        <w:tab/>
      </w:r>
      <w:r>
        <w:t>文獻蒐集及分析、研讀</w:t>
      </w:r>
    </w:p>
    <w:p w:rsidR="00000000" w:rsidRDefault="0088753B">
      <w:pPr>
        <w:pStyle w:val="ab"/>
        <w:spacing w:before="180" w:line="480" w:lineRule="auto"/>
        <w:ind w:firstLine="480"/>
      </w:pPr>
      <w:r>
        <w:t>第四月中旬</w:t>
      </w:r>
      <w:r>
        <w:tab/>
      </w:r>
      <w:r>
        <w:tab/>
      </w:r>
      <w:r>
        <w:tab/>
      </w:r>
      <w:r>
        <w:tab/>
      </w:r>
      <w:r>
        <w:tab/>
      </w:r>
      <w:r>
        <w:t>完成期中報告</w:t>
      </w:r>
    </w:p>
    <w:p w:rsidR="00000000" w:rsidRDefault="0088753B">
      <w:pPr>
        <w:pStyle w:val="ab"/>
        <w:spacing w:before="180" w:line="480" w:lineRule="auto"/>
        <w:ind w:firstLine="480"/>
      </w:pPr>
      <w:r>
        <w:t>第四月下</w:t>
      </w:r>
      <w:r>
        <w:rPr>
          <w:rFonts w:hint="eastAsia"/>
        </w:rPr>
        <w:t>旬至第六月上旬</w:t>
      </w:r>
      <w:r>
        <w:rPr>
          <w:rFonts w:hint="eastAsia"/>
        </w:rPr>
        <w:tab/>
      </w:r>
      <w:r>
        <w:rPr>
          <w:rFonts w:hint="eastAsia"/>
        </w:rPr>
        <w:tab/>
      </w:r>
      <w:r>
        <w:rPr>
          <w:rFonts w:hint="eastAsia"/>
        </w:rPr>
        <w:t>逐步完成研究並撰寫研究報告</w:t>
      </w:r>
    </w:p>
    <w:p w:rsidR="00000000" w:rsidRDefault="0088753B">
      <w:pPr>
        <w:pStyle w:val="ab"/>
        <w:spacing w:before="180" w:line="480" w:lineRule="auto"/>
        <w:ind w:firstLine="480"/>
        <w:rPr>
          <w:rFonts w:hint="eastAsia"/>
        </w:rPr>
      </w:pPr>
      <w:r>
        <w:rPr>
          <w:rFonts w:hint="eastAsia"/>
        </w:rPr>
        <w:t>第六月中旬</w:t>
      </w:r>
      <w:r>
        <w:rPr>
          <w:rFonts w:hint="eastAsia"/>
        </w:rPr>
        <w:tab/>
      </w:r>
      <w:r>
        <w:rPr>
          <w:rFonts w:hint="eastAsia"/>
        </w:rPr>
        <w:tab/>
      </w:r>
      <w:r>
        <w:rPr>
          <w:rFonts w:hint="eastAsia"/>
        </w:rPr>
        <w:tab/>
      </w:r>
      <w:r>
        <w:rPr>
          <w:rFonts w:hint="eastAsia"/>
        </w:rPr>
        <w:tab/>
      </w:r>
      <w:r>
        <w:rPr>
          <w:rFonts w:hint="eastAsia"/>
        </w:rPr>
        <w:tab/>
      </w:r>
      <w:r>
        <w:rPr>
          <w:rFonts w:hint="eastAsia"/>
        </w:rPr>
        <w:t>期末報告</w:t>
      </w:r>
    </w:p>
    <w:p w:rsidR="0088753B" w:rsidRDefault="0088753B">
      <w:pPr>
        <w:pStyle w:val="ab"/>
        <w:spacing w:before="180" w:line="480" w:lineRule="auto"/>
        <w:ind w:firstLine="480"/>
        <w:rPr>
          <w:rFonts w:hint="eastAsia"/>
        </w:rPr>
      </w:pPr>
      <w:r>
        <w:rPr>
          <w:rFonts w:hint="eastAsia"/>
        </w:rPr>
        <w:t>第六月底</w:t>
      </w:r>
      <w:r>
        <w:tab/>
      </w:r>
      <w:r>
        <w:tab/>
      </w:r>
      <w:r>
        <w:tab/>
      </w:r>
      <w:r>
        <w:tab/>
      </w:r>
      <w:r>
        <w:tab/>
      </w:r>
      <w:r>
        <w:t>提出結案報告</w:t>
      </w:r>
    </w:p>
    <w:sectPr w:rsidR="0088753B">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3B" w:rsidRDefault="0088753B">
      <w:r>
        <w:separator/>
      </w:r>
    </w:p>
  </w:endnote>
  <w:endnote w:type="continuationSeparator" w:id="0">
    <w:p w:rsidR="0088753B" w:rsidRDefault="008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5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8875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5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0318">
      <w:rPr>
        <w:rStyle w:val="a7"/>
        <w:noProof/>
      </w:rPr>
      <w:t>3</w:t>
    </w:r>
    <w:r>
      <w:rPr>
        <w:rStyle w:val="a7"/>
      </w:rPr>
      <w:fldChar w:fldCharType="end"/>
    </w:r>
  </w:p>
  <w:p w:rsidR="00000000" w:rsidRDefault="008875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3B" w:rsidRDefault="0088753B">
      <w:pPr>
        <w:snapToGrid w:val="0"/>
        <w:spacing w:beforeLines="50" w:before="120" w:afterLines="50" w:after="120" w:line="360" w:lineRule="auto"/>
      </w:pPr>
      <w:r>
        <w:separator/>
      </w:r>
    </w:p>
  </w:footnote>
  <w:footnote w:type="continuationSeparator" w:id="0">
    <w:p w:rsidR="0088753B" w:rsidRDefault="0088753B">
      <w:pPr>
        <w:snapToGrid w:val="0"/>
        <w:spacing w:beforeLines="50" w:before="120" w:afterLines="50" w:after="120" w:line="360" w:lineRule="auto"/>
      </w:pPr>
      <w:r>
        <w:continuationSeparator/>
      </w:r>
    </w:p>
  </w:footnote>
  <w:footnote w:id="1">
    <w:p w:rsidR="00000000" w:rsidRDefault="0088753B">
      <w:pPr>
        <w:pStyle w:val="ad"/>
        <w:spacing w:line="360" w:lineRule="auto"/>
        <w:jc w:val="both"/>
      </w:pPr>
      <w:r>
        <w:rPr>
          <w:rStyle w:val="ae"/>
        </w:rPr>
        <w:footnoteRef/>
      </w:r>
      <w:r>
        <w:t xml:space="preserve"> </w:t>
      </w:r>
      <w:r>
        <w:rPr>
          <w:rFonts w:hint="eastAsia"/>
        </w:rPr>
        <w:t>參考，</w:t>
      </w:r>
      <w:r>
        <w:rPr>
          <w:rFonts w:hAnsi="新細明體"/>
        </w:rPr>
        <w:t>賴富源，我國公務人員陞遷制度之研究，文化政研所碩士論文，</w:t>
      </w:r>
      <w:r>
        <w:t>2002</w:t>
      </w:r>
      <w:r>
        <w:rPr>
          <w:rFonts w:hAnsi="新細明體"/>
        </w:rPr>
        <w:t>，頁</w:t>
      </w:r>
      <w:r>
        <w:t>63</w:t>
      </w:r>
      <w:r>
        <w:rPr>
          <w:rFonts w:hAnsi="新細明體"/>
        </w:rPr>
        <w:t>以下。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5D8AD376"/>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18"/>
    <w:rsid w:val="004F0318"/>
    <w:rsid w:val="00887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E3144-F816-49BC-9203-4CAB11E0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1419</Characters>
  <Application>Microsoft Office Word</Application>
  <DocSecurity>0</DocSecurity>
  <Lines>11</Lines>
  <Paragraphs>3</Paragraphs>
  <ScaleCrop>false</ScaleCrop>
  <Company>CCU</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2021-09-22T10:42:00Z</dcterms:created>
  <dcterms:modified xsi:type="dcterms:W3CDTF">2021-09-22T10:42:00Z</dcterms:modified>
</cp:coreProperties>
</file>