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B5663">
      <w:pPr>
        <w:pStyle w:val="22"/>
        <w:spacing w:line="480" w:lineRule="auto"/>
        <w:ind w:firstLine="380"/>
        <w:rPr>
          <w:rFonts w:ascii="Arial" w:hAnsi="Arial" w:cs="Arial"/>
          <w:vanish/>
          <w:kern w:val="0"/>
          <w:sz w:val="19"/>
          <w:szCs w:val="19"/>
        </w:rPr>
      </w:pPr>
      <w:bookmarkStart w:id="0" w:name="_GoBack"/>
      <w:bookmarkEnd w:id="0"/>
    </w:p>
    <w:p w:rsidR="00000000" w:rsidRDefault="00CB5663">
      <w:pPr>
        <w:pStyle w:val="1"/>
        <w:spacing w:before="180" w:after="180" w:line="480" w:lineRule="auto"/>
        <w:rPr>
          <w:lang w:val="de-DE"/>
        </w:rPr>
      </w:pPr>
      <w:bookmarkStart w:id="1" w:name="_Toc121199234"/>
      <w:bookmarkStart w:id="2" w:name="_Toc121212706"/>
      <w:bookmarkStart w:id="3" w:name="_Toc121212969"/>
      <w:r>
        <w:rPr>
          <w:rFonts w:eastAsia="MS Mincho" w:hint="eastAsia"/>
          <w:lang w:val="de-DE"/>
        </w:rPr>
        <w:t>7</w:t>
      </w:r>
      <w:r>
        <w:rPr>
          <w:rFonts w:hint="eastAsia"/>
          <w:lang w:val="de-DE"/>
        </w:rPr>
        <w:t>.</w:t>
      </w:r>
      <w:r>
        <w:rPr>
          <w:lang w:val="de-DE"/>
        </w:rPr>
        <w:t>陞遷程序中之權利保護</w:t>
      </w:r>
      <w:bookmarkEnd w:id="1"/>
      <w:bookmarkEnd w:id="2"/>
      <w:bookmarkEnd w:id="3"/>
    </w:p>
    <w:p w:rsidR="00000000" w:rsidRDefault="00CB5663">
      <w:pPr>
        <w:pStyle w:val="22"/>
        <w:spacing w:line="480" w:lineRule="auto"/>
        <w:rPr>
          <w:rFonts w:hint="eastAsia"/>
        </w:rPr>
      </w:pPr>
      <w:r>
        <w:rPr>
          <w:rFonts w:hint="eastAsia"/>
        </w:rPr>
        <w:t>在公務人員的陞遷程序中，應該如前文所述，基於基本權的程序保障功能，給予參與陞遷公務人員正當法律程序的保障。行政程序法第</w:t>
      </w:r>
      <w:r>
        <w:rPr>
          <w:rFonts w:hint="eastAsia"/>
        </w:rPr>
        <w:t>174</w:t>
      </w:r>
      <w:r>
        <w:rPr>
          <w:rFonts w:hint="eastAsia"/>
        </w:rPr>
        <w:t>條基於訴訟經濟的考量，對於行政程序中的程序行為不服者，原則上僅容許針對最終實體決定聲明不服時一併聲明之。例外於該程序決定或處置得強制執行時，或者在一些會造成過遲救濟疑慮的案件中，得獨立以之作為程序標的進行爭訟救濟。依前文所述，陞遷程序並非絕對排除適用行政程序法規定之適用，因此在程序法中的各種程序請求權，理論上也應該承認之。所以針對陞遷程序中的不利益決定（例如</w:t>
      </w:r>
      <w:r>
        <w:rPr>
          <w:rFonts w:hint="eastAsia"/>
        </w:rPr>
        <w:t>拒絕程序上的請求</w:t>
      </w:r>
      <w:r>
        <w:rPr>
          <w:rFonts w:ascii="新細明體" w:hAnsi="新細明體" w:hint="eastAsia"/>
        </w:rPr>
        <w:t>、</w:t>
      </w:r>
      <w:r>
        <w:rPr>
          <w:rFonts w:hint="eastAsia"/>
        </w:rPr>
        <w:t>內陞外補之決定等等），應該也可以在此前提下，考量獨立給予救濟機會，避免執行結果無法回復或者最終給予救濟已過遲或已無實益的窘態發生。在目前保障法的救濟類型下，針對這些程序決定實務上多承認得透過申訴程序而救濟。如果能再輔以暫時性權利保護制度，將更能保障公務人員的權益。</w:t>
      </w:r>
    </w:p>
    <w:p w:rsidR="00000000" w:rsidRDefault="00CB5663">
      <w:pPr>
        <w:pStyle w:val="22"/>
        <w:spacing w:line="480" w:lineRule="auto"/>
        <w:rPr>
          <w:rFonts w:hint="eastAsia"/>
        </w:rPr>
      </w:pPr>
      <w:r>
        <w:rPr>
          <w:rFonts w:hint="eastAsia"/>
        </w:rPr>
        <w:t>由法務部目前的函示</w:t>
      </w:r>
      <w:r>
        <w:rPr>
          <w:rStyle w:val="ae"/>
        </w:rPr>
        <w:footnoteReference w:id="1"/>
      </w:r>
      <w:r>
        <w:rPr>
          <w:rFonts w:hint="eastAsia"/>
        </w:rPr>
        <w:t>可知，行政院與考試院會銜發布之「</w:t>
      </w:r>
      <w:r>
        <w:t>行政資訊公開辦法則係</w:t>
      </w:r>
      <w:r>
        <w:rPr>
          <w:rFonts w:hint="eastAsia"/>
        </w:rPr>
        <w:t>為了</w:t>
      </w:r>
      <w:r>
        <w:t>滿足人民知的權利及促進行政程序之公開化與透明化，其公開之對象為一般人民，當然亦包括</w:t>
      </w:r>
      <w:r>
        <w:rPr>
          <w:rFonts w:hint="eastAsia"/>
          <w:b/>
        </w:rPr>
        <w:t>『</w:t>
      </w:r>
      <w:r>
        <w:rPr>
          <w:b/>
        </w:rPr>
        <w:t>已終結</w:t>
      </w:r>
      <w:r>
        <w:rPr>
          <w:rFonts w:hint="eastAsia"/>
          <w:b/>
        </w:rPr>
        <w:t>』</w:t>
      </w:r>
      <w:r>
        <w:rPr>
          <w:b/>
        </w:rPr>
        <w:t>之個別行政程序之當事人或利害關係人</w:t>
      </w:r>
      <w:r>
        <w:t>，依該辦法規定申請行政機關</w:t>
      </w:r>
      <w:r>
        <w:t>提供行政資訊之權利，屬實體權利。</w:t>
      </w:r>
      <w:r>
        <w:rPr>
          <w:b/>
        </w:rPr>
        <w:t>行政機關拒絕提供者，應屬行政處分之性質</w:t>
      </w:r>
      <w:r>
        <w:t>，申請人如有不服，得依法提起訴願</w:t>
      </w:r>
      <w:r>
        <w:rPr>
          <w:rFonts w:hint="eastAsia"/>
        </w:rPr>
        <w:t>。」法務部的看法似乎有意要區分程序中與程序後的程序請求。若屬於已終結（例如已經辦理陞遷程序完畢）之程序當事人或利害關係人，得獨立針對請求遭拒絕的決定（即為行政處分），單獨提起訴願甚至行政訴訟。但是程序中資訊公開的請求遭拒絕，則</w:t>
      </w:r>
      <w:r>
        <w:rPr>
          <w:rFonts w:hint="eastAsia"/>
        </w:rPr>
        <w:lastRenderedPageBreak/>
        <w:t>似乎採不同的處理。不過應該還是不許提起訴願（或者復審）。</w:t>
      </w:r>
    </w:p>
    <w:p w:rsidR="00CB5663" w:rsidRDefault="00CB5663">
      <w:pPr>
        <w:pStyle w:val="22"/>
        <w:spacing w:line="480" w:lineRule="auto"/>
        <w:rPr>
          <w:rFonts w:hint="eastAsia"/>
        </w:rPr>
      </w:pPr>
      <w:r>
        <w:rPr>
          <w:rFonts w:hint="eastAsia"/>
        </w:rPr>
        <w:t>雖然在陞遷程序中的程序決定未必均屬資訊請求之准駁，但是也不排除其可能性。實務上這種不同的救濟處理方式，難免滋生疑義。其重點應該</w:t>
      </w:r>
      <w:r>
        <w:rPr>
          <w:rFonts w:hint="eastAsia"/>
        </w:rPr>
        <w:t>在於行政程序法第</w:t>
      </w:r>
      <w:r>
        <w:rPr>
          <w:rFonts w:hint="eastAsia"/>
        </w:rPr>
        <w:t>174</w:t>
      </w:r>
      <w:r>
        <w:rPr>
          <w:rFonts w:hint="eastAsia"/>
        </w:rPr>
        <w:t>條但書之解釋適用範圍。本文認為資訊公開辦法係但書所稱「其他法規令有規定者」。所以不應該限縮該辦法僅適用於程序終結後之請求。即使在辦理陞遷程序中，當事人或利害關係人請求資訊公開（包括個人陞遷相關資訊</w:t>
      </w:r>
      <w:r>
        <w:rPr>
          <w:rStyle w:val="ae"/>
        </w:rPr>
        <w:footnoteReference w:id="2"/>
      </w:r>
      <w:r>
        <w:rPr>
          <w:rFonts w:hint="eastAsia"/>
        </w:rPr>
        <w:t>），除非法規另有禁止事項，否則主管機關即應提供，行政機關之拒絕可能即屬行政處分，應該容許公務人員提起復審救濟。</w:t>
      </w:r>
    </w:p>
    <w:sectPr w:rsidR="00CB5663">
      <w:footerReference w:type="even" r:id="rId7"/>
      <w:footerReference w:type="default" r:id="rId8"/>
      <w:pgSz w:w="11906" w:h="16838"/>
      <w:pgMar w:top="1418" w:right="1758" w:bottom="1418" w:left="175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663" w:rsidRDefault="00CB5663">
      <w:r>
        <w:separator/>
      </w:r>
    </w:p>
  </w:endnote>
  <w:endnote w:type="continuationSeparator" w:id="0">
    <w:p w:rsidR="00CB5663" w:rsidRDefault="00CB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B56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0000" w:rsidRDefault="00CB566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B56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24F8A">
      <w:rPr>
        <w:rStyle w:val="a7"/>
        <w:noProof/>
      </w:rPr>
      <w:t>2</w:t>
    </w:r>
    <w:r>
      <w:rPr>
        <w:rStyle w:val="a7"/>
      </w:rPr>
      <w:fldChar w:fldCharType="end"/>
    </w:r>
  </w:p>
  <w:p w:rsidR="00000000" w:rsidRDefault="00CB56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663" w:rsidRDefault="00CB5663">
      <w:pPr>
        <w:snapToGrid w:val="0"/>
        <w:spacing w:beforeLines="50" w:before="120" w:afterLines="50" w:after="120" w:line="360" w:lineRule="auto"/>
      </w:pPr>
      <w:r>
        <w:separator/>
      </w:r>
    </w:p>
  </w:footnote>
  <w:footnote w:type="continuationSeparator" w:id="0">
    <w:p w:rsidR="00CB5663" w:rsidRDefault="00CB5663">
      <w:pPr>
        <w:snapToGrid w:val="0"/>
        <w:spacing w:beforeLines="50" w:before="120" w:afterLines="50" w:after="120" w:line="360" w:lineRule="auto"/>
      </w:pPr>
      <w:r>
        <w:continuationSeparator/>
      </w:r>
    </w:p>
  </w:footnote>
  <w:footnote w:id="1">
    <w:p w:rsidR="00000000" w:rsidRDefault="00CB5663">
      <w:pPr>
        <w:pStyle w:val="ad"/>
        <w:spacing w:line="360" w:lineRule="auto"/>
        <w:jc w:val="both"/>
      </w:pPr>
      <w:r>
        <w:rPr>
          <w:rStyle w:val="ae"/>
        </w:rPr>
        <w:footnoteRef/>
      </w:r>
      <w:r>
        <w:t xml:space="preserve"> </w:t>
      </w:r>
      <w:r>
        <w:rPr>
          <w:rFonts w:hAnsi="新細明體"/>
        </w:rPr>
        <w:t>參考，法務部，法律決字第</w:t>
      </w:r>
      <w:r>
        <w:t>0930020786</w:t>
      </w:r>
      <w:r>
        <w:rPr>
          <w:rFonts w:hAnsi="新細明體"/>
        </w:rPr>
        <w:t>號函（</w:t>
      </w:r>
      <w:r>
        <w:t>93.5.14</w:t>
      </w:r>
      <w:r>
        <w:rPr>
          <w:rFonts w:hAnsi="新細明體"/>
        </w:rPr>
        <w:t>）。</w:t>
      </w:r>
    </w:p>
  </w:footnote>
  <w:footnote w:id="2">
    <w:p w:rsidR="00000000" w:rsidRDefault="00CB5663">
      <w:pPr>
        <w:pStyle w:val="ad"/>
        <w:spacing w:line="360" w:lineRule="auto"/>
        <w:jc w:val="both"/>
      </w:pPr>
      <w:r>
        <w:rPr>
          <w:rStyle w:val="ae"/>
        </w:rPr>
        <w:footnoteRef/>
      </w:r>
      <w:r>
        <w:t xml:space="preserve"> </w:t>
      </w:r>
      <w:r>
        <w:rPr>
          <w:rFonts w:hAnsi="新細明體"/>
        </w:rPr>
        <w:t>大法官釋字第</w:t>
      </w:r>
      <w:r>
        <w:t>603</w:t>
      </w:r>
      <w:r>
        <w:rPr>
          <w:rFonts w:hAnsi="新細明體"/>
        </w:rPr>
        <w:t>號解釋：「維護人性尊嚴與尊重人格自由發展，乃自由民主憲政秩序之核心價值。隱私權雖非憲</w:t>
      </w:r>
      <w:r>
        <w:rPr>
          <w:rFonts w:hAnsi="新細明體"/>
        </w:rPr>
        <w:t>法明文列舉之權利，惟基於人性尊嚴與個人主體性之維護及人格發展之完整，並為保障個人生活私密領域免於他人侵擾及</w:t>
      </w:r>
      <w:r>
        <w:rPr>
          <w:rFonts w:hAnsi="新細明體"/>
          <w:b/>
          <w:u w:val="single"/>
        </w:rPr>
        <w:t>個人資料之自主控制</w:t>
      </w:r>
      <w:r>
        <w:rPr>
          <w:rFonts w:hAnsi="新細明體"/>
        </w:rPr>
        <w:t>，隱私權乃為不可或缺之基本權利，而受憲法第二十二條所保障。」此於德國法上，在陞遷程序中除非有其他法定應予權衡事由，否則原則上應對其他所有陞遷競爭者公開陞遷申請人之個人與資績資料。</w:t>
      </w:r>
      <w:r>
        <w:t xml:space="preserve">Vgl. </w:t>
      </w:r>
      <w:r>
        <w:rPr>
          <w:kern w:val="0"/>
        </w:rPr>
        <w:t>Wolfgang Zimmerling, Konkurrenz zwischen Angestellten und Beamten im Beförderungsgeschehen, http://w</w:t>
      </w:r>
      <w:r>
        <w:rPr>
          <w:kern w:val="0"/>
        </w:rPr>
        <w:t>ww.zimmerling.de/veroeffentlichungen/volltext/befoerderungskonkurrenz.htm.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9D005D0"/>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6D1E8D7E"/>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0A98C88E"/>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9E081258"/>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D1C8627E"/>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307E973E"/>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AF6AE13A"/>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C6565198"/>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3961E52"/>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7C6EFFE6"/>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7F1579"/>
    <w:multiLevelType w:val="hybridMultilevel"/>
    <w:tmpl w:val="FF72784A"/>
    <w:lvl w:ilvl="0" w:tplc="784C5B5A">
      <w:start w:val="13"/>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42F1E3A"/>
    <w:multiLevelType w:val="hybridMultilevel"/>
    <w:tmpl w:val="956CD016"/>
    <w:lvl w:ilvl="0" w:tplc="6A6E9994">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08F006FE"/>
    <w:multiLevelType w:val="hybridMultilevel"/>
    <w:tmpl w:val="ECC4D3AE"/>
    <w:lvl w:ilvl="0" w:tplc="254E763A">
      <w:start w:val="26"/>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C0B4117"/>
    <w:multiLevelType w:val="hybridMultilevel"/>
    <w:tmpl w:val="A2644FFA"/>
    <w:lvl w:ilvl="0" w:tplc="FD56535E">
      <w:start w:val="1"/>
      <w:numFmt w:val="taiwaneseCountingThousand"/>
      <w:lvlText w:val="（%1）"/>
      <w:lvlJc w:val="left"/>
      <w:pPr>
        <w:tabs>
          <w:tab w:val="num" w:pos="1080"/>
        </w:tabs>
        <w:ind w:left="1080" w:hanging="1080"/>
      </w:pPr>
      <w:rPr>
        <w:rFonts w:hAnsi="Times New Roman"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65620A5"/>
    <w:multiLevelType w:val="hybridMultilevel"/>
    <w:tmpl w:val="A14415D8"/>
    <w:lvl w:ilvl="0" w:tplc="F4B66D18">
      <w:start w:val="24"/>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868035B"/>
    <w:multiLevelType w:val="hybridMultilevel"/>
    <w:tmpl w:val="CE7AA770"/>
    <w:lvl w:ilvl="0" w:tplc="7E4A469A">
      <w:start w:val="26"/>
      <w:numFmt w:val="decimal"/>
      <w:lvlText w:val="%1."/>
      <w:lvlJc w:val="left"/>
      <w:pPr>
        <w:tabs>
          <w:tab w:val="num" w:pos="360"/>
        </w:tabs>
        <w:ind w:left="360" w:hanging="360"/>
      </w:pPr>
      <w:rPr>
        <w:rFonts w:eastAsia="新細明體" w:hint="eastAsia"/>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96F5E1C"/>
    <w:multiLevelType w:val="hybridMultilevel"/>
    <w:tmpl w:val="B524AE04"/>
    <w:lvl w:ilvl="0" w:tplc="FFFFFFFF">
      <w:start w:val="1"/>
      <w:numFmt w:val="taiwaneseCountingThousand"/>
      <w:lvlText w:val="%1、"/>
      <w:lvlJc w:val="left"/>
      <w:pPr>
        <w:tabs>
          <w:tab w:val="num" w:pos="720"/>
        </w:tabs>
        <w:ind w:left="720" w:hanging="720"/>
      </w:pPr>
      <w:rPr>
        <w:rFonts w:hint="eastAsia"/>
        <w:b w:val="0"/>
        <w:u w:val="none"/>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7" w15:restartNumberingAfterBreak="0">
    <w:nsid w:val="19C83BB9"/>
    <w:multiLevelType w:val="hybridMultilevel"/>
    <w:tmpl w:val="A6F0E03E"/>
    <w:lvl w:ilvl="0" w:tplc="18EA468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BEF43D9"/>
    <w:multiLevelType w:val="hybridMultilevel"/>
    <w:tmpl w:val="748828EC"/>
    <w:lvl w:ilvl="0" w:tplc="910C1978">
      <w:start w:val="1"/>
      <w:numFmt w:val="decimal"/>
      <w:lvlText w:val="%1."/>
      <w:lvlJc w:val="left"/>
      <w:pPr>
        <w:tabs>
          <w:tab w:val="num" w:pos="1140"/>
        </w:tabs>
        <w:ind w:left="1140" w:hanging="66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20D70612"/>
    <w:multiLevelType w:val="hybridMultilevel"/>
    <w:tmpl w:val="2E8C00EE"/>
    <w:lvl w:ilvl="0" w:tplc="80CA28D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DC1712A"/>
    <w:multiLevelType w:val="hybridMultilevel"/>
    <w:tmpl w:val="A690598E"/>
    <w:lvl w:ilvl="0" w:tplc="37BEE66E">
      <w:start w:val="1"/>
      <w:numFmt w:val="lowerLetter"/>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4A31304"/>
    <w:multiLevelType w:val="hybridMultilevel"/>
    <w:tmpl w:val="E8162A92"/>
    <w:lvl w:ilvl="0" w:tplc="4770E99E">
      <w:start w:val="3"/>
      <w:numFmt w:val="decimal"/>
      <w:lvlText w:val="%1."/>
      <w:lvlJc w:val="left"/>
      <w:pPr>
        <w:tabs>
          <w:tab w:val="num" w:pos="420"/>
        </w:tabs>
        <w:ind w:left="420" w:hanging="4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4FA2955"/>
    <w:multiLevelType w:val="hybridMultilevel"/>
    <w:tmpl w:val="F53A38A4"/>
    <w:lvl w:ilvl="0" w:tplc="63284FFC">
      <w:start w:val="4"/>
      <w:numFmt w:val="decimal"/>
      <w:lvlText w:val="%1."/>
      <w:lvlJc w:val="left"/>
      <w:pPr>
        <w:tabs>
          <w:tab w:val="num" w:pos="420"/>
        </w:tabs>
        <w:ind w:left="420" w:hanging="4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6A04CBD"/>
    <w:multiLevelType w:val="hybridMultilevel"/>
    <w:tmpl w:val="47283BE8"/>
    <w:lvl w:ilvl="0" w:tplc="6A6E9994">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7A42773"/>
    <w:multiLevelType w:val="hybridMultilevel"/>
    <w:tmpl w:val="C8446CE4"/>
    <w:lvl w:ilvl="0" w:tplc="4C641A72">
      <w:start w:val="24"/>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AB00B77"/>
    <w:multiLevelType w:val="hybridMultilevel"/>
    <w:tmpl w:val="CF2A3916"/>
    <w:lvl w:ilvl="0" w:tplc="1922738A">
      <w:start w:val="6"/>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B5B3826"/>
    <w:multiLevelType w:val="hybridMultilevel"/>
    <w:tmpl w:val="B1CA2E62"/>
    <w:lvl w:ilvl="0" w:tplc="6A6E9994">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4987200"/>
    <w:multiLevelType w:val="multilevel"/>
    <w:tmpl w:val="853CB26E"/>
    <w:lvl w:ilvl="0">
      <w:start w:val="1"/>
      <w:numFmt w:val="taiwaneseCountingThousand"/>
      <w:suff w:val="nothing"/>
      <w:lvlText w:val="%1、"/>
      <w:lvlJc w:val="left"/>
      <w:pPr>
        <w:ind w:left="833" w:hanging="555"/>
      </w:pPr>
    </w:lvl>
    <w:lvl w:ilvl="1">
      <w:start w:val="1"/>
      <w:numFmt w:val="taiwaneseCountingThousand"/>
      <w:suff w:val="nothing"/>
      <w:lvlText w:val="（%2）"/>
      <w:lvlJc w:val="left"/>
      <w:pPr>
        <w:ind w:left="1389" w:hanging="833"/>
      </w:pPr>
    </w:lvl>
    <w:lvl w:ilvl="2">
      <w:start w:val="1"/>
      <w:numFmt w:val="decimalFullWidth"/>
      <w:suff w:val="nothing"/>
      <w:lvlText w:val="%3、"/>
      <w:lvlJc w:val="left"/>
      <w:pPr>
        <w:ind w:left="1667" w:hanging="556"/>
      </w:pPr>
    </w:lvl>
    <w:lvl w:ilvl="3">
      <w:start w:val="1"/>
      <w:numFmt w:val="decimalFullWidth"/>
      <w:suff w:val="nothing"/>
      <w:lvlText w:val="（%4）"/>
      <w:lvlJc w:val="left"/>
      <w:pPr>
        <w:ind w:left="2222" w:hanging="833"/>
      </w:pPr>
    </w:lvl>
    <w:lvl w:ilvl="4">
      <w:start w:val="1"/>
      <w:numFmt w:val="ideographTraditional"/>
      <w:suff w:val="nothing"/>
      <w:lvlText w:val="%5、"/>
      <w:lvlJc w:val="left"/>
      <w:pPr>
        <w:ind w:left="2500" w:hanging="555"/>
      </w:pPr>
    </w:lvl>
    <w:lvl w:ilvl="5">
      <w:start w:val="1"/>
      <w:numFmt w:val="ideographTraditional"/>
      <w:suff w:val="nothing"/>
      <w:lvlText w:val="（%6）"/>
      <w:lvlJc w:val="left"/>
      <w:pPr>
        <w:ind w:left="3056" w:hanging="834"/>
      </w:pPr>
    </w:lvl>
    <w:lvl w:ilvl="6">
      <w:start w:val="1"/>
      <w:numFmt w:val="ideographZodiac"/>
      <w:suff w:val="nothing"/>
      <w:lvlText w:val="%7、"/>
      <w:lvlJc w:val="left"/>
      <w:pPr>
        <w:ind w:left="3334" w:hanging="556"/>
      </w:pPr>
    </w:lvl>
    <w:lvl w:ilvl="7">
      <w:start w:val="1"/>
      <w:numFmt w:val="ideographZodiac"/>
      <w:suff w:val="nothing"/>
      <w:lvlText w:val="（%8）"/>
      <w:lvlJc w:val="left"/>
      <w:pPr>
        <w:ind w:left="3889" w:hanging="833"/>
      </w:pPr>
    </w:lvl>
    <w:lvl w:ilvl="8">
      <w:start w:val="1"/>
      <w:numFmt w:val="decimalFullWidth"/>
      <w:suff w:val="nothing"/>
      <w:lvlText w:val="%9）"/>
      <w:lvlJc w:val="left"/>
      <w:pPr>
        <w:ind w:left="4167" w:hanging="556"/>
      </w:pPr>
    </w:lvl>
  </w:abstractNum>
  <w:abstractNum w:abstractNumId="28" w15:restartNumberingAfterBreak="0">
    <w:nsid w:val="64F1494D"/>
    <w:multiLevelType w:val="hybridMultilevel"/>
    <w:tmpl w:val="9DE6FE48"/>
    <w:lvl w:ilvl="0" w:tplc="A822CA98">
      <w:start w:val="1"/>
      <w:numFmt w:val="taiwaneseCountingThousand"/>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67F6BB2"/>
    <w:multiLevelType w:val="hybridMultilevel"/>
    <w:tmpl w:val="AE98ACD8"/>
    <w:lvl w:ilvl="0" w:tplc="275E8CCA">
      <w:start w:val="1"/>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B39317C"/>
    <w:multiLevelType w:val="multilevel"/>
    <w:tmpl w:val="72F22308"/>
    <w:lvl w:ilvl="0">
      <w:start w:val="1"/>
      <w:numFmt w:val="decimal"/>
      <w:lvlText w:val="%1."/>
      <w:lvlJc w:val="left"/>
      <w:pPr>
        <w:tabs>
          <w:tab w:val="num" w:pos="840"/>
        </w:tabs>
        <w:ind w:left="840" w:hanging="360"/>
      </w:pPr>
      <w:rPr>
        <w:rFonts w:hint="eastAsia"/>
      </w:rPr>
    </w:lvl>
    <w:lvl w:ilvl="1">
      <w:start w:val="1"/>
      <w:numFmt w:val="decimal"/>
      <w:isLgl/>
      <w:lvlText w:val="%1.%2."/>
      <w:lvlJc w:val="left"/>
      <w:pPr>
        <w:tabs>
          <w:tab w:val="num" w:pos="1260"/>
        </w:tabs>
        <w:ind w:left="1260" w:hanging="720"/>
      </w:pPr>
      <w:rPr>
        <w:rFonts w:hint="eastAsia"/>
        <w:sz w:val="26"/>
        <w:szCs w:val="26"/>
      </w:rPr>
    </w:lvl>
    <w:lvl w:ilvl="2">
      <w:start w:val="1"/>
      <w:numFmt w:val="decimal"/>
      <w:isLgl/>
      <w:lvlText w:val="%1.%2.%3."/>
      <w:lvlJc w:val="left"/>
      <w:pPr>
        <w:tabs>
          <w:tab w:val="num" w:pos="1204"/>
        </w:tabs>
        <w:ind w:left="1204" w:hanging="720"/>
      </w:pPr>
      <w:rPr>
        <w:rFonts w:hint="eastAsia"/>
      </w:rPr>
    </w:lvl>
    <w:lvl w:ilvl="3">
      <w:start w:val="1"/>
      <w:numFmt w:val="decimal"/>
      <w:isLgl/>
      <w:lvlText w:val="%1.%2.%3.%4."/>
      <w:lvlJc w:val="left"/>
      <w:pPr>
        <w:tabs>
          <w:tab w:val="num" w:pos="1566"/>
        </w:tabs>
        <w:ind w:left="1566" w:hanging="1080"/>
      </w:pPr>
      <w:rPr>
        <w:rFonts w:hint="eastAsia"/>
      </w:rPr>
    </w:lvl>
    <w:lvl w:ilvl="4">
      <w:start w:val="1"/>
      <w:numFmt w:val="decimal"/>
      <w:isLgl/>
      <w:lvlText w:val="%1.%2.%3.%4.%5."/>
      <w:lvlJc w:val="left"/>
      <w:pPr>
        <w:tabs>
          <w:tab w:val="num" w:pos="1928"/>
        </w:tabs>
        <w:ind w:left="1928" w:hanging="1440"/>
      </w:pPr>
      <w:rPr>
        <w:rFonts w:hint="eastAsia"/>
      </w:rPr>
    </w:lvl>
    <w:lvl w:ilvl="5">
      <w:start w:val="1"/>
      <w:numFmt w:val="decimal"/>
      <w:isLgl/>
      <w:lvlText w:val="%1.%2.%3.%4.%5.%6."/>
      <w:lvlJc w:val="left"/>
      <w:pPr>
        <w:tabs>
          <w:tab w:val="num" w:pos="1930"/>
        </w:tabs>
        <w:ind w:left="1930" w:hanging="1440"/>
      </w:pPr>
      <w:rPr>
        <w:rFonts w:hint="eastAsia"/>
      </w:rPr>
    </w:lvl>
    <w:lvl w:ilvl="6">
      <w:start w:val="1"/>
      <w:numFmt w:val="decimal"/>
      <w:isLgl/>
      <w:lvlText w:val="%1.%2.%3.%4.%5.%6.%7."/>
      <w:lvlJc w:val="left"/>
      <w:pPr>
        <w:tabs>
          <w:tab w:val="num" w:pos="2292"/>
        </w:tabs>
        <w:ind w:left="2292" w:hanging="1800"/>
      </w:pPr>
      <w:rPr>
        <w:rFonts w:hint="eastAsia"/>
      </w:rPr>
    </w:lvl>
    <w:lvl w:ilvl="7">
      <w:start w:val="1"/>
      <w:numFmt w:val="decimal"/>
      <w:isLgl/>
      <w:lvlText w:val="%1.%2.%3.%4.%5.%6.%7.%8."/>
      <w:lvlJc w:val="left"/>
      <w:pPr>
        <w:tabs>
          <w:tab w:val="num" w:pos="2654"/>
        </w:tabs>
        <w:ind w:left="2654" w:hanging="2160"/>
      </w:pPr>
      <w:rPr>
        <w:rFonts w:hint="eastAsia"/>
      </w:rPr>
    </w:lvl>
    <w:lvl w:ilvl="8">
      <w:start w:val="1"/>
      <w:numFmt w:val="decimal"/>
      <w:isLgl/>
      <w:lvlText w:val="%1.%2.%3.%4.%5.%6.%7.%8.%9."/>
      <w:lvlJc w:val="left"/>
      <w:pPr>
        <w:tabs>
          <w:tab w:val="num" w:pos="2656"/>
        </w:tabs>
        <w:ind w:left="2656" w:hanging="2160"/>
      </w:pPr>
      <w:rPr>
        <w:rFonts w:hint="eastAsia"/>
      </w:rPr>
    </w:lvl>
  </w:abstractNum>
  <w:abstractNum w:abstractNumId="31" w15:restartNumberingAfterBreak="0">
    <w:nsid w:val="6E812CB2"/>
    <w:multiLevelType w:val="hybridMultilevel"/>
    <w:tmpl w:val="8DA80082"/>
    <w:lvl w:ilvl="0" w:tplc="4E0C8E3E">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77652B20"/>
    <w:multiLevelType w:val="hybridMultilevel"/>
    <w:tmpl w:val="A4C2511A"/>
    <w:lvl w:ilvl="0" w:tplc="A6907088">
      <w:start w:val="1"/>
      <w:numFmt w:val="taiwaneseCountingThousand"/>
      <w:lvlText w:val="%1、"/>
      <w:lvlJc w:val="left"/>
      <w:pPr>
        <w:tabs>
          <w:tab w:val="num" w:pos="1587"/>
        </w:tabs>
        <w:ind w:left="1587" w:hanging="1035"/>
      </w:pPr>
    </w:lvl>
    <w:lvl w:ilvl="1" w:tplc="DBAA83BE">
      <w:start w:val="1"/>
      <w:numFmt w:val="taiwaneseCountingThousand"/>
      <w:lvlText w:val="（%2）"/>
      <w:lvlJc w:val="left"/>
      <w:pPr>
        <w:tabs>
          <w:tab w:val="num" w:pos="2307"/>
        </w:tabs>
        <w:ind w:left="2307" w:hanging="1275"/>
      </w:pPr>
    </w:lvl>
    <w:lvl w:ilvl="2" w:tplc="0409001B">
      <w:start w:val="1"/>
      <w:numFmt w:val="lowerRoman"/>
      <w:lvlText w:val="%3."/>
      <w:lvlJc w:val="right"/>
      <w:pPr>
        <w:tabs>
          <w:tab w:val="num" w:pos="1992"/>
        </w:tabs>
        <w:ind w:left="1992" w:hanging="4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CBF6C43"/>
    <w:multiLevelType w:val="hybridMultilevel"/>
    <w:tmpl w:val="17F8F73A"/>
    <w:lvl w:ilvl="0" w:tplc="BD8C3338">
      <w:start w:val="19"/>
      <w:numFmt w:val="decimal"/>
      <w:lvlText w:val="%1."/>
      <w:lvlJc w:val="left"/>
      <w:pPr>
        <w:tabs>
          <w:tab w:val="num" w:pos="540"/>
        </w:tabs>
        <w:ind w:left="54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7"/>
  </w:num>
  <w:num w:numId="15">
    <w:abstractNumId w:val="11"/>
  </w:num>
  <w:num w:numId="16">
    <w:abstractNumId w:val="23"/>
  </w:num>
  <w:num w:numId="17">
    <w:abstractNumId w:val="26"/>
  </w:num>
  <w:num w:numId="18">
    <w:abstractNumId w:val="17"/>
  </w:num>
  <w:num w:numId="19">
    <w:abstractNumId w:val="19"/>
  </w:num>
  <w:num w:numId="20">
    <w:abstractNumId w:val="20"/>
  </w:num>
  <w:num w:numId="21">
    <w:abstractNumId w:val="13"/>
  </w:num>
  <w:num w:numId="22">
    <w:abstractNumId w:val="31"/>
  </w:num>
  <w:num w:numId="23">
    <w:abstractNumId w:val="18"/>
  </w:num>
  <w:num w:numId="24">
    <w:abstractNumId w:val="22"/>
  </w:num>
  <w:num w:numId="25">
    <w:abstractNumId w:val="29"/>
  </w:num>
  <w:num w:numId="26">
    <w:abstractNumId w:val="21"/>
  </w:num>
  <w:num w:numId="27">
    <w:abstractNumId w:val="25"/>
  </w:num>
  <w:num w:numId="28">
    <w:abstractNumId w:val="24"/>
  </w:num>
  <w:num w:numId="29">
    <w:abstractNumId w:val="12"/>
  </w:num>
  <w:num w:numId="30">
    <w:abstractNumId w:val="33"/>
  </w:num>
  <w:num w:numId="31">
    <w:abstractNumId w:val="15"/>
  </w:num>
  <w:num w:numId="32">
    <w:abstractNumId w:val="10"/>
  </w:num>
  <w:num w:numId="33">
    <w:abstractNumId w:val="1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8A"/>
    <w:rsid w:val="00CB5663"/>
    <w:rsid w:val="00D24F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D81061-FB8C-4431-87A5-A1909B63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adjustRightInd w:val="0"/>
      <w:snapToGrid w:val="0"/>
      <w:spacing w:beforeLines="50" w:before="50" w:afterLines="50" w:after="50" w:line="360" w:lineRule="auto"/>
      <w:jc w:val="both"/>
      <w:outlineLvl w:val="0"/>
    </w:pPr>
    <w:rPr>
      <w:rFonts w:eastAsia="標楷體"/>
      <w:b/>
      <w:snapToGrid w:val="0"/>
      <w:kern w:val="0"/>
      <w:sz w:val="32"/>
      <w:szCs w:val="32"/>
    </w:rPr>
  </w:style>
  <w:style w:type="paragraph" w:styleId="2">
    <w:name w:val="heading 2"/>
    <w:basedOn w:val="a"/>
    <w:next w:val="a"/>
    <w:autoRedefine/>
    <w:qFormat/>
    <w:pPr>
      <w:keepNext/>
      <w:adjustRightInd w:val="0"/>
      <w:snapToGrid w:val="0"/>
      <w:spacing w:beforeLines="50" w:before="180" w:afterLines="50" w:after="180" w:line="360" w:lineRule="auto"/>
      <w:jc w:val="both"/>
      <w:outlineLvl w:val="1"/>
    </w:pPr>
    <w:rPr>
      <w:rFonts w:eastAsia="標楷體"/>
      <w:b/>
      <w:snapToGrid w:val="0"/>
      <w:kern w:val="0"/>
      <w:sz w:val="28"/>
      <w:szCs w:val="28"/>
    </w:rPr>
  </w:style>
  <w:style w:type="paragraph" w:styleId="3">
    <w:name w:val="heading 3"/>
    <w:basedOn w:val="a"/>
    <w:next w:val="a"/>
    <w:autoRedefine/>
    <w:qFormat/>
    <w:pPr>
      <w:keepNext/>
      <w:adjustRightInd w:val="0"/>
      <w:snapToGrid w:val="0"/>
      <w:spacing w:beforeLines="50" w:before="50" w:afterLines="50" w:after="50" w:line="360" w:lineRule="auto"/>
      <w:jc w:val="both"/>
      <w:outlineLvl w:val="2"/>
    </w:pPr>
    <w:rPr>
      <w:rFonts w:ascii="Arial" w:eastAsia="標楷體" w:hAnsi="Arial"/>
      <w:bCs/>
      <w:snapToGrid w:val="0"/>
      <w:kern w:val="0"/>
      <w:sz w:val="26"/>
      <w:szCs w:val="26"/>
    </w:rPr>
  </w:style>
  <w:style w:type="paragraph" w:styleId="4">
    <w:name w:val="heading 4"/>
    <w:basedOn w:val="a"/>
    <w:next w:val="a"/>
    <w:autoRedefine/>
    <w:qFormat/>
    <w:pPr>
      <w:keepNext/>
      <w:adjustRightInd w:val="0"/>
      <w:snapToGrid w:val="0"/>
      <w:spacing w:beforeLines="50" w:before="180" w:afterLines="50" w:after="180" w:line="360" w:lineRule="auto"/>
      <w:jc w:val="both"/>
      <w:outlineLvl w:val="3"/>
    </w:pPr>
    <w:rPr>
      <w:rFonts w:ascii="Arial" w:eastAsia="標楷體" w:hAnsi="Arial"/>
      <w:b/>
      <w:snapToGrid w:val="0"/>
      <w:kern w:val="0"/>
    </w:rPr>
  </w:style>
  <w:style w:type="paragraph" w:styleId="5">
    <w:name w:val="heading 5"/>
    <w:basedOn w:val="a"/>
    <w:next w:val="a0"/>
    <w:qFormat/>
    <w:pPr>
      <w:keepNext/>
      <w:spacing w:before="120" w:after="120"/>
      <w:ind w:left="425"/>
      <w:outlineLvl w:val="4"/>
    </w:pPr>
    <w:rPr>
      <w:rFonts w:ascii="Arial" w:eastAsia="標楷體" w:hAnsi="Arial"/>
      <w:b/>
      <w:spacing w:val="30"/>
      <w:sz w:val="28"/>
      <w:szCs w:val="20"/>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3">
    <w:name w:val="No List"/>
    <w:uiPriority w:val="99"/>
    <w:semiHidden/>
    <w:unhideWhenUsed/>
  </w:style>
  <w:style w:type="paragraph" w:styleId="a0">
    <w:name w:val="Normal Indent"/>
    <w:basedOn w:val="a"/>
    <w:semiHidden/>
    <w:pPr>
      <w:ind w:left="480"/>
    </w:pPr>
    <w:rPr>
      <w:spacing w:val="30"/>
      <w:szCs w:val="20"/>
    </w:rPr>
  </w:style>
  <w:style w:type="paragraph" w:styleId="a4">
    <w:name w:val="Block Text"/>
    <w:basedOn w:val="a"/>
    <w:semiHidden/>
    <w:pPr>
      <w:widowControl/>
      <w:ind w:left="113" w:right="113"/>
    </w:pPr>
  </w:style>
  <w:style w:type="paragraph" w:styleId="a5">
    <w:name w:val="Body Text Indent"/>
    <w:basedOn w:val="a"/>
    <w:semiHidden/>
    <w:pPr>
      <w:ind w:left="560" w:hangingChars="200" w:hanging="560"/>
    </w:pPr>
    <w:rPr>
      <w:sz w:val="28"/>
    </w:rPr>
  </w:style>
  <w:style w:type="paragraph" w:styleId="a6">
    <w:name w:val="footer"/>
    <w:basedOn w:val="a"/>
    <w:semiHidden/>
    <w:pPr>
      <w:tabs>
        <w:tab w:val="center" w:pos="4153"/>
        <w:tab w:val="right" w:pos="8306"/>
      </w:tabs>
      <w:snapToGrid w:val="0"/>
    </w:pPr>
    <w:rPr>
      <w:sz w:val="20"/>
      <w:szCs w:val="20"/>
    </w:rPr>
  </w:style>
  <w:style w:type="character" w:styleId="a7">
    <w:name w:val="page number"/>
    <w:basedOn w:val="a1"/>
    <w:semiHidden/>
  </w:style>
  <w:style w:type="paragraph" w:customStyle="1" w:styleId="30">
    <w:name w:val="內文3"/>
    <w:basedOn w:val="a"/>
    <w:pPr>
      <w:widowControl/>
      <w:tabs>
        <w:tab w:val="left" w:pos="567"/>
      </w:tabs>
      <w:spacing w:before="120" w:after="120"/>
      <w:ind w:left="1644" w:hanging="1077"/>
    </w:pPr>
    <w:rPr>
      <w:rFonts w:eastAsia="標楷體"/>
      <w:noProof/>
      <w:spacing w:val="30"/>
      <w:kern w:val="0"/>
      <w:sz w:val="22"/>
      <w:szCs w:val="20"/>
    </w:rPr>
  </w:style>
  <w:style w:type="paragraph" w:customStyle="1" w:styleId="20">
    <w:name w:val="內文2"/>
    <w:pPr>
      <w:spacing w:before="120" w:after="120"/>
    </w:pPr>
    <w:rPr>
      <w:rFonts w:eastAsia="標楷體"/>
      <w:noProof/>
      <w:spacing w:val="20"/>
    </w:rPr>
  </w:style>
  <w:style w:type="character" w:styleId="a8">
    <w:name w:val="Hyperlink"/>
    <w:basedOn w:val="a1"/>
    <w:semiHidden/>
    <w:rPr>
      <w:color w:val="0000FF"/>
      <w:u w:val="single"/>
    </w:rPr>
  </w:style>
  <w:style w:type="character" w:styleId="a9">
    <w:name w:val="Strong"/>
    <w:basedOn w:val="a1"/>
    <w:qFormat/>
    <w:rPr>
      <w:b/>
      <w:bCs/>
    </w:rPr>
  </w:style>
  <w:style w:type="paragraph" w:styleId="aa">
    <w:name w:val="Date"/>
    <w:basedOn w:val="a"/>
    <w:next w:val="a"/>
    <w:semiHidden/>
    <w:pPr>
      <w:jc w:val="right"/>
    </w:pPr>
  </w:style>
  <w:style w:type="paragraph" w:styleId="ab">
    <w:name w:val="Body Text"/>
    <w:basedOn w:val="a"/>
    <w:semiHidden/>
    <w:pPr>
      <w:adjustRightInd w:val="0"/>
      <w:snapToGrid w:val="0"/>
      <w:spacing w:beforeLines="50" w:before="50" w:after="120" w:line="360" w:lineRule="auto"/>
      <w:ind w:firstLineChars="200" w:firstLine="200"/>
      <w:jc w:val="both"/>
    </w:pPr>
    <w:rPr>
      <w:lang w:val="de-DE"/>
    </w:rPr>
  </w:style>
  <w:style w:type="character" w:customStyle="1" w:styleId="ac">
    <w:name w:val=" 字元 字元"/>
    <w:basedOn w:val="a1"/>
    <w:rPr>
      <w:rFonts w:eastAsia="新細明體"/>
      <w:kern w:val="2"/>
      <w:sz w:val="24"/>
      <w:szCs w:val="24"/>
      <w:lang w:val="de-DE" w:eastAsia="zh-TW" w:bidi="ar-SA"/>
    </w:rPr>
  </w:style>
  <w:style w:type="paragraph" w:styleId="21">
    <w:name w:val="Body Text 2"/>
    <w:basedOn w:val="a"/>
    <w:semiHidden/>
    <w:pPr>
      <w:spacing w:after="120" w:line="480" w:lineRule="auto"/>
    </w:pPr>
  </w:style>
  <w:style w:type="paragraph" w:styleId="ad">
    <w:name w:val="footnote text"/>
    <w:basedOn w:val="a"/>
    <w:semiHidden/>
    <w:pPr>
      <w:snapToGrid w:val="0"/>
    </w:pPr>
    <w:rPr>
      <w:sz w:val="20"/>
      <w:szCs w:val="20"/>
    </w:rPr>
  </w:style>
  <w:style w:type="character" w:styleId="ae">
    <w:name w:val="footnote reference"/>
    <w:basedOn w:val="a1"/>
    <w:semiHidden/>
    <w:rPr>
      <w:vertAlign w:val="superscript"/>
    </w:rPr>
  </w:style>
  <w:style w:type="paragraph" w:styleId="31">
    <w:name w:val="Body Text 3"/>
    <w:basedOn w:val="a"/>
    <w:semiHidden/>
    <w:pPr>
      <w:spacing w:after="120"/>
    </w:pPr>
    <w:rPr>
      <w:sz w:val="16"/>
      <w:szCs w:val="16"/>
    </w:rPr>
  </w:style>
  <w:style w:type="paragraph" w:styleId="af">
    <w:name w:val="Note Heading"/>
    <w:basedOn w:val="a"/>
    <w:next w:val="a"/>
    <w:semiHidden/>
    <w:pPr>
      <w:jc w:val="center"/>
    </w:pPr>
  </w:style>
  <w:style w:type="paragraph" w:styleId="af0">
    <w:name w:val="Plain Text"/>
    <w:basedOn w:val="a"/>
    <w:semiHidden/>
    <w:rPr>
      <w:rFonts w:ascii="細明體" w:eastAsia="細明體" w:hAnsi="Courier New"/>
      <w:szCs w:val="20"/>
    </w:rPr>
  </w:style>
  <w:style w:type="paragraph" w:styleId="af1">
    <w:name w:val="Closing"/>
    <w:basedOn w:val="a"/>
    <w:semiHidden/>
    <w:pPr>
      <w:ind w:leftChars="1800" w:left="100"/>
    </w:pPr>
    <w:rPr>
      <w:lang w:val="de-DE"/>
    </w:rPr>
  </w:style>
  <w:style w:type="paragraph" w:styleId="32">
    <w:name w:val="Body Text Indent 3"/>
    <w:basedOn w:val="a"/>
    <w:semiHidden/>
    <w:pPr>
      <w:spacing w:after="120"/>
      <w:ind w:leftChars="200" w:left="480"/>
    </w:pPr>
    <w:rPr>
      <w:sz w:val="16"/>
      <w:szCs w:val="16"/>
    </w:rPr>
  </w:style>
  <w:style w:type="paragraph" w:styleId="Web">
    <w:name w:val="Normal (Web)"/>
    <w:basedOn w:val="a"/>
    <w:semiHidden/>
    <w:pPr>
      <w:widowControl/>
      <w:spacing w:before="100" w:beforeAutospacing="1" w:after="100" w:afterAutospacing="1"/>
    </w:pPr>
    <w:rPr>
      <w:rFonts w:ascii="新細明體" w:hAnsi="新細明體" w:cs="新細明體"/>
      <w:kern w:val="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stext1">
    <w:name w:val="stext1"/>
    <w:basedOn w:val="a1"/>
    <w:rPr>
      <w:sz w:val="19"/>
      <w:szCs w:val="19"/>
    </w:rPr>
  </w:style>
  <w:style w:type="character" w:customStyle="1" w:styleId="stext">
    <w:name w:val="stext"/>
    <w:basedOn w:val="a1"/>
  </w:style>
  <w:style w:type="paragraph" w:customStyle="1" w:styleId="af2">
    <w:name w:val="本文 + 新細明體"/>
    <w:basedOn w:val="ab"/>
    <w:pPr>
      <w:spacing w:before="180"/>
      <w:ind w:firstLine="480"/>
    </w:pPr>
    <w:rPr>
      <w:rFonts w:ascii="新細明體" w:hAnsi="新細明體"/>
    </w:rPr>
  </w:style>
  <w:style w:type="character" w:customStyle="1" w:styleId="af3">
    <w:name w:val="本文 + 新細明體 字元"/>
    <w:basedOn w:val="ac"/>
    <w:rPr>
      <w:rFonts w:ascii="新細明體" w:eastAsia="新細明體" w:hAnsi="新細明體"/>
      <w:kern w:val="2"/>
      <w:sz w:val="24"/>
      <w:szCs w:val="24"/>
      <w:lang w:val="de-DE" w:eastAsia="zh-TW" w:bidi="ar-SA"/>
    </w:rPr>
  </w:style>
  <w:style w:type="paragraph" w:customStyle="1" w:styleId="22">
    <w:name w:val="本文 + 第一行:  2 字元"/>
    <w:aliases w:val="套用前:  0.5 列"/>
    <w:basedOn w:val="ab"/>
    <w:pPr>
      <w:spacing w:before="180"/>
      <w:ind w:firstLine="480"/>
    </w:pPr>
  </w:style>
  <w:style w:type="character" w:customStyle="1" w:styleId="text">
    <w:name w:val="text"/>
    <w:basedOn w:val="a1"/>
  </w:style>
  <w:style w:type="paragraph" w:styleId="10">
    <w:name w:val="toc 1"/>
    <w:basedOn w:val="a"/>
    <w:next w:val="a"/>
    <w:autoRedefine/>
    <w:semiHidden/>
  </w:style>
  <w:style w:type="paragraph" w:customStyle="1" w:styleId="af4">
    <w:name w:val="(一)中黑"/>
    <w:basedOn w:val="a"/>
    <w:autoRedefine/>
    <w:pPr>
      <w:snapToGrid w:val="0"/>
      <w:spacing w:line="300" w:lineRule="auto"/>
      <w:ind w:left="1800" w:hanging="1800"/>
      <w:jc w:val="both"/>
    </w:pPr>
    <w:rPr>
      <w:rFonts w:ascii="標楷體" w:eastAsia="標楷體" w:hAnsi="標楷體"/>
      <w:b/>
      <w:bCs/>
      <w:spacing w:val="4"/>
      <w:sz w:val="40"/>
      <w:szCs w:val="40"/>
    </w:rPr>
  </w:style>
  <w:style w:type="paragraph" w:customStyle="1" w:styleId="11">
    <w:name w:val="(1)"/>
    <w:basedOn w:val="a"/>
    <w:autoRedefine/>
    <w:pPr>
      <w:snapToGrid w:val="0"/>
      <w:spacing w:line="300" w:lineRule="auto"/>
      <w:ind w:left="2160" w:hanging="1194"/>
      <w:jc w:val="both"/>
    </w:pPr>
    <w:rPr>
      <w:rFonts w:ascii="標楷體" w:eastAsia="標楷體" w:hAnsi="標楷體"/>
      <w:bCs/>
      <w:sz w:val="40"/>
      <w:szCs w:val="40"/>
    </w:rPr>
  </w:style>
  <w:style w:type="paragraph" w:customStyle="1" w:styleId="12">
    <w:name w:val="1.(本文)"/>
    <w:basedOn w:val="a"/>
    <w:autoRedefine/>
    <w:pPr>
      <w:kinsoku w:val="0"/>
      <w:overflowPunct w:val="0"/>
      <w:autoSpaceDE w:val="0"/>
      <w:autoSpaceDN w:val="0"/>
      <w:adjustRightInd w:val="0"/>
      <w:snapToGrid w:val="0"/>
      <w:spacing w:line="300" w:lineRule="auto"/>
      <w:ind w:left="1680" w:hanging="1680"/>
      <w:jc w:val="both"/>
    </w:pPr>
    <w:rPr>
      <w:rFonts w:ascii="標楷體" w:eastAsia="標楷體" w:hAnsi="標楷體"/>
      <w:sz w:val="22"/>
      <w:szCs w:val="40"/>
    </w:rPr>
  </w:style>
  <w:style w:type="paragraph" w:styleId="af5">
    <w:name w:val="header"/>
    <w:basedOn w:val="a"/>
    <w:semiHidden/>
    <w:pPr>
      <w:tabs>
        <w:tab w:val="center" w:pos="4153"/>
        <w:tab w:val="right" w:pos="8306"/>
      </w:tabs>
      <w:snapToGrid w:val="0"/>
    </w:pPr>
    <w:rPr>
      <w:sz w:val="20"/>
      <w:szCs w:val="20"/>
    </w:rPr>
  </w:style>
  <w:style w:type="paragraph" w:styleId="23">
    <w:name w:val="toc 2"/>
    <w:basedOn w:val="a"/>
    <w:next w:val="a"/>
    <w:autoRedefine/>
    <w:semiHidden/>
    <w:pPr>
      <w:ind w:leftChars="200" w:left="480"/>
    </w:pPr>
  </w:style>
  <w:style w:type="paragraph" w:styleId="33">
    <w:name w:val="toc 3"/>
    <w:basedOn w:val="a"/>
    <w:next w:val="a"/>
    <w:autoRedefine/>
    <w:semiHidden/>
    <w:pPr>
      <w:ind w:leftChars="400" w:left="960"/>
    </w:pPr>
  </w:style>
  <w:style w:type="paragraph" w:styleId="40">
    <w:name w:val="toc 4"/>
    <w:basedOn w:val="a"/>
    <w:next w:val="a"/>
    <w:autoRedefine/>
    <w:semiHidden/>
    <w:pPr>
      <w:ind w:leftChars="600" w:left="1440"/>
    </w:pPr>
  </w:style>
  <w:style w:type="paragraph" w:styleId="50">
    <w:name w:val="toc 5"/>
    <w:basedOn w:val="a"/>
    <w:next w:val="a"/>
    <w:autoRedefine/>
    <w:semiHidden/>
    <w:pPr>
      <w:ind w:leftChars="800" w:left="1920"/>
    </w:pPr>
  </w:style>
  <w:style w:type="paragraph" w:styleId="6">
    <w:name w:val="toc 6"/>
    <w:basedOn w:val="a"/>
    <w:next w:val="a"/>
    <w:autoRedefine/>
    <w:semiHidden/>
    <w:pPr>
      <w:ind w:leftChars="1000" w:left="2400"/>
    </w:pPr>
  </w:style>
  <w:style w:type="paragraph" w:styleId="7">
    <w:name w:val="toc 7"/>
    <w:basedOn w:val="a"/>
    <w:next w:val="a"/>
    <w:autoRedefine/>
    <w:semiHidden/>
    <w:pPr>
      <w:ind w:leftChars="1200" w:left="2880"/>
    </w:pPr>
  </w:style>
  <w:style w:type="paragraph" w:styleId="8">
    <w:name w:val="toc 8"/>
    <w:basedOn w:val="a"/>
    <w:next w:val="a"/>
    <w:autoRedefine/>
    <w:semiHidden/>
    <w:pPr>
      <w:ind w:leftChars="1400" w:left="3360"/>
    </w:pPr>
  </w:style>
  <w:style w:type="paragraph" w:styleId="9">
    <w:name w:val="toc 9"/>
    <w:basedOn w:val="a"/>
    <w:next w:val="a"/>
    <w:autoRedefine/>
    <w:semiHidden/>
    <w:pPr>
      <w:ind w:leftChars="1600" w:left="3840"/>
    </w:pPr>
  </w:style>
  <w:style w:type="paragraph" w:styleId="af6">
    <w:name w:val="table of figures"/>
    <w:basedOn w:val="a"/>
    <w:next w:val="a"/>
    <w:semiHidden/>
    <w:pPr>
      <w:ind w:leftChars="400" w:left="960" w:hangingChars="20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795</Characters>
  <Application>Microsoft Office Word</Application>
  <DocSecurity>0</DocSecurity>
  <Lines>6</Lines>
  <Paragraphs>1</Paragraphs>
  <ScaleCrop>false</ScaleCrop>
  <Company>CCU</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一、研究人員經費</dc:title>
  <dc:subject/>
  <dc:creator>CCU</dc:creator>
  <cp:keywords/>
  <dc:description/>
  <cp:lastModifiedBy>卓卿雲</cp:lastModifiedBy>
  <cp:revision>2</cp:revision>
  <cp:lastPrinted>2004-04-08T14:27:00Z</cp:lastPrinted>
  <dcterms:created xsi:type="dcterms:W3CDTF">2021-09-22T10:39:00Z</dcterms:created>
  <dcterms:modified xsi:type="dcterms:W3CDTF">2021-09-22T10:39:00Z</dcterms:modified>
</cp:coreProperties>
</file>