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5861">
      <w:pPr>
        <w:pStyle w:val="22"/>
        <w:spacing w:line="480" w:lineRule="auto"/>
        <w:ind w:firstLine="380"/>
        <w:rPr>
          <w:rFonts w:ascii="Arial" w:hAnsi="Arial" w:cs="Arial"/>
          <w:vanish/>
          <w:kern w:val="0"/>
          <w:sz w:val="19"/>
          <w:szCs w:val="19"/>
        </w:rPr>
      </w:pPr>
      <w:bookmarkStart w:id="0" w:name="_GoBack"/>
      <w:bookmarkEnd w:id="0"/>
    </w:p>
    <w:p w:rsidR="00000000" w:rsidRDefault="002E5861">
      <w:pPr>
        <w:rPr>
          <w:rFonts w:eastAsia="標楷體"/>
          <w:sz w:val="32"/>
          <w:lang w:val="de-DE"/>
        </w:rPr>
      </w:pPr>
      <w:bookmarkStart w:id="1" w:name="_Toc121199248"/>
      <w:r>
        <w:rPr>
          <w:rFonts w:eastAsia="標楷體" w:hint="eastAsia"/>
          <w:sz w:val="32"/>
          <w:lang w:val="de-DE"/>
        </w:rPr>
        <w:t>附論（二）</w:t>
      </w:r>
      <w:bookmarkEnd w:id="1"/>
    </w:p>
    <w:p w:rsidR="00000000" w:rsidRDefault="002E5861">
      <w:pPr>
        <w:spacing w:line="480" w:lineRule="auto"/>
        <w:jc w:val="center"/>
        <w:rPr>
          <w:rFonts w:ascii="細明體" w:eastAsia="細明體" w:hAnsi="細明體" w:hint="eastAsia"/>
          <w:sz w:val="40"/>
          <w:szCs w:val="40"/>
        </w:rPr>
      </w:pPr>
      <w:r>
        <w:rPr>
          <w:rFonts w:ascii="細明體" w:eastAsia="細明體" w:hAnsi="細明體" w:hint="eastAsia"/>
          <w:sz w:val="40"/>
          <w:szCs w:val="40"/>
        </w:rPr>
        <w:t>日本行政事件訴訟法中</w:t>
      </w:r>
    </w:p>
    <w:p w:rsidR="00000000" w:rsidRDefault="002E5861">
      <w:pPr>
        <w:spacing w:line="480" w:lineRule="auto"/>
        <w:jc w:val="center"/>
        <w:rPr>
          <w:rFonts w:ascii="細明體" w:eastAsia="細明體" w:hAnsi="細明體" w:hint="eastAsia"/>
          <w:sz w:val="40"/>
          <w:szCs w:val="40"/>
        </w:rPr>
      </w:pPr>
      <w:r>
        <w:rPr>
          <w:rFonts w:ascii="細明體" w:eastAsia="細明體" w:hAnsi="細明體" w:hint="eastAsia"/>
          <w:sz w:val="40"/>
          <w:szCs w:val="40"/>
        </w:rPr>
        <w:t>有關暫時權利保護</w:t>
      </w:r>
      <w:r>
        <w:rPr>
          <w:rFonts w:ascii="細明體" w:eastAsia="細明體" w:hAnsi="細明體" w:hint="eastAsia"/>
          <w:sz w:val="40"/>
          <w:szCs w:val="40"/>
          <w:lang w:val="de-DE"/>
        </w:rPr>
        <w:t>新</w:t>
      </w:r>
      <w:r>
        <w:rPr>
          <w:rFonts w:ascii="細明體" w:eastAsia="細明體" w:hAnsi="細明體" w:hint="eastAsia"/>
          <w:sz w:val="40"/>
          <w:szCs w:val="40"/>
        </w:rPr>
        <w:t>規定之介紹</w:t>
      </w:r>
    </w:p>
    <w:p w:rsidR="00000000" w:rsidRDefault="002E5861">
      <w:pPr>
        <w:spacing w:line="480" w:lineRule="auto"/>
        <w:jc w:val="center"/>
        <w:rPr>
          <w:rFonts w:ascii="細明體" w:eastAsia="細明體" w:hAnsi="細明體" w:hint="eastAsia"/>
        </w:rPr>
      </w:pPr>
      <w:r>
        <w:rPr>
          <w:rFonts w:ascii="細明體" w:eastAsia="細明體" w:hAnsi="細明體" w:hint="eastAsia"/>
        </w:rPr>
        <w:t>（賴宇松</w:t>
      </w:r>
      <w:r>
        <w:rPr>
          <w:rFonts w:ascii="細明體" w:eastAsia="細明體" w:hAnsi="細明體" w:hint="eastAsia"/>
        </w:rPr>
        <w:t xml:space="preserve"> </w:t>
      </w:r>
      <w:r>
        <w:rPr>
          <w:rFonts w:ascii="細明體" w:eastAsia="細明體" w:hAnsi="細明體" w:hint="eastAsia"/>
        </w:rPr>
        <w:t>執筆）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0000">
        <w:tc>
          <w:tcPr>
            <w:tcW w:w="9288" w:type="dxa"/>
          </w:tcPr>
          <w:p w:rsidR="00000000" w:rsidRDefault="002E5861">
            <w:pPr>
              <w:snapToGrid w:val="0"/>
              <w:rPr>
                <w:rFonts w:hint="eastAsia"/>
              </w:rPr>
            </w:pPr>
            <w:r>
              <w:rPr>
                <w:rFonts w:hint="eastAsia"/>
              </w:rPr>
              <w:t>行政事件訴訟法</w:t>
            </w:r>
          </w:p>
          <w:p w:rsidR="00000000" w:rsidRDefault="002E5861">
            <w:pPr>
              <w:snapToGrid w:val="0"/>
              <w:rPr>
                <w:rFonts w:hint="eastAsia"/>
              </w:rPr>
            </w:pPr>
            <w:r>
              <w:rPr>
                <w:rFonts w:hint="eastAsia"/>
              </w:rPr>
              <w:t>（暫時權利保護）</w:t>
            </w:r>
          </w:p>
          <w:p w:rsidR="00000000" w:rsidRDefault="002E5861">
            <w:pPr>
              <w:snapToGrid w:val="0"/>
              <w:rPr>
                <w:rFonts w:hint="eastAsia"/>
              </w:rPr>
            </w:pPr>
            <w:r>
              <w:rPr>
                <w:rFonts w:hint="eastAsia"/>
              </w:rPr>
              <w:t>第三條第七項</w:t>
            </w:r>
            <w:r>
              <w:rPr>
                <w:rFonts w:hint="eastAsia"/>
              </w:rPr>
              <w:t xml:space="preserve"> </w:t>
            </w:r>
            <w:r>
              <w:rPr>
                <w:rFonts w:hint="eastAsia"/>
              </w:rPr>
              <w:t>第三十七條之四</w:t>
            </w:r>
          </w:p>
          <w:p w:rsidR="00000000" w:rsidRDefault="002E5861">
            <w:pPr>
              <w:snapToGrid w:val="0"/>
              <w:rPr>
                <w:rFonts w:hint="eastAsia"/>
              </w:rPr>
            </w:pPr>
            <w:r>
              <w:rPr>
                <w:rFonts w:hint="eastAsia"/>
              </w:rPr>
              <w:t>第三條</w:t>
            </w:r>
            <w:r>
              <w:rPr>
                <w:rFonts w:hint="eastAsia"/>
              </w:rPr>
              <w:t xml:space="preserve"> </w:t>
            </w:r>
          </w:p>
          <w:p w:rsidR="00000000" w:rsidRDefault="002E5861">
            <w:pPr>
              <w:snapToGrid w:val="0"/>
              <w:rPr>
                <w:rFonts w:hint="eastAsia"/>
              </w:rPr>
            </w:pPr>
            <w:r>
              <w:rPr>
                <w:rFonts w:hint="eastAsia"/>
              </w:rPr>
              <w:t xml:space="preserve">VII </w:t>
            </w:r>
            <w:r>
              <w:rPr>
                <w:rFonts w:hint="eastAsia"/>
              </w:rPr>
              <w:t>本法中之要求不作為訴訟為行政機關不應為特定之處分或裁決而為之時，要求法院向行政機關命其不得為該特定處分或裁決之訴訟。</w:t>
            </w:r>
          </w:p>
          <w:p w:rsidR="00000000" w:rsidRDefault="002E5861">
            <w:pPr>
              <w:snapToGrid w:val="0"/>
              <w:rPr>
                <w:rFonts w:hint="eastAsia"/>
              </w:rPr>
            </w:pPr>
          </w:p>
          <w:p w:rsidR="00000000" w:rsidRDefault="002E5861">
            <w:pPr>
              <w:snapToGrid w:val="0"/>
              <w:rPr>
                <w:rFonts w:hint="eastAsia"/>
              </w:rPr>
            </w:pPr>
            <w:r>
              <w:rPr>
                <w:rFonts w:hint="eastAsia"/>
              </w:rPr>
              <w:t>第三十七條之四</w:t>
            </w:r>
            <w:r>
              <w:rPr>
                <w:rFonts w:hint="eastAsia"/>
              </w:rPr>
              <w:t xml:space="preserve"> </w:t>
            </w:r>
            <w:r>
              <w:rPr>
                <w:rFonts w:hint="eastAsia"/>
              </w:rPr>
              <w:t>要求不作為訴訟之要件</w:t>
            </w:r>
          </w:p>
          <w:p w:rsidR="00000000" w:rsidRDefault="002E5861">
            <w:pPr>
              <w:snapToGrid w:val="0"/>
              <w:rPr>
                <w:rFonts w:hint="eastAsia"/>
              </w:rPr>
            </w:pPr>
            <w:r>
              <w:rPr>
                <w:rFonts w:hint="eastAsia"/>
              </w:rPr>
              <w:t>I.</w:t>
            </w:r>
            <w:r>
              <w:rPr>
                <w:rFonts w:hint="eastAsia"/>
              </w:rPr>
              <w:t>要求不作為訴訟僅限於因特定之處分或裁決將產生重大損害之虞始可提起，但為避免該損害之適當方法存在時不在此限。</w:t>
            </w:r>
          </w:p>
          <w:p w:rsidR="00000000" w:rsidRDefault="002E5861">
            <w:pPr>
              <w:snapToGrid w:val="0"/>
              <w:rPr>
                <w:rFonts w:hint="eastAsia"/>
              </w:rPr>
            </w:pPr>
            <w:r>
              <w:rPr>
                <w:rFonts w:hint="eastAsia"/>
              </w:rPr>
              <w:t>II.</w:t>
            </w:r>
            <w:r>
              <w:rPr>
                <w:rFonts w:hint="eastAsia"/>
              </w:rPr>
              <w:t>法院於判斷是否會產生前項規定之重大損害之際，應考慮損害恢復困難度、此外</w:t>
            </w:r>
            <w:r>
              <w:rPr>
                <w:rFonts w:hint="eastAsia"/>
              </w:rPr>
              <w:t>並應考量損害之性質程度及處分或裁決之內容或性質。</w:t>
            </w:r>
          </w:p>
          <w:p w:rsidR="00000000" w:rsidRDefault="002E5861">
            <w:pPr>
              <w:snapToGrid w:val="0"/>
              <w:rPr>
                <w:rFonts w:hint="eastAsia"/>
              </w:rPr>
            </w:pPr>
            <w:r>
              <w:rPr>
                <w:rFonts w:hint="eastAsia"/>
              </w:rPr>
              <w:t>III.</w:t>
            </w:r>
            <w:r>
              <w:rPr>
                <w:rFonts w:hint="eastAsia"/>
              </w:rPr>
              <w:t>要求不作為訴訟僅限於對於要求法院向行政機關命其不得為該特定處分或裁決有法律上利益者</w:t>
            </w:r>
            <w:r>
              <w:rPr>
                <w:rFonts w:hint="eastAsia"/>
              </w:rPr>
              <w:t xml:space="preserve"> </w:t>
            </w:r>
            <w:r>
              <w:rPr>
                <w:rFonts w:hint="eastAsia"/>
              </w:rPr>
              <w:t>始可為之。</w:t>
            </w:r>
          </w:p>
          <w:p w:rsidR="00000000" w:rsidRDefault="002E5861">
            <w:pPr>
              <w:snapToGrid w:val="0"/>
              <w:rPr>
                <w:rFonts w:hint="eastAsia"/>
              </w:rPr>
            </w:pPr>
            <w:r>
              <w:rPr>
                <w:rFonts w:hint="eastAsia"/>
              </w:rPr>
              <w:t>IV.</w:t>
            </w:r>
            <w:r>
              <w:rPr>
                <w:rFonts w:hint="eastAsia"/>
              </w:rPr>
              <w:t>前項規定中有關否有法律上利益者之判斷，準用第九條第二項</w:t>
            </w:r>
            <w:r>
              <w:rPr>
                <w:rStyle w:val="ae"/>
              </w:rPr>
              <w:footnoteReference w:id="1"/>
            </w:r>
            <w:r>
              <w:rPr>
                <w:rFonts w:hint="eastAsia"/>
              </w:rPr>
              <w:t>規定。</w:t>
            </w:r>
          </w:p>
          <w:p w:rsidR="00000000" w:rsidRDefault="002E5861">
            <w:pPr>
              <w:snapToGrid w:val="0"/>
              <w:rPr>
                <w:rFonts w:hint="eastAsia"/>
              </w:rPr>
            </w:pPr>
            <w:r>
              <w:rPr>
                <w:rFonts w:hint="eastAsia"/>
              </w:rPr>
              <w:t>V.</w:t>
            </w:r>
            <w:r>
              <w:rPr>
                <w:rFonts w:hint="eastAsia"/>
              </w:rPr>
              <w:t>要求不作為訴訟</w:t>
            </w:r>
            <w:r>
              <w:rPr>
                <w:rFonts w:hint="eastAsia"/>
              </w:rPr>
              <w:t xml:space="preserve"> </w:t>
            </w:r>
            <w:r>
              <w:rPr>
                <w:rFonts w:hint="eastAsia"/>
              </w:rPr>
              <w:t>若該當於第一項及第三項規定要件時，關於該要求不作為訴訟之處分或裁決若從該處分或裁決之依據法令可明確認定行政機關不應為該處分或裁決；或行政機關為該處分或裁決乃逾越其裁量權範圍或濫用裁量權時，法院可以判決命行政機關必須為該處分或裁決。</w:t>
            </w:r>
          </w:p>
        </w:tc>
      </w:tr>
    </w:tbl>
    <w:p w:rsidR="00000000" w:rsidRDefault="002E5861">
      <w:pPr>
        <w:spacing w:before="100" w:beforeAutospacing="1" w:after="100" w:afterAutospacing="1" w:line="480" w:lineRule="auto"/>
        <w:ind w:firstLineChars="225" w:firstLine="540"/>
        <w:jc w:val="both"/>
        <w:rPr>
          <w:rFonts w:hint="eastAsia"/>
          <w:lang w:val="de-DE"/>
        </w:rPr>
      </w:pPr>
      <w:r>
        <w:rPr>
          <w:rFonts w:hint="eastAsia"/>
          <w:lang w:val="de-DE"/>
        </w:rPr>
        <w:t>由於本研究案初步研究成果將置重於公</w:t>
      </w:r>
      <w:r>
        <w:rPr>
          <w:rFonts w:hint="eastAsia"/>
          <w:lang w:val="de-DE"/>
        </w:rPr>
        <w:t>務人員競爭訴訟中暫時性權利保護制度之運用，日本法上有關暫時性權利保護至度的新設計，可提供本研究重要參</w:t>
      </w:r>
      <w:r>
        <w:rPr>
          <w:rFonts w:hint="eastAsia"/>
          <w:lang w:val="de-DE"/>
        </w:rPr>
        <w:lastRenderedPageBreak/>
        <w:t>考，故介紹如下。</w:t>
      </w:r>
    </w:p>
    <w:p w:rsidR="00000000" w:rsidRDefault="002E5861">
      <w:pPr>
        <w:spacing w:before="100" w:beforeAutospacing="1" w:after="100" w:afterAutospacing="1" w:line="480" w:lineRule="auto"/>
        <w:jc w:val="both"/>
        <w:rPr>
          <w:rFonts w:hint="eastAsia"/>
          <w:b/>
          <w:sz w:val="28"/>
          <w:szCs w:val="28"/>
        </w:rPr>
      </w:pPr>
      <w:r>
        <w:rPr>
          <w:rFonts w:hint="eastAsia"/>
          <w:b/>
          <w:sz w:val="28"/>
          <w:szCs w:val="28"/>
        </w:rPr>
        <w:t>壹</w:t>
      </w:r>
      <w:r>
        <w:rPr>
          <w:rFonts w:ascii="新細明體" w:hAnsi="新細明體" w:hint="eastAsia"/>
          <w:b/>
          <w:sz w:val="28"/>
          <w:szCs w:val="28"/>
        </w:rPr>
        <w:t>、</w:t>
      </w:r>
      <w:r>
        <w:rPr>
          <w:rFonts w:hint="eastAsia"/>
          <w:b/>
          <w:sz w:val="28"/>
          <w:szCs w:val="28"/>
        </w:rPr>
        <w:t>修正行政訴訟法三條七項之解說</w:t>
      </w:r>
    </w:p>
    <w:p w:rsidR="00000000" w:rsidRDefault="002E5861">
      <w:pPr>
        <w:spacing w:before="100" w:beforeAutospacing="1" w:after="100" w:afterAutospacing="1" w:line="480" w:lineRule="auto"/>
        <w:ind w:firstLineChars="200" w:firstLine="480"/>
        <w:jc w:val="both"/>
        <w:rPr>
          <w:rFonts w:hint="eastAsia"/>
        </w:rPr>
      </w:pPr>
      <w:r>
        <w:rPr>
          <w:rFonts w:hint="eastAsia"/>
        </w:rPr>
        <w:t>首先先簡單說明要求不作為訴訟之性質之後，再區別要求不作為訴訟與其他訴訟類型並說明其關係。</w:t>
      </w:r>
    </w:p>
    <w:p w:rsidR="00000000" w:rsidRDefault="002E5861">
      <w:pPr>
        <w:numPr>
          <w:ilvl w:val="0"/>
          <w:numId w:val="19"/>
        </w:numPr>
        <w:spacing w:before="100" w:beforeAutospacing="1" w:after="100" w:afterAutospacing="1" w:line="480" w:lineRule="auto"/>
        <w:ind w:firstLineChars="200" w:firstLine="480"/>
        <w:jc w:val="both"/>
        <w:rPr>
          <w:rFonts w:hint="eastAsia"/>
        </w:rPr>
      </w:pPr>
      <w:r>
        <w:rPr>
          <w:rFonts w:hint="eastAsia"/>
        </w:rPr>
        <w:t>訴訟之性質</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修正行政訴訟法三條七項要求不作為訴訟究竟該當於給付之訴、確認之訴、形成之訴？若將要求不作為之訴認定為排除行政機關第一次判斷權或公定力之訴訟的話，將無法將其解釋成改變法律關係之形成之訴。再者從「請求法院命行政機關不得為一定之處分或裁決」之請求內容來看</w:t>
      </w:r>
      <w:r>
        <w:t>，</w:t>
      </w:r>
      <w:r>
        <w:rPr>
          <w:rFonts w:hint="eastAsia"/>
        </w:rPr>
        <w:t>修正行</w:t>
      </w:r>
      <w:r>
        <w:rPr>
          <w:rFonts w:hint="eastAsia"/>
        </w:rPr>
        <w:t>政訴訟法三條七項之訴訟應該不是確認之訴而應為給付之訴。但於日本法中關於公權力行使並未設計有強制執行之制度，修正行政訴訟法三條七項之請求肯認判決與民事訴訟不同並無執行力，因此將修正行政訴訟法三條七項歸類為給付之訴或確認之訴並無太大實益</w:t>
      </w:r>
      <w:r>
        <w:rPr>
          <w:rStyle w:val="ae"/>
        </w:rPr>
        <w:footnoteReference w:id="2"/>
      </w:r>
      <w:r>
        <w:rPr>
          <w:rFonts w:hint="eastAsia"/>
        </w:rPr>
        <w:t>。</w:t>
      </w:r>
    </w:p>
    <w:p w:rsidR="00000000" w:rsidRDefault="002E5861">
      <w:pPr>
        <w:numPr>
          <w:ilvl w:val="0"/>
          <w:numId w:val="19"/>
        </w:numPr>
        <w:spacing w:before="100" w:beforeAutospacing="1" w:after="100" w:afterAutospacing="1" w:line="480" w:lineRule="auto"/>
        <w:ind w:firstLineChars="200" w:firstLine="480"/>
        <w:jc w:val="both"/>
        <w:rPr>
          <w:rFonts w:hint="eastAsia"/>
        </w:rPr>
      </w:pPr>
      <w:r>
        <w:rPr>
          <w:rFonts w:hint="eastAsia"/>
        </w:rPr>
        <w:t>作為要求不作為訴訟對象之處分</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要求不作為訴訟以處分或裁決為對象。關於處分到目前為止一般認定為行</w:t>
      </w:r>
      <w:r>
        <w:rPr>
          <w:rFonts w:hint="eastAsia"/>
        </w:rPr>
        <w:lastRenderedPageBreak/>
        <w:t>政處分及公權力之事實行為</w:t>
      </w:r>
      <w:r>
        <w:rPr>
          <w:rStyle w:val="ae"/>
        </w:rPr>
        <w:footnoteReference w:id="3"/>
      </w:r>
      <w:r>
        <w:rPr>
          <w:rFonts w:hint="eastAsia"/>
        </w:rPr>
        <w:t>。新法基本上也無必要將其範圍加以擴張。</w:t>
      </w:r>
    </w:p>
    <w:p w:rsidR="00000000" w:rsidRDefault="002E5861">
      <w:pPr>
        <w:spacing w:before="100" w:beforeAutospacing="1" w:after="100" w:afterAutospacing="1" w:line="480" w:lineRule="auto"/>
        <w:ind w:firstLineChars="200" w:firstLine="480"/>
        <w:jc w:val="both"/>
        <w:rPr>
          <w:rFonts w:hint="eastAsia"/>
        </w:rPr>
      </w:pPr>
      <w:r>
        <w:rPr>
          <w:rFonts w:hint="eastAsia"/>
        </w:rPr>
        <w:t>但以下仍有三點要注意之處：</w:t>
      </w:r>
    </w:p>
    <w:p w:rsidR="00000000" w:rsidRDefault="002E5861">
      <w:pPr>
        <w:spacing w:before="100" w:beforeAutospacing="1" w:after="100" w:afterAutospacing="1" w:line="480" w:lineRule="auto"/>
        <w:ind w:firstLineChars="200" w:firstLine="480"/>
        <w:jc w:val="both"/>
        <w:rPr>
          <w:rFonts w:hint="eastAsia"/>
        </w:rPr>
      </w:pPr>
      <w:r>
        <w:rPr>
          <w:rFonts w:hint="eastAsia"/>
        </w:rPr>
        <w:t>ㄅ</w:t>
      </w:r>
      <w:r>
        <w:rPr>
          <w:rFonts w:hint="eastAsia"/>
        </w:rPr>
        <w:t xml:space="preserve"> </w:t>
      </w:r>
      <w:r>
        <w:rPr>
          <w:rFonts w:hint="eastAsia"/>
        </w:rPr>
        <w:t>從處分之構成轉變為預防性訴訟</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第一點</w:t>
      </w:r>
      <w:r>
        <w:rPr>
          <w:rFonts w:hint="eastAsia"/>
        </w:rPr>
        <w:t xml:space="preserve"> </w:t>
      </w:r>
      <w:r>
        <w:rPr>
          <w:rFonts w:hint="eastAsia"/>
        </w:rPr>
        <w:t>到目前為止，針對行政機關之行政解釋〈通</w:t>
      </w:r>
      <w:r>
        <w:rPr>
          <w:rFonts w:hint="eastAsia"/>
        </w:rPr>
        <w:t>達〉起訴之案例中，其中有些案例倒不如說是有關於法律關係之訴訟。因此此種訴訟應以「處分之重複型或者法律關係處分並行型」之預防型訴訟較為適當。相對地，到目前為止可推測法院因意識到行政機關之第一次判斷權以及事後訴訟中心主義，將難以被定位為處分之行為，而無法特地以取消訴訟方式加以處理。但於此次修法下可透過預防性訴訟達到權利保護目的。於最高法院昭和</w:t>
      </w:r>
      <w:r>
        <w:rPr>
          <w:rFonts w:hint="eastAsia"/>
        </w:rPr>
        <w:t>43.12.23</w:t>
      </w:r>
      <w:r>
        <w:rPr>
          <w:rFonts w:hint="eastAsia"/>
        </w:rPr>
        <w:t>民集</w:t>
      </w:r>
      <w:r>
        <w:rPr>
          <w:rFonts w:hint="eastAsia"/>
        </w:rPr>
        <w:t>22</w:t>
      </w:r>
      <w:r>
        <w:rPr>
          <w:rFonts w:hint="eastAsia"/>
        </w:rPr>
        <w:t>卷</w:t>
      </w:r>
      <w:r>
        <w:rPr>
          <w:rFonts w:hint="eastAsia"/>
        </w:rPr>
        <w:t>13</w:t>
      </w:r>
      <w:r>
        <w:rPr>
          <w:rFonts w:hint="eastAsia"/>
        </w:rPr>
        <w:t>號</w:t>
      </w:r>
      <w:r>
        <w:rPr>
          <w:rFonts w:hint="eastAsia"/>
        </w:rPr>
        <w:t>3147</w:t>
      </w:r>
      <w:r>
        <w:rPr>
          <w:rFonts w:hint="eastAsia"/>
        </w:rPr>
        <w:t>頁中，即是否定墓地埋葬法行政解釋之處分性而且駁回針對該當行政解釋所提之取消訴訟。但在新法中倒不如說原告可以對其他宗教團體之信徒提起拒</w:t>
      </w:r>
      <w:r>
        <w:rPr>
          <w:rFonts w:hint="eastAsia"/>
        </w:rPr>
        <w:t>絕埋葬之確認之訴，今後應可被認定有其合法性</w:t>
      </w:r>
      <w:r>
        <w:rPr>
          <w:rStyle w:val="ae"/>
        </w:rPr>
        <w:footnoteReference w:id="4"/>
      </w:r>
      <w:r>
        <w:rPr>
          <w:rFonts w:hint="eastAsia"/>
        </w:rPr>
        <w:t>。</w:t>
      </w:r>
    </w:p>
    <w:p w:rsidR="00000000" w:rsidRDefault="002E5861">
      <w:pPr>
        <w:spacing w:before="100" w:beforeAutospacing="1" w:after="100" w:afterAutospacing="1" w:line="480" w:lineRule="auto"/>
        <w:ind w:firstLineChars="200" w:firstLine="480"/>
        <w:jc w:val="both"/>
        <w:rPr>
          <w:rFonts w:hint="eastAsia"/>
        </w:rPr>
      </w:pPr>
      <w:r>
        <w:rPr>
          <w:rFonts w:hint="eastAsia"/>
        </w:rPr>
        <w:t>ㄆ</w:t>
      </w:r>
      <w:r>
        <w:rPr>
          <w:rFonts w:hint="eastAsia"/>
        </w:rPr>
        <w:t xml:space="preserve"> </w:t>
      </w:r>
      <w:r>
        <w:rPr>
          <w:rFonts w:hint="eastAsia"/>
        </w:rPr>
        <w:t>公權力之事實行為之要求不作為</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第二點</w:t>
      </w:r>
      <w:r>
        <w:rPr>
          <w:rFonts w:hint="eastAsia"/>
        </w:rPr>
        <w:t xml:space="preserve"> </w:t>
      </w:r>
      <w:r>
        <w:rPr>
          <w:rFonts w:hint="eastAsia"/>
        </w:rPr>
        <w:t>關於即時強制等公權力之事實行為，行政事件訴訟法之立法階段以及到目前為止之學說，皆對於將其當作取消訴訟之對象以及限制其起訴期間等提</w:t>
      </w:r>
      <w:r>
        <w:rPr>
          <w:rFonts w:hint="eastAsia"/>
        </w:rPr>
        <w:lastRenderedPageBreak/>
        <w:t>出相當強烈之質疑</w:t>
      </w:r>
      <w:r>
        <w:rPr>
          <w:rStyle w:val="ae"/>
        </w:rPr>
        <w:footnoteReference w:id="5"/>
      </w:r>
      <w:r>
        <w:rPr>
          <w:rFonts w:hint="eastAsia"/>
        </w:rPr>
        <w:t>。但在現行法解釋論下將所謂公權力之事實行為認定不該當於抗告訴訟之對象之「公權力之行使」，而將其從行政訴訟事件法</w:t>
      </w:r>
      <w:r>
        <w:rPr>
          <w:rFonts w:hint="eastAsia"/>
        </w:rPr>
        <w:t>44</w:t>
      </w:r>
      <w:r>
        <w:rPr>
          <w:rFonts w:hint="eastAsia"/>
        </w:rPr>
        <w:t>條有關假處分規定</w:t>
      </w:r>
      <w:r>
        <w:rPr>
          <w:rStyle w:val="ae"/>
        </w:rPr>
        <w:footnoteReference w:id="6"/>
      </w:r>
      <w:r>
        <w:rPr>
          <w:rFonts w:hint="eastAsia"/>
        </w:rPr>
        <w:t>加以除外，並非完全沒理由。關於此點於新法中將要求不作為訴訟與取消訴訟並列並將要求不作為訴訟加以法定。因此若公權力之事實行為只要持續進行下或許可</w:t>
      </w:r>
      <w:r>
        <w:rPr>
          <w:rFonts w:hint="eastAsia"/>
        </w:rPr>
        <w:t>認為「行政機關不應為特定之處分或裁決而為之」狀態持續，而依修正行政訴訟法三條七項即可。但此情形下行政機關因為已經著手進行，所以不需要第三十七條之四第一項第二項之要件。因為暫時權利保護沒有理由課予如三十七條之五第二項般嚴格要件（「無法補償之損害」），再者暫時之要求不作為應和執行停止同樣依二十五條</w:t>
      </w:r>
      <w:r>
        <w:rPr>
          <w:rStyle w:val="ae"/>
        </w:rPr>
        <w:footnoteReference w:id="7"/>
      </w:r>
      <w:r>
        <w:rPr>
          <w:rFonts w:hint="eastAsia"/>
        </w:rPr>
        <w:t>要件認定。</w:t>
      </w:r>
    </w:p>
    <w:p w:rsidR="00000000" w:rsidRDefault="002E5861">
      <w:pPr>
        <w:spacing w:before="100" w:beforeAutospacing="1" w:after="100" w:afterAutospacing="1" w:line="480" w:lineRule="auto"/>
        <w:ind w:firstLineChars="200" w:firstLine="480"/>
        <w:jc w:val="both"/>
        <w:rPr>
          <w:rFonts w:hint="eastAsia"/>
        </w:rPr>
      </w:pPr>
      <w:r>
        <w:rPr>
          <w:rFonts w:hint="eastAsia"/>
        </w:rPr>
        <w:t>ㄇ</w:t>
      </w:r>
      <w:r>
        <w:rPr>
          <w:rFonts w:hint="eastAsia"/>
        </w:rPr>
        <w:t xml:space="preserve"> </w:t>
      </w:r>
      <w:r>
        <w:rPr>
          <w:rFonts w:hint="eastAsia"/>
        </w:rPr>
        <w:t>公共設施之設置營運之要求不作為</w:t>
      </w:r>
    </w:p>
    <w:p w:rsidR="00000000" w:rsidRDefault="002E5861">
      <w:pPr>
        <w:spacing w:before="100" w:beforeAutospacing="1" w:after="100" w:afterAutospacing="1" w:line="480" w:lineRule="auto"/>
        <w:ind w:firstLineChars="200" w:firstLine="480"/>
        <w:jc w:val="both"/>
        <w:rPr>
          <w:rFonts w:hint="eastAsia"/>
        </w:rPr>
      </w:pPr>
      <w:r>
        <w:rPr>
          <w:rFonts w:hint="eastAsia"/>
        </w:rPr>
        <w:t>第三</w:t>
      </w:r>
      <w:r>
        <w:rPr>
          <w:rFonts w:hint="eastAsia"/>
        </w:rPr>
        <w:t xml:space="preserve"> </w:t>
      </w:r>
      <w:r>
        <w:rPr>
          <w:rFonts w:hint="eastAsia"/>
        </w:rPr>
        <w:t>針對公共設施之設置營運要求不作為，行政訴訟事件法起草時雖經討論，結果認為若無設定特別之法制度即不算該當於「有關於公權力行使不服之訴</w:t>
      </w:r>
      <w:r>
        <w:rPr>
          <w:rFonts w:hint="eastAsia"/>
        </w:rPr>
        <w:lastRenderedPageBreak/>
        <w:t>訟」。另外判例也基本上認為其不該</w:t>
      </w:r>
      <w:r>
        <w:rPr>
          <w:rFonts w:hint="eastAsia"/>
        </w:rPr>
        <w:t>當於抗告訴訟之對象（最判昭</w:t>
      </w:r>
      <w:r>
        <w:rPr>
          <w:rFonts w:hint="eastAsia"/>
        </w:rPr>
        <w:t>39.10.29</w:t>
      </w:r>
      <w:r>
        <w:rPr>
          <w:rFonts w:hint="eastAsia"/>
        </w:rPr>
        <w:t>民集</w:t>
      </w:r>
      <w:r>
        <w:rPr>
          <w:rFonts w:hint="eastAsia"/>
        </w:rPr>
        <w:t>18</w:t>
      </w:r>
      <w:r>
        <w:rPr>
          <w:rFonts w:hint="eastAsia"/>
        </w:rPr>
        <w:t>卷</w:t>
      </w:r>
      <w:r>
        <w:rPr>
          <w:rFonts w:hint="eastAsia"/>
        </w:rPr>
        <w:t>8</w:t>
      </w:r>
      <w:r>
        <w:rPr>
          <w:rFonts w:hint="eastAsia"/>
        </w:rPr>
        <w:t>號</w:t>
      </w:r>
      <w:r>
        <w:rPr>
          <w:rFonts w:hint="eastAsia"/>
        </w:rPr>
        <w:t>1089</w:t>
      </w:r>
      <w:r>
        <w:rPr>
          <w:rFonts w:hint="eastAsia"/>
        </w:rPr>
        <w:t>頁）。</w:t>
      </w:r>
      <w:r>
        <w:rPr>
          <w:rFonts w:hint="eastAsia"/>
        </w:rPr>
        <w:t xml:space="preserve"> </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但是最大判昭和</w:t>
      </w:r>
      <w:r>
        <w:rPr>
          <w:rFonts w:hint="eastAsia"/>
        </w:rPr>
        <w:t>56.12.16</w:t>
      </w:r>
      <w:r>
        <w:rPr>
          <w:rFonts w:hint="eastAsia"/>
        </w:rPr>
        <w:t>民集</w:t>
      </w:r>
      <w:r>
        <w:rPr>
          <w:rFonts w:hint="eastAsia"/>
        </w:rPr>
        <w:t>35</w:t>
      </w:r>
      <w:r>
        <w:rPr>
          <w:rFonts w:hint="eastAsia"/>
        </w:rPr>
        <w:t>卷</w:t>
      </w:r>
      <w:r>
        <w:rPr>
          <w:rFonts w:hint="eastAsia"/>
        </w:rPr>
        <w:t>10</w:t>
      </w:r>
      <w:r>
        <w:rPr>
          <w:rFonts w:hint="eastAsia"/>
        </w:rPr>
        <w:t>號</w:t>
      </w:r>
      <w:r>
        <w:rPr>
          <w:rFonts w:hint="eastAsia"/>
        </w:rPr>
        <w:t>1369</w:t>
      </w:r>
      <w:r>
        <w:rPr>
          <w:rFonts w:hint="eastAsia"/>
        </w:rPr>
        <w:t>頁將要求國營機場之使用要求不作為之民事訴訟以公權力行使為理由認定訴之不合法。但是以公權力行使來調整機場之使用及噪音公害之法制度及手續並未完備時，將作為公權力行使之「航空行政權」歸屬於同一行政機關為理由排除有關機場管理權之所謂民事訴訟之「一體性構成」論理，實欠缺說服力並引起學界之強烈批判</w:t>
      </w:r>
      <w:r>
        <w:rPr>
          <w:rStyle w:val="ae"/>
        </w:rPr>
        <w:footnoteReference w:id="8"/>
      </w:r>
      <w:r>
        <w:rPr>
          <w:rFonts w:hint="eastAsia"/>
        </w:rPr>
        <w:t>。</w:t>
      </w:r>
    </w:p>
    <w:p w:rsidR="00000000" w:rsidRDefault="002E5861">
      <w:pPr>
        <w:spacing w:before="100" w:beforeAutospacing="1" w:after="100" w:afterAutospacing="1" w:line="480" w:lineRule="auto"/>
        <w:ind w:firstLineChars="200" w:firstLine="480"/>
        <w:jc w:val="both"/>
        <w:rPr>
          <w:rFonts w:hint="eastAsia"/>
        </w:rPr>
      </w:pPr>
      <w:r>
        <w:rPr>
          <w:rFonts w:hint="eastAsia"/>
        </w:rPr>
        <w:t>但有見解認為若不得已必須以此大法庭判決為前提的話，只好認定作為法定外抗告訴訟之權利性妨礙</w:t>
      </w:r>
      <w:r>
        <w:rPr>
          <w:rFonts w:hint="eastAsia"/>
        </w:rPr>
        <w:t>排除訴訟</w:t>
      </w:r>
      <w:r>
        <w:rPr>
          <w:rStyle w:val="ae"/>
        </w:rPr>
        <w:footnoteReference w:id="9"/>
      </w:r>
      <w:r>
        <w:rPr>
          <w:rFonts w:hint="eastAsia"/>
        </w:rPr>
        <w:t>。依此見解依照修正行政訴訟法之三條七項將變成請求「航空行政權」與「不可分之一體」之國營機場之營運使用要求不作為。但此次行政訴訟法修正並未對於如航空法般特別法之大法庭之特異見解作特別考量，因此必須強調本次修正法並非積極支持大法庭之見解積極地將三條七項作為解決該問題之設計。再者最判平成</w:t>
      </w:r>
      <w:r>
        <w:rPr>
          <w:rFonts w:hint="eastAsia"/>
        </w:rPr>
        <w:t>5.2.25</w:t>
      </w:r>
      <w:r>
        <w:rPr>
          <w:rFonts w:hint="eastAsia"/>
        </w:rPr>
        <w:t>民集</w:t>
      </w:r>
      <w:r>
        <w:rPr>
          <w:rFonts w:hint="eastAsia"/>
        </w:rPr>
        <w:t>47</w:t>
      </w:r>
      <w:r>
        <w:rPr>
          <w:rFonts w:hint="eastAsia"/>
        </w:rPr>
        <w:t>卷</w:t>
      </w:r>
      <w:r>
        <w:rPr>
          <w:rFonts w:hint="eastAsia"/>
        </w:rPr>
        <w:t>2</w:t>
      </w:r>
      <w:r>
        <w:rPr>
          <w:rFonts w:hint="eastAsia"/>
        </w:rPr>
        <w:t>號</w:t>
      </w:r>
      <w:r>
        <w:rPr>
          <w:rFonts w:hint="eastAsia"/>
        </w:rPr>
        <w:t>643</w:t>
      </w:r>
      <w:r>
        <w:rPr>
          <w:rFonts w:hint="eastAsia"/>
        </w:rPr>
        <w:t>頁雖然同樣對於基地週遭居民請求自衛隊之起飛降落之要求不作為之民事訴訟認為不合法，但此案中究竟何種行為被認定為公權力行使從判決中無法判別。</w:t>
      </w:r>
    </w:p>
    <w:p w:rsidR="00000000" w:rsidRDefault="002E5861">
      <w:pPr>
        <w:numPr>
          <w:ilvl w:val="0"/>
          <w:numId w:val="19"/>
        </w:numPr>
        <w:spacing w:before="100" w:beforeAutospacing="1" w:after="100" w:afterAutospacing="1" w:line="480" w:lineRule="auto"/>
        <w:ind w:firstLineChars="200" w:firstLine="480"/>
        <w:jc w:val="both"/>
        <w:rPr>
          <w:rFonts w:hint="eastAsia"/>
        </w:rPr>
      </w:pPr>
      <w:r>
        <w:rPr>
          <w:rFonts w:hint="eastAsia"/>
        </w:rPr>
        <w:t>與公法上當事者訴訟之關係</w:t>
      </w:r>
      <w:r>
        <w:rPr>
          <w:rFonts w:hint="eastAsia"/>
        </w:rPr>
        <w:t xml:space="preserve"> </w:t>
      </w:r>
    </w:p>
    <w:p w:rsidR="00000000" w:rsidRDefault="002E5861">
      <w:pPr>
        <w:spacing w:before="100" w:beforeAutospacing="1" w:after="100" w:afterAutospacing="1" w:line="480" w:lineRule="auto"/>
        <w:ind w:firstLineChars="200" w:firstLine="480"/>
        <w:jc w:val="both"/>
        <w:rPr>
          <w:rFonts w:hint="eastAsia"/>
        </w:rPr>
      </w:pPr>
      <w:r>
        <w:rPr>
          <w:rFonts w:hint="eastAsia"/>
        </w:rPr>
        <w:lastRenderedPageBreak/>
        <w:t>抗告訴訟之定型化、特殊</w:t>
      </w:r>
      <w:r>
        <w:rPr>
          <w:rFonts w:hint="eastAsia"/>
        </w:rPr>
        <w:t>化及當事者訴訟之概括化</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到目前為止廣義上關於處分之預防性訴訟究竟該當於無名抗告訴訟或公法上當事人訴訟未必明確。依照修正行政事件訴訟法似乎將三條七項之訴訟作為公法上當事人訴訟。首先一方面三條七項中將請求內容及訴之利益之要件明確地制式化，再加上三十七條之五第二項以下將三條七項之訴被提起時之暫時要求不作為加以制度化。另一方面四條</w:t>
      </w:r>
      <w:r>
        <w:rPr>
          <w:rStyle w:val="ae"/>
        </w:rPr>
        <w:footnoteReference w:id="10"/>
      </w:r>
      <w:r>
        <w:rPr>
          <w:rFonts w:hint="eastAsia"/>
        </w:rPr>
        <w:t>將作為公法上當事者訴訟之「關於公法上法律關係確認之訴」加以列舉規定。其結果要求不作為訴訟等法定抗告訴訟關於行政訴訟之一部分，為了於必要範圍內關於暫時權利保護等以特例規定而設計了特定類</w:t>
      </w:r>
      <w:r>
        <w:rPr>
          <w:rFonts w:hint="eastAsia"/>
        </w:rPr>
        <w:t>型。相對於其他的行政訴訟則被認定為公法上當事者訴訟，其結果所謂傳統之「法定外抗告訴訟」之可能性將極度縮小</w:t>
      </w:r>
      <w:r>
        <w:rPr>
          <w:rStyle w:val="ae"/>
        </w:rPr>
        <w:footnoteReference w:id="11"/>
      </w:r>
      <w:r>
        <w:rPr>
          <w:rFonts w:hint="eastAsia"/>
        </w:rPr>
        <w:t>。因此在一方面若適當地運用作為暫時權利保護之三十七條之五之第二項以下之暫時要求不作為的話今後將主要以三條七項之訴訟為主，如此一來另一方面也不須擴充解釋三條之七、三十七條之五作為其他的公法上訴訟之公法上當事人訴訟之確認之訴，也符合新法之架構</w:t>
      </w:r>
      <w:r>
        <w:rPr>
          <w:rStyle w:val="ae"/>
        </w:rPr>
        <w:footnoteReference w:id="12"/>
      </w:r>
      <w:r>
        <w:rPr>
          <w:rFonts w:hint="eastAsia"/>
        </w:rPr>
        <w:t>。</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具體而言「法關係處分重複型」預防訴訟為三條七項之訴訟，「法關係處</w:t>
      </w:r>
      <w:r>
        <w:rPr>
          <w:rFonts w:hint="eastAsia"/>
        </w:rPr>
        <w:lastRenderedPageBreak/>
        <w:t>分並行型」預防訴訟則為私人義務不存在確認訴訟等公法上當事者訴訟。關於後者之訴訟中之暫時權利保護</w:t>
      </w:r>
      <w:r>
        <w:rPr>
          <w:rFonts w:hint="eastAsia"/>
        </w:rPr>
        <w:t>，於申請之時或許根本無法確定究竟何種處分將被提出、再者該當處分將對原告會產生何種損害，因此無法直接適用三十七條之五第二項規定。此時倒不如依據民事保全法二十三條二項認定其有暫時權利之假處分。當然若依照此方式將與行政事件訴訟法四十四條規定有衝突，但依據修正行政訴訟法三十七條之五將處分直接暫時承認其要求不作為之後，於法關係處分並行型預防訴訟中因處分之要求不作為並非其目的，其結果不過處分被阻卻而已，因此只要承認假處分即可</w:t>
      </w:r>
      <w:r>
        <w:rPr>
          <w:rStyle w:val="ae"/>
        </w:rPr>
        <w:footnoteReference w:id="13"/>
      </w:r>
      <w:r>
        <w:rPr>
          <w:rFonts w:hint="eastAsia"/>
        </w:rPr>
        <w:t>。再者有關保全之必要性以將要被課與之現在義務所生之不利益為基準判斷之。暫時權利保護被認定與否因</w:t>
      </w:r>
      <w:r>
        <w:rPr>
          <w:rFonts w:hint="eastAsia"/>
        </w:rPr>
        <w:t>個別案件內容有很大之差異，因此不可認為依據三十七條之五之暫時要求不作為將比依民事保全法進行之假處分容易認定。</w:t>
      </w:r>
    </w:p>
    <w:p w:rsidR="00000000" w:rsidRDefault="002E5861">
      <w:pPr>
        <w:spacing w:before="100" w:beforeAutospacing="1" w:after="100" w:afterAutospacing="1" w:line="480" w:lineRule="auto"/>
        <w:jc w:val="both"/>
        <w:rPr>
          <w:rFonts w:hint="eastAsia"/>
        </w:rPr>
      </w:pPr>
      <w:r>
        <w:rPr>
          <w:rFonts w:hint="eastAsia"/>
          <w:b/>
          <w:sz w:val="28"/>
          <w:szCs w:val="28"/>
        </w:rPr>
        <w:t>貳</w:t>
      </w:r>
      <w:r>
        <w:rPr>
          <w:rFonts w:ascii="新細明體" w:hAnsi="新細明體" w:hint="eastAsia"/>
          <w:b/>
          <w:sz w:val="28"/>
          <w:szCs w:val="28"/>
        </w:rPr>
        <w:t>、</w:t>
      </w:r>
      <w:r>
        <w:rPr>
          <w:rFonts w:hint="eastAsia"/>
          <w:b/>
          <w:sz w:val="28"/>
          <w:szCs w:val="28"/>
        </w:rPr>
        <w:t>行政事件訴訟法三十七條之四之解說</w:t>
      </w:r>
      <w:r>
        <w:rPr>
          <w:rStyle w:val="ae"/>
        </w:rPr>
        <w:footnoteReference w:id="14"/>
      </w:r>
    </w:p>
    <w:p w:rsidR="00000000" w:rsidRDefault="002E5861">
      <w:pPr>
        <w:spacing w:before="100" w:beforeAutospacing="1" w:after="100" w:afterAutospacing="1" w:line="480" w:lineRule="auto"/>
        <w:ind w:firstLineChars="200" w:firstLine="480"/>
        <w:jc w:val="both"/>
        <w:rPr>
          <w:rFonts w:hint="eastAsia"/>
        </w:rPr>
      </w:pPr>
      <w:r>
        <w:rPr>
          <w:rFonts w:hint="eastAsia"/>
        </w:rPr>
        <w:t>到三十七條之四為止主要關於要求不作為訴訟之合法要件。換言之，規定即時確定利益之存在、否定即時確定利益不存在、請求對象確定且適當、被承認有原告適格等要件，以上要件若缺任何一項即被認為不合法，再者第五項則規定要求不作為訴訟本案勝訴要件與判決。</w:t>
      </w:r>
    </w:p>
    <w:p w:rsidR="00000000" w:rsidRDefault="002E5861">
      <w:pPr>
        <w:spacing w:before="100" w:beforeAutospacing="1" w:after="100" w:afterAutospacing="1" w:line="480" w:lineRule="auto"/>
        <w:ind w:firstLineChars="200" w:firstLine="480"/>
        <w:jc w:val="both"/>
        <w:rPr>
          <w:rFonts w:hint="eastAsia"/>
        </w:rPr>
      </w:pPr>
      <w:r>
        <w:rPr>
          <w:rFonts w:hint="eastAsia"/>
        </w:rPr>
        <w:lastRenderedPageBreak/>
        <w:t>一</w:t>
      </w:r>
      <w:r>
        <w:rPr>
          <w:rFonts w:hint="eastAsia"/>
        </w:rPr>
        <w:t xml:space="preserve"> </w:t>
      </w:r>
      <w:r>
        <w:rPr>
          <w:rFonts w:hint="eastAsia"/>
        </w:rPr>
        <w:t>即時確定之利益〈一項本文</w:t>
      </w:r>
      <w:r>
        <w:t>、</w:t>
      </w:r>
      <w:r>
        <w:rPr>
          <w:rFonts w:hint="eastAsia"/>
        </w:rPr>
        <w:t>二項〉</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規定容許要求不作為訴訟之積極要件三十七條之四第一項本文及第二項，乃以最高法院長野</w:t>
      </w:r>
      <w:r>
        <w:rPr>
          <w:rFonts w:hint="eastAsia"/>
        </w:rPr>
        <w:t>勤評判決為例所作定性之規定。長野勤評判決對於訴之利益，特別關於即時確定利益之判斷架構採用「行政機關之第一次判斷權」以及「事後訴訟中心主義」。雖然本次修法與長野勤評判決同樣呈現訴之利益之判斷架構，但並未採用行政機關之第一次判斷權以及事後訴訟中心主義，而是要求需考慮行政作用、行政過程之特性與多樣性。再者於本法中也對要求不作為訴訟三條之七之一部分即為認定即時確定利益所須之要件加以定義，也就是所謂「行政機關不應為特定之處分或裁決而為之時」之部分。</w:t>
      </w:r>
    </w:p>
    <w:p w:rsidR="00000000" w:rsidRDefault="002E5861">
      <w:pPr>
        <w:spacing w:before="100" w:beforeAutospacing="1" w:after="100" w:afterAutospacing="1" w:line="480" w:lineRule="auto"/>
        <w:ind w:firstLineChars="200" w:firstLine="480"/>
        <w:jc w:val="both"/>
        <w:rPr>
          <w:rFonts w:hint="eastAsia"/>
        </w:rPr>
      </w:pPr>
      <w:r>
        <w:rPr>
          <w:rFonts w:hint="eastAsia"/>
        </w:rPr>
        <w:t>ㄅ</w:t>
      </w:r>
      <w:r>
        <w:rPr>
          <w:rFonts w:hint="eastAsia"/>
        </w:rPr>
        <w:t xml:space="preserve"> </w:t>
      </w:r>
      <w:r>
        <w:rPr>
          <w:rFonts w:hint="eastAsia"/>
        </w:rPr>
        <w:t>作為準執行停止之要求不作為訴訟</w:t>
      </w:r>
      <w:r>
        <w:rPr>
          <w:rStyle w:val="ae"/>
        </w:rPr>
        <w:footnoteReference w:id="15"/>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於解釋三十七條之四第一項本</w:t>
      </w:r>
      <w:r>
        <w:rPr>
          <w:rFonts w:hint="eastAsia"/>
        </w:rPr>
        <w:t>文、二項之際，首先可發現其規定與二十五條二項三項</w:t>
      </w:r>
      <w:r>
        <w:rPr>
          <w:rStyle w:val="ae"/>
        </w:rPr>
        <w:footnoteReference w:id="16"/>
      </w:r>
      <w:r>
        <w:rPr>
          <w:rFonts w:hint="eastAsia"/>
        </w:rPr>
        <w:t>相同格式。從此點而言將解決不同問題之兩個條文作同一解釋是飛躍性聯想。但兩條文間或許有平行式規範部分。首先要求不作為訴訟可認為準備</w:t>
      </w:r>
      <w:r>
        <w:rPr>
          <w:rFonts w:hint="eastAsia"/>
        </w:rPr>
        <w:lastRenderedPageBreak/>
        <w:t>或者代替執行停止之設計。換言之假使要適時申請執行停止時必須要符合「為避免重大損害」之執行停止必要性要件。但實際上於接受行政機關之處分後提起取消訴訟、申請執行停止到執行停止決定下來為止過程中，若有發生「重大損害」之可能性時應該可認定要求不作為訴訟之提起。或者要件加重之暫時要求不作為即使不被承認〈無法賠償之損害之要件須成立〉，若有處分存</w:t>
      </w:r>
      <w:r>
        <w:rPr>
          <w:rFonts w:hint="eastAsia"/>
        </w:rPr>
        <w:t>在時應立即將訴訟改為取消訴訟，使其獲得執行停止決定〈當然實際上是否申請暫時要求不作為及執行停止為原告任意之行為〉。適用三十七條之四第一項本文、二項考慮損害回復困難程度，探討損害之性質及程度以及處分或裁決之內容及性質時①首先如同判斷執行停止之必要性般，判斷是否有要求不作為之必要性</w:t>
      </w:r>
      <w:r>
        <w:rPr>
          <w:rFonts w:hint="eastAsia"/>
        </w:rPr>
        <w:t xml:space="preserve"> </w:t>
      </w:r>
      <w:r>
        <w:rPr>
          <w:rFonts w:hint="eastAsia"/>
        </w:rPr>
        <w:t>②再者探討損害之性質及程度。換言之必須判斷是否處分後於得到執行停止決定為止是否無足夠時間以預防損害發生。①②兩方之條件具備之際才可認定「處分或裁決將產生重大損害之虞」。總而言之，取消訴訟與執行停止訴訟之制度皆有事前防止處分之執行之機</w:t>
      </w:r>
      <w:r>
        <w:rPr>
          <w:rFonts w:hint="eastAsia"/>
        </w:rPr>
        <w:t>能，因此於在更先前之階段為了要獲得要求不作為訴訟的話，必須保持取消訴訟、執行停止制度之整合性。再者於取消訴訟執行停止部分尚須不得有欠缺權利保護事由。</w:t>
      </w:r>
    </w:p>
    <w:p w:rsidR="00000000" w:rsidRDefault="002E5861">
      <w:pPr>
        <w:spacing w:before="100" w:beforeAutospacing="1" w:after="100" w:afterAutospacing="1" w:line="480" w:lineRule="auto"/>
        <w:ind w:firstLineChars="200" w:firstLine="480"/>
        <w:jc w:val="both"/>
        <w:rPr>
          <w:rFonts w:hint="eastAsia"/>
        </w:rPr>
      </w:pPr>
      <w:r>
        <w:rPr>
          <w:rFonts w:hint="eastAsia"/>
        </w:rPr>
        <w:t>另外關於公權力事實行為，在此所述之替代取消訴訟以及執行停止設定條文為適用無三十七條之四第一項、二項要件之要求不作為訴訟，以及依據二十五條要件之暫時要求不作為。具體而言若執行為立即完了之行政處分即符合②之條件。另外基於管制監督權所為之行政處分若進行並公佈時將對於名譽及信用產生</w:t>
      </w:r>
      <w:r>
        <w:rPr>
          <w:rFonts w:hint="eastAsia"/>
        </w:rPr>
        <w:lastRenderedPageBreak/>
        <w:t>重大損害，即符合②之條件。再者即時強制等公權力事實行為之情形，於現行法上並未確保行政機關</w:t>
      </w:r>
      <w:r>
        <w:rPr>
          <w:rFonts w:hint="eastAsia"/>
        </w:rPr>
        <w:t>為該當行為之前必須向私人為意思表示，並賦予私人依照自己判斷並確保所要行動之時間，因此一般而言只要②</w:t>
      </w:r>
      <w:r>
        <w:rPr>
          <w:rFonts w:hint="eastAsia"/>
        </w:rPr>
        <w:t xml:space="preserve">  </w:t>
      </w:r>
      <w:r>
        <w:rPr>
          <w:rFonts w:hint="eastAsia"/>
        </w:rPr>
        <w:t>之要件即可，關於①</w:t>
      </w:r>
      <w:r>
        <w:rPr>
          <w:rFonts w:hint="eastAsia"/>
        </w:rPr>
        <w:t xml:space="preserve">  </w:t>
      </w:r>
      <w:r>
        <w:rPr>
          <w:rFonts w:hint="eastAsia"/>
        </w:rPr>
        <w:t>之要件則有爭議</w:t>
      </w:r>
      <w:r>
        <w:t>。</w:t>
      </w:r>
      <w:r>
        <w:rPr>
          <w:rFonts w:hint="eastAsia"/>
        </w:rPr>
        <w:t>例如強制剃髮以及懲戒之執行往往侵害人格權時該當①之要件。但相對地如移動不法棄置船舶般之輕微財產權之侵害之案例很難說符合①</w:t>
      </w:r>
      <w:r>
        <w:rPr>
          <w:rFonts w:hint="eastAsia"/>
        </w:rPr>
        <w:t xml:space="preserve">  </w:t>
      </w:r>
      <w:r>
        <w:rPr>
          <w:rFonts w:hint="eastAsia"/>
        </w:rPr>
        <w:t>之要件。再者若制度上規定有於即時強制前須事先進行勸告或指導時，接受指導或勸告之私人便可依據自己的判斷確保行動時間，因此若有勸告或指導的話應可解為不須三十七條之四要件，私人可逕行提起訴訟。</w:t>
      </w:r>
    </w:p>
    <w:p w:rsidR="00000000" w:rsidRDefault="002E5861">
      <w:pPr>
        <w:spacing w:before="100" w:beforeAutospacing="1" w:after="100" w:afterAutospacing="1" w:line="480" w:lineRule="auto"/>
        <w:ind w:firstLineChars="200" w:firstLine="480"/>
        <w:jc w:val="both"/>
        <w:rPr>
          <w:rFonts w:hint="eastAsia"/>
        </w:rPr>
      </w:pPr>
      <w:r>
        <w:rPr>
          <w:rFonts w:hint="eastAsia"/>
        </w:rPr>
        <w:t>ㄆ</w:t>
      </w:r>
      <w:r>
        <w:rPr>
          <w:rFonts w:hint="eastAsia"/>
        </w:rPr>
        <w:t xml:space="preserve"> </w:t>
      </w:r>
      <w:r>
        <w:rPr>
          <w:rFonts w:hint="eastAsia"/>
        </w:rPr>
        <w:t>因處分過程行為處分代替行為所引起之損害以及風險</w:t>
      </w:r>
      <w:r>
        <w:rPr>
          <w:rStyle w:val="ae"/>
        </w:rPr>
        <w:footnoteReference w:id="17"/>
      </w:r>
    </w:p>
    <w:p w:rsidR="00000000" w:rsidRDefault="002E5861">
      <w:pPr>
        <w:spacing w:before="100" w:beforeAutospacing="1" w:after="100" w:afterAutospacing="1" w:line="480" w:lineRule="auto"/>
        <w:ind w:firstLineChars="200" w:firstLine="480"/>
        <w:jc w:val="both"/>
        <w:rPr>
          <w:rFonts w:hint="eastAsia"/>
        </w:rPr>
      </w:pPr>
      <w:r>
        <w:rPr>
          <w:rFonts w:hint="eastAsia"/>
        </w:rPr>
        <w:t>於ㄅ敘</w:t>
      </w:r>
      <w:r>
        <w:rPr>
          <w:rFonts w:hint="eastAsia"/>
        </w:rPr>
        <w:t>述因處分之法效果以及執行所生損害之防止為根據，認定要求不作為訴訟之訴之利益。但構成訴之利益之「損害」，主要為到處分為止過程中行政主體之行為以及例如種種行政立法及行政指導所引起之損害等具有代替機能之行政機關之行為。若採此見解則要求不作為訴訟被承認之範圍將明顯地比到目前為止較為廣泛。</w:t>
      </w:r>
    </w:p>
    <w:p w:rsidR="00000000" w:rsidRDefault="002E5861">
      <w:pPr>
        <w:numPr>
          <w:ilvl w:val="0"/>
          <w:numId w:val="20"/>
        </w:numPr>
        <w:spacing w:before="100" w:beforeAutospacing="1" w:after="100" w:afterAutospacing="1" w:line="480" w:lineRule="auto"/>
        <w:ind w:firstLineChars="200" w:firstLine="480"/>
        <w:jc w:val="both"/>
        <w:rPr>
          <w:rFonts w:hint="eastAsia"/>
        </w:rPr>
      </w:pPr>
      <w:r>
        <w:rPr>
          <w:rFonts w:hint="eastAsia"/>
        </w:rPr>
        <w:t>現實之損害</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首先行政主體之行為特別因及於第三人，並讓其現實地產生損害之情</w:t>
      </w:r>
      <w:r>
        <w:rPr>
          <w:rFonts w:hint="eastAsia"/>
        </w:rPr>
        <w:lastRenderedPageBreak/>
        <w:t>形，如銀行稅條例事件一審判決中認定因條例制定導致銀行信用之低下，請求營業上之損失之國家賠償案件，在此情形下為預防損害發生之持續，應肯認預防性訴訟。另外東</w:t>
      </w:r>
      <w:r>
        <w:rPr>
          <w:rFonts w:hint="eastAsia"/>
        </w:rPr>
        <w:t>京地判昭和</w:t>
      </w:r>
      <w:r>
        <w:rPr>
          <w:rFonts w:hint="eastAsia"/>
        </w:rPr>
        <w:t>46.11.8</w:t>
      </w:r>
      <w:r>
        <w:rPr>
          <w:rFonts w:hint="eastAsia"/>
        </w:rPr>
        <w:t>行裁判例集</w:t>
      </w:r>
      <w:r>
        <w:rPr>
          <w:rFonts w:hint="eastAsia"/>
        </w:rPr>
        <w:t>22</w:t>
      </w:r>
      <w:r>
        <w:rPr>
          <w:rFonts w:hint="eastAsia"/>
        </w:rPr>
        <w:t>卷</w:t>
      </w:r>
      <w:r>
        <w:rPr>
          <w:rFonts w:hint="eastAsia"/>
        </w:rPr>
        <w:t>11</w:t>
      </w:r>
      <w:r>
        <w:rPr>
          <w:rFonts w:hint="eastAsia"/>
        </w:rPr>
        <w:t>＝</w:t>
      </w:r>
      <w:r>
        <w:rPr>
          <w:rFonts w:hint="eastAsia"/>
        </w:rPr>
        <w:t xml:space="preserve">12 </w:t>
      </w:r>
      <w:r>
        <w:rPr>
          <w:rFonts w:hint="eastAsia"/>
        </w:rPr>
        <w:t>號</w:t>
      </w:r>
      <w:r>
        <w:rPr>
          <w:rFonts w:hint="eastAsia"/>
        </w:rPr>
        <w:t>1785</w:t>
      </w:r>
      <w:r>
        <w:rPr>
          <w:rFonts w:hint="eastAsia"/>
        </w:rPr>
        <w:t>頁通商產業省工業局長對都道府縣知事發佈原告所製造之函數尺違反度量法並要求為一定事務處理之行政解釋，相關行政機關對於度量器販賣業者針對該函數尺為中止販賣之勸告案件中，認定行政機關解釋之取消訴訟合法，此案例為對於原告所為之行政機關處分權並未法定之案件，因此不能稱為「預防」訴訟，但可作為參考。</w:t>
      </w:r>
    </w:p>
    <w:p w:rsidR="00000000" w:rsidRDefault="002E5861">
      <w:pPr>
        <w:numPr>
          <w:ilvl w:val="0"/>
          <w:numId w:val="20"/>
        </w:numPr>
        <w:spacing w:before="100" w:beforeAutospacing="1" w:after="100" w:afterAutospacing="1" w:line="480" w:lineRule="auto"/>
        <w:ind w:firstLineChars="200" w:firstLine="480"/>
        <w:jc w:val="both"/>
        <w:rPr>
          <w:rFonts w:hint="eastAsia"/>
        </w:rPr>
      </w:pPr>
      <w:r>
        <w:rPr>
          <w:rFonts w:hint="eastAsia"/>
        </w:rPr>
        <w:t>現實之風險</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另外雖未發生明顯之損害，但行政機關之處分權限、或者私人之權利義務之有無之法律狀態不明確導致私人須負擔經濟上風險之例。例如關於民事訴訟「某種製作方</w:t>
      </w:r>
      <w:r>
        <w:rPr>
          <w:rFonts w:hint="eastAsia"/>
        </w:rPr>
        <w:t>法計畫生產工廠建設之公司遭受來至其他公司主張侵害該公司之專利權時，或許可承認特許權侵害不存在確認之訴」之見解</w:t>
      </w:r>
      <w:r>
        <w:rPr>
          <w:rStyle w:val="ae"/>
        </w:rPr>
        <w:footnoteReference w:id="18"/>
      </w:r>
      <w:r>
        <w:rPr>
          <w:rFonts w:hint="eastAsia"/>
        </w:rPr>
        <w:t>，依此類推若行政機關認定公司所欲使用之製作方法違反行政法規時，於工廠建設計畫之階段因無法進行改善命令，應可允許於警告該公司製作方法違反行政法規時，提起改善命令之要求不作為訴訟。</w:t>
      </w:r>
      <w:r>
        <w:rPr>
          <w:rFonts w:hint="eastAsia"/>
        </w:rPr>
        <w:t xml:space="preserve"> </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另外將被課與刑事罰明顯之風險也屬於重大之損害。一般而言行政法規中</w:t>
      </w:r>
      <w:r>
        <w:rPr>
          <w:rFonts w:hint="eastAsia"/>
        </w:rPr>
        <w:lastRenderedPageBreak/>
        <w:t>若對於義務違反行為除改善命令等行政處分之外，尚規定有不帶有處分之刑事罰之直接處罰制度。於此情形對主張行政法規所定之構成要件之違憲性，或行政機關所表示行政機</w:t>
      </w:r>
      <w:r>
        <w:rPr>
          <w:rFonts w:hint="eastAsia"/>
        </w:rPr>
        <w:t>關之解釋錯誤者，不應強求該人故意違反法規或行政機關之解釋，而於行動後遭刑事追訴後以增加其風險。倒不如此時應承認該人可提起預防性訴訟。當然此種明顯之風險若不存在時，只因單純想測試某種行為是否該當於構成要件而提起之預防性訴訟，基本上不被允許。</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再者行政機關故意迴避不利益處分，雖然私人表明反對意思行政機關仍持續進行行政指導時，原本行政機關應進行明確之判斷，停止對私人進行之行為，或應依行政程序法規定採行不利益處分程序。不應讓私人處於不知何時將被處分之不明確狀態，於此種情形下應不管損害本身是否該當於回復困難之要件</w:t>
      </w:r>
      <w:r>
        <w:rPr>
          <w:rFonts w:hint="eastAsia"/>
        </w:rPr>
        <w:t>，認定該個人有提起處分要求不作為訴訟之權。</w:t>
      </w:r>
    </w:p>
    <w:p w:rsidR="00000000" w:rsidRDefault="002E5861">
      <w:pPr>
        <w:spacing w:before="100" w:beforeAutospacing="1" w:after="100" w:afterAutospacing="1" w:line="480" w:lineRule="auto"/>
        <w:ind w:firstLineChars="200" w:firstLine="480"/>
        <w:jc w:val="both"/>
        <w:rPr>
          <w:rFonts w:hint="eastAsia"/>
        </w:rPr>
      </w:pPr>
      <w:r>
        <w:rPr>
          <w:rFonts w:hint="eastAsia"/>
        </w:rPr>
        <w:t>二</w:t>
      </w:r>
      <w:r>
        <w:rPr>
          <w:rFonts w:hint="eastAsia"/>
        </w:rPr>
        <w:t xml:space="preserve"> </w:t>
      </w:r>
      <w:r>
        <w:rPr>
          <w:rFonts w:hint="eastAsia"/>
        </w:rPr>
        <w:t>請求對象之特定及是否合適</w:t>
      </w:r>
    </w:p>
    <w:p w:rsidR="00000000" w:rsidRDefault="002E5861">
      <w:pPr>
        <w:spacing w:before="100" w:beforeAutospacing="1" w:after="100" w:afterAutospacing="1" w:line="480" w:lineRule="auto"/>
        <w:ind w:firstLineChars="200" w:firstLine="480"/>
        <w:jc w:val="both"/>
        <w:rPr>
          <w:rFonts w:hint="eastAsia"/>
        </w:rPr>
      </w:pPr>
      <w:r>
        <w:rPr>
          <w:rFonts w:hint="eastAsia"/>
        </w:rPr>
        <w:t>ㄅ</w:t>
      </w:r>
      <w:r>
        <w:rPr>
          <w:rFonts w:hint="eastAsia"/>
        </w:rPr>
        <w:t xml:space="preserve"> </w:t>
      </w:r>
      <w:r>
        <w:rPr>
          <w:rFonts w:hint="eastAsia"/>
        </w:rPr>
        <w:t>特定性</w:t>
      </w:r>
      <w:r>
        <w:rPr>
          <w:rFonts w:hint="eastAsia"/>
        </w:rPr>
        <w:t xml:space="preserve"> </w:t>
      </w:r>
      <w:r>
        <w:rPr>
          <w:rFonts w:hint="eastAsia"/>
        </w:rPr>
        <w:t>特定處分要求不作為訴訟</w:t>
      </w:r>
      <w:r>
        <w:rPr>
          <w:rFonts w:hint="eastAsia"/>
        </w:rPr>
        <w:t xml:space="preserve"> </w:t>
      </w:r>
      <w:r>
        <w:rPr>
          <w:rFonts w:hint="eastAsia"/>
        </w:rPr>
        <w:t>處分概括要求不作為訴訟</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對於私人之民事要求不作為請求之際，為避免過分限制該當私人行為必須限定要求不作為之要件及對象。但行政機關不同於私人，並不享有作為人權之行為自由，同時負有適用以及實踐法律之責，因此於行政訴訟中不需要有特別之限</w:t>
      </w:r>
      <w:r>
        <w:rPr>
          <w:rFonts w:hint="eastAsia"/>
        </w:rPr>
        <w:lastRenderedPageBreak/>
        <w:t>制</w:t>
      </w:r>
      <w:r>
        <w:rPr>
          <w:rStyle w:val="ae"/>
        </w:rPr>
        <w:footnoteReference w:id="19"/>
      </w:r>
      <w:r>
        <w:rPr>
          <w:rFonts w:hint="eastAsia"/>
        </w:rPr>
        <w:t>。於三條七項三十七條之四之要求不作為訴訟，若確認有即時確定之利益，再者若能統括地認定其違法性時，允許無法完全特定處分之內容但將一定範圍之處分作為要求不作為之對象。同條項</w:t>
      </w:r>
      <w:r>
        <w:rPr>
          <w:rFonts w:hint="eastAsia"/>
        </w:rPr>
        <w:t>所謂「特定之」處分並不限於內容完全特定之處分，而是能統括地判斷違法性以及即時確定利益之處分。以下將可特定內容之處分為對象稱為「特定處分要求不作為訴訟」，將處分統括為對象之處分稱為「特定概括要求不作為訴訟」。</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這些論點於地方自治法</w:t>
      </w:r>
      <w:r>
        <w:rPr>
          <w:rFonts w:hint="eastAsia"/>
        </w:rPr>
        <w:t>242</w:t>
      </w:r>
      <w:r>
        <w:rPr>
          <w:rFonts w:hint="eastAsia"/>
        </w:rPr>
        <w:t>之</w:t>
      </w:r>
      <w:r>
        <w:rPr>
          <w:rFonts w:hint="eastAsia"/>
        </w:rPr>
        <w:t>2</w:t>
      </w:r>
      <w:r>
        <w:rPr>
          <w:rFonts w:hint="eastAsia"/>
        </w:rPr>
        <w:t>條</w:t>
      </w:r>
      <w:r>
        <w:rPr>
          <w:rFonts w:hint="eastAsia"/>
        </w:rPr>
        <w:t>1</w:t>
      </w:r>
      <w:r>
        <w:rPr>
          <w:rFonts w:hint="eastAsia"/>
        </w:rPr>
        <w:t>項</w:t>
      </w:r>
      <w:r>
        <w:rPr>
          <w:rFonts w:hint="eastAsia"/>
        </w:rPr>
        <w:t>1</w:t>
      </w:r>
      <w:r>
        <w:rPr>
          <w:rFonts w:hint="eastAsia"/>
        </w:rPr>
        <w:t>號之住民訴訟雖與特別法所定之民眾訴訟之性格有別。但考慮與私人性質不同之行政機關對應之要求不作為訴訟之可能性時值得參考。過去之自治法</w:t>
      </w:r>
      <w:r>
        <w:rPr>
          <w:rFonts w:hint="eastAsia"/>
        </w:rPr>
        <w:t>242</w:t>
      </w:r>
      <w:r>
        <w:rPr>
          <w:rFonts w:hint="eastAsia"/>
        </w:rPr>
        <w:t>之</w:t>
      </w:r>
      <w:r>
        <w:rPr>
          <w:rFonts w:hint="eastAsia"/>
        </w:rPr>
        <w:t>2</w:t>
      </w:r>
      <w:r>
        <w:rPr>
          <w:rFonts w:hint="eastAsia"/>
        </w:rPr>
        <w:t>條</w:t>
      </w:r>
      <w:r>
        <w:rPr>
          <w:rFonts w:hint="eastAsia"/>
        </w:rPr>
        <w:t>1</w:t>
      </w:r>
      <w:r>
        <w:rPr>
          <w:rFonts w:hint="eastAsia"/>
        </w:rPr>
        <w:t>項「</w:t>
      </w:r>
      <w:r>
        <w:rPr>
          <w:rFonts w:hint="eastAsia"/>
        </w:rPr>
        <w:t>1</w:t>
      </w:r>
      <w:r>
        <w:rPr>
          <w:rFonts w:hint="eastAsia"/>
        </w:rPr>
        <w:t>號請求限於依該當行為對普通地方自治團體產生回復困難之損害之虞之情形」，但</w:t>
      </w:r>
      <w:r>
        <w:rPr>
          <w:rFonts w:hint="eastAsia"/>
        </w:rPr>
        <w:t>2002</w:t>
      </w:r>
      <w:r>
        <w:rPr>
          <w:rFonts w:hint="eastAsia"/>
        </w:rPr>
        <w:t>年修法此規定被刪除，關於要求不作</w:t>
      </w:r>
      <w:r>
        <w:rPr>
          <w:rFonts w:hint="eastAsia"/>
        </w:rPr>
        <w:t>為訴訟之容許性基本上依照訴之利益來判斷</w:t>
      </w:r>
      <w:r>
        <w:rPr>
          <w:rStyle w:val="ae"/>
        </w:rPr>
        <w:footnoteReference w:id="20"/>
      </w:r>
      <w:r>
        <w:rPr>
          <w:rFonts w:hint="eastAsia"/>
        </w:rPr>
        <w:t>。另外關於</w:t>
      </w:r>
      <w:r>
        <w:rPr>
          <w:rFonts w:hint="eastAsia"/>
        </w:rPr>
        <w:t>1</w:t>
      </w:r>
      <w:r>
        <w:rPr>
          <w:rFonts w:hint="eastAsia"/>
        </w:rPr>
        <w:t>號請求住民訴訟對象之特定，最高裁作了以下判斷：「於事前之要求不作為請求，除判斷該行為之適當與否之外，更進一步若必須依相當之確信該當行為將被進行與否為判斷時，對於相關之判斷必須於可能之程度內，判斷對象之行為之範圍必須要加以確定，才可認為該當」</w:t>
      </w:r>
      <w:r>
        <w:rPr>
          <w:rStyle w:val="ae"/>
        </w:rPr>
        <w:footnoteReference w:id="21"/>
      </w:r>
      <w:r>
        <w:rPr>
          <w:rFonts w:hint="eastAsia"/>
        </w:rPr>
        <w:t>。</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如上所述若認定將處分統括為對象之預防訴訟，主要爭點與其說是個別案</w:t>
      </w:r>
      <w:r>
        <w:rPr>
          <w:rFonts w:hint="eastAsia"/>
        </w:rPr>
        <w:lastRenderedPageBreak/>
        <w:t>件事實認定，倒不如為立法基準等之違憲性、違法性及解釋。因此行政事件訴訟法於起草過程中，關於法令效力之訴訟以及預防訴訟宣言性訴訟之制度，即使將其判決</w:t>
      </w:r>
      <w:r>
        <w:rPr>
          <w:rFonts w:hint="eastAsia"/>
        </w:rPr>
        <w:t>效果限定於當事人間也被認為可能不該當於法律上之訴訟。但會產生上述問題，主要因行政機關與私人不同，以執行法律之方式或自行事先設定基準，對於私人將其判斷過程以階段性說明並採取相關行動。預防訴訟倒不如說可對應此種行政過程之特性並根本地解決紛爭，因此只要確定即時確定之利益與請求對象之特定性的話即可防止預防訴訟超出法律爭訟之問題產生。</w:t>
      </w:r>
    </w:p>
    <w:p w:rsidR="00000000" w:rsidRDefault="002E5861">
      <w:pPr>
        <w:spacing w:before="100" w:beforeAutospacing="1" w:after="100" w:afterAutospacing="1" w:line="480" w:lineRule="auto"/>
        <w:ind w:firstLineChars="200" w:firstLine="480"/>
        <w:jc w:val="both"/>
        <w:rPr>
          <w:rFonts w:hint="eastAsia"/>
        </w:rPr>
      </w:pPr>
      <w:r>
        <w:rPr>
          <w:rFonts w:hint="eastAsia"/>
        </w:rPr>
        <w:t>ㄆ</w:t>
      </w:r>
      <w:r>
        <w:rPr>
          <w:rFonts w:hint="eastAsia"/>
        </w:rPr>
        <w:t xml:space="preserve"> </w:t>
      </w:r>
      <w:r>
        <w:rPr>
          <w:rFonts w:hint="eastAsia"/>
        </w:rPr>
        <w:t>適性</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如上所述將請求對象以統括方式掌握，相反地所謂限定請求對象之妥當性，於民事訴訟以確認對象之選擇妥當與否為問題之重點</w:t>
      </w:r>
      <w:r>
        <w:rPr>
          <w:rStyle w:val="ae"/>
        </w:rPr>
        <w:footnoteReference w:id="22"/>
      </w:r>
      <w:r>
        <w:rPr>
          <w:rFonts w:hint="eastAsia"/>
        </w:rPr>
        <w:t>。關於三十七條之四要求不作為訴訟實際上應不會產生問題。但</w:t>
      </w:r>
      <w:r>
        <w:rPr>
          <w:rFonts w:hint="eastAsia"/>
        </w:rPr>
        <w:t>如同以東京都收用委員會之權限不存在為由要求收用裁決之要求不作為訴訟般，僅以處分之形式乃至於手續之瑕疵為由所提起之要求不作為訴訟，今後仍有討論之空間。</w:t>
      </w:r>
    </w:p>
    <w:p w:rsidR="00000000" w:rsidRDefault="002E5861">
      <w:pPr>
        <w:spacing w:before="100" w:beforeAutospacing="1" w:after="100" w:afterAutospacing="1" w:line="480" w:lineRule="auto"/>
        <w:ind w:firstLineChars="200" w:firstLine="480"/>
        <w:jc w:val="both"/>
        <w:rPr>
          <w:rFonts w:hint="eastAsia"/>
        </w:rPr>
      </w:pPr>
      <w:r>
        <w:rPr>
          <w:rFonts w:hint="eastAsia"/>
        </w:rPr>
        <w:t>三</w:t>
      </w:r>
      <w:r>
        <w:rPr>
          <w:rFonts w:hint="eastAsia"/>
        </w:rPr>
        <w:t xml:space="preserve"> </w:t>
      </w:r>
      <w:r>
        <w:rPr>
          <w:rFonts w:hint="eastAsia"/>
        </w:rPr>
        <w:t>特別消極要件〈一項但書規定〉</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三十七條之四第一項但書於關於即時確定之利益規定之後緊接者規定「若有其他為避免損害之方法存在時」不能提起要求不作為訴訟。在此所謂其他方</w:t>
      </w:r>
      <w:r>
        <w:rPr>
          <w:rFonts w:hint="eastAsia"/>
        </w:rPr>
        <w:lastRenderedPageBreak/>
        <w:t>法，首先可想到公法上當事人訴訟，但因公法上訴訟與要求不作為訴訟實質上可互換，因此若如此認定的話要求不作為訴訟被承認之範疇將極度縮小。其次考慮到的是取消訴訟，但是要求不作為訴訟原本因取消訴訟無法</w:t>
      </w:r>
      <w:r>
        <w:rPr>
          <w:rFonts w:hint="eastAsia"/>
        </w:rPr>
        <w:t>足夠有效地保護權利情形，也就是取消訴訟不適用之局面要求不作為訴訟才有其存在意義。因此三十七條之四第一項本文第二項之規定為將取消訴訟無法足夠有效地保護權利情形以個別具體判別之規定。因為若以較簡略方式於第一項但書中將消極要件作為例外規定，再重新檢討取消訴訟之適當與否，將不符合條文結構</w:t>
      </w:r>
      <w:r>
        <w:rPr>
          <w:rStyle w:val="ae"/>
        </w:rPr>
        <w:footnoteReference w:id="23"/>
      </w:r>
      <w:r>
        <w:rPr>
          <w:rFonts w:hint="eastAsia"/>
        </w:rPr>
        <w:t>。</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因此三十七條之四第一項但書中所謂其他適當方法應限於以法律特別規定權利保護制度之範疇；例如取消訴訟之起訴期間及取消訴訟係屬中，不讓行政處分生效（國家公務員法</w:t>
      </w:r>
      <w:r>
        <w:rPr>
          <w:rFonts w:hint="eastAsia"/>
        </w:rPr>
        <w:t>108</w:t>
      </w:r>
      <w:r>
        <w:rPr>
          <w:rFonts w:hint="eastAsia"/>
        </w:rPr>
        <w:t>之</w:t>
      </w:r>
      <w:r>
        <w:rPr>
          <w:rFonts w:hint="eastAsia"/>
        </w:rPr>
        <w:t>3</w:t>
      </w:r>
      <w:r>
        <w:rPr>
          <w:rFonts w:hint="eastAsia"/>
        </w:rPr>
        <w:t>⑧）或停止其執行（自治法</w:t>
      </w:r>
      <w:r>
        <w:rPr>
          <w:rFonts w:hint="eastAsia"/>
        </w:rPr>
        <w:t>231</w:t>
      </w:r>
      <w:r>
        <w:rPr>
          <w:rFonts w:hint="eastAsia"/>
        </w:rPr>
        <w:t>之</w:t>
      </w:r>
      <w:r>
        <w:rPr>
          <w:rFonts w:hint="eastAsia"/>
        </w:rPr>
        <w:t>3</w:t>
      </w:r>
      <w:r>
        <w:rPr>
          <w:rFonts w:hint="eastAsia"/>
        </w:rPr>
        <w:t>⑩），或因訴訟之提起而停</w:t>
      </w:r>
      <w:r>
        <w:rPr>
          <w:rFonts w:hint="eastAsia"/>
        </w:rPr>
        <w:t>止執行者</w:t>
      </w:r>
      <w:r>
        <w:rPr>
          <w:rFonts w:hint="eastAsia"/>
        </w:rPr>
        <w:t>(</w:t>
      </w:r>
      <w:r>
        <w:rPr>
          <w:rFonts w:hint="eastAsia"/>
        </w:rPr>
        <w:t>國稅徵收法</w:t>
      </w:r>
      <w:r>
        <w:rPr>
          <w:rFonts w:hint="eastAsia"/>
        </w:rPr>
        <w:t>90</w:t>
      </w:r>
      <w:r>
        <w:rPr>
          <w:rFonts w:hint="eastAsia"/>
        </w:rPr>
        <w:t>③</w:t>
      </w:r>
      <w:r>
        <w:rPr>
          <w:rFonts w:hint="eastAsia"/>
        </w:rPr>
        <w:t>)</w:t>
      </w:r>
      <w:r>
        <w:rPr>
          <w:rFonts w:hint="eastAsia"/>
        </w:rPr>
        <w:t>等行政事件訴訟法第二十五條之例外，也就是所謂絕對停止制度。此制度於特定情況作為準執行停止之要求不作為訴訟之利益當然否定三十七條之四第一項但書之意旨。但行政事件訴訟法二十五條例外規定因仍屬少數，關於行政處分若允許作為執行停止之要求不作為訴訟之情況下，即使依照三十七條之四第一項本文第二項之規定因原本是例外情形，所以一項但書規定否定訴之利益之意義不是很大。</w:t>
      </w:r>
    </w:p>
    <w:p w:rsidR="00000000" w:rsidRDefault="002E5861">
      <w:pPr>
        <w:spacing w:before="100" w:beforeAutospacing="1" w:after="100" w:afterAutospacing="1" w:line="480" w:lineRule="auto"/>
        <w:ind w:firstLineChars="200" w:firstLine="480"/>
        <w:jc w:val="both"/>
        <w:rPr>
          <w:rFonts w:hint="eastAsia"/>
        </w:rPr>
      </w:pPr>
      <w:r>
        <w:rPr>
          <w:rFonts w:hint="eastAsia"/>
        </w:rPr>
        <w:lastRenderedPageBreak/>
        <w:t>四</w:t>
      </w:r>
      <w:r>
        <w:rPr>
          <w:rFonts w:hint="eastAsia"/>
        </w:rPr>
        <w:t xml:space="preserve"> </w:t>
      </w:r>
      <w:r>
        <w:rPr>
          <w:rFonts w:hint="eastAsia"/>
        </w:rPr>
        <w:t>原告適格三項四項〈訴之利益效滅〉</w:t>
      </w:r>
    </w:p>
    <w:p w:rsidR="00000000" w:rsidRDefault="002E5861">
      <w:pPr>
        <w:spacing w:before="100" w:beforeAutospacing="1" w:after="100" w:afterAutospacing="1" w:line="480" w:lineRule="auto"/>
        <w:ind w:firstLineChars="200" w:firstLine="480"/>
        <w:jc w:val="both"/>
        <w:rPr>
          <w:rFonts w:hint="eastAsia"/>
        </w:rPr>
      </w:pPr>
      <w:r>
        <w:rPr>
          <w:rFonts w:hint="eastAsia"/>
        </w:rPr>
        <w:t>ㄅ</w:t>
      </w:r>
      <w:r>
        <w:rPr>
          <w:rFonts w:hint="eastAsia"/>
        </w:rPr>
        <w:t xml:space="preserve"> </w:t>
      </w:r>
      <w:r>
        <w:rPr>
          <w:rFonts w:hint="eastAsia"/>
        </w:rPr>
        <w:t>原告適格與主張限制</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三十七條三項四項如同取消訴訟九條一項、二項般為有關要求不作為訴訟</w:t>
      </w:r>
      <w:r>
        <w:rPr>
          <w:rFonts w:hint="eastAsia"/>
        </w:rPr>
        <w:t>之原告適格規定（括弧但書除外）。因此與九條一項、二項並無特別做不同解釋之必要。關於九條規定經常討論的是處分之第三人之原告適格，此次雖新增設第二項但關於要求不作為訴訟對於第三者承認其即時確定利益之情形不多，因此第三人之原告適格如同取消訴訟般並不構成太大問題。即使如此關於九條之十條一項不能準用要求不作為訴訟（行政事件訴訟法</w:t>
      </w:r>
      <w:r>
        <w:rPr>
          <w:rFonts w:hint="eastAsia"/>
        </w:rPr>
        <w:t>38</w:t>
      </w:r>
      <w:r>
        <w:rPr>
          <w:rFonts w:hint="eastAsia"/>
        </w:rPr>
        <w:t>条），其原因主要在於與取消訴訟間欠缺均衡。</w:t>
      </w:r>
    </w:p>
    <w:p w:rsidR="00000000" w:rsidRDefault="002E5861">
      <w:pPr>
        <w:spacing w:before="100" w:beforeAutospacing="1" w:after="100" w:afterAutospacing="1" w:line="480" w:lineRule="auto"/>
        <w:ind w:firstLineChars="200" w:firstLine="480"/>
        <w:jc w:val="both"/>
        <w:rPr>
          <w:rFonts w:hint="eastAsia"/>
        </w:rPr>
      </w:pPr>
      <w:r>
        <w:rPr>
          <w:rFonts w:hint="eastAsia"/>
        </w:rPr>
        <w:t>ㄆ</w:t>
      </w:r>
      <w:r>
        <w:rPr>
          <w:rFonts w:hint="eastAsia"/>
        </w:rPr>
        <w:t xml:space="preserve"> </w:t>
      </w:r>
      <w:r>
        <w:rPr>
          <w:rFonts w:hint="eastAsia"/>
        </w:rPr>
        <w:t>訴之利益之消滅</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另外關於取消訴訟九條括號問題，關於請求要求不作為之訴之利益之消滅之問題，若以公權力事實行為為對象之訴訟時，則訴之利益之消</w:t>
      </w:r>
      <w:r>
        <w:rPr>
          <w:rFonts w:hint="eastAsia"/>
        </w:rPr>
        <w:t>滅為該當事實行為完了之時。其他關於「特定處分要求不作為訴訟」之情況，則訴之利益之消滅為該當行政處分完了時。相對地於「處分統括要求不作為訴訟」之情況，訴之利益之消滅則為該當處分將被進行之蓋然性消滅之時。</w:t>
      </w:r>
      <w:r>
        <w:rPr>
          <w:rFonts w:hint="eastAsia"/>
        </w:rPr>
        <w:t xml:space="preserve"> </w:t>
      </w:r>
    </w:p>
    <w:p w:rsidR="00000000" w:rsidRDefault="002E5861">
      <w:pPr>
        <w:spacing w:before="100" w:beforeAutospacing="1" w:after="100" w:afterAutospacing="1" w:line="480" w:lineRule="auto"/>
        <w:ind w:firstLineChars="200" w:firstLine="480"/>
        <w:jc w:val="both"/>
        <w:rPr>
          <w:rFonts w:hint="eastAsia"/>
        </w:rPr>
      </w:pPr>
      <w:r>
        <w:rPr>
          <w:rFonts w:hint="eastAsia"/>
        </w:rPr>
        <w:t>「特定處分要求不作為訴訟」於處分後可將訴訟變更為取消訴訟，相對地「處分統括要求不作為訴訟」之係屬中若個別處分被進行時，若無提起取消訴訟將無</w:t>
      </w:r>
      <w:r>
        <w:rPr>
          <w:rFonts w:hint="eastAsia"/>
        </w:rPr>
        <w:lastRenderedPageBreak/>
        <w:t>法否定個別處分之效力。</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再者相反地，處分取消訴訟之訴之利益消滅後，為防止以共通根據法所為之處分重複地進行，應可允許將訴訟變更為「處分統括要求不作為訴訟」或公法上當事者</w:t>
      </w:r>
      <w:r>
        <w:rPr>
          <w:rFonts w:hint="eastAsia"/>
        </w:rPr>
        <w:t>訴訟。例如依據河川法上監督處分被命除去工作物之人，其主張設置工作物自己之土地並非河川區域而提起取消訴訟，但訴訟係屬中若因行政代執行導致訴之利益消滅時，應可允許該人請求變更訴訟為確認自己之土地並非河川區域之公法上當事者訴訟。此時為了承認後訴之訴之利益，再次需要私人為同種行為，行政機關為同種處分之蓋然性存在，但為了不要浪費前訴手續之經費基於訴訟經濟考量應該緩和蓋然性之程度</w:t>
      </w:r>
      <w:r>
        <w:rPr>
          <w:rStyle w:val="ae"/>
        </w:rPr>
        <w:footnoteReference w:id="24"/>
      </w:r>
      <w:r>
        <w:rPr>
          <w:rFonts w:hint="eastAsia"/>
        </w:rPr>
        <w:t>。</w:t>
      </w:r>
    </w:p>
    <w:p w:rsidR="00000000" w:rsidRDefault="002E5861">
      <w:pPr>
        <w:spacing w:before="100" w:beforeAutospacing="1" w:after="100" w:afterAutospacing="1" w:line="480" w:lineRule="auto"/>
        <w:ind w:firstLineChars="200" w:firstLine="480"/>
        <w:jc w:val="both"/>
        <w:rPr>
          <w:rFonts w:hint="eastAsia"/>
        </w:rPr>
      </w:pPr>
      <w:r>
        <w:rPr>
          <w:rFonts w:hint="eastAsia"/>
        </w:rPr>
        <w:t>五</w:t>
      </w:r>
      <w:r>
        <w:rPr>
          <w:rFonts w:hint="eastAsia"/>
        </w:rPr>
        <w:t xml:space="preserve"> </w:t>
      </w:r>
      <w:r>
        <w:rPr>
          <w:rFonts w:hint="eastAsia"/>
        </w:rPr>
        <w:t>本案勝訴要件判決</w:t>
      </w:r>
      <w:r>
        <w:rPr>
          <w:rStyle w:val="ae"/>
        </w:rPr>
        <w:footnoteReference w:id="25"/>
      </w:r>
    </w:p>
    <w:p w:rsidR="00000000" w:rsidRDefault="002E5861">
      <w:pPr>
        <w:spacing w:before="100" w:beforeAutospacing="1" w:after="100" w:afterAutospacing="1" w:line="480" w:lineRule="auto"/>
        <w:ind w:firstLineChars="200" w:firstLine="480"/>
        <w:jc w:val="both"/>
        <w:rPr>
          <w:rFonts w:hint="eastAsia"/>
        </w:rPr>
      </w:pPr>
      <w:r>
        <w:rPr>
          <w:rFonts w:hint="eastAsia"/>
        </w:rPr>
        <w:t>三十七條之四第五項</w:t>
      </w:r>
      <w:r>
        <w:rPr>
          <w:rFonts w:hint="eastAsia"/>
        </w:rPr>
        <w:t xml:space="preserve"> </w:t>
      </w:r>
      <w:r>
        <w:rPr>
          <w:rFonts w:hint="eastAsia"/>
        </w:rPr>
        <w:t>〈主要規定本案勝訴要件以及判決〉</w:t>
      </w:r>
    </w:p>
    <w:p w:rsidR="00000000" w:rsidRDefault="002E5861">
      <w:pPr>
        <w:spacing w:before="100" w:beforeAutospacing="1" w:after="100" w:afterAutospacing="1" w:line="480" w:lineRule="auto"/>
        <w:ind w:firstLineChars="200" w:firstLine="480"/>
        <w:jc w:val="both"/>
        <w:rPr>
          <w:rFonts w:hint="eastAsia"/>
        </w:rPr>
      </w:pPr>
      <w:r>
        <w:rPr>
          <w:rFonts w:hint="eastAsia"/>
        </w:rPr>
        <w:t>ㄅ</w:t>
      </w:r>
      <w:r>
        <w:rPr>
          <w:rFonts w:hint="eastAsia"/>
        </w:rPr>
        <w:t xml:space="preserve"> </w:t>
      </w:r>
      <w:r>
        <w:rPr>
          <w:rFonts w:hint="eastAsia"/>
        </w:rPr>
        <w:t>本案勝訴要件</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本案勝訴要件為①若從該處分或裁決之依據</w:t>
      </w:r>
      <w:r>
        <w:rPr>
          <w:rFonts w:hint="eastAsia"/>
        </w:rPr>
        <w:t>法令可明確認定行政機關不應為該處分或裁決②或行政機關為該處分或裁決乃逾越其裁量權範圍或濫用裁量</w:t>
      </w:r>
      <w:r>
        <w:rPr>
          <w:rFonts w:hint="eastAsia"/>
        </w:rPr>
        <w:lastRenderedPageBreak/>
        <w:t>權時。</w:t>
      </w:r>
    </w:p>
    <w:p w:rsidR="00000000" w:rsidRDefault="002E5861">
      <w:pPr>
        <w:spacing w:before="100" w:beforeAutospacing="1" w:after="100" w:afterAutospacing="1" w:line="480" w:lineRule="auto"/>
        <w:ind w:firstLineChars="200" w:firstLine="480"/>
        <w:jc w:val="both"/>
        <w:rPr>
          <w:rFonts w:hint="eastAsia"/>
        </w:rPr>
      </w:pPr>
      <w:r>
        <w:rPr>
          <w:rFonts w:hint="eastAsia"/>
        </w:rPr>
        <w:t>①之要件過去於下級審雖被作為法定外抗告訴訟之容許要件，但與意義不明白之明白性要件不同，其性質為本案勝訴要件。再者新法中與②之要件作並列規定，因此①之要件中所謂「從依據法令可明確」乃指法規命令不承認行政機關有裁量，並拘束對於不進行處分之行政機關之意含。①②之規定將要求不作為訴訟與公法上當事者訴訟作區隔之訴訟類型，為了於條文上完整地表現因此只要是行政訴訟當然應本案審理之要件加以訂定而已，換言之此規定並非特別限制</w:t>
      </w:r>
      <w:r>
        <w:rPr>
          <w:rFonts w:hint="eastAsia"/>
        </w:rPr>
        <w:t>本案勝訴要件，例如處分之根據法若為違憲時或根據條例牴觸法律時，依照條文文字敘述雖不該當於①②之要件但並非否定要求不作為之可能。</w:t>
      </w:r>
    </w:p>
    <w:p w:rsidR="00000000" w:rsidRDefault="002E5861">
      <w:pPr>
        <w:spacing w:before="100" w:beforeAutospacing="1" w:after="100" w:afterAutospacing="1" w:line="480" w:lineRule="auto"/>
        <w:ind w:firstLineChars="200" w:firstLine="480"/>
        <w:jc w:val="both"/>
        <w:rPr>
          <w:rFonts w:hint="eastAsia"/>
        </w:rPr>
      </w:pPr>
      <w:r>
        <w:rPr>
          <w:rFonts w:hint="eastAsia"/>
        </w:rPr>
        <w:t>ㄆ</w:t>
      </w:r>
      <w:r>
        <w:rPr>
          <w:rFonts w:hint="eastAsia"/>
        </w:rPr>
        <w:t xml:space="preserve"> </w:t>
      </w:r>
      <w:r>
        <w:rPr>
          <w:rFonts w:hint="eastAsia"/>
        </w:rPr>
        <w:t>請求容許判決</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要求不作為訴訟之請求容許判決為「命行政機關須為……之處分或裁決」之形式。形式上為給付判決。其後行政機關之行動將受到要求不作為判決之既判力所拘束。相對地關於行政處分取消判決，依通說見解，行政機關爾後被禁止對同一處分之反覆進行，並非因判決之既判力而是作為特殊效力之拘束力所賦予。但若考慮要求不作為訴訟可變更為取消訴訟之可能性，今後為考慮整合兩者之既判力及範圍，學說理</w:t>
      </w:r>
      <w:r>
        <w:rPr>
          <w:rFonts w:hint="eastAsia"/>
        </w:rPr>
        <w:t>論上須重新檢討。再者要求不作為判決之拘束力其固有之機能為何，也須再檢討。</w:t>
      </w:r>
    </w:p>
    <w:p w:rsidR="00000000" w:rsidRDefault="002E5861">
      <w:pPr>
        <w:spacing w:before="100" w:beforeAutospacing="1" w:after="100" w:afterAutospacing="1" w:line="480" w:lineRule="auto"/>
        <w:ind w:firstLineChars="200" w:firstLine="480"/>
        <w:jc w:val="both"/>
        <w:rPr>
          <w:rFonts w:hint="eastAsia"/>
        </w:rPr>
      </w:pPr>
      <w:r>
        <w:rPr>
          <w:rFonts w:hint="eastAsia"/>
        </w:rPr>
        <w:t xml:space="preserve">  </w:t>
      </w:r>
      <w:r>
        <w:rPr>
          <w:rFonts w:hint="eastAsia"/>
        </w:rPr>
        <w:t>再者因要求不作為訴訟並沒有對世效，因此由第三人所為要求不作為之訴</w:t>
      </w:r>
      <w:r>
        <w:rPr>
          <w:rFonts w:hint="eastAsia"/>
        </w:rPr>
        <w:lastRenderedPageBreak/>
        <w:t>中</w:t>
      </w:r>
      <w:r>
        <w:rPr>
          <w:rFonts w:hint="eastAsia"/>
        </w:rPr>
        <w:t xml:space="preserve"> </w:t>
      </w:r>
      <w:r>
        <w:rPr>
          <w:rFonts w:hint="eastAsia"/>
        </w:rPr>
        <w:t>若非依照行政事件訴訟法三十八條準用二十二條，讓處分接受人参與訴訟並於判決中承認參加之效力的話，即使是要求不作為訴訟有無法禁止對於處分接受人提起要求其為特定處分之課與義務之訴可能性。</w:t>
      </w:r>
    </w:p>
    <w:p w:rsidR="00000000" w:rsidRDefault="002E5861">
      <w:pPr>
        <w:spacing w:before="100" w:beforeAutospacing="1" w:after="100" w:afterAutospacing="1" w:line="480" w:lineRule="auto"/>
        <w:ind w:firstLineChars="200" w:firstLine="480"/>
        <w:jc w:val="both"/>
        <w:rPr>
          <w:rFonts w:hint="eastAsia"/>
        </w:rPr>
      </w:pPr>
      <w:r>
        <w:rPr>
          <w:rFonts w:hint="eastAsia"/>
        </w:rPr>
        <w:t>ㄇ</w:t>
      </w:r>
      <w:r>
        <w:rPr>
          <w:rFonts w:hint="eastAsia"/>
        </w:rPr>
        <w:t xml:space="preserve"> </w:t>
      </w:r>
      <w:r>
        <w:rPr>
          <w:rFonts w:hint="eastAsia"/>
        </w:rPr>
        <w:t>請求棄卻判決</w:t>
      </w:r>
    </w:p>
    <w:p w:rsidR="002E5861" w:rsidRDefault="002E5861">
      <w:pPr>
        <w:spacing w:before="100" w:beforeAutospacing="1" w:after="100" w:afterAutospacing="1" w:line="480" w:lineRule="auto"/>
        <w:ind w:firstLineChars="200" w:firstLine="480"/>
        <w:jc w:val="both"/>
        <w:rPr>
          <w:rFonts w:ascii="標楷體" w:eastAsia="標楷體" w:hAnsi="標楷體" w:hint="eastAsia"/>
          <w:sz w:val="32"/>
        </w:rPr>
      </w:pPr>
      <w:r>
        <w:rPr>
          <w:rFonts w:hint="eastAsia"/>
        </w:rPr>
        <w:t>關於處分統括要求不作為訴訟之請求棄卻判決，要注意以下幾點：處分統括要求不作為訴訟之審理對象</w:t>
      </w:r>
      <w:r>
        <w:rPr>
          <w:rFonts w:hint="eastAsia"/>
        </w:rPr>
        <w:t xml:space="preserve"> </w:t>
      </w:r>
      <w:r>
        <w:rPr>
          <w:rFonts w:hint="eastAsia"/>
        </w:rPr>
        <w:t>限於能概括判斷之違法事由，因此請求棄卻判決也僅限於以概括判斷處分之違法性為</w:t>
      </w:r>
      <w:r>
        <w:rPr>
          <w:rFonts w:hint="eastAsia"/>
        </w:rPr>
        <w:t>理由以遮斷事後原告向法院主張處分之取消，而法院將處分加以取消之情形。相對地概括無法判斷、個別處分中固有之違法性為理由，於伺後原告對於處分加以爭訟，法院加以取消處分等事由處分統括要求不作為訴訟請求判決之既判力所不能遮斷的。</w:t>
      </w:r>
      <w:r>
        <w:rPr>
          <w:rFonts w:ascii="標楷體" w:eastAsia="標楷體" w:hAnsi="標楷體" w:hint="eastAsia"/>
          <w:sz w:val="32"/>
        </w:rPr>
        <w:t xml:space="preserve"> </w:t>
      </w:r>
    </w:p>
    <w:sectPr w:rsidR="002E5861">
      <w:footerReference w:type="even" r:id="rId7"/>
      <w:footerReference w:type="default" r:id="rId8"/>
      <w:pgSz w:w="11906" w:h="16838"/>
      <w:pgMar w:top="1418" w:right="1758" w:bottom="1418"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61" w:rsidRDefault="002E5861">
      <w:r>
        <w:separator/>
      </w:r>
    </w:p>
  </w:endnote>
  <w:endnote w:type="continuationSeparator" w:id="0">
    <w:p w:rsidR="002E5861" w:rsidRDefault="002E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E5861">
    <w:pPr>
      <w:pStyle w:val="a6"/>
      <w:framePr w:wrap="around" w:vAnchor="text" w:hAnchor="margin" w:xAlign="center" w:y="1"/>
      <w:rPr>
        <w:rStyle w:val="a7"/>
      </w:rPr>
    </w:pPr>
    <w:r>
      <w:rPr>
        <w:rStyle w:val="a7"/>
      </w:rPr>
      <w:fldChar w:fldCharType="begin"/>
    </w:r>
    <w:r>
      <w:rPr>
        <w:rStyle w:val="a7"/>
      </w:rPr>
      <w:instrText>PA</w:instrText>
    </w:r>
    <w:r>
      <w:rPr>
        <w:rStyle w:val="a7"/>
      </w:rPr>
      <w:instrText xml:space="preserve">GE  </w:instrText>
    </w:r>
    <w:r>
      <w:rPr>
        <w:rStyle w:val="a7"/>
      </w:rPr>
      <w:fldChar w:fldCharType="end"/>
    </w:r>
  </w:p>
  <w:p w:rsidR="00000000" w:rsidRDefault="002E58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E586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4A65">
      <w:rPr>
        <w:rStyle w:val="a7"/>
        <w:noProof/>
      </w:rPr>
      <w:t>19</w:t>
    </w:r>
    <w:r>
      <w:rPr>
        <w:rStyle w:val="a7"/>
      </w:rPr>
      <w:fldChar w:fldCharType="end"/>
    </w:r>
  </w:p>
  <w:p w:rsidR="00000000" w:rsidRDefault="002E58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61" w:rsidRDefault="002E5861">
      <w:pPr>
        <w:snapToGrid w:val="0"/>
        <w:spacing w:beforeLines="50" w:before="120" w:afterLines="50" w:after="120" w:line="360" w:lineRule="auto"/>
      </w:pPr>
      <w:r>
        <w:separator/>
      </w:r>
    </w:p>
  </w:footnote>
  <w:footnote w:type="continuationSeparator" w:id="0">
    <w:p w:rsidR="002E5861" w:rsidRDefault="002E5861">
      <w:pPr>
        <w:snapToGrid w:val="0"/>
        <w:spacing w:beforeLines="50" w:before="120" w:afterLines="50" w:after="120" w:line="360" w:lineRule="auto"/>
      </w:pPr>
      <w:r>
        <w:continuationSeparator/>
      </w:r>
    </w:p>
  </w:footnote>
  <w:footnote w:id="1">
    <w:p w:rsidR="00000000" w:rsidRDefault="002E5861">
      <w:pPr>
        <w:pStyle w:val="ad"/>
        <w:spacing w:line="360" w:lineRule="auto"/>
        <w:jc w:val="both"/>
      </w:pPr>
      <w:r>
        <w:rPr>
          <w:rStyle w:val="ae"/>
        </w:rPr>
        <w:footnoteRef/>
      </w:r>
      <w:r>
        <w:t xml:space="preserve"> </w:t>
      </w:r>
      <w:r>
        <w:rPr>
          <w:rFonts w:hAnsi="新細明體"/>
        </w:rPr>
        <w:t>第九條（原告適格</w:t>
      </w:r>
      <w:r>
        <w:t>)</w:t>
      </w:r>
    </w:p>
    <w:p w:rsidR="00000000" w:rsidRDefault="002E5861">
      <w:pPr>
        <w:pStyle w:val="ad"/>
        <w:spacing w:line="360" w:lineRule="auto"/>
        <w:jc w:val="both"/>
      </w:pPr>
      <w:r>
        <w:t>II.</w:t>
      </w:r>
      <w:r>
        <w:rPr>
          <w:rFonts w:hAnsi="新細明體"/>
        </w:rPr>
        <w:t>法院關於處分或裁決相對人以外之人於判斷是否有前項規定法律上之利益時</w:t>
      </w:r>
      <w:r>
        <w:t xml:space="preserve"> </w:t>
      </w:r>
      <w:r>
        <w:rPr>
          <w:rFonts w:hAnsi="新細明體"/>
        </w:rPr>
        <w:t>不僅該當處分或裁決之根據之法律規定</w:t>
      </w:r>
      <w:r>
        <w:t xml:space="preserve"> </w:t>
      </w:r>
      <w:r>
        <w:rPr>
          <w:rFonts w:hAnsi="新細明體"/>
        </w:rPr>
        <w:t>更應考慮該當法律之旨趣及目的，再者於該當處分中應被考慮利益之內容及性質。於此情形下，於考慮該當法律之旨趣及目的時與該當法令有共通目的之相關法令存在時，也須</w:t>
      </w:r>
      <w:r>
        <w:rPr>
          <w:rFonts w:hAnsi="新細明體"/>
        </w:rPr>
        <w:t>同時斟酌該相關法令之旨趣及目的。於考慮該當利益之內容及性質時，也應斟酌該當處分或裁決違反其依據法令時將遭受損害之利益之內容及性質、以及遭受損害之態樣及程度。</w:t>
      </w:r>
    </w:p>
  </w:footnote>
  <w:footnote w:id="2">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山本隆司「差し止めの訴えの法定」『改正行政事件訴訟法』小早川光郎＝高橋滋（編著）（第一法規・</w:t>
      </w:r>
      <w:r>
        <w:rPr>
          <w:lang w:eastAsia="ja-JP"/>
        </w:rPr>
        <w:t>2003</w:t>
      </w:r>
      <w:r>
        <w:rPr>
          <w:rFonts w:hAnsi="新細明體"/>
          <w:lang w:eastAsia="ja-JP"/>
        </w:rPr>
        <w:t>年）</w:t>
      </w:r>
      <w:r>
        <w:rPr>
          <w:lang w:val="de-DE" w:eastAsia="ja-JP"/>
        </w:rPr>
        <w:t>74</w:t>
      </w:r>
      <w:r>
        <w:rPr>
          <w:rFonts w:hAnsi="新細明體"/>
          <w:lang w:eastAsia="ja-JP"/>
        </w:rPr>
        <w:t>頁以下。</w:t>
      </w:r>
    </w:p>
  </w:footnote>
  <w:footnote w:id="3">
    <w:p w:rsidR="00000000" w:rsidRDefault="002E5861">
      <w:pPr>
        <w:pStyle w:val="ad"/>
        <w:spacing w:line="360" w:lineRule="auto"/>
        <w:jc w:val="both"/>
      </w:pPr>
      <w:r>
        <w:rPr>
          <w:rStyle w:val="ae"/>
        </w:rPr>
        <w:footnoteRef/>
      </w:r>
      <w:r>
        <w:t xml:space="preserve"> </w:t>
      </w:r>
      <w:r>
        <w:rPr>
          <w:rFonts w:hAnsi="新細明體"/>
        </w:rPr>
        <w:t>塩野宏『行政法</w:t>
      </w:r>
      <w:r>
        <w:rPr>
          <w:rFonts w:ascii="新細明體" w:hAnsi="新細明體"/>
        </w:rPr>
        <w:t>Ⅱ</w:t>
      </w:r>
      <w:r>
        <w:rPr>
          <w:rFonts w:hAnsi="新細明體"/>
        </w:rPr>
        <w:t xml:space="preserve">』有斐閣　</w:t>
      </w:r>
      <w:r>
        <w:t>85</w:t>
      </w:r>
      <w:r>
        <w:rPr>
          <w:rFonts w:hAnsi="新細明體"/>
        </w:rPr>
        <w:t>頁以下。</w:t>
      </w:r>
    </w:p>
  </w:footnote>
  <w:footnote w:id="4">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南</w:t>
      </w:r>
      <w:r>
        <w:rPr>
          <w:lang w:eastAsia="ja-JP"/>
        </w:rPr>
        <w:t>=</w:t>
      </w:r>
      <w:r>
        <w:rPr>
          <w:rFonts w:hAnsi="新細明體"/>
          <w:lang w:eastAsia="ja-JP"/>
        </w:rPr>
        <w:t>高橋編・条解</w:t>
      </w:r>
      <w:r>
        <w:rPr>
          <w:lang w:eastAsia="ja-JP"/>
        </w:rPr>
        <w:t>54</w:t>
      </w:r>
      <w:r>
        <w:rPr>
          <w:rFonts w:hAnsi="新細明體"/>
          <w:lang w:eastAsia="ja-JP"/>
        </w:rPr>
        <w:t>頁［高橋滋］</w:t>
      </w:r>
    </w:p>
  </w:footnote>
  <w:footnote w:id="5">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關於取消部分，南</w:t>
      </w:r>
      <w:r>
        <w:rPr>
          <w:lang w:eastAsia="ja-JP"/>
        </w:rPr>
        <w:t>=</w:t>
      </w:r>
      <w:r>
        <w:rPr>
          <w:rFonts w:hAnsi="新細明體"/>
          <w:lang w:eastAsia="ja-JP"/>
        </w:rPr>
        <w:t>高橋編・条解</w:t>
      </w:r>
      <w:r>
        <w:rPr>
          <w:lang w:eastAsia="ja-JP"/>
        </w:rPr>
        <w:t>54</w:t>
      </w:r>
      <w:r>
        <w:rPr>
          <w:rFonts w:hAnsi="新細明體"/>
          <w:lang w:eastAsia="ja-JP"/>
        </w:rPr>
        <w:t>頁［高木光］關於起訴期間部分塩野宏『行政法</w:t>
      </w:r>
      <w:r>
        <w:rPr>
          <w:rFonts w:ascii="新細明體" w:hAnsi="新細明體"/>
          <w:lang w:eastAsia="ja-JP"/>
        </w:rPr>
        <w:t>Ⅰ</w:t>
      </w:r>
      <w:r>
        <w:rPr>
          <w:rFonts w:hAnsi="新細明體"/>
          <w:lang w:eastAsia="ja-JP"/>
        </w:rPr>
        <w:t>』</w:t>
      </w:r>
      <w:r>
        <w:rPr>
          <w:lang w:eastAsia="ja-JP"/>
        </w:rPr>
        <w:t>225</w:t>
      </w:r>
      <w:r>
        <w:rPr>
          <w:rFonts w:hAnsi="新細明體"/>
          <w:lang w:eastAsia="ja-JP"/>
        </w:rPr>
        <w:t>頁『行政法</w:t>
      </w:r>
      <w:r>
        <w:rPr>
          <w:rFonts w:ascii="新細明體" w:hAnsi="新細明體"/>
          <w:lang w:eastAsia="ja-JP"/>
        </w:rPr>
        <w:t>Ⅱ</w:t>
      </w:r>
      <w:r>
        <w:rPr>
          <w:rFonts w:hAnsi="新細明體"/>
          <w:lang w:eastAsia="ja-JP"/>
        </w:rPr>
        <w:t>』</w:t>
      </w:r>
      <w:r>
        <w:rPr>
          <w:lang w:eastAsia="ja-JP"/>
        </w:rPr>
        <w:t>96</w:t>
      </w:r>
      <w:r>
        <w:rPr>
          <w:rFonts w:hAnsi="新細明體"/>
          <w:lang w:eastAsia="ja-JP"/>
        </w:rPr>
        <w:t>頁。</w:t>
      </w:r>
    </w:p>
  </w:footnote>
  <w:footnote w:id="6">
    <w:p w:rsidR="00000000" w:rsidRDefault="002E5861">
      <w:pPr>
        <w:pStyle w:val="ad"/>
        <w:spacing w:line="360" w:lineRule="auto"/>
        <w:jc w:val="both"/>
      </w:pPr>
      <w:r>
        <w:rPr>
          <w:rStyle w:val="ae"/>
        </w:rPr>
        <w:footnoteRef/>
      </w:r>
      <w:r>
        <w:t xml:space="preserve"> </w:t>
      </w:r>
      <w:r>
        <w:rPr>
          <w:rFonts w:hAnsi="新細明體"/>
        </w:rPr>
        <w:t>第四十四條</w:t>
      </w:r>
      <w:r>
        <w:t xml:space="preserve"> </w:t>
      </w:r>
      <w:r>
        <w:rPr>
          <w:rFonts w:hAnsi="新細明體"/>
        </w:rPr>
        <w:t>假處分之排除</w:t>
      </w:r>
    </w:p>
    <w:p w:rsidR="00000000" w:rsidRDefault="002E5861">
      <w:pPr>
        <w:pStyle w:val="ad"/>
        <w:spacing w:line="360" w:lineRule="auto"/>
        <w:jc w:val="both"/>
      </w:pPr>
      <w:r>
        <w:rPr>
          <w:rFonts w:hAnsi="新細明體"/>
        </w:rPr>
        <w:t>行政機</w:t>
      </w:r>
      <w:r>
        <w:rPr>
          <w:rFonts w:hAnsi="新細明體"/>
        </w:rPr>
        <w:t>關之處分以及其他該當於公權力行使之行為</w:t>
      </w:r>
      <w:r>
        <w:t xml:space="preserve"> </w:t>
      </w:r>
      <w:r>
        <w:rPr>
          <w:rFonts w:hAnsi="新細明體"/>
        </w:rPr>
        <w:t>不能行使民事保全法中有關假處分之規定。</w:t>
      </w:r>
    </w:p>
  </w:footnote>
  <w:footnote w:id="7">
    <w:p w:rsidR="00000000" w:rsidRDefault="002E5861">
      <w:pPr>
        <w:pStyle w:val="ad"/>
        <w:spacing w:line="360" w:lineRule="auto"/>
        <w:jc w:val="both"/>
      </w:pPr>
      <w:r>
        <w:rPr>
          <w:rStyle w:val="ae"/>
        </w:rPr>
        <w:footnoteRef/>
      </w:r>
      <w:r>
        <w:t xml:space="preserve"> </w:t>
      </w:r>
      <w:r>
        <w:rPr>
          <w:rFonts w:hAnsi="新細明體"/>
        </w:rPr>
        <w:t>第二十五條</w:t>
      </w:r>
    </w:p>
    <w:p w:rsidR="00000000" w:rsidRDefault="002E5861">
      <w:pPr>
        <w:pStyle w:val="ad"/>
        <w:spacing w:line="360" w:lineRule="auto"/>
        <w:jc w:val="both"/>
        <w:rPr>
          <w:rFonts w:hint="eastAsia"/>
          <w:color w:val="FF0000"/>
          <w:lang w:val="de-DE"/>
        </w:rPr>
      </w:pPr>
      <w:r>
        <w:rPr>
          <w:rFonts w:hAnsi="新細明體"/>
          <w:color w:val="FF0000"/>
        </w:rPr>
        <w:t>處分之取消之訴之提起不妨礙處分之效力</w:t>
      </w:r>
      <w:r>
        <w:rPr>
          <w:rFonts w:ascii="新細明體" w:hAnsi="新細明體" w:hint="eastAsia"/>
          <w:color w:val="FF0000"/>
        </w:rPr>
        <w:t>、</w:t>
      </w:r>
      <w:r>
        <w:rPr>
          <w:rFonts w:hAnsi="新細明體"/>
          <w:color w:val="FF0000"/>
        </w:rPr>
        <w:t>處分之執行或手續之進行</w:t>
      </w:r>
      <w:r>
        <w:rPr>
          <w:rFonts w:hAnsi="新細明體" w:hint="eastAsia"/>
          <w:color w:val="FF0000"/>
          <w:lang w:val="de-DE"/>
        </w:rPr>
        <w:t>。</w:t>
      </w:r>
    </w:p>
    <w:p w:rsidR="00000000" w:rsidRDefault="002E5861">
      <w:pPr>
        <w:pStyle w:val="ad"/>
        <w:spacing w:line="360" w:lineRule="auto"/>
        <w:jc w:val="both"/>
      </w:pPr>
      <w:r>
        <w:t xml:space="preserve">2 </w:t>
      </w:r>
      <w:r>
        <w:rPr>
          <w:rFonts w:hAnsi="新細明體"/>
        </w:rPr>
        <w:t>於提起處分之取消之訴之情況下，若為避免因處分處分之執行或手續之進行所產生重大損害而有緊急之必要時，法院可經由聲請以決定停止處分之效力處分之執行或手續之進行。但處分之效力之停止若因處分之執行或手續進行之停止而可達到該目的時不可為之。</w:t>
      </w:r>
    </w:p>
    <w:p w:rsidR="00000000" w:rsidRDefault="002E5861">
      <w:pPr>
        <w:pStyle w:val="ad"/>
        <w:spacing w:line="360" w:lineRule="auto"/>
        <w:jc w:val="both"/>
      </w:pPr>
      <w:r>
        <w:t xml:space="preserve">3 </w:t>
      </w:r>
      <w:r>
        <w:rPr>
          <w:rFonts w:hAnsi="新細明體"/>
        </w:rPr>
        <w:t>法院於判斷是否前項規定重大損害之時，應考慮損害之回復困難之程度再者也須斟酌損害之性質及程度、處分之內容及性質。</w:t>
      </w:r>
    </w:p>
  </w:footnote>
  <w:footnote w:id="8">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山本・法関係</w:t>
      </w:r>
      <w:r>
        <w:rPr>
          <w:lang w:eastAsia="ja-JP"/>
        </w:rPr>
        <w:t>407</w:t>
      </w:r>
      <w:r>
        <w:rPr>
          <w:rFonts w:hAnsi="新細明體"/>
          <w:lang w:eastAsia="ja-JP"/>
        </w:rPr>
        <w:t>頁以下。高木・事実行為</w:t>
      </w:r>
      <w:r>
        <w:rPr>
          <w:lang w:eastAsia="ja-JP"/>
        </w:rPr>
        <w:t>18</w:t>
      </w:r>
      <w:r>
        <w:rPr>
          <w:rFonts w:hAnsi="新細明體"/>
          <w:lang w:eastAsia="ja-JP"/>
        </w:rPr>
        <w:t>頁、</w:t>
      </w:r>
      <w:r>
        <w:rPr>
          <w:lang w:eastAsia="ja-JP"/>
        </w:rPr>
        <w:t>48</w:t>
      </w:r>
      <w:r>
        <w:rPr>
          <w:rFonts w:hAnsi="新細明體"/>
          <w:lang w:eastAsia="ja-JP"/>
        </w:rPr>
        <w:t>頁以下。</w:t>
      </w:r>
    </w:p>
  </w:footnote>
  <w:footnote w:id="9">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塩野・統制</w:t>
      </w:r>
      <w:r>
        <w:rPr>
          <w:lang w:eastAsia="ja-JP"/>
        </w:rPr>
        <w:t>332</w:t>
      </w:r>
      <w:r>
        <w:rPr>
          <w:rFonts w:hAnsi="新細明體"/>
          <w:lang w:eastAsia="ja-JP"/>
        </w:rPr>
        <w:t>頁以下。塩野・『行政法</w:t>
      </w:r>
      <w:r>
        <w:rPr>
          <w:rFonts w:ascii="新細明體" w:hAnsi="新細明體"/>
          <w:lang w:eastAsia="ja-JP"/>
        </w:rPr>
        <w:t>Ⅱ</w:t>
      </w:r>
      <w:r>
        <w:rPr>
          <w:rFonts w:hAnsi="新細明體"/>
          <w:lang w:eastAsia="ja-JP"/>
        </w:rPr>
        <w:t>』</w:t>
      </w:r>
      <w:r>
        <w:rPr>
          <w:lang w:eastAsia="ja-JP"/>
        </w:rPr>
        <w:t>206</w:t>
      </w:r>
      <w:r>
        <w:rPr>
          <w:rFonts w:hAnsi="新細明體"/>
          <w:lang w:eastAsia="ja-JP"/>
        </w:rPr>
        <w:t>頁以下。</w:t>
      </w:r>
    </w:p>
  </w:footnote>
  <w:footnote w:id="10">
    <w:p w:rsidR="00000000" w:rsidRDefault="002E5861">
      <w:pPr>
        <w:pStyle w:val="ad"/>
        <w:spacing w:line="360" w:lineRule="auto"/>
        <w:jc w:val="both"/>
      </w:pPr>
      <w:r>
        <w:rPr>
          <w:rStyle w:val="ae"/>
        </w:rPr>
        <w:footnoteRef/>
      </w:r>
      <w:r>
        <w:t xml:space="preserve"> </w:t>
      </w:r>
      <w:r>
        <w:rPr>
          <w:rFonts w:hAnsi="新細明體"/>
        </w:rPr>
        <w:t>當事者訴訟</w:t>
      </w:r>
    </w:p>
    <w:p w:rsidR="00000000" w:rsidRDefault="002E5861">
      <w:pPr>
        <w:pStyle w:val="ad"/>
        <w:spacing w:line="360" w:lineRule="auto"/>
        <w:jc w:val="both"/>
      </w:pPr>
      <w:r>
        <w:rPr>
          <w:rFonts w:hAnsi="新細明體"/>
        </w:rPr>
        <w:t>本法之當事者訴訟</w:t>
      </w:r>
      <w:r>
        <w:t xml:space="preserve"> </w:t>
      </w:r>
      <w:r>
        <w:rPr>
          <w:rFonts w:hAnsi="新細明體"/>
        </w:rPr>
        <w:t>為關於確認法律關係或形成處分與裁決之訴訟，依據法令之規定將其法律關係之當事者之一方為被告之訴訟以及關於確認公法上法律關係之訴訟、其他公法上法律關係之訴訟。</w:t>
      </w:r>
    </w:p>
  </w:footnote>
  <w:footnote w:id="11">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南編・条解</w:t>
      </w:r>
      <w:r>
        <w:rPr>
          <w:lang w:eastAsia="ja-JP"/>
        </w:rPr>
        <w:t>40</w:t>
      </w:r>
      <w:r>
        <w:rPr>
          <w:rFonts w:hAnsi="新細明體"/>
          <w:lang w:eastAsia="ja-JP"/>
        </w:rPr>
        <w:t>頁［高木光］、高木光「処分性の概念」ジュリスト</w:t>
      </w:r>
      <w:r>
        <w:rPr>
          <w:lang w:eastAsia="ja-JP"/>
        </w:rPr>
        <w:t>1234</w:t>
      </w:r>
      <w:r>
        <w:rPr>
          <w:rFonts w:hAnsi="新細明體"/>
          <w:lang w:eastAsia="ja-JP"/>
        </w:rPr>
        <w:t>号</w:t>
      </w:r>
      <w:r>
        <w:rPr>
          <w:lang w:eastAsia="ja-JP"/>
        </w:rPr>
        <w:t>(2002)12</w:t>
      </w:r>
      <w:r>
        <w:rPr>
          <w:rFonts w:hAnsi="新細明體"/>
          <w:lang w:eastAsia="ja-JP"/>
        </w:rPr>
        <w:t>頁以下。</w:t>
      </w:r>
    </w:p>
  </w:footnote>
  <w:footnote w:id="12">
    <w:p w:rsidR="00000000" w:rsidRDefault="002E5861">
      <w:pPr>
        <w:pStyle w:val="ad"/>
        <w:spacing w:line="360" w:lineRule="auto"/>
        <w:jc w:val="both"/>
        <w:rPr>
          <w:lang w:eastAsia="ja-JP"/>
        </w:rPr>
      </w:pPr>
      <w:r>
        <w:rPr>
          <w:rStyle w:val="ae"/>
        </w:rPr>
        <w:footnoteRef/>
      </w:r>
      <w:r>
        <w:rPr>
          <w:rFonts w:hAnsi="新細明體"/>
          <w:lang w:eastAsia="ja-JP"/>
        </w:rPr>
        <w:t>山本隆司「差し止めの訴えの法定」『改正行政事件訴訟法』小早川光郎＝高橋滋（編著）（第一法規・</w:t>
      </w:r>
      <w:r>
        <w:rPr>
          <w:lang w:eastAsia="ja-JP"/>
        </w:rPr>
        <w:t>2003</w:t>
      </w:r>
      <w:r>
        <w:rPr>
          <w:rFonts w:hAnsi="新細明體"/>
          <w:lang w:eastAsia="ja-JP"/>
        </w:rPr>
        <w:t>年）</w:t>
      </w:r>
      <w:r>
        <w:rPr>
          <w:lang w:eastAsia="ja-JP"/>
        </w:rPr>
        <w:t>77</w:t>
      </w:r>
      <w:r>
        <w:rPr>
          <w:rFonts w:hAnsi="新細明體"/>
          <w:lang w:eastAsia="ja-JP"/>
        </w:rPr>
        <w:t>頁。</w:t>
      </w:r>
    </w:p>
  </w:footnote>
  <w:footnote w:id="13">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塩野宏「無効確認訴訟における訴えの利益」</w:t>
      </w:r>
      <w:r>
        <w:rPr>
          <w:lang w:eastAsia="ja-JP"/>
        </w:rPr>
        <w:t>(1970)</w:t>
      </w:r>
      <w:r>
        <w:rPr>
          <w:rFonts w:hAnsi="新細明體"/>
          <w:lang w:eastAsia="ja-JP"/>
        </w:rPr>
        <w:t>、塩野・統制</w:t>
      </w:r>
      <w:r>
        <w:rPr>
          <w:lang w:eastAsia="ja-JP"/>
        </w:rPr>
        <w:t>342</w:t>
      </w:r>
      <w:r>
        <w:rPr>
          <w:rFonts w:hAnsi="新細明體"/>
          <w:lang w:eastAsia="ja-JP"/>
        </w:rPr>
        <w:t>頁以下。</w:t>
      </w:r>
    </w:p>
  </w:footnote>
  <w:footnote w:id="14">
    <w:p w:rsidR="00000000" w:rsidRDefault="002E5861">
      <w:pPr>
        <w:pStyle w:val="ad"/>
        <w:spacing w:line="360" w:lineRule="auto"/>
        <w:jc w:val="both"/>
        <w:rPr>
          <w:lang w:eastAsia="ja-JP"/>
        </w:rPr>
      </w:pPr>
      <w:r>
        <w:rPr>
          <w:rStyle w:val="ae"/>
        </w:rPr>
        <w:footnoteRef/>
      </w:r>
      <w:r>
        <w:rPr>
          <w:rFonts w:hAnsi="新細明體"/>
          <w:lang w:eastAsia="ja-JP"/>
        </w:rPr>
        <w:t>山本隆司「差し止めの訴えの法定」『改正行政事件訴訟法』小早川光郎＝高橋滋（編著）（第一法規・</w:t>
      </w:r>
      <w:r>
        <w:rPr>
          <w:lang w:eastAsia="ja-JP"/>
        </w:rPr>
        <w:t>2003</w:t>
      </w:r>
      <w:r>
        <w:rPr>
          <w:rFonts w:hAnsi="新細明體"/>
          <w:lang w:eastAsia="ja-JP"/>
        </w:rPr>
        <w:t>年）７４頁以下</w:t>
      </w:r>
    </w:p>
  </w:footnote>
  <w:footnote w:id="15">
    <w:p w:rsidR="00000000" w:rsidRDefault="002E5861">
      <w:pPr>
        <w:pStyle w:val="ad"/>
        <w:spacing w:line="360" w:lineRule="auto"/>
        <w:jc w:val="both"/>
        <w:rPr>
          <w:lang w:eastAsia="ja-JP"/>
        </w:rPr>
      </w:pPr>
      <w:r>
        <w:rPr>
          <w:rStyle w:val="ae"/>
        </w:rPr>
        <w:footnoteRef/>
      </w:r>
      <w:r>
        <w:rPr>
          <w:rFonts w:hAnsi="新細明體"/>
          <w:lang w:eastAsia="ja-JP"/>
        </w:rPr>
        <w:t>山本隆司「差し止めの訴えの法定」『改正行政事件訴訟法』小早川光郎＝高橋滋（編著）（第一法規・</w:t>
      </w:r>
      <w:r>
        <w:rPr>
          <w:lang w:eastAsia="ja-JP"/>
        </w:rPr>
        <w:t>2003</w:t>
      </w:r>
      <w:r>
        <w:rPr>
          <w:rFonts w:hAnsi="新細明體"/>
          <w:lang w:eastAsia="ja-JP"/>
        </w:rPr>
        <w:t>年）</w:t>
      </w:r>
      <w:r>
        <w:rPr>
          <w:lang w:eastAsia="ja-JP"/>
        </w:rPr>
        <w:t>79-80</w:t>
      </w:r>
      <w:r>
        <w:rPr>
          <w:rFonts w:hAnsi="新細明體"/>
          <w:lang w:eastAsia="ja-JP"/>
        </w:rPr>
        <w:t>頁。</w:t>
      </w:r>
    </w:p>
  </w:footnote>
  <w:footnote w:id="16">
    <w:p w:rsidR="00000000" w:rsidRDefault="002E5861">
      <w:pPr>
        <w:pStyle w:val="ad"/>
        <w:spacing w:line="360" w:lineRule="auto"/>
        <w:jc w:val="both"/>
      </w:pPr>
      <w:r>
        <w:rPr>
          <w:rStyle w:val="ae"/>
        </w:rPr>
        <w:footnoteRef/>
      </w:r>
      <w:r>
        <w:t xml:space="preserve"> </w:t>
      </w:r>
      <w:r>
        <w:rPr>
          <w:rFonts w:hAnsi="新細明體"/>
        </w:rPr>
        <w:t>第二十五條</w:t>
      </w:r>
    </w:p>
    <w:p w:rsidR="00000000" w:rsidRDefault="002E5861">
      <w:pPr>
        <w:pStyle w:val="ad"/>
        <w:spacing w:line="360" w:lineRule="auto"/>
        <w:jc w:val="both"/>
      </w:pPr>
      <w:r>
        <w:t xml:space="preserve">2 </w:t>
      </w:r>
      <w:r>
        <w:rPr>
          <w:rFonts w:hAnsi="新細明體"/>
        </w:rPr>
        <w:t>於提起處分之取消之訴之情況下，若為避免因處分處分之執行或手續之進行所產生重大損害而有緊急之必要時，法院可經由聲請以決定停止處分之效力處分之執行或手</w:t>
      </w:r>
      <w:r>
        <w:rPr>
          <w:rFonts w:hAnsi="新細明體"/>
        </w:rPr>
        <w:t>續之進行。但處分之效力之停止若因處分之執行或手續進行之停止而可達到該目的時不可為之。</w:t>
      </w:r>
    </w:p>
    <w:p w:rsidR="00000000" w:rsidRDefault="002E5861">
      <w:pPr>
        <w:pStyle w:val="ad"/>
        <w:spacing w:line="360" w:lineRule="auto"/>
        <w:jc w:val="both"/>
      </w:pPr>
      <w:r>
        <w:t xml:space="preserve">3 </w:t>
      </w:r>
      <w:r>
        <w:rPr>
          <w:rFonts w:hAnsi="新細明體"/>
        </w:rPr>
        <w:t>法院於判斷是否前項規定重大損害之時，應考慮損害之回復困難之程度再者也須斟酌損害之性質及程度、處分之內容及性質。</w:t>
      </w:r>
    </w:p>
  </w:footnote>
  <w:footnote w:id="17">
    <w:p w:rsidR="00000000" w:rsidRDefault="002E5861">
      <w:pPr>
        <w:pStyle w:val="ad"/>
        <w:spacing w:line="360" w:lineRule="auto"/>
        <w:jc w:val="both"/>
        <w:rPr>
          <w:lang w:eastAsia="ja-JP"/>
        </w:rPr>
      </w:pPr>
      <w:r>
        <w:rPr>
          <w:rStyle w:val="ae"/>
        </w:rPr>
        <w:footnoteRef/>
      </w:r>
      <w:r>
        <w:rPr>
          <w:rFonts w:hAnsi="新細明體"/>
          <w:lang w:eastAsia="ja-JP"/>
        </w:rPr>
        <w:t>山本隆司「差し止めの訴えの法定」『改正行政事件訴訟法』小早川光郎＝高橋滋（編著）（第一法規・</w:t>
      </w:r>
      <w:r>
        <w:rPr>
          <w:lang w:eastAsia="ja-JP"/>
        </w:rPr>
        <w:t>2003</w:t>
      </w:r>
      <w:r>
        <w:rPr>
          <w:rFonts w:hAnsi="新細明體"/>
          <w:lang w:eastAsia="ja-JP"/>
        </w:rPr>
        <w:t>年）</w:t>
      </w:r>
      <w:r>
        <w:rPr>
          <w:lang w:eastAsia="ja-JP"/>
        </w:rPr>
        <w:t>81</w:t>
      </w:r>
      <w:r>
        <w:rPr>
          <w:rFonts w:hAnsi="新細明體"/>
          <w:lang w:eastAsia="ja-JP"/>
        </w:rPr>
        <w:t>頁。</w:t>
      </w:r>
    </w:p>
  </w:footnote>
  <w:footnote w:id="18">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高橋・重点</w:t>
      </w:r>
      <w:r>
        <w:rPr>
          <w:lang w:eastAsia="ja-JP"/>
        </w:rPr>
        <w:t>328</w:t>
      </w:r>
      <w:r>
        <w:rPr>
          <w:rFonts w:hAnsi="新細明體"/>
          <w:lang w:eastAsia="ja-JP"/>
        </w:rPr>
        <w:t>頁、山本和彦「民事訴訟法理論から見た行政訴訟改革論議」法律時報</w:t>
      </w:r>
      <w:r>
        <w:rPr>
          <w:lang w:eastAsia="ja-JP"/>
        </w:rPr>
        <w:t>76</w:t>
      </w:r>
      <w:r>
        <w:rPr>
          <w:rFonts w:hAnsi="新細明體"/>
          <w:lang w:eastAsia="ja-JP"/>
        </w:rPr>
        <w:t>巻</w:t>
      </w:r>
      <w:r>
        <w:rPr>
          <w:lang w:eastAsia="ja-JP"/>
        </w:rPr>
        <w:t>(2004</w:t>
      </w:r>
      <w:r>
        <w:rPr>
          <w:rFonts w:hAnsi="新細明體"/>
          <w:lang w:eastAsia="ja-JP"/>
        </w:rPr>
        <w:t>年</w:t>
      </w:r>
      <w:r>
        <w:rPr>
          <w:lang w:eastAsia="ja-JP"/>
        </w:rPr>
        <w:t>)108</w:t>
      </w:r>
      <w:r>
        <w:rPr>
          <w:rFonts w:hAnsi="新細明體"/>
          <w:lang w:eastAsia="ja-JP"/>
        </w:rPr>
        <w:t>頁以下。</w:t>
      </w:r>
    </w:p>
  </w:footnote>
  <w:footnote w:id="19">
    <w:p w:rsidR="00000000" w:rsidRDefault="002E5861">
      <w:pPr>
        <w:pStyle w:val="ad"/>
        <w:spacing w:line="360" w:lineRule="auto"/>
        <w:jc w:val="both"/>
        <w:rPr>
          <w:lang w:eastAsia="ja-JP"/>
        </w:rPr>
      </w:pPr>
      <w:r>
        <w:rPr>
          <w:rStyle w:val="ae"/>
        </w:rPr>
        <w:footnoteRef/>
      </w:r>
      <w:r>
        <w:rPr>
          <w:rFonts w:hAnsi="新細明體"/>
          <w:lang w:eastAsia="ja-JP"/>
        </w:rPr>
        <w:t>山本和彦「民事訴訟法理論から見た行政訴訟改革論議」法律時報</w:t>
      </w:r>
      <w:r>
        <w:rPr>
          <w:lang w:eastAsia="ja-JP"/>
        </w:rPr>
        <w:t>76</w:t>
      </w:r>
      <w:r>
        <w:rPr>
          <w:rFonts w:hAnsi="新細明體"/>
          <w:lang w:eastAsia="ja-JP"/>
        </w:rPr>
        <w:t>巻</w:t>
      </w:r>
      <w:r>
        <w:rPr>
          <w:lang w:eastAsia="ja-JP"/>
        </w:rPr>
        <w:t>(2004</w:t>
      </w:r>
      <w:r>
        <w:rPr>
          <w:rFonts w:hAnsi="新細明體"/>
          <w:lang w:eastAsia="ja-JP"/>
        </w:rPr>
        <w:t>年</w:t>
      </w:r>
      <w:r>
        <w:rPr>
          <w:lang w:eastAsia="ja-JP"/>
        </w:rPr>
        <w:t>)110</w:t>
      </w:r>
      <w:r>
        <w:rPr>
          <w:rFonts w:hAnsi="新細明體"/>
          <w:lang w:eastAsia="ja-JP"/>
        </w:rPr>
        <w:t>頁以下。</w:t>
      </w:r>
    </w:p>
  </w:footnote>
  <w:footnote w:id="20">
    <w:p w:rsidR="00000000" w:rsidRDefault="002E5861">
      <w:pPr>
        <w:pStyle w:val="ad"/>
        <w:spacing w:line="360" w:lineRule="auto"/>
        <w:jc w:val="both"/>
        <w:rPr>
          <w:lang w:eastAsia="ja-JP"/>
        </w:rPr>
      </w:pPr>
      <w:r>
        <w:rPr>
          <w:rStyle w:val="ae"/>
        </w:rPr>
        <w:footnoteRef/>
      </w:r>
      <w:r>
        <w:rPr>
          <w:rFonts w:hAnsi="新細明體"/>
          <w:lang w:eastAsia="ja-JP"/>
        </w:rPr>
        <w:t>南編・条解</w:t>
      </w:r>
      <w:r>
        <w:rPr>
          <w:lang w:eastAsia="ja-JP"/>
        </w:rPr>
        <w:t>118</w:t>
      </w:r>
      <w:r>
        <w:rPr>
          <w:rFonts w:hAnsi="新細明體"/>
          <w:lang w:eastAsia="ja-JP"/>
        </w:rPr>
        <w:t>頁［山本隆司］。</w:t>
      </w:r>
    </w:p>
  </w:footnote>
  <w:footnote w:id="21">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最高平</w:t>
      </w:r>
      <w:r>
        <w:rPr>
          <w:lang w:eastAsia="ja-JP"/>
        </w:rPr>
        <w:t>5.9.7</w:t>
      </w:r>
      <w:r>
        <w:rPr>
          <w:rFonts w:hAnsi="新細明體"/>
          <w:lang w:eastAsia="ja-JP"/>
        </w:rPr>
        <w:t>民集</w:t>
      </w:r>
      <w:r>
        <w:rPr>
          <w:lang w:eastAsia="ja-JP"/>
        </w:rPr>
        <w:t>47</w:t>
      </w:r>
      <w:r>
        <w:rPr>
          <w:rFonts w:hAnsi="新細明體"/>
          <w:lang w:eastAsia="ja-JP"/>
        </w:rPr>
        <w:t>巻</w:t>
      </w:r>
      <w:r>
        <w:rPr>
          <w:lang w:eastAsia="ja-JP"/>
        </w:rPr>
        <w:t>7</w:t>
      </w:r>
      <w:r>
        <w:rPr>
          <w:rFonts w:hAnsi="新細明體"/>
          <w:lang w:eastAsia="ja-JP"/>
        </w:rPr>
        <w:t>号</w:t>
      </w:r>
      <w:r>
        <w:rPr>
          <w:lang w:eastAsia="ja-JP"/>
        </w:rPr>
        <w:t>4755</w:t>
      </w:r>
      <w:r>
        <w:rPr>
          <w:rFonts w:hAnsi="新細明體"/>
          <w:lang w:eastAsia="ja-JP"/>
        </w:rPr>
        <w:t>頁。</w:t>
      </w:r>
    </w:p>
  </w:footnote>
  <w:footnote w:id="22">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高橋・重点</w:t>
      </w:r>
      <w:r>
        <w:rPr>
          <w:lang w:eastAsia="ja-JP"/>
        </w:rPr>
        <w:t>314</w:t>
      </w:r>
      <w:r>
        <w:rPr>
          <w:rFonts w:hAnsi="新細明體"/>
          <w:lang w:eastAsia="ja-JP"/>
        </w:rPr>
        <w:t>頁以下。</w:t>
      </w:r>
    </w:p>
  </w:footnote>
  <w:footnote w:id="23">
    <w:p w:rsidR="00000000" w:rsidRDefault="002E5861">
      <w:pPr>
        <w:pStyle w:val="ad"/>
        <w:spacing w:line="360" w:lineRule="auto"/>
        <w:jc w:val="both"/>
        <w:rPr>
          <w:lang w:eastAsia="ja-JP"/>
        </w:rPr>
      </w:pPr>
      <w:r>
        <w:rPr>
          <w:rStyle w:val="ae"/>
        </w:rPr>
        <w:footnoteRef/>
      </w:r>
      <w:r>
        <w:rPr>
          <w:rFonts w:hAnsi="新細明體"/>
          <w:lang w:eastAsia="ja-JP"/>
        </w:rPr>
        <w:t>山本隆司「差し止めの訴えの法定」『改正行政事件訴訟法』小早川光郎＝高橋滋（編著）（第一法規・</w:t>
      </w:r>
      <w:r>
        <w:rPr>
          <w:lang w:eastAsia="ja-JP"/>
        </w:rPr>
        <w:t>2003</w:t>
      </w:r>
      <w:r>
        <w:rPr>
          <w:rFonts w:hAnsi="新細明體"/>
          <w:lang w:eastAsia="ja-JP"/>
        </w:rPr>
        <w:t>年）</w:t>
      </w:r>
      <w:r>
        <w:rPr>
          <w:lang w:eastAsia="ja-JP"/>
        </w:rPr>
        <w:t>87</w:t>
      </w:r>
      <w:r>
        <w:rPr>
          <w:rFonts w:hAnsi="新細明體"/>
          <w:lang w:eastAsia="ja-JP"/>
        </w:rPr>
        <w:t>頁以下。</w:t>
      </w:r>
    </w:p>
  </w:footnote>
  <w:footnote w:id="24">
    <w:p w:rsidR="00000000" w:rsidRDefault="002E5861">
      <w:pPr>
        <w:pStyle w:val="ad"/>
        <w:spacing w:line="360" w:lineRule="auto"/>
        <w:jc w:val="both"/>
        <w:rPr>
          <w:lang w:eastAsia="ja-JP"/>
        </w:rPr>
      </w:pPr>
      <w:r>
        <w:rPr>
          <w:rStyle w:val="ae"/>
        </w:rPr>
        <w:footnoteRef/>
      </w:r>
      <w:r>
        <w:rPr>
          <w:lang w:eastAsia="ja-JP"/>
        </w:rPr>
        <w:t xml:space="preserve"> </w:t>
      </w:r>
      <w:r>
        <w:rPr>
          <w:rFonts w:hAnsi="新細明體"/>
          <w:lang w:eastAsia="ja-JP"/>
        </w:rPr>
        <w:t>山本隆司「行政訴訟に関する外国法制調査－ドイツ</w:t>
      </w:r>
      <w:r>
        <w:rPr>
          <w:lang w:eastAsia="ja-JP"/>
        </w:rPr>
        <w:t>(</w:t>
      </w:r>
      <w:r>
        <w:rPr>
          <w:rFonts w:hAnsi="新細明體"/>
          <w:lang w:eastAsia="ja-JP"/>
        </w:rPr>
        <w:t>下</w:t>
      </w:r>
      <w:r>
        <w:rPr>
          <w:lang w:eastAsia="ja-JP"/>
        </w:rPr>
        <w:t>)</w:t>
      </w:r>
      <w:r>
        <w:rPr>
          <w:rFonts w:hAnsi="新細明體"/>
          <w:lang w:eastAsia="ja-JP"/>
        </w:rPr>
        <w:t>」ジュリスト</w:t>
      </w:r>
      <w:r>
        <w:rPr>
          <w:lang w:eastAsia="ja-JP"/>
        </w:rPr>
        <w:t>1239</w:t>
      </w:r>
      <w:r>
        <w:rPr>
          <w:rFonts w:hAnsi="新細明體"/>
          <w:lang w:eastAsia="ja-JP"/>
        </w:rPr>
        <w:t>号</w:t>
      </w:r>
      <w:r>
        <w:rPr>
          <w:lang w:eastAsia="ja-JP"/>
        </w:rPr>
        <w:t>[2003]108</w:t>
      </w:r>
      <w:r>
        <w:rPr>
          <w:rFonts w:hAnsi="新細明體"/>
          <w:lang w:eastAsia="ja-JP"/>
        </w:rPr>
        <w:t>頁以下。</w:t>
      </w:r>
    </w:p>
  </w:footnote>
  <w:footnote w:id="25">
    <w:p w:rsidR="00000000" w:rsidRDefault="002E5861">
      <w:pPr>
        <w:pStyle w:val="ad"/>
        <w:spacing w:line="360" w:lineRule="auto"/>
        <w:jc w:val="both"/>
        <w:rPr>
          <w:lang w:eastAsia="ja-JP"/>
        </w:rPr>
      </w:pPr>
      <w:r>
        <w:rPr>
          <w:rStyle w:val="ae"/>
        </w:rPr>
        <w:footnoteRef/>
      </w:r>
      <w:r>
        <w:rPr>
          <w:rFonts w:hAnsi="新細明體"/>
          <w:lang w:eastAsia="ja-JP"/>
        </w:rPr>
        <w:t>山本隆司「差し止めの訴えの法定」『改正行政事件訴訟法』小早川光郎＝高橋滋（編著）（第一法規・</w:t>
      </w:r>
      <w:r>
        <w:rPr>
          <w:lang w:eastAsia="ja-JP"/>
        </w:rPr>
        <w:t>2003</w:t>
      </w:r>
      <w:r>
        <w:rPr>
          <w:rFonts w:hAnsi="新細明體"/>
          <w:lang w:eastAsia="ja-JP"/>
        </w:rPr>
        <w:t>年）</w:t>
      </w:r>
      <w:r>
        <w:rPr>
          <w:lang w:eastAsia="ja-JP"/>
        </w:rPr>
        <w:t>89</w:t>
      </w:r>
      <w:r>
        <w:rPr>
          <w:rFonts w:hAnsi="新細明體"/>
          <w:lang w:eastAsia="ja-JP"/>
        </w:rPr>
        <w:t>頁以下。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005D0"/>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D1E8D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0A98C88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E081258"/>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D1C862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307E973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AF6AE13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6565198"/>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3961E5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C6EFFE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7F1579"/>
    <w:multiLevelType w:val="hybridMultilevel"/>
    <w:tmpl w:val="FF72784A"/>
    <w:lvl w:ilvl="0" w:tplc="784C5B5A">
      <w:start w:val="13"/>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42F1E3A"/>
    <w:multiLevelType w:val="hybridMultilevel"/>
    <w:tmpl w:val="956CD016"/>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8F006FE"/>
    <w:multiLevelType w:val="hybridMultilevel"/>
    <w:tmpl w:val="ECC4D3AE"/>
    <w:lvl w:ilvl="0" w:tplc="254E763A">
      <w:start w:val="2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C0B4117"/>
    <w:multiLevelType w:val="hybridMultilevel"/>
    <w:tmpl w:val="A2644FFA"/>
    <w:lvl w:ilvl="0" w:tplc="FD56535E">
      <w:start w:val="1"/>
      <w:numFmt w:val="taiwaneseCountingThousand"/>
      <w:lvlText w:val="（%1）"/>
      <w:lvlJc w:val="left"/>
      <w:pPr>
        <w:tabs>
          <w:tab w:val="num" w:pos="1080"/>
        </w:tabs>
        <w:ind w:left="1080" w:hanging="1080"/>
      </w:pPr>
      <w:rPr>
        <w:rFonts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5620A5"/>
    <w:multiLevelType w:val="hybridMultilevel"/>
    <w:tmpl w:val="A14415D8"/>
    <w:lvl w:ilvl="0" w:tplc="F4B66D18">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868035B"/>
    <w:multiLevelType w:val="hybridMultilevel"/>
    <w:tmpl w:val="CE7AA770"/>
    <w:lvl w:ilvl="0" w:tplc="7E4A469A">
      <w:start w:val="26"/>
      <w:numFmt w:val="decimal"/>
      <w:lvlText w:val="%1."/>
      <w:lvlJc w:val="left"/>
      <w:pPr>
        <w:tabs>
          <w:tab w:val="num" w:pos="360"/>
        </w:tabs>
        <w:ind w:left="360" w:hanging="360"/>
      </w:pPr>
      <w:rPr>
        <w:rFonts w:eastAsia="新細明體"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96F5E1C"/>
    <w:multiLevelType w:val="hybridMultilevel"/>
    <w:tmpl w:val="B524AE04"/>
    <w:lvl w:ilvl="0" w:tplc="FFFFFFFF">
      <w:start w:val="1"/>
      <w:numFmt w:val="taiwaneseCountingThousand"/>
      <w:lvlText w:val="%1、"/>
      <w:lvlJc w:val="left"/>
      <w:pPr>
        <w:tabs>
          <w:tab w:val="num" w:pos="720"/>
        </w:tabs>
        <w:ind w:left="720" w:hanging="720"/>
      </w:pPr>
      <w:rPr>
        <w:rFonts w:hint="eastAsia"/>
        <w:b w:val="0"/>
        <w:u w:val="none"/>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19C83BB9"/>
    <w:multiLevelType w:val="hybridMultilevel"/>
    <w:tmpl w:val="A6F0E03E"/>
    <w:lvl w:ilvl="0" w:tplc="18EA46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EF43D9"/>
    <w:multiLevelType w:val="hybridMultilevel"/>
    <w:tmpl w:val="748828EC"/>
    <w:lvl w:ilvl="0" w:tplc="910C1978">
      <w:start w:val="1"/>
      <w:numFmt w:val="decimal"/>
      <w:lvlText w:val="%1."/>
      <w:lvlJc w:val="left"/>
      <w:pPr>
        <w:tabs>
          <w:tab w:val="num" w:pos="1140"/>
        </w:tabs>
        <w:ind w:left="1140" w:hanging="660"/>
      </w:pPr>
      <w:rPr>
        <w:rFonts w:hAnsi="Times New Roman"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20D70612"/>
    <w:multiLevelType w:val="hybridMultilevel"/>
    <w:tmpl w:val="2E8C00EE"/>
    <w:lvl w:ilvl="0" w:tplc="80CA28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C1712A"/>
    <w:multiLevelType w:val="hybridMultilevel"/>
    <w:tmpl w:val="A690598E"/>
    <w:lvl w:ilvl="0" w:tplc="37BEE66E">
      <w:start w:val="1"/>
      <w:numFmt w:val="lowerLetter"/>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4A31304"/>
    <w:multiLevelType w:val="hybridMultilevel"/>
    <w:tmpl w:val="E8162A92"/>
    <w:lvl w:ilvl="0" w:tplc="4770E99E">
      <w:start w:val="3"/>
      <w:numFmt w:val="decimal"/>
      <w:lvlText w:val="%1."/>
      <w:lvlJc w:val="left"/>
      <w:pPr>
        <w:tabs>
          <w:tab w:val="num" w:pos="420"/>
        </w:tabs>
        <w:ind w:left="420" w:hanging="4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A2955"/>
    <w:multiLevelType w:val="hybridMultilevel"/>
    <w:tmpl w:val="F53A38A4"/>
    <w:lvl w:ilvl="0" w:tplc="63284FFC">
      <w:start w:val="4"/>
      <w:numFmt w:val="decimal"/>
      <w:lvlText w:val="%1."/>
      <w:lvlJc w:val="left"/>
      <w:pPr>
        <w:tabs>
          <w:tab w:val="num" w:pos="420"/>
        </w:tabs>
        <w:ind w:left="420" w:hanging="4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A04CBD"/>
    <w:multiLevelType w:val="hybridMultilevel"/>
    <w:tmpl w:val="47283BE8"/>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A42773"/>
    <w:multiLevelType w:val="hybridMultilevel"/>
    <w:tmpl w:val="C8446CE4"/>
    <w:lvl w:ilvl="0" w:tplc="4C641A72">
      <w:start w:val="24"/>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AB00B77"/>
    <w:multiLevelType w:val="hybridMultilevel"/>
    <w:tmpl w:val="CF2A3916"/>
    <w:lvl w:ilvl="0" w:tplc="1922738A">
      <w:start w:val="6"/>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B5B3826"/>
    <w:multiLevelType w:val="hybridMultilevel"/>
    <w:tmpl w:val="B1CA2E62"/>
    <w:lvl w:ilvl="0" w:tplc="6A6E9994">
      <w:start w:val="1"/>
      <w:numFmt w:val="bullet"/>
      <w:lvlText w:val=""/>
      <w:lvlJc w:val="left"/>
      <w:pPr>
        <w:tabs>
          <w:tab w:val="num" w:pos="480"/>
        </w:tabs>
        <w:ind w:left="48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4987200"/>
    <w:multiLevelType w:val="multilevel"/>
    <w:tmpl w:val="853CB26E"/>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389" w:hanging="83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28" w15:restartNumberingAfterBreak="0">
    <w:nsid w:val="64F1494D"/>
    <w:multiLevelType w:val="hybridMultilevel"/>
    <w:tmpl w:val="9DE6FE48"/>
    <w:lvl w:ilvl="0" w:tplc="A822CA9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67F6BB2"/>
    <w:multiLevelType w:val="hybridMultilevel"/>
    <w:tmpl w:val="AE98ACD8"/>
    <w:lvl w:ilvl="0" w:tplc="275E8CCA">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B39317C"/>
    <w:multiLevelType w:val="multilevel"/>
    <w:tmpl w:val="0E0AF206"/>
    <w:lvl w:ilvl="0">
      <w:start w:val="1"/>
      <w:numFmt w:val="decimal"/>
      <w:lvlText w:val="%1."/>
      <w:lvlJc w:val="left"/>
      <w:pPr>
        <w:tabs>
          <w:tab w:val="num" w:pos="840"/>
        </w:tabs>
        <w:ind w:left="840" w:hanging="360"/>
      </w:pPr>
      <w:rPr>
        <w:rFonts w:hint="eastAsia"/>
      </w:rPr>
    </w:lvl>
    <w:lvl w:ilvl="1">
      <w:start w:val="1"/>
      <w:numFmt w:val="decimal"/>
      <w:isLgl/>
      <w:lvlText w:val="%1.%2."/>
      <w:lvlJc w:val="left"/>
      <w:pPr>
        <w:tabs>
          <w:tab w:val="num" w:pos="1260"/>
        </w:tabs>
        <w:ind w:left="1260" w:hanging="720"/>
      </w:pPr>
      <w:rPr>
        <w:rFonts w:hint="eastAsia"/>
        <w:sz w:val="26"/>
        <w:szCs w:val="26"/>
      </w:rPr>
    </w:lvl>
    <w:lvl w:ilvl="2">
      <w:start w:val="1"/>
      <w:numFmt w:val="decimal"/>
      <w:isLgl/>
      <w:lvlText w:val="%1.%2.%3."/>
      <w:lvlJc w:val="left"/>
      <w:pPr>
        <w:tabs>
          <w:tab w:val="num" w:pos="1204"/>
        </w:tabs>
        <w:ind w:left="1204" w:hanging="720"/>
      </w:pPr>
      <w:rPr>
        <w:rFonts w:hint="eastAsia"/>
      </w:rPr>
    </w:lvl>
    <w:lvl w:ilvl="3">
      <w:start w:val="1"/>
      <w:numFmt w:val="decimal"/>
      <w:isLgl/>
      <w:lvlText w:val="%1.%2.%3.%4."/>
      <w:lvlJc w:val="left"/>
      <w:pPr>
        <w:tabs>
          <w:tab w:val="num" w:pos="1566"/>
        </w:tabs>
        <w:ind w:left="1566" w:hanging="1080"/>
      </w:pPr>
      <w:rPr>
        <w:rFonts w:hint="eastAsia"/>
      </w:rPr>
    </w:lvl>
    <w:lvl w:ilvl="4">
      <w:start w:val="1"/>
      <w:numFmt w:val="decimal"/>
      <w:isLgl/>
      <w:lvlText w:val="%1.%2.%3.%4.%5."/>
      <w:lvlJc w:val="left"/>
      <w:pPr>
        <w:tabs>
          <w:tab w:val="num" w:pos="1928"/>
        </w:tabs>
        <w:ind w:left="1928" w:hanging="1440"/>
      </w:pPr>
      <w:rPr>
        <w:rFonts w:hint="eastAsia"/>
      </w:rPr>
    </w:lvl>
    <w:lvl w:ilvl="5">
      <w:start w:val="1"/>
      <w:numFmt w:val="decimal"/>
      <w:isLgl/>
      <w:lvlText w:val="%1.%2.%3.%4.%5.%6."/>
      <w:lvlJc w:val="left"/>
      <w:pPr>
        <w:tabs>
          <w:tab w:val="num" w:pos="1930"/>
        </w:tabs>
        <w:ind w:left="1930" w:hanging="1440"/>
      </w:pPr>
      <w:rPr>
        <w:rFonts w:hint="eastAsia"/>
      </w:rPr>
    </w:lvl>
    <w:lvl w:ilvl="6">
      <w:start w:val="1"/>
      <w:numFmt w:val="decimal"/>
      <w:isLgl/>
      <w:lvlText w:val="%1.%2.%3.%4.%5.%6.%7."/>
      <w:lvlJc w:val="left"/>
      <w:pPr>
        <w:tabs>
          <w:tab w:val="num" w:pos="2292"/>
        </w:tabs>
        <w:ind w:left="2292" w:hanging="1800"/>
      </w:pPr>
      <w:rPr>
        <w:rFonts w:hint="eastAsia"/>
      </w:rPr>
    </w:lvl>
    <w:lvl w:ilvl="7">
      <w:start w:val="1"/>
      <w:numFmt w:val="decimal"/>
      <w:isLgl/>
      <w:lvlText w:val="%1.%2.%3.%4.%5.%6.%7.%8."/>
      <w:lvlJc w:val="left"/>
      <w:pPr>
        <w:tabs>
          <w:tab w:val="num" w:pos="2654"/>
        </w:tabs>
        <w:ind w:left="2654" w:hanging="2160"/>
      </w:pPr>
      <w:rPr>
        <w:rFonts w:hint="eastAsia"/>
      </w:rPr>
    </w:lvl>
    <w:lvl w:ilvl="8">
      <w:start w:val="1"/>
      <w:numFmt w:val="decimal"/>
      <w:isLgl/>
      <w:lvlText w:val="%1.%2.%3.%4.%5.%6.%7.%8.%9."/>
      <w:lvlJc w:val="left"/>
      <w:pPr>
        <w:tabs>
          <w:tab w:val="num" w:pos="2656"/>
        </w:tabs>
        <w:ind w:left="2656" w:hanging="2160"/>
      </w:pPr>
      <w:rPr>
        <w:rFonts w:hint="eastAsia"/>
      </w:rPr>
    </w:lvl>
  </w:abstractNum>
  <w:abstractNum w:abstractNumId="31" w15:restartNumberingAfterBreak="0">
    <w:nsid w:val="6E812CB2"/>
    <w:multiLevelType w:val="hybridMultilevel"/>
    <w:tmpl w:val="8DA80082"/>
    <w:lvl w:ilvl="0" w:tplc="4E0C8E3E">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77652B20"/>
    <w:multiLevelType w:val="hybridMultilevel"/>
    <w:tmpl w:val="A4C2511A"/>
    <w:lvl w:ilvl="0" w:tplc="A6907088">
      <w:start w:val="1"/>
      <w:numFmt w:val="taiwaneseCountingThousand"/>
      <w:lvlText w:val="%1、"/>
      <w:lvlJc w:val="left"/>
      <w:pPr>
        <w:tabs>
          <w:tab w:val="num" w:pos="1587"/>
        </w:tabs>
        <w:ind w:left="1587" w:hanging="1035"/>
      </w:pPr>
    </w:lvl>
    <w:lvl w:ilvl="1" w:tplc="DBAA83BE">
      <w:start w:val="1"/>
      <w:numFmt w:val="taiwaneseCountingThousand"/>
      <w:lvlText w:val="（%2）"/>
      <w:lvlJc w:val="left"/>
      <w:pPr>
        <w:tabs>
          <w:tab w:val="num" w:pos="2307"/>
        </w:tabs>
        <w:ind w:left="2307" w:hanging="1275"/>
      </w:pPr>
    </w:lvl>
    <w:lvl w:ilvl="2" w:tplc="0409001B">
      <w:start w:val="1"/>
      <w:numFmt w:val="lowerRoman"/>
      <w:lvlText w:val="%3."/>
      <w:lvlJc w:val="right"/>
      <w:pPr>
        <w:tabs>
          <w:tab w:val="num" w:pos="1992"/>
        </w:tabs>
        <w:ind w:left="1992"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BF6C43"/>
    <w:multiLevelType w:val="hybridMultilevel"/>
    <w:tmpl w:val="17F8F73A"/>
    <w:lvl w:ilvl="0" w:tplc="BD8C3338">
      <w:start w:val="19"/>
      <w:numFmt w:val="decimal"/>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1"/>
  </w:num>
  <w:num w:numId="16">
    <w:abstractNumId w:val="23"/>
  </w:num>
  <w:num w:numId="17">
    <w:abstractNumId w:val="26"/>
  </w:num>
  <w:num w:numId="18">
    <w:abstractNumId w:val="17"/>
  </w:num>
  <w:num w:numId="19">
    <w:abstractNumId w:val="19"/>
  </w:num>
  <w:num w:numId="20">
    <w:abstractNumId w:val="20"/>
  </w:num>
  <w:num w:numId="21">
    <w:abstractNumId w:val="13"/>
  </w:num>
  <w:num w:numId="22">
    <w:abstractNumId w:val="31"/>
  </w:num>
  <w:num w:numId="23">
    <w:abstractNumId w:val="18"/>
  </w:num>
  <w:num w:numId="24">
    <w:abstractNumId w:val="22"/>
  </w:num>
  <w:num w:numId="25">
    <w:abstractNumId w:val="29"/>
  </w:num>
  <w:num w:numId="26">
    <w:abstractNumId w:val="21"/>
  </w:num>
  <w:num w:numId="27">
    <w:abstractNumId w:val="25"/>
  </w:num>
  <w:num w:numId="28">
    <w:abstractNumId w:val="24"/>
  </w:num>
  <w:num w:numId="29">
    <w:abstractNumId w:val="12"/>
  </w:num>
  <w:num w:numId="30">
    <w:abstractNumId w:val="33"/>
  </w:num>
  <w:num w:numId="31">
    <w:abstractNumId w:val="15"/>
  </w:num>
  <w:num w:numId="32">
    <w:abstractNumId w:val="10"/>
  </w:num>
  <w:num w:numId="33">
    <w:abstractNumId w:val="1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65"/>
    <w:rsid w:val="002E5861"/>
    <w:rsid w:val="00F24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AF4B45-F978-4236-98FC-A2AFAAB7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adjustRightInd w:val="0"/>
      <w:snapToGrid w:val="0"/>
      <w:spacing w:beforeLines="50" w:before="50" w:afterLines="50" w:after="50" w:line="360" w:lineRule="auto"/>
      <w:jc w:val="both"/>
      <w:outlineLvl w:val="0"/>
    </w:pPr>
    <w:rPr>
      <w:rFonts w:eastAsia="標楷體"/>
      <w:b/>
      <w:snapToGrid w:val="0"/>
      <w:kern w:val="0"/>
      <w:sz w:val="32"/>
      <w:szCs w:val="32"/>
    </w:rPr>
  </w:style>
  <w:style w:type="paragraph" w:styleId="2">
    <w:name w:val="heading 2"/>
    <w:basedOn w:val="a"/>
    <w:next w:val="a"/>
    <w:autoRedefine/>
    <w:qFormat/>
    <w:pPr>
      <w:keepNext/>
      <w:adjustRightInd w:val="0"/>
      <w:snapToGrid w:val="0"/>
      <w:spacing w:beforeLines="50" w:before="180" w:afterLines="50" w:after="180" w:line="360" w:lineRule="auto"/>
      <w:jc w:val="both"/>
      <w:outlineLvl w:val="1"/>
    </w:pPr>
    <w:rPr>
      <w:rFonts w:eastAsia="標楷體"/>
      <w:b/>
      <w:snapToGrid w:val="0"/>
      <w:kern w:val="0"/>
      <w:sz w:val="28"/>
      <w:szCs w:val="28"/>
    </w:rPr>
  </w:style>
  <w:style w:type="paragraph" w:styleId="3">
    <w:name w:val="heading 3"/>
    <w:basedOn w:val="a"/>
    <w:next w:val="a"/>
    <w:autoRedefine/>
    <w:qFormat/>
    <w:pPr>
      <w:keepNext/>
      <w:adjustRightInd w:val="0"/>
      <w:snapToGrid w:val="0"/>
      <w:spacing w:beforeLines="50" w:before="50" w:afterLines="50" w:after="50" w:line="360" w:lineRule="auto"/>
      <w:jc w:val="both"/>
      <w:outlineLvl w:val="2"/>
    </w:pPr>
    <w:rPr>
      <w:rFonts w:ascii="Arial" w:eastAsia="標楷體" w:hAnsi="Arial"/>
      <w:bCs/>
      <w:snapToGrid w:val="0"/>
      <w:kern w:val="0"/>
      <w:sz w:val="26"/>
      <w:szCs w:val="26"/>
    </w:rPr>
  </w:style>
  <w:style w:type="paragraph" w:styleId="4">
    <w:name w:val="heading 4"/>
    <w:basedOn w:val="a"/>
    <w:next w:val="a"/>
    <w:autoRedefine/>
    <w:qFormat/>
    <w:pPr>
      <w:keepNext/>
      <w:adjustRightInd w:val="0"/>
      <w:snapToGrid w:val="0"/>
      <w:spacing w:beforeLines="50" w:before="180" w:afterLines="50" w:after="180" w:line="360" w:lineRule="auto"/>
      <w:jc w:val="both"/>
      <w:outlineLvl w:val="3"/>
    </w:pPr>
    <w:rPr>
      <w:rFonts w:ascii="Arial" w:eastAsia="標楷體" w:hAnsi="Arial"/>
      <w:b/>
      <w:snapToGrid w:val="0"/>
      <w:kern w:val="0"/>
    </w:rPr>
  </w:style>
  <w:style w:type="paragraph" w:styleId="5">
    <w:name w:val="heading 5"/>
    <w:basedOn w:val="a"/>
    <w:next w:val="a0"/>
    <w:qFormat/>
    <w:pPr>
      <w:keepNext/>
      <w:spacing w:before="120" w:after="120"/>
      <w:ind w:left="425"/>
      <w:outlineLvl w:val="4"/>
    </w:pPr>
    <w:rPr>
      <w:rFonts w:ascii="Arial" w:eastAsia="標楷體" w:hAnsi="Arial"/>
      <w:b/>
      <w:spacing w:val="30"/>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0">
    <w:name w:val="Normal Indent"/>
    <w:basedOn w:val="a"/>
    <w:semiHidden/>
    <w:pPr>
      <w:ind w:left="480"/>
    </w:pPr>
    <w:rPr>
      <w:spacing w:val="30"/>
      <w:szCs w:val="20"/>
    </w:rPr>
  </w:style>
  <w:style w:type="paragraph" w:styleId="a4">
    <w:name w:val="Block Text"/>
    <w:basedOn w:val="a"/>
    <w:semiHidden/>
    <w:pPr>
      <w:widowControl/>
      <w:ind w:left="113" w:right="113"/>
    </w:pPr>
  </w:style>
  <w:style w:type="paragraph" w:styleId="a5">
    <w:name w:val="Body Text Indent"/>
    <w:basedOn w:val="a"/>
    <w:semiHidden/>
    <w:pPr>
      <w:ind w:left="560" w:hangingChars="200" w:hanging="560"/>
    </w:pPr>
    <w:rPr>
      <w:sz w:val="28"/>
    </w:rPr>
  </w:style>
  <w:style w:type="paragraph" w:styleId="a6">
    <w:name w:val="footer"/>
    <w:basedOn w:val="a"/>
    <w:semiHidden/>
    <w:pPr>
      <w:tabs>
        <w:tab w:val="center" w:pos="4153"/>
        <w:tab w:val="right" w:pos="8306"/>
      </w:tabs>
      <w:snapToGrid w:val="0"/>
    </w:pPr>
    <w:rPr>
      <w:sz w:val="20"/>
      <w:szCs w:val="20"/>
    </w:rPr>
  </w:style>
  <w:style w:type="character" w:styleId="a7">
    <w:name w:val="page number"/>
    <w:basedOn w:val="a1"/>
    <w:semiHidden/>
  </w:style>
  <w:style w:type="paragraph" w:customStyle="1" w:styleId="30">
    <w:name w:val="內文3"/>
    <w:basedOn w:val="a"/>
    <w:pPr>
      <w:widowControl/>
      <w:tabs>
        <w:tab w:val="left" w:pos="567"/>
      </w:tabs>
      <w:spacing w:before="120" w:after="120"/>
      <w:ind w:left="1644" w:hanging="1077"/>
    </w:pPr>
    <w:rPr>
      <w:rFonts w:eastAsia="標楷體"/>
      <w:noProof/>
      <w:spacing w:val="30"/>
      <w:kern w:val="0"/>
      <w:sz w:val="22"/>
      <w:szCs w:val="20"/>
    </w:rPr>
  </w:style>
  <w:style w:type="paragraph" w:customStyle="1" w:styleId="20">
    <w:name w:val="內文2"/>
    <w:pPr>
      <w:spacing w:before="120" w:after="120"/>
    </w:pPr>
    <w:rPr>
      <w:rFonts w:eastAsia="標楷體"/>
      <w:noProof/>
      <w:spacing w:val="20"/>
    </w:rPr>
  </w:style>
  <w:style w:type="character" w:styleId="a8">
    <w:name w:val="Hyperlink"/>
    <w:basedOn w:val="a1"/>
    <w:semiHidden/>
    <w:rPr>
      <w:color w:val="0000FF"/>
      <w:u w:val="single"/>
    </w:rPr>
  </w:style>
  <w:style w:type="character" w:styleId="a9">
    <w:name w:val="Strong"/>
    <w:basedOn w:val="a1"/>
    <w:qFormat/>
    <w:rPr>
      <w:b/>
      <w:bCs/>
    </w:rPr>
  </w:style>
  <w:style w:type="paragraph" w:styleId="aa">
    <w:name w:val="Date"/>
    <w:basedOn w:val="a"/>
    <w:next w:val="a"/>
    <w:semiHidden/>
    <w:pPr>
      <w:jc w:val="right"/>
    </w:pPr>
  </w:style>
  <w:style w:type="paragraph" w:styleId="ab">
    <w:name w:val="Body Text"/>
    <w:basedOn w:val="a"/>
    <w:semiHidden/>
    <w:pPr>
      <w:adjustRightInd w:val="0"/>
      <w:snapToGrid w:val="0"/>
      <w:spacing w:beforeLines="50" w:before="50" w:after="120" w:line="360" w:lineRule="auto"/>
      <w:ind w:firstLineChars="200" w:firstLine="200"/>
      <w:jc w:val="both"/>
    </w:pPr>
    <w:rPr>
      <w:lang w:val="de-DE"/>
    </w:rPr>
  </w:style>
  <w:style w:type="character" w:customStyle="1" w:styleId="ac">
    <w:name w:val=" 字元 字元"/>
    <w:basedOn w:val="a1"/>
    <w:rPr>
      <w:rFonts w:eastAsia="新細明體"/>
      <w:kern w:val="2"/>
      <w:sz w:val="24"/>
      <w:szCs w:val="24"/>
      <w:lang w:val="de-DE" w:eastAsia="zh-TW" w:bidi="ar-SA"/>
    </w:rPr>
  </w:style>
  <w:style w:type="paragraph" w:styleId="21">
    <w:name w:val="Body Text 2"/>
    <w:basedOn w:val="a"/>
    <w:semiHidden/>
    <w:pPr>
      <w:spacing w:after="120" w:line="480" w:lineRule="auto"/>
    </w:pPr>
  </w:style>
  <w:style w:type="paragraph" w:styleId="ad">
    <w:name w:val="footnote text"/>
    <w:basedOn w:val="a"/>
    <w:semiHidden/>
    <w:pPr>
      <w:snapToGrid w:val="0"/>
    </w:pPr>
    <w:rPr>
      <w:sz w:val="20"/>
      <w:szCs w:val="20"/>
    </w:rPr>
  </w:style>
  <w:style w:type="character" w:styleId="ae">
    <w:name w:val="footnote reference"/>
    <w:basedOn w:val="a1"/>
    <w:semiHidden/>
    <w:rPr>
      <w:vertAlign w:val="superscript"/>
    </w:rPr>
  </w:style>
  <w:style w:type="paragraph" w:styleId="31">
    <w:name w:val="Body Text 3"/>
    <w:basedOn w:val="a"/>
    <w:semiHidden/>
    <w:pPr>
      <w:spacing w:after="120"/>
    </w:pPr>
    <w:rPr>
      <w:sz w:val="16"/>
      <w:szCs w:val="16"/>
    </w:rPr>
  </w:style>
  <w:style w:type="paragraph" w:styleId="af">
    <w:name w:val="Note Heading"/>
    <w:basedOn w:val="a"/>
    <w:next w:val="a"/>
    <w:semiHidden/>
    <w:pPr>
      <w:jc w:val="center"/>
    </w:pPr>
  </w:style>
  <w:style w:type="paragraph" w:styleId="af0">
    <w:name w:val="Plain Text"/>
    <w:basedOn w:val="a"/>
    <w:semiHidden/>
    <w:rPr>
      <w:rFonts w:ascii="細明體" w:eastAsia="細明體" w:hAnsi="Courier New"/>
      <w:szCs w:val="20"/>
    </w:rPr>
  </w:style>
  <w:style w:type="paragraph" w:styleId="af1">
    <w:name w:val="Closing"/>
    <w:basedOn w:val="a"/>
    <w:semiHidden/>
    <w:pPr>
      <w:ind w:leftChars="1800" w:left="100"/>
    </w:pPr>
    <w:rPr>
      <w:lang w:val="de-DE"/>
    </w:rPr>
  </w:style>
  <w:style w:type="paragraph" w:styleId="32">
    <w:name w:val="Body Text Indent 3"/>
    <w:basedOn w:val="a"/>
    <w:semiHidden/>
    <w:pPr>
      <w:spacing w:after="120"/>
      <w:ind w:leftChars="200" w:left="480"/>
    </w:pPr>
    <w:rPr>
      <w:sz w:val="16"/>
      <w:szCs w:val="16"/>
    </w:rPr>
  </w:style>
  <w:style w:type="paragraph" w:styleId="Web">
    <w:name w:val="Normal (Web)"/>
    <w:basedOn w:val="a"/>
    <w:semiHidden/>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stext1">
    <w:name w:val="stext1"/>
    <w:basedOn w:val="a1"/>
    <w:rPr>
      <w:sz w:val="19"/>
      <w:szCs w:val="19"/>
    </w:rPr>
  </w:style>
  <w:style w:type="character" w:customStyle="1" w:styleId="stext">
    <w:name w:val="stext"/>
    <w:basedOn w:val="a1"/>
  </w:style>
  <w:style w:type="paragraph" w:customStyle="1" w:styleId="af2">
    <w:name w:val="本文 + 新細明體"/>
    <w:basedOn w:val="ab"/>
    <w:pPr>
      <w:spacing w:before="180"/>
      <w:ind w:firstLine="480"/>
    </w:pPr>
    <w:rPr>
      <w:rFonts w:ascii="新細明體" w:hAnsi="新細明體"/>
    </w:rPr>
  </w:style>
  <w:style w:type="character" w:customStyle="1" w:styleId="af3">
    <w:name w:val="本文 + 新細明體 字元"/>
    <w:basedOn w:val="ac"/>
    <w:rPr>
      <w:rFonts w:ascii="新細明體" w:eastAsia="新細明體" w:hAnsi="新細明體"/>
      <w:kern w:val="2"/>
      <w:sz w:val="24"/>
      <w:szCs w:val="24"/>
      <w:lang w:val="de-DE" w:eastAsia="zh-TW" w:bidi="ar-SA"/>
    </w:rPr>
  </w:style>
  <w:style w:type="paragraph" w:customStyle="1" w:styleId="22">
    <w:name w:val="本文 + 第一行:  2 字元"/>
    <w:aliases w:val="套用前:  0.5 列"/>
    <w:basedOn w:val="ab"/>
    <w:pPr>
      <w:spacing w:before="180"/>
      <w:ind w:firstLine="480"/>
    </w:pPr>
  </w:style>
  <w:style w:type="character" w:customStyle="1" w:styleId="text">
    <w:name w:val="text"/>
    <w:basedOn w:val="a1"/>
  </w:style>
  <w:style w:type="paragraph" w:styleId="10">
    <w:name w:val="toc 1"/>
    <w:basedOn w:val="a"/>
    <w:next w:val="a"/>
    <w:autoRedefine/>
    <w:semiHidden/>
  </w:style>
  <w:style w:type="paragraph" w:customStyle="1" w:styleId="af4">
    <w:name w:val="(一)中黑"/>
    <w:basedOn w:val="a"/>
    <w:autoRedefine/>
    <w:pPr>
      <w:snapToGrid w:val="0"/>
      <w:spacing w:line="300" w:lineRule="auto"/>
      <w:ind w:left="1800" w:hanging="1800"/>
      <w:jc w:val="both"/>
    </w:pPr>
    <w:rPr>
      <w:rFonts w:ascii="標楷體" w:eastAsia="標楷體" w:hAnsi="標楷體"/>
      <w:b/>
      <w:bCs/>
      <w:spacing w:val="4"/>
      <w:sz w:val="40"/>
      <w:szCs w:val="40"/>
    </w:rPr>
  </w:style>
  <w:style w:type="paragraph" w:customStyle="1" w:styleId="11">
    <w:name w:val="(1)"/>
    <w:basedOn w:val="a"/>
    <w:autoRedefine/>
    <w:pPr>
      <w:snapToGrid w:val="0"/>
      <w:spacing w:line="300" w:lineRule="auto"/>
      <w:ind w:left="2160" w:hanging="1194"/>
      <w:jc w:val="both"/>
    </w:pPr>
    <w:rPr>
      <w:rFonts w:ascii="標楷體" w:eastAsia="標楷體" w:hAnsi="標楷體"/>
      <w:bCs/>
      <w:sz w:val="40"/>
      <w:szCs w:val="40"/>
    </w:rPr>
  </w:style>
  <w:style w:type="paragraph" w:customStyle="1" w:styleId="12">
    <w:name w:val="1.(本文)"/>
    <w:basedOn w:val="a"/>
    <w:autoRedefine/>
    <w:pPr>
      <w:kinsoku w:val="0"/>
      <w:overflowPunct w:val="0"/>
      <w:autoSpaceDE w:val="0"/>
      <w:autoSpaceDN w:val="0"/>
      <w:adjustRightInd w:val="0"/>
      <w:snapToGrid w:val="0"/>
      <w:spacing w:line="300" w:lineRule="auto"/>
      <w:ind w:left="1680" w:hanging="1680"/>
      <w:jc w:val="both"/>
    </w:pPr>
    <w:rPr>
      <w:rFonts w:ascii="標楷體" w:eastAsia="標楷體" w:hAnsi="標楷體"/>
      <w:sz w:val="22"/>
      <w:szCs w:val="40"/>
    </w:rPr>
  </w:style>
  <w:style w:type="paragraph" w:styleId="af5">
    <w:name w:val="header"/>
    <w:basedOn w:val="a"/>
    <w:semiHidden/>
    <w:pPr>
      <w:tabs>
        <w:tab w:val="center" w:pos="4153"/>
        <w:tab w:val="right" w:pos="8306"/>
      </w:tabs>
      <w:snapToGrid w:val="0"/>
    </w:pPr>
    <w:rPr>
      <w:sz w:val="20"/>
      <w:szCs w:val="20"/>
    </w:rPr>
  </w:style>
  <w:style w:type="paragraph" w:styleId="23">
    <w:name w:val="toc 2"/>
    <w:basedOn w:val="a"/>
    <w:next w:val="a"/>
    <w:autoRedefine/>
    <w:semiHidden/>
    <w:pPr>
      <w:ind w:leftChars="200" w:left="480"/>
    </w:pPr>
  </w:style>
  <w:style w:type="paragraph" w:styleId="33">
    <w:name w:val="toc 3"/>
    <w:basedOn w:val="a"/>
    <w:next w:val="a"/>
    <w:autoRedefine/>
    <w:semiHidden/>
    <w:pPr>
      <w:ind w:leftChars="400" w:left="960"/>
    </w:pPr>
  </w:style>
  <w:style w:type="paragraph" w:styleId="40">
    <w:name w:val="toc 4"/>
    <w:basedOn w:val="a"/>
    <w:next w:val="a"/>
    <w:autoRedefine/>
    <w:semiHidden/>
    <w:pPr>
      <w:ind w:leftChars="600" w:left="1440"/>
    </w:pPr>
  </w:style>
  <w:style w:type="paragraph" w:styleId="50">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f6">
    <w:name w:val="table of figures"/>
    <w:basedOn w:val="a"/>
    <w:next w:val="a"/>
    <w:semiHidden/>
    <w:pPr>
      <w:ind w:leftChars="400" w:left="960" w:hangingChars="20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1354</Words>
  <Characters>7718</Characters>
  <Application>Microsoft Office Word</Application>
  <DocSecurity>0</DocSecurity>
  <Lines>64</Lines>
  <Paragraphs>18</Paragraphs>
  <ScaleCrop>false</ScaleCrop>
  <Company>CCU</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一、研究人員經費</dc:title>
  <dc:subject/>
  <dc:creator>CCU</dc:creator>
  <cp:keywords/>
  <dc:description/>
  <cp:lastModifiedBy>卓卿雲</cp:lastModifiedBy>
  <cp:revision>2</cp:revision>
  <cp:lastPrinted>2004-04-08T14:27:00Z</cp:lastPrinted>
  <dcterms:created xsi:type="dcterms:W3CDTF">2021-09-22T10:38:00Z</dcterms:created>
  <dcterms:modified xsi:type="dcterms:W3CDTF">2021-09-22T10:38:00Z</dcterms:modified>
</cp:coreProperties>
</file>