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21CCE">
      <w:pPr>
        <w:pStyle w:val="22"/>
        <w:spacing w:line="480" w:lineRule="auto"/>
        <w:ind w:firstLine="380"/>
        <w:rPr>
          <w:rFonts w:ascii="Arial" w:hAnsi="Arial" w:cs="Arial"/>
          <w:vanish/>
          <w:kern w:val="0"/>
          <w:sz w:val="19"/>
          <w:szCs w:val="19"/>
        </w:rPr>
      </w:pPr>
      <w:bookmarkStart w:id="0" w:name="_GoBack"/>
      <w:bookmarkEnd w:id="0"/>
    </w:p>
    <w:p w:rsidR="00000000" w:rsidRDefault="00A21CCE">
      <w:pPr>
        <w:pStyle w:val="1"/>
        <w:spacing w:before="180" w:after="180" w:line="480" w:lineRule="auto"/>
        <w:rPr>
          <w:lang w:val="de-DE"/>
        </w:rPr>
      </w:pPr>
      <w:bookmarkStart w:id="1" w:name="_Toc121199239"/>
      <w:bookmarkStart w:id="2" w:name="_Toc121212711"/>
      <w:bookmarkStart w:id="3" w:name="_Toc121212974"/>
      <w:r>
        <w:rPr>
          <w:lang w:val="de-DE"/>
        </w:rPr>
        <w:t>9</w:t>
      </w:r>
      <w:r>
        <w:rPr>
          <w:rFonts w:hint="eastAsia"/>
          <w:lang w:val="de-DE"/>
        </w:rPr>
        <w:t>.</w:t>
      </w:r>
      <w:r>
        <w:rPr>
          <w:lang w:val="de-DE"/>
        </w:rPr>
        <w:t>針對陞遷決定救濟之權利保護必要性</w:t>
      </w:r>
      <w:bookmarkEnd w:id="1"/>
      <w:bookmarkEnd w:id="2"/>
      <w:bookmarkEnd w:id="3"/>
    </w:p>
    <w:p w:rsidR="00000000" w:rsidRDefault="00A21CCE">
      <w:pPr>
        <w:pStyle w:val="2"/>
        <w:spacing w:line="480" w:lineRule="auto"/>
        <w:rPr>
          <w:rFonts w:hint="eastAsia"/>
          <w:lang w:val="de-DE"/>
        </w:rPr>
      </w:pPr>
      <w:bookmarkStart w:id="4" w:name="_Toc121199240"/>
      <w:bookmarkStart w:id="5" w:name="_Toc121212712"/>
      <w:bookmarkStart w:id="6" w:name="_Toc121212975"/>
      <w:r>
        <w:rPr>
          <w:lang w:val="de-DE"/>
        </w:rPr>
        <w:t>9</w:t>
      </w:r>
      <w:r>
        <w:rPr>
          <w:rFonts w:hint="eastAsia"/>
          <w:lang w:val="de-DE"/>
        </w:rPr>
        <w:t>.</w:t>
      </w:r>
      <w:r>
        <w:rPr>
          <w:lang w:val="de-DE"/>
        </w:rPr>
        <w:t>1</w:t>
      </w:r>
      <w:r>
        <w:rPr>
          <w:rFonts w:hint="eastAsia"/>
          <w:lang w:val="de-DE"/>
        </w:rPr>
        <w:t>.</w:t>
      </w:r>
      <w:r>
        <w:rPr>
          <w:lang w:val="de-DE"/>
        </w:rPr>
        <w:t>權利保護之必要性與訴訟權能之區分</w:t>
      </w:r>
      <w:bookmarkEnd w:id="4"/>
      <w:bookmarkEnd w:id="5"/>
      <w:bookmarkEnd w:id="6"/>
    </w:p>
    <w:p w:rsidR="00000000" w:rsidRDefault="00A21CCE">
      <w:pPr>
        <w:pStyle w:val="22"/>
        <w:spacing w:line="480" w:lineRule="auto"/>
      </w:pPr>
      <w:r>
        <w:rPr>
          <w:rFonts w:hint="eastAsia"/>
        </w:rPr>
        <w:t>在行政救濟中，原告之訴訟權能（</w:t>
      </w:r>
      <w:r>
        <w:rPr>
          <w:rFonts w:eastAsia="MS Mincho"/>
          <w:lang w:eastAsia="ja-JP"/>
        </w:rPr>
        <w:t>Klagsbefugnis</w:t>
      </w:r>
      <w:r>
        <w:rPr>
          <w:rFonts w:hint="eastAsia"/>
        </w:rPr>
        <w:t>）與權利保護之必要性（</w:t>
      </w:r>
      <w:r>
        <w:t>Rechtsschutzbedürfnis</w:t>
      </w:r>
      <w:r>
        <w:rPr>
          <w:rFonts w:hint="eastAsia"/>
        </w:rPr>
        <w:t>）兩者並非等同的概念。前者要回答的問題是原告在這個爭訟程序是否具有主張（</w:t>
      </w:r>
      <w:r>
        <w:rPr>
          <w:rFonts w:hint="eastAsia"/>
        </w:rPr>
        <w:t>geltend machen</w:t>
      </w:r>
      <w:r>
        <w:rPr>
          <w:rFonts w:hint="eastAsia"/>
        </w:rPr>
        <w:t>）自己權利遭受不法侵害的資格或者法律上地位。這是前文討論有關原告之主觀公法上權利的問題。至於權利保護必要性的要件則是從訴訟資源的經濟性考量，要回答的是，原告是否有必要利用此一程序請求救濟，或者法院或其他類似司法</w:t>
      </w:r>
      <w:r>
        <w:rPr>
          <w:rFonts w:hint="eastAsia"/>
        </w:rPr>
        <w:t>救濟機關是否有必要在此時提供作為其實現權利救濟的管道。換言之，假如原告有其他更有效的手段，則應該選取其他救濟手段，假如所提供的救濟資源對其權利救濟並無任何幫助時，則應以無權利保護必要性為由，駁回當事人之聲請。例如對他人之陞遷任命程序已經完成，自己要求法院撤銷他人之陞遷決定（不論有無再為自己提一個課予義務訴訟）即會發生有無權利保護必要性的爭議。</w:t>
      </w:r>
    </w:p>
    <w:p w:rsidR="00000000" w:rsidRDefault="00A21CCE">
      <w:pPr>
        <w:pStyle w:val="2"/>
        <w:spacing w:line="480" w:lineRule="auto"/>
        <w:rPr>
          <w:lang w:val="de-DE"/>
        </w:rPr>
      </w:pPr>
      <w:bookmarkStart w:id="7" w:name="_Toc121199241"/>
      <w:bookmarkStart w:id="8" w:name="_Toc121212713"/>
      <w:bookmarkStart w:id="9" w:name="_Toc121212976"/>
      <w:r>
        <w:rPr>
          <w:lang w:val="de-DE"/>
        </w:rPr>
        <w:t>9</w:t>
      </w:r>
      <w:r>
        <w:rPr>
          <w:rFonts w:hint="eastAsia"/>
          <w:lang w:val="de-DE"/>
        </w:rPr>
        <w:t>.</w:t>
      </w:r>
      <w:r>
        <w:rPr>
          <w:lang w:val="de-DE"/>
        </w:rPr>
        <w:t>2</w:t>
      </w:r>
      <w:r>
        <w:rPr>
          <w:rFonts w:hint="eastAsia"/>
          <w:lang w:val="de-DE"/>
        </w:rPr>
        <w:t>.</w:t>
      </w:r>
      <w:r>
        <w:rPr>
          <w:lang w:val="de-DE"/>
        </w:rPr>
        <w:t>紛爭已終結與爭訟之實益</w:t>
      </w:r>
      <w:bookmarkEnd w:id="7"/>
      <w:bookmarkEnd w:id="8"/>
      <w:bookmarkEnd w:id="9"/>
    </w:p>
    <w:p w:rsidR="00000000" w:rsidRDefault="00A21CCE">
      <w:pPr>
        <w:pStyle w:val="22"/>
        <w:spacing w:line="480" w:lineRule="auto"/>
        <w:rPr>
          <w:rFonts w:hint="eastAsia"/>
          <w:kern w:val="0"/>
        </w:rPr>
      </w:pPr>
      <w:r>
        <w:rPr>
          <w:kern w:val="0"/>
        </w:rPr>
        <w:t>對於已經辦理陞遷完畢的救濟案件</w:t>
      </w:r>
      <w:r>
        <w:rPr>
          <w:rFonts w:hint="eastAsia"/>
          <w:kern w:val="0"/>
        </w:rPr>
        <w:t>（已完成的陞遷任命又無實體法上的違法事由）</w:t>
      </w:r>
      <w:r>
        <w:rPr>
          <w:kern w:val="0"/>
        </w:rPr>
        <w:t>，實務上的處理方式，救濟機關（如保訓會）多以無權利保護必要性為</w:t>
      </w:r>
      <w:r>
        <w:rPr>
          <w:kern w:val="0"/>
        </w:rPr>
        <w:t>由，駁回當事人之聲請。即使在德國也有相當多支持這種作法的聲音</w:t>
      </w:r>
      <w:r>
        <w:rPr>
          <w:rStyle w:val="ae"/>
          <w:kern w:val="0"/>
        </w:rPr>
        <w:footnoteReference w:id="1"/>
      </w:r>
      <w:r>
        <w:rPr>
          <w:kern w:val="0"/>
        </w:rPr>
        <w:t>。</w:t>
      </w:r>
      <w:r>
        <w:rPr>
          <w:rFonts w:hint="eastAsia"/>
          <w:kern w:val="0"/>
        </w:rPr>
        <w:t>他們多認為陞遷程序已臻「終結（</w:t>
      </w:r>
      <w:r>
        <w:rPr>
          <w:rFonts w:hint="eastAsia"/>
          <w:kern w:val="0"/>
        </w:rPr>
        <w:t>erledigt</w:t>
      </w:r>
      <w:r>
        <w:rPr>
          <w:rFonts w:hint="eastAsia"/>
          <w:kern w:val="0"/>
        </w:rPr>
        <w:t>）」。同時因為陞遷決定的不可撤廢性，將導致聲請法院在撤銷程序中的排除行為變成不應予以許可。其理由即在於缺乏必備的權利</w:t>
      </w:r>
      <w:r>
        <w:rPr>
          <w:rFonts w:hint="eastAsia"/>
          <w:kern w:val="0"/>
        </w:rPr>
        <w:lastRenderedPageBreak/>
        <w:t>保護必要性。假如陞遷任命程序是在已經提起撤銷訴訟中才終結，在德國的作法是根據聯邦行政法院法第</w:t>
      </w:r>
      <w:r>
        <w:rPr>
          <w:rFonts w:hint="eastAsia"/>
          <w:kern w:val="0"/>
        </w:rPr>
        <w:t>113</w:t>
      </w:r>
      <w:r>
        <w:rPr>
          <w:rFonts w:hint="eastAsia"/>
          <w:kern w:val="0"/>
        </w:rPr>
        <w:t>條第</w:t>
      </w:r>
      <w:r>
        <w:rPr>
          <w:rFonts w:hint="eastAsia"/>
          <w:kern w:val="0"/>
        </w:rPr>
        <w:t>1</w:t>
      </w:r>
      <w:r>
        <w:rPr>
          <w:rFonts w:hint="eastAsia"/>
          <w:kern w:val="0"/>
        </w:rPr>
        <w:t>項，應該要將撤銷訴訟轉換成「續行確認（行政處分違法）訴訟（</w:t>
      </w:r>
      <w:r>
        <w:rPr>
          <w:rFonts w:eastAsia="MS Mincho" w:hint="eastAsia"/>
          <w:kern w:val="0"/>
        </w:rPr>
        <w:t>Fortsetzungsfeststellungsklage</w:t>
      </w:r>
      <w:r>
        <w:rPr>
          <w:rFonts w:hint="eastAsia"/>
          <w:kern w:val="0"/>
        </w:rPr>
        <w:t>）」</w:t>
      </w:r>
      <w:r>
        <w:rPr>
          <w:rStyle w:val="ae"/>
          <w:rFonts w:hAnsi="Arial"/>
          <w:kern w:val="0"/>
        </w:rPr>
        <w:footnoteReference w:id="2"/>
      </w:r>
      <w:r>
        <w:rPr>
          <w:rFonts w:hint="eastAsia"/>
          <w:kern w:val="0"/>
        </w:rPr>
        <w:t>。而在台灣可能必須為訴之變更成行政訴訟法第</w:t>
      </w:r>
      <w:r>
        <w:rPr>
          <w:rFonts w:hint="eastAsia"/>
          <w:kern w:val="0"/>
        </w:rPr>
        <w:t>6</w:t>
      </w:r>
      <w:r>
        <w:rPr>
          <w:rFonts w:hint="eastAsia"/>
          <w:kern w:val="0"/>
        </w:rPr>
        <w:t>條之確認處分違</w:t>
      </w:r>
      <w:r>
        <w:rPr>
          <w:rFonts w:hint="eastAsia"/>
          <w:kern w:val="0"/>
        </w:rPr>
        <w:t>法之訴（但須注意特殊訴之利益的要求，亦即變更提起卻認為法訴訟的目的何在）。至於這個陞遷任命的決定發生不可撤廢的效果，則可能受到</w:t>
      </w:r>
      <w:r>
        <w:rPr>
          <w:kern w:val="0"/>
        </w:rPr>
        <w:t>職務安定原則</w:t>
      </w:r>
      <w:r>
        <w:rPr>
          <w:rFonts w:hAnsi="Arial"/>
          <w:kern w:val="0"/>
        </w:rPr>
        <w:t>（</w:t>
      </w:r>
      <w:r>
        <w:rPr>
          <w:bCs/>
          <w:kern w:val="0"/>
        </w:rPr>
        <w:t>Ämterstabilität</w:t>
      </w:r>
      <w:r>
        <w:rPr>
          <w:rFonts w:hAnsi="Arial"/>
          <w:kern w:val="0"/>
        </w:rPr>
        <w:t>）</w:t>
      </w:r>
      <w:r>
        <w:rPr>
          <w:rStyle w:val="ae"/>
          <w:kern w:val="0"/>
        </w:rPr>
        <w:footnoteReference w:id="3"/>
      </w:r>
      <w:r>
        <w:rPr>
          <w:rFonts w:hAnsi="Arial" w:hint="eastAsia"/>
          <w:kern w:val="0"/>
        </w:rPr>
        <w:t>的重大影響。</w:t>
      </w:r>
    </w:p>
    <w:p w:rsidR="00000000" w:rsidRDefault="00A21CCE">
      <w:pPr>
        <w:pStyle w:val="22"/>
        <w:spacing w:line="480" w:lineRule="auto"/>
        <w:rPr>
          <w:kern w:val="0"/>
        </w:rPr>
      </w:pPr>
      <w:r>
        <w:rPr>
          <w:kern w:val="0"/>
        </w:rPr>
        <w:t>職務安定原則</w:t>
      </w:r>
      <w:r>
        <w:rPr>
          <w:rFonts w:hAnsi="Arial"/>
          <w:kern w:val="0"/>
        </w:rPr>
        <w:t>乃是（德國）公務員法上的基本原則。它通常在針對之前的競爭者所提出的競爭訴訟（</w:t>
      </w:r>
      <w:r>
        <w:rPr>
          <w:kern w:val="0"/>
        </w:rPr>
        <w:t>Konkurrentenklagen</w:t>
      </w:r>
      <w:r>
        <w:rPr>
          <w:rFonts w:hAnsi="Arial"/>
          <w:kern w:val="0"/>
        </w:rPr>
        <w:t>）中，例如在公務員陞遷（</w:t>
      </w:r>
      <w:r>
        <w:rPr>
          <w:kern w:val="0"/>
        </w:rPr>
        <w:t>Beförderung</w:t>
      </w:r>
      <w:r>
        <w:rPr>
          <w:rFonts w:hAnsi="Arial"/>
          <w:kern w:val="0"/>
        </w:rPr>
        <w:t>）或者任命（</w:t>
      </w:r>
      <w:r>
        <w:rPr>
          <w:kern w:val="0"/>
        </w:rPr>
        <w:t>Ernennung</w:t>
      </w:r>
      <w:r>
        <w:rPr>
          <w:rFonts w:hAnsi="Arial"/>
          <w:kern w:val="0"/>
        </w:rPr>
        <w:t>）的爭議中，發生作用。根據職務安定原則，並不會因為競爭關係下的爭訟者提起的法律救濟而事後撤銷已經完成的公務員任命。除因為公務</w:t>
      </w:r>
      <w:r>
        <w:rPr>
          <w:rFonts w:hAnsi="Arial"/>
          <w:kern w:val="0"/>
        </w:rPr>
        <w:t>員法上具體指陳的原因而可以確認公務員勤務關係無效或者撤銷任命者外，先前已經完成的任命及具有存續效果</w:t>
      </w:r>
      <w:r>
        <w:rPr>
          <w:rStyle w:val="ae"/>
          <w:rFonts w:hAnsi="Arial"/>
          <w:kern w:val="0"/>
        </w:rPr>
        <w:footnoteReference w:id="4"/>
      </w:r>
      <w:r>
        <w:rPr>
          <w:rFonts w:hAnsi="Arial"/>
          <w:kern w:val="0"/>
        </w:rPr>
        <w:t>。</w:t>
      </w:r>
    </w:p>
    <w:p w:rsidR="00000000" w:rsidRDefault="00A21CCE">
      <w:pPr>
        <w:pStyle w:val="22"/>
        <w:spacing w:line="480" w:lineRule="auto"/>
        <w:rPr>
          <w:rFonts w:hint="eastAsia"/>
          <w:kern w:val="0"/>
        </w:rPr>
      </w:pPr>
      <w:r>
        <w:rPr>
          <w:rFonts w:hAnsi="Arial"/>
          <w:kern w:val="0"/>
        </w:rPr>
        <w:t>對於撤銷公務員任命的可能性所作的這種限制，主要是源自德國基本法第</w:t>
      </w:r>
      <w:r>
        <w:rPr>
          <w:kern w:val="0"/>
        </w:rPr>
        <w:t>33</w:t>
      </w:r>
      <w:r>
        <w:rPr>
          <w:rFonts w:hAnsi="Arial"/>
          <w:kern w:val="0"/>
        </w:rPr>
        <w:t>條第</w:t>
      </w:r>
      <w:r>
        <w:rPr>
          <w:kern w:val="0"/>
        </w:rPr>
        <w:t>5</w:t>
      </w:r>
      <w:r>
        <w:rPr>
          <w:rFonts w:hAnsi="Arial"/>
          <w:kern w:val="0"/>
        </w:rPr>
        <w:t>項。該法規定「有關公務員的法律必須顧及公務員制度的傳統基本原則加以制訂」。一般也將職務安定原則理解成為公務員制度的傳統基本原則之一。另外一些承認職務安定原則的原因則是基於</w:t>
      </w:r>
      <w:r>
        <w:rPr>
          <w:rFonts w:hAnsi="Arial" w:hint="eastAsia"/>
          <w:kern w:val="0"/>
        </w:rPr>
        <w:t>憲法上確保行政功能運作穩定的要求</w:t>
      </w:r>
      <w:r>
        <w:rPr>
          <w:rFonts w:hAnsi="Arial" w:hint="eastAsia"/>
          <w:kern w:val="0"/>
        </w:rPr>
        <w:lastRenderedPageBreak/>
        <w:t>或者自法治國原則導出的</w:t>
      </w:r>
      <w:r>
        <w:rPr>
          <w:rFonts w:hAnsi="Arial"/>
          <w:kern w:val="0"/>
        </w:rPr>
        <w:t>法律安定性原則（</w:t>
      </w:r>
      <w:r>
        <w:rPr>
          <w:kern w:val="0"/>
        </w:rPr>
        <w:t>Grundsatz der Rechtssicherheit</w:t>
      </w:r>
      <w:r>
        <w:rPr>
          <w:rFonts w:hAnsi="Arial"/>
          <w:kern w:val="0"/>
        </w:rPr>
        <w:t>）、公眾對於公務員特質的信賴（</w:t>
      </w:r>
      <w:r>
        <w:rPr>
          <w:kern w:val="0"/>
        </w:rPr>
        <w:t>Ve</w:t>
      </w:r>
      <w:r>
        <w:rPr>
          <w:kern w:val="0"/>
        </w:rPr>
        <w:t>rtrauen der Öffentlichkeit auf die Beamteneigenschaft</w:t>
      </w:r>
      <w:r>
        <w:rPr>
          <w:rFonts w:hAnsi="Arial"/>
          <w:kern w:val="0"/>
        </w:rPr>
        <w:t>）以及受任命公務員值得保障的信賴。假如公務員的任命存在有撤銷的危險時，受任命公務員自己的個人利益將與先前未受任命競爭者的權利保護利益處於無法解決的衝突。</w:t>
      </w:r>
      <w:r>
        <w:rPr>
          <w:rFonts w:hAnsi="Arial" w:hint="eastAsia"/>
          <w:kern w:val="0"/>
        </w:rPr>
        <w:t>由結果而論，將對於公務人員任命之撤銷原因嚴格加以限縮，最終確保的除已任命公務員之利益外，更重要的則是行政的功能運作（</w:t>
      </w:r>
      <w:r>
        <w:rPr>
          <w:rFonts w:eastAsia="MS Mincho" w:hAnsi="Arial"/>
          <w:kern w:val="0"/>
        </w:rPr>
        <w:t>Funktio</w:t>
      </w:r>
      <w:r>
        <w:rPr>
          <w:rFonts w:eastAsia="MS Mincho"/>
          <w:kern w:val="0"/>
        </w:rPr>
        <w:t>nsfähig</w:t>
      </w:r>
      <w:r>
        <w:rPr>
          <w:rFonts w:eastAsia="MS Mincho" w:hAnsi="Arial"/>
          <w:kern w:val="0"/>
        </w:rPr>
        <w:t>keit der Verwaltung</w:t>
      </w:r>
      <w:r>
        <w:rPr>
          <w:rFonts w:hAnsi="Arial" w:hint="eastAsia"/>
          <w:kern w:val="0"/>
        </w:rPr>
        <w:t>）</w:t>
      </w:r>
      <w:r>
        <w:rPr>
          <w:rStyle w:val="ae"/>
          <w:rFonts w:hAnsi="Arial"/>
          <w:kern w:val="0"/>
        </w:rPr>
        <w:footnoteReference w:id="5"/>
      </w:r>
      <w:r>
        <w:rPr>
          <w:rFonts w:hAnsi="Arial" w:hint="eastAsia"/>
          <w:kern w:val="0"/>
        </w:rPr>
        <w:t>。以避免行政機關陷入已陞遷任命的公務人員如何「讓出」職缺給予原先未獲</w:t>
      </w:r>
      <w:r>
        <w:rPr>
          <w:rFonts w:hAnsi="Arial" w:hint="eastAsia"/>
          <w:kern w:val="0"/>
        </w:rPr>
        <w:t>陞遷公務人員的難解窘境</w:t>
      </w:r>
      <w:r>
        <w:rPr>
          <w:rStyle w:val="ae"/>
          <w:rFonts w:hAnsi="Arial"/>
          <w:kern w:val="0"/>
        </w:rPr>
        <w:footnoteReference w:id="6"/>
      </w:r>
      <w:r>
        <w:rPr>
          <w:rFonts w:hAnsi="Arial" w:hint="eastAsia"/>
          <w:kern w:val="0"/>
        </w:rPr>
        <w:t>。</w:t>
      </w:r>
    </w:p>
    <w:p w:rsidR="00000000" w:rsidRDefault="00A21CCE">
      <w:pPr>
        <w:pStyle w:val="22"/>
        <w:spacing w:line="480" w:lineRule="auto"/>
        <w:rPr>
          <w:kern w:val="0"/>
        </w:rPr>
      </w:pPr>
      <w:r>
        <w:rPr>
          <w:rFonts w:hAnsi="Arial"/>
          <w:kern w:val="0"/>
        </w:rPr>
        <w:t>在德國行政訴訟的裁判實務中，基於職務安定原則甚至可以導出，即使先前的任命行為是違法，例如先前的任命是因為公務員與其官署首長之間具有良好的（政治）關係（即所謂的「職務裙帶關係（</w:t>
      </w:r>
      <w:r>
        <w:rPr>
          <w:kern w:val="0"/>
        </w:rPr>
        <w:t>sog. Ämterpatronage</w:t>
      </w:r>
      <w:r>
        <w:rPr>
          <w:rFonts w:hAnsi="Arial"/>
          <w:kern w:val="0"/>
        </w:rPr>
        <w:t>）」），也不會因為其他未獲任命者所提起之競爭訴訟而遭撤銷的命運。</w:t>
      </w:r>
    </w:p>
    <w:p w:rsidR="00000000" w:rsidRDefault="00A21CCE">
      <w:pPr>
        <w:pStyle w:val="22"/>
        <w:spacing w:line="480" w:lineRule="auto"/>
        <w:rPr>
          <w:kern w:val="0"/>
        </w:rPr>
      </w:pPr>
      <w:r>
        <w:rPr>
          <w:rFonts w:hAnsi="Arial"/>
          <w:kern w:val="0"/>
        </w:rPr>
        <w:t>不過也有批判的意見認為，針對此類公務員的任命不應有所謂職務安定原則的保護，而仍有提起撤銷訴訟的可能性。因為此類的行政處分是所謂典型的附第三人效力之行政處分（</w:t>
      </w:r>
      <w:r>
        <w:rPr>
          <w:kern w:val="0"/>
        </w:rPr>
        <w:t>Verwaltungsakt mit Doppel</w:t>
      </w:r>
      <w:r>
        <w:rPr>
          <w:kern w:val="0"/>
        </w:rPr>
        <w:t>wirkung</w:t>
      </w:r>
      <w:r>
        <w:rPr>
          <w:rFonts w:hAnsi="Arial"/>
          <w:kern w:val="0"/>
        </w:rPr>
        <w:t>），所以可能造成競爭第三人的負擔而由其請求加以撤銷。未獲任命的申請者可能因為行政機關對他人之任命欠缺撤銷可能性而造成自己無可排除的障礙。如果有這種狀況發生，則可能另外對基本法第</w:t>
      </w:r>
      <w:r>
        <w:rPr>
          <w:kern w:val="0"/>
        </w:rPr>
        <w:t>19</w:t>
      </w:r>
      <w:r>
        <w:rPr>
          <w:rFonts w:hAnsi="Arial"/>
          <w:kern w:val="0"/>
        </w:rPr>
        <w:t>條第</w:t>
      </w:r>
      <w:r>
        <w:rPr>
          <w:kern w:val="0"/>
        </w:rPr>
        <w:t>4</w:t>
      </w:r>
      <w:r>
        <w:rPr>
          <w:rFonts w:hAnsi="Arial"/>
          <w:kern w:val="0"/>
        </w:rPr>
        <w:t>項所保護的權利救濟保障（</w:t>
      </w:r>
      <w:r>
        <w:rPr>
          <w:kern w:val="0"/>
        </w:rPr>
        <w:t>Rechtsschutzgarantie</w:t>
      </w:r>
      <w:r>
        <w:rPr>
          <w:kern w:val="0"/>
        </w:rPr>
        <w:t>）造成侵害。根據基本法第</w:t>
      </w:r>
      <w:r>
        <w:rPr>
          <w:kern w:val="0"/>
        </w:rPr>
        <w:t>33</w:t>
      </w:r>
      <w:r>
        <w:rPr>
          <w:kern w:val="0"/>
        </w:rPr>
        <w:t>條第</w:t>
      </w:r>
      <w:r>
        <w:rPr>
          <w:kern w:val="0"/>
        </w:rPr>
        <w:t>2</w:t>
      </w:r>
      <w:r>
        <w:rPr>
          <w:kern w:val="0"/>
        </w:rPr>
        <w:t>項之規定，任何德國人根據他的資格、能力以及專業，有從事公職的同等機會。職務安定原則因此有可能削弱了未獲任命之申請</w:t>
      </w:r>
      <w:r>
        <w:rPr>
          <w:kern w:val="0"/>
        </w:rPr>
        <w:lastRenderedPageBreak/>
        <w:t>者，要求合法選才的（主觀）權利。</w:t>
      </w:r>
    </w:p>
    <w:p w:rsidR="00000000" w:rsidRDefault="00A21CCE">
      <w:pPr>
        <w:pStyle w:val="22"/>
        <w:spacing w:line="480" w:lineRule="auto"/>
        <w:rPr>
          <w:rFonts w:hint="eastAsia"/>
          <w:kern w:val="0"/>
        </w:rPr>
      </w:pPr>
      <w:r>
        <w:rPr>
          <w:kern w:val="0"/>
        </w:rPr>
        <w:t>這個爭議性的問題，最近因德國聯邦行政法院</w:t>
      </w:r>
      <w:r>
        <w:rPr>
          <w:kern w:val="0"/>
        </w:rPr>
        <w:t>2001</w:t>
      </w:r>
      <w:r>
        <w:rPr>
          <w:kern w:val="0"/>
        </w:rPr>
        <w:t>年</w:t>
      </w:r>
      <w:r>
        <w:rPr>
          <w:kern w:val="0"/>
        </w:rPr>
        <w:t>9</w:t>
      </w:r>
      <w:r>
        <w:rPr>
          <w:kern w:val="0"/>
        </w:rPr>
        <w:t>月</w:t>
      </w:r>
      <w:r>
        <w:rPr>
          <w:kern w:val="0"/>
        </w:rPr>
        <w:t>13</w:t>
      </w:r>
      <w:r>
        <w:rPr>
          <w:kern w:val="0"/>
        </w:rPr>
        <w:t>日判決</w:t>
      </w:r>
      <w:r>
        <w:rPr>
          <w:rStyle w:val="ae"/>
          <w:kern w:val="0"/>
        </w:rPr>
        <w:footnoteReference w:id="7"/>
      </w:r>
      <w:r>
        <w:rPr>
          <w:kern w:val="0"/>
        </w:rPr>
        <w:t>的</w:t>
      </w:r>
      <w:r>
        <w:rPr>
          <w:kern w:val="0"/>
        </w:rPr>
        <w:t>旁論（</w:t>
      </w:r>
      <w:r>
        <w:rPr>
          <w:kern w:val="0"/>
        </w:rPr>
        <w:t>obiter dictum</w:t>
      </w:r>
      <w:r>
        <w:rPr>
          <w:kern w:val="0"/>
        </w:rPr>
        <w:t>）中，針對職務安定原則所提出的質疑，又重新獲得重視。聯邦行政法院的判決如同對於過去理論的重擊（</w:t>
      </w:r>
      <w:r>
        <w:rPr>
          <w:kern w:val="0"/>
        </w:rPr>
        <w:t>Paukenschlag</w:t>
      </w:r>
      <w:r>
        <w:rPr>
          <w:kern w:val="0"/>
        </w:rPr>
        <w:t>），同時也廣受好評。它針對公務員法上的競爭訴訟主張，如果在競爭者之間的職位分配違反因為請求分配遭拒絕而尋求救濟時所作成的暫時命令（</w:t>
      </w:r>
      <w:r>
        <w:rPr>
          <w:kern w:val="0"/>
        </w:rPr>
        <w:t>die einstweilige Anordnung</w:t>
      </w:r>
      <w:r>
        <w:rPr>
          <w:kern w:val="0"/>
        </w:rPr>
        <w:t>），那麼在暫時性權利救濟程序中原本只是暫時獲得保護的公務員，便有能在請求重新決定的主要訴訟程序中進一步實現其「應徵程序請求權（</w:t>
      </w:r>
      <w:r>
        <w:rPr>
          <w:kern w:val="0"/>
        </w:rPr>
        <w:t>Bewerbungsverfahrensanspruc</w:t>
      </w:r>
      <w:r>
        <w:rPr>
          <w:kern w:val="0"/>
        </w:rPr>
        <w:t>h</w:t>
      </w:r>
      <w:r>
        <w:rPr>
          <w:kern w:val="0"/>
        </w:rPr>
        <w:t>）」的可能。同時這也不需要以已經被任命公務員之任命處分遭撤銷作為前提，毋寧是由機關首長給一個新的職位</w:t>
      </w:r>
      <w:r>
        <w:rPr>
          <w:rStyle w:val="ae"/>
          <w:kern w:val="0"/>
        </w:rPr>
        <w:footnoteReference w:id="8"/>
      </w:r>
      <w:r>
        <w:rPr>
          <w:kern w:val="0"/>
        </w:rPr>
        <w:t>。聯邦行政法院的看法是認為這在預算財政法上是有可能實現的。不過這項觀點至今仍未被充分討論。</w:t>
      </w:r>
    </w:p>
    <w:p w:rsidR="00000000" w:rsidRDefault="00A21CCE">
      <w:pPr>
        <w:pStyle w:val="22"/>
        <w:spacing w:line="480" w:lineRule="auto"/>
        <w:rPr>
          <w:rFonts w:hint="eastAsia"/>
          <w:kern w:val="0"/>
        </w:rPr>
      </w:pPr>
      <w:r>
        <w:rPr>
          <w:rFonts w:hint="eastAsia"/>
          <w:kern w:val="0"/>
        </w:rPr>
        <w:t>至於我國實務上，在前揭保訓會「</w:t>
      </w:r>
      <w:r>
        <w:rPr>
          <w:rFonts w:hint="eastAsia"/>
          <w:b/>
          <w:kern w:val="0"/>
        </w:rPr>
        <w:t>劉慶蜀案</w:t>
      </w:r>
      <w:r>
        <w:rPr>
          <w:rFonts w:hint="eastAsia"/>
          <w:kern w:val="0"/>
        </w:rPr>
        <w:t>」中，台北高等行政法院在撤銷保訓會之復審決定時，似乎否定（或至少弱化）了職務安定原則在我國的適用。其結果與德國實務見解的轉變，竟意外地有若干吻合之處。不過這種作法是否已經可以成為我國法上的裁判先例，又機關首長如何重新騰出職缺安置，均仍屬相當曖昧的問題。對於職務安定原則的適度尊重</w:t>
      </w:r>
      <w:r>
        <w:rPr>
          <w:rFonts w:hint="eastAsia"/>
          <w:kern w:val="0"/>
        </w:rPr>
        <w:t>（亦即與權利保障之間理性調和），應有其必要性與正當性。</w:t>
      </w:r>
    </w:p>
    <w:p w:rsidR="00A21CCE" w:rsidRDefault="00A21CCE">
      <w:pPr>
        <w:pStyle w:val="22"/>
        <w:spacing w:line="480" w:lineRule="auto"/>
        <w:rPr>
          <w:rFonts w:hint="eastAsia"/>
          <w:kern w:val="0"/>
        </w:rPr>
      </w:pPr>
      <w:r>
        <w:rPr>
          <w:rFonts w:hint="eastAsia"/>
          <w:kern w:val="0"/>
        </w:rPr>
        <w:t>應該進一步說明的是，保訓會與行政法院在類似問題的救濟處理上立場仍有</w:t>
      </w:r>
      <w:r>
        <w:rPr>
          <w:rFonts w:hint="eastAsia"/>
          <w:kern w:val="0"/>
        </w:rPr>
        <w:lastRenderedPageBreak/>
        <w:t>統一的必要。因為前者以無權利保護之必要性駁回復審請求，係屬爭執合法要件的審查結果。（台北高等）行政法院撤銷復審決定，似乎認為即使已經完成他人之陞遷任命，亦應該實質審查後，撤銷拒絕原告陞遷請求之處分（經復審決定包裝過的原處分），顯屬經過有無理由的判斷</w:t>
      </w:r>
      <w:r>
        <w:rPr>
          <w:rStyle w:val="ae"/>
          <w:kern w:val="0"/>
        </w:rPr>
        <w:footnoteReference w:id="9"/>
      </w:r>
      <w:r>
        <w:rPr>
          <w:rFonts w:hint="eastAsia"/>
          <w:kern w:val="0"/>
        </w:rPr>
        <w:t>。德國學說對於已辦理陞遷完畢之救濟案件，是否屬於已經終結（</w:t>
      </w:r>
      <w:r>
        <w:rPr>
          <w:rFonts w:hint="eastAsia"/>
          <w:kern w:val="0"/>
        </w:rPr>
        <w:t>erledigt</w:t>
      </w:r>
      <w:r>
        <w:rPr>
          <w:rFonts w:hint="eastAsia"/>
          <w:kern w:val="0"/>
        </w:rPr>
        <w:t>），亦有爭議</w:t>
      </w:r>
      <w:r>
        <w:rPr>
          <w:rStyle w:val="ae"/>
          <w:kern w:val="0"/>
        </w:rPr>
        <w:footnoteReference w:id="10"/>
      </w:r>
      <w:r>
        <w:rPr>
          <w:rFonts w:hint="eastAsia"/>
          <w:kern w:val="0"/>
        </w:rPr>
        <w:t>。德國實務則認為，倘若陞遷的決定仍有撤銷之可能性時，</w:t>
      </w:r>
      <w:r>
        <w:rPr>
          <w:rFonts w:hint="eastAsia"/>
          <w:kern w:val="0"/>
        </w:rPr>
        <w:t>係爭案件仍屬尚未終結</w:t>
      </w:r>
      <w:r>
        <w:rPr>
          <w:rStyle w:val="ae"/>
          <w:kern w:val="0"/>
        </w:rPr>
        <w:footnoteReference w:id="11"/>
      </w:r>
      <w:r>
        <w:rPr>
          <w:rFonts w:hint="eastAsia"/>
          <w:kern w:val="0"/>
        </w:rPr>
        <w:t>。同時若是未獲陞遷之公務人員仍有實現其害賠償請求權之機會時，應該也還不能稱係爭案件已經終結</w:t>
      </w:r>
      <w:r>
        <w:rPr>
          <w:rStyle w:val="ae"/>
          <w:kern w:val="0"/>
        </w:rPr>
        <w:footnoteReference w:id="12"/>
      </w:r>
      <w:r>
        <w:rPr>
          <w:rFonts w:hint="eastAsia"/>
          <w:kern w:val="0"/>
        </w:rPr>
        <w:t>。本文認為，辦理陞遷完畢並不必然構成無權利保護必要。原來提起的撤銷訴訟也未必一定終結。必須進一步個案判斷。倘仍有撤銷可能（或持續撤銷訴訟審理之必要）時，程序未必終結，原告亦仍有權利保護之必要</w:t>
      </w:r>
      <w:r>
        <w:rPr>
          <w:rStyle w:val="ae"/>
          <w:kern w:val="0"/>
        </w:rPr>
        <w:footnoteReference w:id="13"/>
      </w:r>
      <w:r>
        <w:rPr>
          <w:rFonts w:hint="eastAsia"/>
          <w:kern w:val="0"/>
        </w:rPr>
        <w:t>。</w:t>
      </w:r>
    </w:p>
    <w:sectPr w:rsidR="00A21CCE">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CE" w:rsidRDefault="00A21CCE">
      <w:r>
        <w:separator/>
      </w:r>
    </w:p>
  </w:endnote>
  <w:endnote w:type="continuationSeparator" w:id="0">
    <w:p w:rsidR="00A21CCE" w:rsidRDefault="00A2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1C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A21C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1CC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3B48">
      <w:rPr>
        <w:rStyle w:val="a7"/>
        <w:noProof/>
      </w:rPr>
      <w:t>5</w:t>
    </w:r>
    <w:r>
      <w:rPr>
        <w:rStyle w:val="a7"/>
      </w:rPr>
      <w:fldChar w:fldCharType="end"/>
    </w:r>
  </w:p>
  <w:p w:rsidR="00000000" w:rsidRDefault="00A21C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CE" w:rsidRDefault="00A21CCE">
      <w:pPr>
        <w:snapToGrid w:val="0"/>
        <w:spacing w:beforeLines="50" w:before="120" w:afterLines="50" w:after="120" w:line="360" w:lineRule="auto"/>
      </w:pPr>
      <w:r>
        <w:separator/>
      </w:r>
    </w:p>
  </w:footnote>
  <w:footnote w:type="continuationSeparator" w:id="0">
    <w:p w:rsidR="00A21CCE" w:rsidRDefault="00A21CCE">
      <w:pPr>
        <w:snapToGrid w:val="0"/>
        <w:spacing w:beforeLines="50" w:before="120" w:afterLines="50" w:after="120" w:line="360" w:lineRule="auto"/>
      </w:pPr>
      <w:r>
        <w:continuationSeparator/>
      </w:r>
    </w:p>
  </w:footnote>
  <w:footnote w:id="1">
    <w:p w:rsidR="00000000" w:rsidRDefault="00A21CCE">
      <w:pPr>
        <w:pStyle w:val="ad"/>
        <w:spacing w:line="360" w:lineRule="auto"/>
        <w:jc w:val="both"/>
        <w:rPr>
          <w:lang w:val="de-DE"/>
        </w:rPr>
      </w:pPr>
      <w:r>
        <w:rPr>
          <w:rStyle w:val="ae"/>
        </w:rPr>
        <w:footnoteRef/>
      </w:r>
      <w:r>
        <w:rPr>
          <w:lang w:val="de-DE"/>
        </w:rPr>
        <w:t xml:space="preserve"> </w:t>
      </w:r>
      <w:r>
        <w:rPr>
          <w:rFonts w:hAnsi="新細明體"/>
          <w:lang w:val="de-DE"/>
        </w:rPr>
        <w:t>實務與學說，參考，</w:t>
      </w:r>
      <w:r>
        <w:rPr>
          <w:lang w:val="de-DE"/>
        </w:rPr>
        <w:t xml:space="preserve">Vgl. Johannes Remmel, </w:t>
      </w:r>
      <w:r>
        <w:rPr>
          <w:rFonts w:hint="eastAsia"/>
          <w:bCs/>
          <w:iCs/>
          <w:color w:val="0000FF"/>
          <w:lang w:val="de-DE"/>
        </w:rPr>
        <w:t>a.a.O.(Anm. 90)</w:t>
      </w:r>
      <w:r>
        <w:rPr>
          <w:lang w:val="de-DE"/>
        </w:rPr>
        <w:t>, S. 35.</w:t>
      </w:r>
    </w:p>
  </w:footnote>
  <w:footnote w:id="2">
    <w:p w:rsidR="00000000" w:rsidRDefault="00A21CCE">
      <w:pPr>
        <w:pStyle w:val="ad"/>
        <w:spacing w:line="360" w:lineRule="auto"/>
        <w:jc w:val="both"/>
        <w:rPr>
          <w:lang w:val="de-DE" w:eastAsia="ja-JP"/>
        </w:rPr>
      </w:pPr>
      <w:r>
        <w:rPr>
          <w:rStyle w:val="ae"/>
        </w:rPr>
        <w:footnoteRef/>
      </w:r>
      <w:r>
        <w:rPr>
          <w:lang w:val="de-DE"/>
        </w:rPr>
        <w:t xml:space="preserve"> </w:t>
      </w:r>
      <w:r>
        <w:rPr>
          <w:lang w:val="de-DE" w:eastAsia="ja-JP"/>
        </w:rPr>
        <w:t>Vgl. Martens, ZBR 1992, 133; Schnellenbach</w:t>
      </w:r>
      <w:r>
        <w:rPr>
          <w:lang w:val="de-DE" w:eastAsia="ja-JP"/>
        </w:rPr>
        <w:t xml:space="preserve"> ZBR 1992, 270 ff.</w:t>
      </w:r>
    </w:p>
  </w:footnote>
  <w:footnote w:id="3">
    <w:p w:rsidR="00000000" w:rsidRDefault="00A21CCE">
      <w:pPr>
        <w:pStyle w:val="ad"/>
        <w:spacing w:line="360" w:lineRule="auto"/>
        <w:jc w:val="both"/>
        <w:rPr>
          <w:lang w:val="de-DE"/>
        </w:rPr>
      </w:pPr>
      <w:r>
        <w:rPr>
          <w:rStyle w:val="ae"/>
        </w:rPr>
        <w:footnoteRef/>
      </w:r>
      <w:r>
        <w:rPr>
          <w:lang w:val="de-DE"/>
        </w:rPr>
        <w:t xml:space="preserve"> Vgl. </w:t>
      </w:r>
      <w:r>
        <w:rPr>
          <w:kern w:val="0"/>
          <w:lang w:val="de-DE"/>
        </w:rPr>
        <w:t xml:space="preserve">Josef Isensee: </w:t>
      </w:r>
      <w:r>
        <w:rPr>
          <w:iCs/>
          <w:kern w:val="0"/>
          <w:lang w:val="de-DE"/>
        </w:rPr>
        <w:t>Der Zugang zum öffentlichen Dienst, in: Festgabe aus Anlaß des 25jährigen Bestehens des Bundesverwaltungsgerichts</w:t>
      </w:r>
      <w:r>
        <w:rPr>
          <w:kern w:val="0"/>
          <w:lang w:val="de-DE"/>
        </w:rPr>
        <w:t xml:space="preserve">, hrsg. von Otto Bachof, Ludwig Heigl, Konrad Redeker, München 1978, S. 337-356; Ernst-Lüder Solte: </w:t>
      </w:r>
      <w:r>
        <w:rPr>
          <w:iCs/>
          <w:kern w:val="0"/>
          <w:lang w:val="de-DE"/>
        </w:rPr>
        <w:t>Zu</w:t>
      </w:r>
      <w:r>
        <w:rPr>
          <w:iCs/>
          <w:kern w:val="0"/>
          <w:lang w:val="de-DE"/>
        </w:rPr>
        <w:t>r Konkurrentenklage im Beamtenrecht</w:t>
      </w:r>
      <w:r>
        <w:rPr>
          <w:kern w:val="0"/>
          <w:lang w:val="de-DE"/>
        </w:rPr>
        <w:t xml:space="preserve">, in: NJW 1980, 1027-1035; Hellmuth Günther: </w:t>
      </w:r>
      <w:r>
        <w:rPr>
          <w:iCs/>
          <w:kern w:val="0"/>
          <w:lang w:val="de-DE"/>
        </w:rPr>
        <w:t>Konkurrentenstreit und kein Ende? - Bestandsaufnahme zur Personalmaßnahme Beförderung -</w:t>
      </w:r>
      <w:r>
        <w:rPr>
          <w:kern w:val="0"/>
          <w:lang w:val="de-DE"/>
        </w:rPr>
        <w:t xml:space="preserve">, in: ZBR 1990, S. 284-295; Rainer Wernsmann: </w:t>
      </w:r>
      <w:r>
        <w:rPr>
          <w:iCs/>
          <w:kern w:val="0"/>
          <w:lang w:val="de-DE"/>
        </w:rPr>
        <w:t>Die beamtenrechtliche Konkurrentenklage</w:t>
      </w:r>
      <w:r>
        <w:rPr>
          <w:kern w:val="0"/>
          <w:lang w:val="de-DE"/>
        </w:rPr>
        <w:t>, in</w:t>
      </w:r>
      <w:r>
        <w:rPr>
          <w:kern w:val="0"/>
          <w:lang w:val="de-DE"/>
        </w:rPr>
        <w:t>: DVBl. 2005, S. 276 ff.</w:t>
      </w:r>
    </w:p>
  </w:footnote>
  <w:footnote w:id="4">
    <w:p w:rsidR="00000000" w:rsidRDefault="00A21CCE">
      <w:pPr>
        <w:pStyle w:val="ad"/>
        <w:spacing w:line="360" w:lineRule="auto"/>
        <w:jc w:val="both"/>
        <w:rPr>
          <w:lang w:val="de-DE"/>
        </w:rPr>
      </w:pPr>
      <w:r>
        <w:rPr>
          <w:rStyle w:val="ae"/>
        </w:rPr>
        <w:footnoteRef/>
      </w:r>
      <w:r>
        <w:rPr>
          <w:lang w:val="de-DE"/>
        </w:rPr>
        <w:t xml:space="preserve"> </w:t>
      </w:r>
      <w:r>
        <w:rPr>
          <w:rFonts w:hAnsi="新細明體"/>
          <w:lang w:val="de-DE"/>
        </w:rPr>
        <w:t>因此有學說認為職務安定原則乃是人民服公職基本權利的一種內在限制（</w:t>
      </w:r>
      <w:r>
        <w:rPr>
          <w:lang w:val="de-DE"/>
        </w:rPr>
        <w:t>immanente Schranke</w:t>
      </w:r>
      <w:r>
        <w:rPr>
          <w:rFonts w:hAnsi="新細明體"/>
          <w:lang w:val="de-DE"/>
        </w:rPr>
        <w:t>）。</w:t>
      </w:r>
      <w:r>
        <w:rPr>
          <w:lang w:val="de-DE"/>
        </w:rPr>
        <w:t xml:space="preserve">Vgl. Uwe Kernbach, </w:t>
      </w:r>
      <w:r>
        <w:rPr>
          <w:rFonts w:hint="eastAsia"/>
          <w:bCs/>
          <w:iCs/>
          <w:color w:val="0000FF"/>
          <w:lang w:val="de-DE"/>
        </w:rPr>
        <w:t>a.a.O.(Anm. 46)</w:t>
      </w:r>
      <w:r>
        <w:rPr>
          <w:lang w:val="de-DE"/>
        </w:rPr>
        <w:t>, S. 166 ff.</w:t>
      </w:r>
    </w:p>
  </w:footnote>
  <w:footnote w:id="5">
    <w:p w:rsidR="00000000" w:rsidRDefault="00A21CCE">
      <w:pPr>
        <w:pStyle w:val="ad"/>
        <w:spacing w:line="360" w:lineRule="auto"/>
        <w:rPr>
          <w:lang w:val="de-DE"/>
        </w:rPr>
      </w:pPr>
      <w:r>
        <w:rPr>
          <w:rStyle w:val="ae"/>
        </w:rPr>
        <w:footnoteRef/>
      </w:r>
      <w:r>
        <w:rPr>
          <w:lang w:val="de-DE"/>
        </w:rPr>
        <w:t xml:space="preserve"> Vgl. Peter, JuS 1992, 1044; Schnellenbach, NVwZ 1990, 637.</w:t>
      </w:r>
    </w:p>
  </w:footnote>
  <w:footnote w:id="6">
    <w:p w:rsidR="00000000" w:rsidRDefault="00A21CCE">
      <w:pPr>
        <w:pStyle w:val="ad"/>
        <w:spacing w:line="360" w:lineRule="auto"/>
        <w:jc w:val="both"/>
        <w:rPr>
          <w:lang w:val="de-DE"/>
        </w:rPr>
      </w:pPr>
      <w:r>
        <w:rPr>
          <w:rStyle w:val="ae"/>
        </w:rPr>
        <w:footnoteRef/>
      </w:r>
      <w:r>
        <w:rPr>
          <w:lang w:val="de-DE"/>
        </w:rPr>
        <w:t xml:space="preserve"> Vgl. Uwe Kernbach, </w:t>
      </w:r>
      <w:r>
        <w:rPr>
          <w:rFonts w:hint="eastAsia"/>
          <w:bCs/>
          <w:iCs/>
          <w:color w:val="0000FF"/>
          <w:lang w:val="de-DE"/>
        </w:rPr>
        <w:t>a.a.O.(Anm. 46)</w:t>
      </w:r>
      <w:r>
        <w:rPr>
          <w:lang w:val="de-DE"/>
        </w:rPr>
        <w:t>, S. 168.</w:t>
      </w:r>
    </w:p>
  </w:footnote>
  <w:footnote w:id="7">
    <w:p w:rsidR="00000000" w:rsidRDefault="00A21CCE">
      <w:pPr>
        <w:pStyle w:val="ad"/>
        <w:spacing w:line="360" w:lineRule="auto"/>
        <w:jc w:val="both"/>
        <w:rPr>
          <w:lang w:val="de-DE"/>
        </w:rPr>
      </w:pPr>
      <w:r>
        <w:rPr>
          <w:rStyle w:val="ae"/>
        </w:rPr>
        <w:footnoteRef/>
      </w:r>
      <w:r>
        <w:rPr>
          <w:lang w:val="de-DE"/>
        </w:rPr>
        <w:t xml:space="preserve"> </w:t>
      </w:r>
      <w:r>
        <w:rPr>
          <w:kern w:val="0"/>
          <w:lang w:val="de-DE"/>
        </w:rPr>
        <w:t xml:space="preserve">Vgl. BVerwGE 115, 89 </w:t>
      </w:r>
      <w:r>
        <w:rPr>
          <w:kern w:val="0"/>
          <w:lang w:val="de-DE"/>
        </w:rPr>
        <w:t>ff.; DVBl. 2002, S. 203.</w:t>
      </w:r>
    </w:p>
  </w:footnote>
  <w:footnote w:id="8">
    <w:p w:rsidR="00000000" w:rsidRDefault="00A21CCE">
      <w:pPr>
        <w:pStyle w:val="ad"/>
        <w:spacing w:line="360" w:lineRule="auto"/>
        <w:jc w:val="both"/>
        <w:rPr>
          <w:lang w:val="de-DE"/>
        </w:rPr>
      </w:pPr>
      <w:r>
        <w:rPr>
          <w:rStyle w:val="ae"/>
        </w:rPr>
        <w:footnoteRef/>
      </w:r>
      <w:r>
        <w:rPr>
          <w:lang w:val="de-DE"/>
        </w:rPr>
        <w:t xml:space="preserve"> Vgl. </w:t>
      </w:r>
      <w:r>
        <w:rPr>
          <w:kern w:val="0"/>
          <w:lang w:val="de-DE"/>
        </w:rPr>
        <w:t>BVerwGE 118, 370.</w:t>
      </w:r>
    </w:p>
  </w:footnote>
  <w:footnote w:id="9">
    <w:p w:rsidR="00000000" w:rsidRDefault="00A21CCE">
      <w:pPr>
        <w:pStyle w:val="ad"/>
        <w:spacing w:line="360" w:lineRule="auto"/>
        <w:jc w:val="both"/>
        <w:rPr>
          <w:lang w:val="de-DE"/>
        </w:rPr>
      </w:pPr>
      <w:r>
        <w:rPr>
          <w:rStyle w:val="ae"/>
        </w:rPr>
        <w:footnoteRef/>
      </w:r>
      <w:r>
        <w:rPr>
          <w:lang w:val="de-DE"/>
        </w:rPr>
        <w:t xml:space="preserve"> </w:t>
      </w:r>
      <w:r>
        <w:rPr>
          <w:rFonts w:hAnsi="新細明體"/>
          <w:lang w:val="de-DE"/>
        </w:rPr>
        <w:t>如果再對照「劉慶蜀案」，保訓會也是採實質審理。</w:t>
      </w:r>
    </w:p>
  </w:footnote>
  <w:footnote w:id="10">
    <w:p w:rsidR="00000000" w:rsidRDefault="00A21CCE">
      <w:pPr>
        <w:pStyle w:val="ad"/>
        <w:spacing w:line="360" w:lineRule="auto"/>
        <w:jc w:val="both"/>
        <w:rPr>
          <w:lang w:val="de-DE" w:eastAsia="ja-JP"/>
        </w:rPr>
      </w:pPr>
      <w:r>
        <w:rPr>
          <w:rStyle w:val="ae"/>
        </w:rPr>
        <w:footnoteRef/>
      </w:r>
      <w:r>
        <w:rPr>
          <w:lang w:val="de-DE"/>
        </w:rPr>
        <w:t xml:space="preserve"> </w:t>
      </w:r>
      <w:r>
        <w:rPr>
          <w:rFonts w:hAnsi="新細明體"/>
          <w:lang w:val="de-DE"/>
        </w:rPr>
        <w:t>參考，</w:t>
      </w:r>
      <w:r>
        <w:rPr>
          <w:lang w:val="de-DE"/>
        </w:rPr>
        <w:t>Schoch, Vorl</w:t>
      </w:r>
      <w:r>
        <w:rPr>
          <w:lang w:val="de-DE" w:eastAsia="ja-JP"/>
        </w:rPr>
        <w:t>äufiger Rechtsschutz, S. 691; Müller, JuS 1985, 278.</w:t>
      </w:r>
    </w:p>
  </w:footnote>
  <w:footnote w:id="11">
    <w:p w:rsidR="00000000" w:rsidRDefault="00A21CCE">
      <w:pPr>
        <w:pStyle w:val="ad"/>
        <w:spacing w:line="360" w:lineRule="auto"/>
        <w:rPr>
          <w:lang w:val="de-DE"/>
        </w:rPr>
      </w:pPr>
      <w:r>
        <w:rPr>
          <w:rStyle w:val="ae"/>
        </w:rPr>
        <w:footnoteRef/>
      </w:r>
      <w:r>
        <w:t xml:space="preserve"> </w:t>
      </w:r>
      <w:r>
        <w:rPr>
          <w:lang w:val="de-DE"/>
        </w:rPr>
        <w:t>Vgl. BVerwG, Urt. V. 09.03.1989 – 2 c 4.87, DVBl. 1989, 1150.</w:t>
      </w:r>
    </w:p>
  </w:footnote>
  <w:footnote w:id="12">
    <w:p w:rsidR="00000000" w:rsidRDefault="00A21CCE">
      <w:pPr>
        <w:widowControl/>
        <w:snapToGrid w:val="0"/>
        <w:spacing w:line="360" w:lineRule="auto"/>
        <w:jc w:val="both"/>
        <w:rPr>
          <w:sz w:val="20"/>
          <w:szCs w:val="20"/>
          <w:lang w:val="de-DE"/>
        </w:rPr>
      </w:pPr>
      <w:r>
        <w:rPr>
          <w:rStyle w:val="ae"/>
          <w:sz w:val="20"/>
          <w:szCs w:val="20"/>
        </w:rPr>
        <w:footnoteRef/>
      </w:r>
      <w:r>
        <w:rPr>
          <w:sz w:val="20"/>
          <w:szCs w:val="20"/>
        </w:rPr>
        <w:t xml:space="preserve"> Vgl. </w:t>
      </w:r>
      <w:r>
        <w:rPr>
          <w:kern w:val="0"/>
          <w:sz w:val="20"/>
          <w:szCs w:val="20"/>
        </w:rPr>
        <w:t>Wolfgang Zimmerling, Konkurrenz zwische</w:t>
      </w:r>
      <w:r>
        <w:rPr>
          <w:kern w:val="0"/>
          <w:sz w:val="20"/>
          <w:szCs w:val="20"/>
        </w:rPr>
        <w:t>n Angestellten und Beamten im Beförderungsgeschehen, http://www.zimmerling.de/veroeffentlichungen/volltext/befoerderungskonkurrenz. htm.</w:t>
      </w:r>
    </w:p>
  </w:footnote>
  <w:footnote w:id="13">
    <w:p w:rsidR="00000000" w:rsidRDefault="00A21CCE">
      <w:pPr>
        <w:pStyle w:val="ad"/>
        <w:spacing w:line="360" w:lineRule="auto"/>
        <w:jc w:val="both"/>
        <w:rPr>
          <w:lang w:val="de-DE"/>
        </w:rPr>
      </w:pPr>
      <w:r>
        <w:rPr>
          <w:rStyle w:val="ae"/>
        </w:rPr>
        <w:footnoteRef/>
      </w:r>
      <w:r>
        <w:rPr>
          <w:lang w:val="de-DE"/>
        </w:rPr>
        <w:t xml:space="preserve"> Vgl. Uwe Kernbach, </w:t>
      </w:r>
      <w:r>
        <w:rPr>
          <w:rFonts w:hint="eastAsia"/>
          <w:bCs/>
          <w:iCs/>
          <w:color w:val="0000FF"/>
          <w:lang w:val="de-DE"/>
        </w:rPr>
        <w:t>a.a.O.(Anm. 46)</w:t>
      </w:r>
      <w:r>
        <w:rPr>
          <w:lang w:val="de-DE"/>
        </w:rPr>
        <w:t>, S. 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F0E660F2"/>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48"/>
    <w:rsid w:val="00A21CCE"/>
    <w:rsid w:val="00FF3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881B0-FC6F-4684-9146-521DBEDA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Words>
  <Characters>2528</Characters>
  <Application>Microsoft Office Word</Application>
  <DocSecurity>0</DocSecurity>
  <Lines>21</Lines>
  <Paragraphs>5</Paragraphs>
  <ScaleCrop>false</ScaleCrop>
  <Company>CCU</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2021-09-22T10:39:00Z</dcterms:created>
  <dcterms:modified xsi:type="dcterms:W3CDTF">2021-09-22T10:39:00Z</dcterms:modified>
</cp:coreProperties>
</file>