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236BE">
      <w:pPr>
        <w:pStyle w:val="1"/>
        <w:spacing w:before="180" w:after="180" w:line="480" w:lineRule="auto"/>
        <w:rPr>
          <w:rFonts w:hint="eastAsia"/>
          <w:lang w:val="de-DE"/>
        </w:rPr>
      </w:pPr>
      <w:bookmarkStart w:id="0" w:name="_Toc121199204"/>
      <w:bookmarkStart w:id="1" w:name="_Toc121212676"/>
      <w:bookmarkStart w:id="2" w:name="_Toc121212939"/>
      <w:bookmarkStart w:id="3" w:name="_GoBack"/>
      <w:bookmarkEnd w:id="3"/>
      <w:r>
        <w:t>3</w:t>
      </w:r>
      <w:r>
        <w:rPr>
          <w:rFonts w:hint="eastAsia"/>
        </w:rPr>
        <w:t>.</w:t>
      </w:r>
      <w:r>
        <w:rPr>
          <w:lang w:val="de-DE"/>
        </w:rPr>
        <w:t>目前有關公務人員陞遷事件之救濟爭議</w:t>
      </w:r>
      <w:bookmarkEnd w:id="0"/>
      <w:bookmarkEnd w:id="1"/>
      <w:bookmarkEnd w:id="2"/>
    </w:p>
    <w:p w:rsidR="00000000" w:rsidRDefault="000236BE">
      <w:pPr>
        <w:pStyle w:val="ab"/>
        <w:spacing w:before="180" w:line="480" w:lineRule="auto"/>
        <w:ind w:firstLine="480"/>
      </w:pPr>
      <w:r>
        <w:rPr>
          <w:rFonts w:hAnsi="新細明體"/>
        </w:rPr>
        <w:t>根據陞遷法第</w:t>
      </w:r>
      <w:r>
        <w:t>15</w:t>
      </w:r>
      <w:r>
        <w:rPr>
          <w:rFonts w:hAnsi="新細明體"/>
        </w:rPr>
        <w:t>條規定，公務人員對本機關辦理之陞遷，如認有違法致損害其權益者，得依公務人員保障法（以下簡稱「保障法」）提起救濟。依保障法第四條之規定，公務人員權益之救濟，依復審、申訴、再申訴之程序行之。復審程序規定於保障法第</w:t>
      </w:r>
      <w:r>
        <w:t>25</w:t>
      </w:r>
      <w:r>
        <w:rPr>
          <w:rFonts w:hAnsi="新細明體"/>
        </w:rPr>
        <w:t>條以下，係公務人員對於服務機關或人事主管機關所為之「行政處分」，認為違法或顯然不當，致損害其權利或利益時，不服處分而向公務人員保障暨培訓委員會（以下簡稱「保訓會」）提起的救濟程序。至於公務人員對於服務機關所為之「管理措施或有關工作條件之處置」認</w:t>
      </w:r>
      <w:r>
        <w:rPr>
          <w:rFonts w:hAnsi="新細明體"/>
        </w:rPr>
        <w:t>為不當，致影響其權益時，則得依保障法第</w:t>
      </w:r>
      <w:r>
        <w:t>77</w:t>
      </w:r>
      <w:r>
        <w:rPr>
          <w:rFonts w:hAnsi="新細明體"/>
        </w:rPr>
        <w:t>條提起申訴、再申訴。對於陞遷案件應如何選擇救濟程序，目前在實務上迭生爭議</w:t>
      </w:r>
      <w:r>
        <w:rPr>
          <w:rFonts w:eastAsia="標楷體"/>
        </w:rPr>
        <w:t>。</w:t>
      </w:r>
    </w:p>
    <w:p w:rsidR="00000000" w:rsidRDefault="000236BE">
      <w:pPr>
        <w:pStyle w:val="2"/>
        <w:spacing w:line="480" w:lineRule="auto"/>
        <w:rPr>
          <w:rFonts w:hint="eastAsia"/>
          <w:lang w:val="de-DE"/>
        </w:rPr>
      </w:pPr>
      <w:bookmarkStart w:id="4" w:name="_Toc121199205"/>
      <w:bookmarkStart w:id="5" w:name="_Toc121212677"/>
      <w:bookmarkStart w:id="6" w:name="_Toc121212940"/>
      <w:r>
        <w:rPr>
          <w:lang w:val="de-DE"/>
        </w:rPr>
        <w:t>3.1.</w:t>
      </w:r>
      <w:r>
        <w:rPr>
          <w:lang w:val="de-DE"/>
        </w:rPr>
        <w:t>學說之立場</w:t>
      </w:r>
      <w:bookmarkEnd w:id="4"/>
      <w:bookmarkEnd w:id="5"/>
      <w:bookmarkEnd w:id="6"/>
    </w:p>
    <w:p w:rsidR="00000000" w:rsidRDefault="000236BE">
      <w:pPr>
        <w:pStyle w:val="22"/>
        <w:spacing w:line="480" w:lineRule="auto"/>
      </w:pPr>
      <w:r>
        <w:rPr>
          <w:rFonts w:hint="eastAsia"/>
        </w:rPr>
        <w:t>國內學說對於公務人員</w:t>
      </w:r>
      <w:r>
        <w:t xml:space="preserve"> </w:t>
      </w:r>
      <w:r>
        <w:rPr>
          <w:rFonts w:hint="eastAsia"/>
        </w:rPr>
        <w:t>陞遷決定之性質與救濟問題直接探討者並不多見。其中大多循著大法官解釋突破傳統特別權力關係的脈絡，泛論陞遷決定是否重大影響公務人員身份或財產上地位，而論斷其法律性質是否為行政處分，以及得否進行復審。對於陞遷流程中衍生的具體爭議問題說明，則似不多見</w:t>
      </w:r>
      <w:r>
        <w:rPr>
          <w:rStyle w:val="ae"/>
        </w:rPr>
        <w:footnoteReference w:id="1"/>
      </w:r>
      <w:r>
        <w:rPr>
          <w:rFonts w:hint="eastAsia"/>
        </w:rPr>
        <w:t>。</w:t>
      </w:r>
    </w:p>
    <w:p w:rsidR="00000000" w:rsidRDefault="000236BE">
      <w:pPr>
        <w:pStyle w:val="2"/>
        <w:spacing w:line="480" w:lineRule="auto"/>
        <w:rPr>
          <w:rFonts w:hint="eastAsia"/>
          <w:lang w:val="de-DE"/>
        </w:rPr>
      </w:pPr>
      <w:bookmarkStart w:id="7" w:name="_Toc121199206"/>
      <w:bookmarkStart w:id="8" w:name="_Toc121212678"/>
      <w:bookmarkStart w:id="9" w:name="_Toc121212941"/>
      <w:r>
        <w:rPr>
          <w:lang w:val="de-DE"/>
        </w:rPr>
        <w:lastRenderedPageBreak/>
        <w:t>3.2.</w:t>
      </w:r>
      <w:r>
        <w:rPr>
          <w:lang w:val="de-DE"/>
        </w:rPr>
        <w:t>保訓會之決定</w:t>
      </w:r>
      <w:bookmarkEnd w:id="7"/>
      <w:bookmarkEnd w:id="8"/>
      <w:bookmarkEnd w:id="9"/>
    </w:p>
    <w:p w:rsidR="00000000" w:rsidRDefault="000236BE">
      <w:pPr>
        <w:pStyle w:val="ab"/>
        <w:spacing w:before="180" w:line="480" w:lineRule="auto"/>
        <w:ind w:firstLine="480"/>
        <w:rPr>
          <w:rFonts w:ascii="Arial" w:eastAsia="標楷體" w:hAnsi="Arial" w:hint="eastAsia"/>
        </w:rPr>
      </w:pPr>
      <w:r>
        <w:rPr>
          <w:rFonts w:ascii="新細明體" w:hAnsi="新細明體" w:hint="eastAsia"/>
        </w:rPr>
        <w:t>針對公務人員因陞遷案件而尋求保障救濟，分別視其係於本機關辦理陞遷或參加他機關之陞遷</w:t>
      </w:r>
      <w:r>
        <w:rPr>
          <w:rFonts w:ascii="新細明體" w:hAnsi="新細明體" w:hint="eastAsia"/>
        </w:rPr>
        <w:t>所生之爭議類型，保訓會之決定略可歸整如下</w:t>
      </w:r>
      <w:r>
        <w:rPr>
          <w:rFonts w:ascii="Arial" w:eastAsia="標楷體" w:hAnsi="Arial" w:hint="eastAsia"/>
        </w:rPr>
        <w:t>。</w:t>
      </w:r>
    </w:p>
    <w:p w:rsidR="00000000" w:rsidRDefault="000236BE">
      <w:pPr>
        <w:pStyle w:val="3"/>
        <w:spacing w:before="180" w:after="180" w:line="480" w:lineRule="auto"/>
        <w:rPr>
          <w:rFonts w:hint="eastAsia"/>
        </w:rPr>
      </w:pPr>
      <w:bookmarkStart w:id="10" w:name="_Toc121199207"/>
      <w:bookmarkStart w:id="11" w:name="_Toc121212679"/>
      <w:bookmarkStart w:id="12" w:name="_Toc121212942"/>
      <w:r>
        <w:rPr>
          <w:rFonts w:hint="eastAsia"/>
        </w:rPr>
        <w:t>3.2.1.</w:t>
      </w:r>
      <w:r>
        <w:rPr>
          <w:rFonts w:hint="eastAsia"/>
        </w:rPr>
        <w:t>本機關陞遷案件</w:t>
      </w:r>
      <w:bookmarkEnd w:id="10"/>
      <w:bookmarkEnd w:id="11"/>
      <w:bookmarkEnd w:id="12"/>
    </w:p>
    <w:p w:rsidR="00000000" w:rsidRDefault="000236BE">
      <w:pPr>
        <w:pStyle w:val="4"/>
        <w:spacing w:line="480" w:lineRule="auto"/>
        <w:rPr>
          <w:rFonts w:hint="eastAsia"/>
        </w:rPr>
      </w:pPr>
      <w:bookmarkStart w:id="13" w:name="_Toc121199208"/>
      <w:bookmarkStart w:id="14" w:name="_Toc121212680"/>
      <w:bookmarkStart w:id="15" w:name="_Toc121212943"/>
      <w:r>
        <w:rPr>
          <w:rFonts w:hint="eastAsia"/>
        </w:rPr>
        <w:t>3.2.1.1.</w:t>
      </w:r>
      <w:r>
        <w:rPr>
          <w:rFonts w:hint="eastAsia"/>
        </w:rPr>
        <w:t>陞遷序列不合理</w:t>
      </w:r>
      <w:bookmarkEnd w:id="13"/>
      <w:bookmarkEnd w:id="14"/>
      <w:bookmarkEnd w:id="15"/>
    </w:p>
    <w:p w:rsidR="00000000" w:rsidRDefault="000236BE">
      <w:pPr>
        <w:pStyle w:val="ab"/>
        <w:spacing w:before="180" w:line="480" w:lineRule="auto"/>
        <w:ind w:firstLine="480"/>
        <w:rPr>
          <w:rStyle w:val="af3"/>
          <w:rFonts w:ascii="Times New Roman" w:hAnsi="Times New Roman"/>
        </w:rPr>
      </w:pPr>
      <w:r>
        <w:rPr>
          <w:rFonts w:hAnsi="新細明體"/>
        </w:rPr>
        <w:t>公務人員陞遷救濟案件有可能因不滿機關陞遷序列表所定之陞遷序列而提起。保訓會之立場認為</w:t>
      </w:r>
      <w:r>
        <w:rPr>
          <w:rStyle w:val="af3"/>
          <w:rFonts w:ascii="Times New Roman"/>
        </w:rPr>
        <w:t>陞遷序列表僅為抽象性規範，並非「具體」管理措施，故不得提起再申訴救濟。這種見解應該是將公務人員保障法第</w:t>
      </w:r>
      <w:r>
        <w:rPr>
          <w:rStyle w:val="af3"/>
          <w:rFonts w:ascii="Times New Roman" w:hAnsi="Times New Roman" w:hint="eastAsia"/>
        </w:rPr>
        <w:t>77</w:t>
      </w:r>
      <w:r>
        <w:rPr>
          <w:rStyle w:val="af3"/>
          <w:rFonts w:ascii="Times New Roman"/>
        </w:rPr>
        <w:t>條第</w:t>
      </w:r>
      <w:r>
        <w:rPr>
          <w:rStyle w:val="af3"/>
          <w:rFonts w:ascii="Times New Roman" w:hAnsi="Times New Roman"/>
        </w:rPr>
        <w:t>1</w:t>
      </w:r>
      <w:r>
        <w:rPr>
          <w:rStyle w:val="af3"/>
          <w:rFonts w:ascii="Times New Roman"/>
        </w:rPr>
        <w:t>項規定：「公務人員對服務機關所提供之工作條件及所為之管理認為不當者，得依本法提出申訴、再申訴。」限縮解釋其再申訴程序標的僅限於「『具體』管理措施」，而不包括其他抽象管理行為。</w:t>
      </w:r>
    </w:p>
    <w:p w:rsidR="00000000" w:rsidRDefault="000236BE">
      <w:pPr>
        <w:pStyle w:val="ab"/>
        <w:spacing w:before="180" w:line="480" w:lineRule="auto"/>
        <w:ind w:firstLine="480"/>
        <w:rPr>
          <w:rFonts w:ascii="Arial" w:eastAsia="標楷體" w:hAnsi="Arial" w:hint="eastAsia"/>
        </w:rPr>
      </w:pPr>
      <w:r>
        <w:rPr>
          <w:rStyle w:val="stext1"/>
          <w:rFonts w:ascii="sөũ" w:hAnsi="sөũ" w:hint="eastAsia"/>
          <w:color w:val="000000"/>
          <w:sz w:val="24"/>
          <w:szCs w:val="24"/>
        </w:rPr>
        <w:t>例如</w:t>
      </w:r>
      <w:r>
        <w:rPr>
          <w:rFonts w:ascii="sөũ" w:hAnsi="sөũ" w:cs="新細明體"/>
          <w:b/>
          <w:color w:val="000000"/>
          <w:kern w:val="0"/>
          <w:u w:val="single"/>
        </w:rPr>
        <w:t>保訓會</w:t>
      </w:r>
      <w:r>
        <w:rPr>
          <w:rFonts w:ascii="sөũ" w:hAnsi="sөũ" w:cs="新細明體" w:hint="eastAsia"/>
          <w:b/>
          <w:color w:val="000000"/>
          <w:kern w:val="0"/>
          <w:u w:val="single"/>
        </w:rPr>
        <w:t>（</w:t>
      </w:r>
      <w:r>
        <w:rPr>
          <w:rFonts w:ascii="sөũ" w:hAnsi="sөũ" w:cs="新細明體"/>
          <w:b/>
          <w:color w:val="000000"/>
          <w:kern w:val="0"/>
          <w:u w:val="single"/>
        </w:rPr>
        <w:t>90</w:t>
      </w:r>
      <w:r>
        <w:rPr>
          <w:rFonts w:ascii="sөũ" w:hAnsi="sөũ" w:cs="新細明體" w:hint="eastAsia"/>
          <w:b/>
          <w:color w:val="000000"/>
          <w:kern w:val="0"/>
          <w:u w:val="single"/>
        </w:rPr>
        <w:t>）</w:t>
      </w:r>
      <w:r>
        <w:rPr>
          <w:rFonts w:ascii="sөũ" w:hAnsi="sөũ" w:cs="新細明體"/>
          <w:b/>
          <w:color w:val="000000"/>
          <w:kern w:val="0"/>
          <w:u w:val="single"/>
        </w:rPr>
        <w:t>公申決字第</w:t>
      </w:r>
      <w:r>
        <w:rPr>
          <w:rFonts w:ascii="sөũ" w:hAnsi="sөũ" w:cs="新細明體"/>
          <w:b/>
          <w:color w:val="000000"/>
          <w:kern w:val="0"/>
          <w:u w:val="single"/>
        </w:rPr>
        <w:t>0190</w:t>
      </w:r>
      <w:r>
        <w:rPr>
          <w:rFonts w:ascii="sөũ" w:hAnsi="sөũ" w:cs="新細明體"/>
          <w:b/>
          <w:color w:val="000000"/>
          <w:kern w:val="0"/>
          <w:u w:val="single"/>
        </w:rPr>
        <w:t>號</w:t>
      </w:r>
      <w:r>
        <w:rPr>
          <w:rFonts w:ascii="sөũ" w:hAnsi="sөũ" w:cs="新細明體" w:hint="eastAsia"/>
          <w:b/>
          <w:color w:val="000000"/>
          <w:kern w:val="0"/>
          <w:u w:val="single"/>
        </w:rPr>
        <w:t>決定（以下簡稱「吳台生案」）</w:t>
      </w:r>
      <w:r>
        <w:rPr>
          <w:rStyle w:val="stext1"/>
          <w:rFonts w:hint="eastAsia"/>
          <w:color w:val="000000"/>
          <w:sz w:val="24"/>
          <w:szCs w:val="24"/>
        </w:rPr>
        <w:t>謂</w:t>
      </w:r>
      <w:r>
        <w:rPr>
          <w:rFonts w:ascii="sөũ" w:hAnsi="sөũ" w:cs="新細明體" w:hint="eastAsia"/>
          <w:color w:val="000000"/>
          <w:kern w:val="0"/>
        </w:rPr>
        <w:t>：「</w:t>
      </w:r>
      <w:r>
        <w:rPr>
          <w:rStyle w:val="stext1"/>
          <w:rFonts w:ascii="sөũ" w:hAnsi="sөũ"/>
          <w:color w:val="000000"/>
          <w:sz w:val="24"/>
          <w:szCs w:val="24"/>
        </w:rPr>
        <w:t>公務人員不服服務機關辦理之陞遷而提出申訴、再申訴，須以有具體管理措施存在為前提，若無具體管理措施、管理措施已不存在、非對公務人員所為之管理措施或恐將來有損害其權益之管理措施發生而預行請求救濟，其所提申訴、再申訴於法皆屬不合。卷查本案再申訴人現任高雄市政府地政處土地開發總隊（以下簡稱土地開發總隊）薦任第七職等技士，因認高雄市政府地政處暨所屬機關人員陞遷序列表，未將一級單位主管納入及部分職務之</w:t>
      </w:r>
      <w:r>
        <w:rPr>
          <w:rStyle w:val="stext1"/>
          <w:rFonts w:ascii="sөũ" w:hAnsi="sөũ"/>
          <w:sz w:val="24"/>
          <w:szCs w:val="24"/>
        </w:rPr>
        <w:t>陞遷序列不盡合理</w:t>
      </w:r>
      <w:r>
        <w:rPr>
          <w:rStyle w:val="stext1"/>
          <w:rFonts w:ascii="sөũ" w:hAnsi="sөũ"/>
          <w:color w:val="000000"/>
          <w:sz w:val="24"/>
          <w:szCs w:val="24"/>
        </w:rPr>
        <w:t>，應予撤銷該陞遷序列表，重新依法訂定，暨土地開發總隊違法辦理第四科科</w:t>
      </w:r>
      <w:r>
        <w:rPr>
          <w:rStyle w:val="stext1"/>
          <w:rFonts w:ascii="sөũ" w:hAnsi="sөũ"/>
          <w:color w:val="000000"/>
          <w:sz w:val="24"/>
          <w:szCs w:val="24"/>
        </w:rPr>
        <w:t>長陞任，損害同仁權益，其人事命令應予撤銷，就符合陞遷序列者重新辦理陞遷，向高雄市政府地政處提出申訴，嗣不服申訴函復，向本會提出再申訴。惟查再申訴人對上開</w:t>
      </w:r>
      <w:r>
        <w:rPr>
          <w:rStyle w:val="stext1"/>
          <w:rFonts w:ascii="sөũ" w:hAnsi="sөũ"/>
          <w:color w:val="000000"/>
          <w:sz w:val="24"/>
          <w:szCs w:val="24"/>
        </w:rPr>
        <w:lastRenderedPageBreak/>
        <w:t>事項於申訴之前，並未向服務機關提出具體之請求，且服務機關亦未對其有任何具體之管理措施，其逕依救濟程序以申訴書及再申訴書訴請救濟，其程序已於法未合。再者，</w:t>
      </w:r>
      <w:r>
        <w:rPr>
          <w:rStyle w:val="stext1"/>
          <w:rFonts w:ascii="sөũ" w:hAnsi="sөũ"/>
          <w:b/>
          <w:color w:val="000000"/>
          <w:sz w:val="24"/>
          <w:szCs w:val="24"/>
          <w:u w:val="single"/>
        </w:rPr>
        <w:t>再申訴人所爭之該陞遷序列表亦僅為抽象性規範，並非具體管理措施</w:t>
      </w:r>
      <w:r>
        <w:rPr>
          <w:rStyle w:val="stext1"/>
          <w:rFonts w:ascii="sөũ" w:hAnsi="sөũ"/>
          <w:color w:val="000000"/>
          <w:sz w:val="24"/>
          <w:szCs w:val="24"/>
        </w:rPr>
        <w:t>；復以各機關內部一級單位主管以上人員之陞遷，要否經甄審程序本屬該機關首長之權限，土地開發總隊長官依其權責辦理第四科科長陞任案，除未見該機關有因該案而</w:t>
      </w:r>
      <w:r>
        <w:rPr>
          <w:rStyle w:val="stext1"/>
          <w:rFonts w:ascii="sөũ" w:hAnsi="sөũ"/>
          <w:color w:val="000000"/>
          <w:sz w:val="24"/>
          <w:szCs w:val="24"/>
        </w:rPr>
        <w:t>對再申訴人有具體管理措施外，再申訴人亦並非該人事命令之對象，再申訴人與之應無關連，是以，再申訴人逕依申訴、再申訴程序作爭執，於法亦有未合。綜上所述，本案爰應不予受理。</w:t>
      </w:r>
      <w:r>
        <w:rPr>
          <w:rStyle w:val="stext1"/>
          <w:rFonts w:ascii="sөũ" w:hAnsi="sөũ" w:hint="eastAsia"/>
          <w:color w:val="000000"/>
          <w:sz w:val="24"/>
          <w:szCs w:val="24"/>
        </w:rPr>
        <w:t>」</w:t>
      </w:r>
    </w:p>
    <w:p w:rsidR="00000000" w:rsidRDefault="000236BE">
      <w:pPr>
        <w:pStyle w:val="4"/>
        <w:spacing w:line="480" w:lineRule="auto"/>
        <w:rPr>
          <w:rFonts w:hint="eastAsia"/>
        </w:rPr>
      </w:pPr>
      <w:bookmarkStart w:id="16" w:name="_Toc121199209"/>
      <w:bookmarkStart w:id="17" w:name="_Toc121212681"/>
      <w:bookmarkStart w:id="18" w:name="_Toc121212944"/>
      <w:r>
        <w:rPr>
          <w:rFonts w:hint="eastAsia"/>
        </w:rPr>
        <w:t>3.2.1.2.</w:t>
      </w:r>
      <w:r>
        <w:rPr>
          <w:rFonts w:hint="eastAsia"/>
        </w:rPr>
        <w:t>內陞或外補之決定</w:t>
      </w:r>
      <w:bookmarkEnd w:id="16"/>
      <w:bookmarkEnd w:id="17"/>
      <w:bookmarkEnd w:id="18"/>
    </w:p>
    <w:p w:rsidR="00000000" w:rsidRDefault="000236BE">
      <w:pPr>
        <w:pStyle w:val="ab"/>
        <w:spacing w:before="180" w:line="480" w:lineRule="auto"/>
        <w:ind w:firstLine="480"/>
        <w:rPr>
          <w:rFonts w:hint="eastAsia"/>
        </w:rPr>
      </w:pPr>
      <w:r>
        <w:rPr>
          <w:rStyle w:val="stext1"/>
          <w:rFonts w:ascii="sөũ" w:hAnsi="sөũ"/>
          <w:sz w:val="24"/>
          <w:szCs w:val="24"/>
        </w:rPr>
        <w:t>陞遷法第</w:t>
      </w:r>
      <w:r>
        <w:rPr>
          <w:rStyle w:val="stext1"/>
          <w:rFonts w:ascii="sөũ" w:hAnsi="sөũ"/>
          <w:sz w:val="24"/>
          <w:szCs w:val="24"/>
        </w:rPr>
        <w:t>5</w:t>
      </w:r>
      <w:r>
        <w:rPr>
          <w:rStyle w:val="stext1"/>
          <w:rFonts w:ascii="sөũ" w:hAnsi="sөũ"/>
          <w:sz w:val="24"/>
          <w:szCs w:val="24"/>
        </w:rPr>
        <w:t>條第</w:t>
      </w:r>
      <w:r>
        <w:rPr>
          <w:rStyle w:val="stext1"/>
          <w:rFonts w:ascii="sөũ" w:hAnsi="sөũ"/>
          <w:sz w:val="24"/>
          <w:szCs w:val="24"/>
        </w:rPr>
        <w:t>2</w:t>
      </w:r>
      <w:r>
        <w:rPr>
          <w:rStyle w:val="stext1"/>
          <w:rFonts w:ascii="sөũ" w:hAnsi="sөũ"/>
          <w:sz w:val="24"/>
          <w:szCs w:val="24"/>
        </w:rPr>
        <w:t>項：「各機關職缺如由本機關人員陞遷時，應辦理甄審。</w:t>
      </w:r>
      <w:r>
        <w:rPr>
          <w:rStyle w:val="stext1"/>
          <w:rFonts w:ascii="sөũ" w:hAnsi="sөũ"/>
          <w:sz w:val="24"/>
          <w:szCs w:val="24"/>
        </w:rPr>
        <w:t>…</w:t>
      </w:r>
      <w:r>
        <w:rPr>
          <w:rStyle w:val="stext1"/>
          <w:rFonts w:ascii="sөũ" w:hAnsi="sөũ"/>
          <w:sz w:val="24"/>
          <w:szCs w:val="24"/>
        </w:rPr>
        <w:t>」第</w:t>
      </w:r>
      <w:r>
        <w:rPr>
          <w:rStyle w:val="stext1"/>
          <w:rFonts w:ascii="sөũ" w:hAnsi="sөũ"/>
          <w:sz w:val="24"/>
          <w:szCs w:val="24"/>
        </w:rPr>
        <w:t>6</w:t>
      </w:r>
      <w:r>
        <w:rPr>
          <w:rStyle w:val="stext1"/>
          <w:rFonts w:ascii="sөũ" w:hAnsi="sөũ"/>
          <w:sz w:val="24"/>
          <w:szCs w:val="24"/>
        </w:rPr>
        <w:t>條第</w:t>
      </w:r>
      <w:r>
        <w:rPr>
          <w:rStyle w:val="stext1"/>
          <w:rFonts w:ascii="sөũ" w:hAnsi="sөũ"/>
          <w:sz w:val="24"/>
          <w:szCs w:val="24"/>
        </w:rPr>
        <w:t>1</w:t>
      </w:r>
      <w:r>
        <w:rPr>
          <w:rStyle w:val="stext1"/>
          <w:rFonts w:ascii="sөũ" w:hAnsi="sөũ"/>
          <w:sz w:val="24"/>
          <w:szCs w:val="24"/>
        </w:rPr>
        <w:t>項：「各機關應依職務高低及業務需要，訂定陞遷序列表。」第</w:t>
      </w:r>
      <w:r>
        <w:rPr>
          <w:rStyle w:val="stext1"/>
          <w:rFonts w:ascii="sөũ" w:hAnsi="sөũ"/>
          <w:sz w:val="24"/>
          <w:szCs w:val="24"/>
        </w:rPr>
        <w:t>6</w:t>
      </w:r>
      <w:r>
        <w:rPr>
          <w:rStyle w:val="stext1"/>
          <w:rFonts w:ascii="sөũ" w:hAnsi="sөũ"/>
          <w:sz w:val="24"/>
          <w:szCs w:val="24"/>
        </w:rPr>
        <w:t>條第</w:t>
      </w:r>
      <w:r>
        <w:rPr>
          <w:rStyle w:val="stext1"/>
          <w:rFonts w:ascii="sөũ" w:hAnsi="sөũ"/>
          <w:sz w:val="24"/>
          <w:szCs w:val="24"/>
        </w:rPr>
        <w:t>2</w:t>
      </w:r>
      <w:r>
        <w:rPr>
          <w:rStyle w:val="stext1"/>
          <w:rFonts w:ascii="sөũ" w:hAnsi="sөũ"/>
          <w:sz w:val="24"/>
          <w:szCs w:val="24"/>
        </w:rPr>
        <w:t>項：「各機關職缺由本機關人員陞遷時，應依陞遷序列表逐級辦理陞遷。</w:t>
      </w:r>
      <w:r>
        <w:rPr>
          <w:rStyle w:val="stext1"/>
          <w:rFonts w:ascii="sөũ" w:hAnsi="sөũ"/>
          <w:sz w:val="24"/>
          <w:szCs w:val="24"/>
        </w:rPr>
        <w:t>…</w:t>
      </w:r>
      <w:r>
        <w:rPr>
          <w:rStyle w:val="stext1"/>
          <w:rFonts w:ascii="sөũ" w:hAnsi="sөũ"/>
          <w:sz w:val="24"/>
          <w:szCs w:val="24"/>
        </w:rPr>
        <w:t>。」同法施行細則第</w:t>
      </w:r>
      <w:r>
        <w:rPr>
          <w:rStyle w:val="stext1"/>
          <w:rFonts w:ascii="sөũ" w:hAnsi="sөũ"/>
          <w:sz w:val="24"/>
          <w:szCs w:val="24"/>
        </w:rPr>
        <w:t>3</w:t>
      </w:r>
      <w:r>
        <w:rPr>
          <w:rStyle w:val="stext1"/>
          <w:rFonts w:ascii="sөũ" w:hAnsi="sөũ"/>
          <w:sz w:val="24"/>
          <w:szCs w:val="24"/>
        </w:rPr>
        <w:t>條第</w:t>
      </w:r>
      <w:r>
        <w:rPr>
          <w:rStyle w:val="stext1"/>
          <w:rFonts w:ascii="sөũ" w:hAnsi="sөũ"/>
          <w:sz w:val="24"/>
          <w:szCs w:val="24"/>
        </w:rPr>
        <w:t>1</w:t>
      </w:r>
      <w:r>
        <w:rPr>
          <w:rStyle w:val="stext1"/>
          <w:rFonts w:ascii="sөũ" w:hAnsi="sөũ"/>
          <w:sz w:val="24"/>
          <w:szCs w:val="24"/>
        </w:rPr>
        <w:t>項：「本法第五條第二項所稱各機關職缺如由本機關人員陞遷時，應辦理甄審。</w:t>
      </w:r>
      <w:r>
        <w:rPr>
          <w:rStyle w:val="stext1"/>
          <w:rFonts w:ascii="sөũ" w:hAnsi="sөũ"/>
          <w:sz w:val="24"/>
          <w:szCs w:val="24"/>
        </w:rPr>
        <w:t>…</w:t>
      </w:r>
      <w:r>
        <w:rPr>
          <w:rStyle w:val="stext1"/>
          <w:rFonts w:ascii="sөũ" w:hAnsi="sөũ"/>
          <w:sz w:val="24"/>
          <w:szCs w:val="24"/>
        </w:rPr>
        <w:t>指各機關人事單位於辦理陞遷前，應依本法第二條之原則，簽報機關首長決定職缺擬辦內陞或外補後再行辦理。</w:t>
      </w:r>
      <w:r>
        <w:rPr>
          <w:rStyle w:val="stext1"/>
          <w:rFonts w:ascii="sөũ" w:hAnsi="sөũ"/>
          <w:sz w:val="24"/>
          <w:szCs w:val="24"/>
        </w:rPr>
        <w:t>…</w:t>
      </w:r>
      <w:r>
        <w:rPr>
          <w:rStyle w:val="stext1"/>
          <w:rFonts w:ascii="sөũ" w:hAnsi="sөũ"/>
          <w:sz w:val="24"/>
          <w:szCs w:val="24"/>
        </w:rPr>
        <w:t>。」及任用法第</w:t>
      </w:r>
      <w:r>
        <w:rPr>
          <w:rStyle w:val="stext1"/>
          <w:rFonts w:ascii="sөũ" w:hAnsi="sөũ"/>
          <w:sz w:val="24"/>
          <w:szCs w:val="24"/>
        </w:rPr>
        <w:t>24</w:t>
      </w:r>
      <w:r>
        <w:rPr>
          <w:rStyle w:val="stext1"/>
          <w:rFonts w:ascii="sөũ" w:hAnsi="sөũ"/>
          <w:sz w:val="24"/>
          <w:szCs w:val="24"/>
        </w:rPr>
        <w:t>條：「各機關擬任公務人員，經依職權規定先派代理，限於實際代理之日起三個月內送請銓敘部銓敘審定。</w:t>
      </w:r>
      <w:r>
        <w:rPr>
          <w:rStyle w:val="stext1"/>
          <w:rFonts w:ascii="sөũ" w:hAnsi="sөũ"/>
          <w:sz w:val="24"/>
          <w:szCs w:val="24"/>
        </w:rPr>
        <w:t>…</w:t>
      </w:r>
      <w:r>
        <w:rPr>
          <w:rStyle w:val="stext1"/>
          <w:rFonts w:ascii="sөũ" w:hAnsi="sөũ"/>
          <w:sz w:val="24"/>
          <w:szCs w:val="24"/>
        </w:rPr>
        <w:t>經銓敘審定不合格者，應即停止其代理。」之規定，</w:t>
      </w:r>
      <w:r>
        <w:rPr>
          <w:rStyle w:val="stext1"/>
          <w:rFonts w:ascii="sөũ" w:hAnsi="sөũ" w:hint="eastAsia"/>
          <w:sz w:val="24"/>
          <w:szCs w:val="24"/>
        </w:rPr>
        <w:t>機關</w:t>
      </w:r>
      <w:r>
        <w:rPr>
          <w:rStyle w:val="stext1"/>
          <w:rFonts w:ascii="sөũ" w:hAnsi="sөũ"/>
          <w:sz w:val="24"/>
          <w:szCs w:val="24"/>
        </w:rPr>
        <w:t>職務出缺時，應由人事單位簽報機關首長決定職缺擬辦內陞或外補，其採內陞者，即應依陞遷序列表所定序列逐級辦理甄審，並按甄審結果報請機關首長圈定陞補、發布派令。</w:t>
      </w:r>
      <w:r>
        <w:rPr>
          <w:rStyle w:val="stext1"/>
          <w:rFonts w:ascii="sөũ" w:hAnsi="sөũ" w:hint="eastAsia"/>
          <w:sz w:val="24"/>
          <w:szCs w:val="24"/>
        </w:rPr>
        <w:t>機關首長對於內陞或外補之決定應屬機關首長之合義務決定空間。例如</w:t>
      </w:r>
      <w:r>
        <w:rPr>
          <w:rStyle w:val="stext1"/>
          <w:rFonts w:ascii="taipei" w:hAnsi="taipei"/>
          <w:b/>
          <w:color w:val="000000"/>
          <w:sz w:val="24"/>
          <w:szCs w:val="24"/>
          <w:u w:val="single"/>
        </w:rPr>
        <w:t>保訓會</w:t>
      </w:r>
      <w:r>
        <w:rPr>
          <w:rStyle w:val="stext1"/>
          <w:rFonts w:ascii="sөũ" w:hAnsi="sөũ" w:hint="eastAsia"/>
          <w:b/>
          <w:color w:val="000000"/>
          <w:sz w:val="24"/>
          <w:szCs w:val="24"/>
          <w:u w:val="single"/>
        </w:rPr>
        <w:t>（</w:t>
      </w:r>
      <w:r>
        <w:rPr>
          <w:rStyle w:val="stext1"/>
          <w:rFonts w:ascii="sөũ" w:hAnsi="sөũ"/>
          <w:b/>
          <w:color w:val="000000"/>
          <w:sz w:val="24"/>
          <w:szCs w:val="24"/>
          <w:u w:val="single"/>
        </w:rPr>
        <w:t>9</w:t>
      </w:r>
      <w:r>
        <w:rPr>
          <w:rStyle w:val="stext1"/>
          <w:rFonts w:ascii="sөũ" w:hAnsi="sөũ" w:hint="eastAsia"/>
          <w:b/>
          <w:color w:val="000000"/>
          <w:sz w:val="24"/>
          <w:szCs w:val="24"/>
          <w:u w:val="single"/>
        </w:rPr>
        <w:t>4</w:t>
      </w:r>
      <w:r>
        <w:rPr>
          <w:rStyle w:val="stext1"/>
          <w:rFonts w:ascii="sөũ" w:hAnsi="sөũ" w:hint="eastAsia"/>
          <w:b/>
          <w:color w:val="000000"/>
          <w:sz w:val="24"/>
          <w:szCs w:val="24"/>
          <w:u w:val="single"/>
        </w:rPr>
        <w:t>）</w:t>
      </w:r>
      <w:r>
        <w:rPr>
          <w:rFonts w:cs="新細明體"/>
          <w:b/>
          <w:color w:val="000000"/>
          <w:kern w:val="0"/>
          <w:u w:val="single"/>
        </w:rPr>
        <w:t>公審決字第</w:t>
      </w:r>
      <w:r>
        <w:rPr>
          <w:rFonts w:cs="新細明體"/>
          <w:b/>
          <w:color w:val="000000"/>
          <w:kern w:val="0"/>
          <w:u w:val="single"/>
        </w:rPr>
        <w:t>0014</w:t>
      </w:r>
      <w:r>
        <w:rPr>
          <w:rFonts w:cs="新細明體"/>
          <w:b/>
          <w:color w:val="000000"/>
          <w:kern w:val="0"/>
          <w:u w:val="single"/>
        </w:rPr>
        <w:t>號</w:t>
      </w:r>
      <w:r>
        <w:rPr>
          <w:rStyle w:val="stext1"/>
          <w:rFonts w:hint="eastAsia"/>
          <w:b/>
          <w:color w:val="000000"/>
          <w:sz w:val="24"/>
          <w:szCs w:val="24"/>
          <w:u w:val="single"/>
        </w:rPr>
        <w:t>決定（以下簡稱「</w:t>
      </w:r>
      <w:r>
        <w:rPr>
          <w:b/>
          <w:color w:val="000000"/>
          <w:u w:val="single"/>
        </w:rPr>
        <w:t>蔡逸媚</w:t>
      </w:r>
      <w:r>
        <w:rPr>
          <w:rFonts w:hint="eastAsia"/>
          <w:b/>
          <w:u w:val="single"/>
        </w:rPr>
        <w:t>案</w:t>
      </w:r>
      <w:r>
        <w:rPr>
          <w:rStyle w:val="stext1"/>
          <w:rFonts w:hint="eastAsia"/>
          <w:b/>
          <w:color w:val="000000"/>
          <w:sz w:val="24"/>
          <w:szCs w:val="24"/>
          <w:u w:val="single"/>
        </w:rPr>
        <w:t>」）</w:t>
      </w:r>
      <w:r>
        <w:rPr>
          <w:rStyle w:val="stext1"/>
          <w:rFonts w:hint="eastAsia"/>
          <w:color w:val="000000"/>
          <w:sz w:val="24"/>
          <w:szCs w:val="24"/>
        </w:rPr>
        <w:t>即指出：「</w:t>
      </w:r>
      <w:r>
        <w:rPr>
          <w:rStyle w:val="stext1"/>
          <w:rFonts w:ascii="sөũ" w:hAnsi="sөũ" w:hint="eastAsia"/>
          <w:b/>
          <w:sz w:val="24"/>
          <w:szCs w:val="24"/>
          <w:u w:val="single"/>
        </w:rPr>
        <w:t>機</w:t>
      </w:r>
      <w:r>
        <w:rPr>
          <w:rStyle w:val="stext1"/>
          <w:rFonts w:ascii="sөũ" w:hAnsi="sөũ"/>
          <w:b/>
          <w:sz w:val="24"/>
          <w:szCs w:val="24"/>
          <w:u w:val="single"/>
        </w:rPr>
        <w:t>關遇有職務出缺時，機關首長本得衡酌業務需要裁量決定是否辦理甄補，</w:t>
      </w:r>
      <w:r>
        <w:rPr>
          <w:rStyle w:val="stext1"/>
          <w:rFonts w:ascii="sөũ" w:hAnsi="sөũ"/>
          <w:b/>
          <w:sz w:val="24"/>
          <w:szCs w:val="24"/>
          <w:u w:val="single"/>
        </w:rPr>
        <w:lastRenderedPageBreak/>
        <w:t>並非具有該職務之任用資格者即當然陞任</w:t>
      </w:r>
      <w:r>
        <w:rPr>
          <w:rStyle w:val="stext1"/>
          <w:rFonts w:ascii="sөũ" w:hAnsi="sөũ"/>
          <w:sz w:val="24"/>
          <w:szCs w:val="24"/>
        </w:rPr>
        <w:t>，是以，臺中行政法院縱早有一等書記官職缺，仍須由該院考量業務需要，依上開陞遷法規辦理內陞或外補，非當然由具有任用資格之復審人陞任該職務。</w:t>
      </w:r>
      <w:r>
        <w:rPr>
          <w:rStyle w:val="stext1"/>
          <w:rFonts w:ascii="sөũ" w:hAnsi="sөũ" w:hint="eastAsia"/>
          <w:color w:val="000000"/>
        </w:rPr>
        <w:t>」</w:t>
      </w:r>
    </w:p>
    <w:p w:rsidR="00000000" w:rsidRDefault="000236BE">
      <w:pPr>
        <w:pStyle w:val="4"/>
        <w:spacing w:line="480" w:lineRule="auto"/>
        <w:rPr>
          <w:rFonts w:hint="eastAsia"/>
        </w:rPr>
      </w:pPr>
      <w:bookmarkStart w:id="19" w:name="_Toc121199210"/>
      <w:bookmarkStart w:id="20" w:name="_Toc121212682"/>
      <w:bookmarkStart w:id="21" w:name="_Toc121212945"/>
      <w:r>
        <w:rPr>
          <w:rFonts w:hint="eastAsia"/>
        </w:rPr>
        <w:t>3.2.1.3.</w:t>
      </w:r>
      <w:r>
        <w:rPr>
          <w:rFonts w:hint="eastAsia"/>
        </w:rPr>
        <w:t>內陞或外補之作業流程不一</w:t>
      </w:r>
      <w:bookmarkEnd w:id="19"/>
      <w:bookmarkEnd w:id="20"/>
      <w:bookmarkEnd w:id="21"/>
    </w:p>
    <w:p w:rsidR="00000000" w:rsidRDefault="000236BE">
      <w:pPr>
        <w:pStyle w:val="ab"/>
        <w:spacing w:before="180" w:line="480" w:lineRule="auto"/>
        <w:ind w:firstLine="480"/>
        <w:rPr>
          <w:rFonts w:hint="eastAsia"/>
        </w:rPr>
      </w:pPr>
      <w:r>
        <w:rPr>
          <w:rStyle w:val="stext1"/>
          <w:rFonts w:ascii="sөũ" w:hAnsi="sөũ" w:hint="eastAsia"/>
          <w:sz w:val="24"/>
          <w:szCs w:val="24"/>
        </w:rPr>
        <w:t>根據</w:t>
      </w:r>
      <w:r>
        <w:rPr>
          <w:rStyle w:val="stext1"/>
          <w:rFonts w:ascii="sөũ" w:hAnsi="sөũ"/>
          <w:sz w:val="24"/>
          <w:szCs w:val="24"/>
        </w:rPr>
        <w:t>陞遷法</w:t>
      </w:r>
      <w:r>
        <w:rPr>
          <w:rStyle w:val="stext1"/>
          <w:rFonts w:ascii="sөũ" w:hAnsi="sөũ" w:hint="eastAsia"/>
          <w:sz w:val="24"/>
          <w:szCs w:val="24"/>
        </w:rPr>
        <w:t>之相關規定，</w:t>
      </w:r>
      <w:r>
        <w:rPr>
          <w:rStyle w:val="stext1"/>
          <w:rFonts w:ascii="sөũ" w:hAnsi="sөũ"/>
          <w:sz w:val="24"/>
          <w:szCs w:val="24"/>
        </w:rPr>
        <w:t>各機關職缺如由本機關人員陞遷時，應辦理甄審。各機關人事單位於辦理陞遷前，應簽報機關首長決定職缺擬辦內陞或外補後再行辦理。</w:t>
      </w:r>
      <w:r>
        <w:rPr>
          <w:rStyle w:val="stext1"/>
          <w:rFonts w:ascii="sөũ" w:hAnsi="sөũ" w:hint="eastAsia"/>
          <w:sz w:val="24"/>
          <w:szCs w:val="24"/>
        </w:rPr>
        <w:t>而對於內陞或外補之作業流程，往往有不一致之限制</w:t>
      </w:r>
      <w:r>
        <w:rPr>
          <w:rStyle w:val="stext1"/>
          <w:rFonts w:ascii="sөũ" w:hAnsi="sөũ" w:hint="eastAsia"/>
          <w:sz w:val="24"/>
          <w:szCs w:val="24"/>
        </w:rPr>
        <w:t>或條件。若針對此類有關內陞或外補的作業標準不服，目前</w:t>
      </w:r>
      <w:r>
        <w:rPr>
          <w:rStyle w:val="stext1"/>
          <w:rFonts w:ascii="sөũ" w:hAnsi="sөũ" w:hint="eastAsia"/>
          <w:color w:val="000000"/>
          <w:sz w:val="24"/>
          <w:szCs w:val="24"/>
        </w:rPr>
        <w:t>保訓會的立場係認定此類作業僅係一般抽象規範，倘公務人員未對主管機關為一定之陞遷請求，同時也</w:t>
      </w:r>
      <w:r>
        <w:rPr>
          <w:rStyle w:val="stext"/>
          <w:b/>
          <w:u w:val="single"/>
        </w:rPr>
        <w:t>未見服務機關對</w:t>
      </w:r>
      <w:r>
        <w:rPr>
          <w:rStyle w:val="stext"/>
          <w:rFonts w:hint="eastAsia"/>
          <w:b/>
          <w:u w:val="single"/>
        </w:rPr>
        <w:t>特定公務人員</w:t>
      </w:r>
      <w:r>
        <w:rPr>
          <w:rStyle w:val="stext"/>
          <w:b/>
          <w:u w:val="single"/>
        </w:rPr>
        <w:t>有任何具體之管理措施</w:t>
      </w:r>
      <w:r>
        <w:rPr>
          <w:rStyle w:val="stext1"/>
          <w:rFonts w:ascii="sөũ" w:hAnsi="sөũ"/>
          <w:color w:val="000000"/>
          <w:sz w:val="24"/>
          <w:szCs w:val="24"/>
        </w:rPr>
        <w:t>，</w:t>
      </w:r>
      <w:r>
        <w:rPr>
          <w:rStyle w:val="stext1"/>
          <w:rFonts w:ascii="sөũ" w:hAnsi="sөũ" w:hint="eastAsia"/>
          <w:color w:val="000000"/>
          <w:sz w:val="24"/>
          <w:szCs w:val="24"/>
        </w:rPr>
        <w:t>尚</w:t>
      </w:r>
      <w:r>
        <w:rPr>
          <w:rStyle w:val="stext1"/>
          <w:rFonts w:ascii="sөũ" w:hAnsi="sөũ"/>
          <w:color w:val="000000"/>
          <w:sz w:val="24"/>
          <w:szCs w:val="24"/>
        </w:rPr>
        <w:t>不得依據保障法所定</w:t>
      </w:r>
      <w:r>
        <w:rPr>
          <w:rStyle w:val="stext1"/>
          <w:rFonts w:ascii="sөũ" w:hAnsi="sөũ" w:hint="eastAsia"/>
          <w:color w:val="000000"/>
          <w:sz w:val="24"/>
          <w:szCs w:val="24"/>
        </w:rPr>
        <w:t>再申訴</w:t>
      </w:r>
      <w:r>
        <w:rPr>
          <w:rStyle w:val="stext1"/>
          <w:rFonts w:ascii="sөũ" w:hAnsi="sөũ"/>
          <w:color w:val="000000"/>
          <w:sz w:val="24"/>
          <w:szCs w:val="24"/>
        </w:rPr>
        <w:t>程序請求救濟</w:t>
      </w:r>
      <w:r>
        <w:rPr>
          <w:rStyle w:val="stext1"/>
          <w:rFonts w:ascii="sөũ" w:hAnsi="sөũ" w:hint="eastAsia"/>
          <w:color w:val="000000"/>
          <w:sz w:val="24"/>
          <w:szCs w:val="24"/>
        </w:rPr>
        <w:t>。例如</w:t>
      </w:r>
      <w:r>
        <w:rPr>
          <w:rStyle w:val="stext1"/>
          <w:rFonts w:ascii="taipei" w:hAnsi="taipei"/>
          <w:b/>
          <w:color w:val="000000"/>
          <w:sz w:val="24"/>
          <w:szCs w:val="24"/>
          <w:u w:val="single"/>
        </w:rPr>
        <w:t>保訓會</w:t>
      </w:r>
      <w:r>
        <w:rPr>
          <w:rStyle w:val="stext1"/>
          <w:rFonts w:ascii="sөũ" w:hAnsi="sөũ" w:hint="eastAsia"/>
          <w:b/>
          <w:color w:val="000000"/>
          <w:sz w:val="24"/>
          <w:szCs w:val="24"/>
          <w:u w:val="single"/>
        </w:rPr>
        <w:t>（</w:t>
      </w:r>
      <w:r>
        <w:rPr>
          <w:rStyle w:val="stext1"/>
          <w:rFonts w:ascii="sөũ" w:hAnsi="sөũ"/>
          <w:b/>
          <w:color w:val="000000"/>
          <w:sz w:val="24"/>
          <w:szCs w:val="24"/>
          <w:u w:val="single"/>
        </w:rPr>
        <w:t>92</w:t>
      </w:r>
      <w:r>
        <w:rPr>
          <w:rStyle w:val="stext1"/>
          <w:rFonts w:ascii="sөũ" w:hAnsi="sөũ" w:hint="eastAsia"/>
          <w:b/>
          <w:color w:val="000000"/>
          <w:sz w:val="24"/>
          <w:szCs w:val="24"/>
          <w:u w:val="single"/>
        </w:rPr>
        <w:t>）</w:t>
      </w:r>
      <w:r>
        <w:rPr>
          <w:rStyle w:val="stext1"/>
          <w:rFonts w:ascii="sөũ" w:hAnsi="sөũ"/>
          <w:b/>
          <w:color w:val="000000"/>
          <w:sz w:val="24"/>
          <w:szCs w:val="24"/>
          <w:u w:val="single"/>
        </w:rPr>
        <w:t>公申決字第</w:t>
      </w:r>
      <w:r>
        <w:rPr>
          <w:rStyle w:val="stext1"/>
          <w:rFonts w:ascii="sөũ" w:hAnsi="sөũ"/>
          <w:b/>
          <w:color w:val="000000"/>
          <w:sz w:val="24"/>
          <w:szCs w:val="24"/>
          <w:u w:val="single"/>
        </w:rPr>
        <w:t>0295</w:t>
      </w:r>
      <w:r>
        <w:rPr>
          <w:rStyle w:val="stext1"/>
          <w:rFonts w:ascii="sөũ" w:hAnsi="sөũ"/>
          <w:b/>
          <w:color w:val="000000"/>
          <w:sz w:val="24"/>
          <w:szCs w:val="24"/>
          <w:u w:val="single"/>
        </w:rPr>
        <w:t>號</w:t>
      </w:r>
      <w:r>
        <w:rPr>
          <w:rStyle w:val="stext1"/>
          <w:rFonts w:hint="eastAsia"/>
          <w:b/>
          <w:color w:val="000000"/>
          <w:sz w:val="24"/>
          <w:szCs w:val="24"/>
          <w:u w:val="single"/>
        </w:rPr>
        <w:t>決定（以下簡稱「</w:t>
      </w:r>
      <w:r>
        <w:rPr>
          <w:rFonts w:hint="eastAsia"/>
          <w:b/>
          <w:u w:val="single"/>
        </w:rPr>
        <w:t>林睿駿案</w:t>
      </w:r>
      <w:r>
        <w:rPr>
          <w:rStyle w:val="stext1"/>
          <w:rFonts w:hint="eastAsia"/>
          <w:b/>
          <w:color w:val="000000"/>
          <w:sz w:val="24"/>
          <w:szCs w:val="24"/>
          <w:u w:val="single"/>
        </w:rPr>
        <w:t>」）</w:t>
      </w:r>
      <w:r>
        <w:rPr>
          <w:rStyle w:val="stext1"/>
          <w:rFonts w:hint="eastAsia"/>
          <w:color w:val="000000"/>
          <w:sz w:val="24"/>
          <w:szCs w:val="24"/>
        </w:rPr>
        <w:t>謂</w:t>
      </w:r>
      <w:r>
        <w:rPr>
          <w:rStyle w:val="stext"/>
          <w:rFonts w:hint="eastAsia"/>
        </w:rPr>
        <w:t>：「</w:t>
      </w:r>
      <w:r>
        <w:rPr>
          <w:rStyle w:val="stext"/>
        </w:rPr>
        <w:t>查本件再申訴人現任國立臺北商業技術學院（以下簡稱臺北商技學院）生活輔導組組員，因不服該校九十年三月甄選庶務組長辦理內陞、外補兩套作業標準，侵害次一序列候選人員權益，於九十二年七月四日以申訴書向該校提起申訴，嗣不</w:t>
      </w:r>
      <w:r>
        <w:rPr>
          <w:rStyle w:val="stext"/>
        </w:rPr>
        <w:t>服該校九十二年九月二十二日北商技人字第０九二０００五二００號函附同年八月五日職工申訴評議書，向本會提起再申訴。茲依再申訴書所載，再申訴人所申訴者係為臺北商技學院九十年三月甄選庶務組長辦理內陞、外補兩套作業標準，侵害次一序列候選人員權益，致其認為排名無法與未經考試及格人員競爭而未報名應試。而卷查除上開作業標準係屬一般規範非屬對再申訴人之管理措施外，再申訴人對上開陞遷事項於申訴之前，並未向服務機關提出具體之請求，且亦未見服務機關對其有任何具體之管理措施，衡諸前揭說明，本件並無得提起申訴、再申訴之標的，而再申訴人</w:t>
      </w:r>
      <w:r>
        <w:rPr>
          <w:rStyle w:val="stext"/>
        </w:rPr>
        <w:t>依申訴、再申訴程序提起救濟，於法即有未合，本件應</w:t>
      </w:r>
      <w:r>
        <w:rPr>
          <w:rStyle w:val="stext"/>
        </w:rPr>
        <w:lastRenderedPageBreak/>
        <w:t>不予受理。</w:t>
      </w:r>
      <w:r>
        <w:rPr>
          <w:rStyle w:val="stext"/>
          <w:rFonts w:hint="eastAsia"/>
        </w:rPr>
        <w:t>」</w:t>
      </w:r>
    </w:p>
    <w:p w:rsidR="00000000" w:rsidRDefault="000236BE">
      <w:pPr>
        <w:pStyle w:val="4"/>
        <w:spacing w:line="480" w:lineRule="auto"/>
        <w:rPr>
          <w:rFonts w:hint="eastAsia"/>
        </w:rPr>
      </w:pPr>
      <w:bookmarkStart w:id="22" w:name="_Toc121199211"/>
      <w:bookmarkStart w:id="23" w:name="_Toc121212683"/>
      <w:bookmarkStart w:id="24" w:name="_Toc121212946"/>
      <w:r>
        <w:rPr>
          <w:rFonts w:hint="eastAsia"/>
        </w:rPr>
        <w:t>3.2.1.4.</w:t>
      </w:r>
      <w:r>
        <w:rPr>
          <w:rFonts w:hint="eastAsia"/>
        </w:rPr>
        <w:t>未列入甄審名冊</w:t>
      </w:r>
      <w:bookmarkEnd w:id="22"/>
      <w:bookmarkEnd w:id="23"/>
      <w:bookmarkEnd w:id="24"/>
    </w:p>
    <w:p w:rsidR="00000000" w:rsidRDefault="000236BE">
      <w:pPr>
        <w:pStyle w:val="ab"/>
        <w:spacing w:before="180" w:line="480" w:lineRule="auto"/>
        <w:ind w:firstLine="480"/>
        <w:rPr>
          <w:rStyle w:val="stext1"/>
          <w:rFonts w:ascii="sөũ" w:hAnsi="sөũ" w:hint="eastAsia"/>
          <w:color w:val="000000"/>
          <w:sz w:val="24"/>
          <w:szCs w:val="24"/>
        </w:rPr>
      </w:pPr>
      <w:r>
        <w:rPr>
          <w:rStyle w:val="stext1"/>
          <w:rFonts w:ascii="sөũ" w:hAnsi="sөũ" w:hint="eastAsia"/>
          <w:color w:val="000000"/>
          <w:sz w:val="24"/>
          <w:szCs w:val="24"/>
        </w:rPr>
        <w:t>機關若直接拒絕公務人員參加甄選，保訓會似認為此時機關已作成一內部管理措施，得經再申訴程序尋求救濟。例如</w:t>
      </w:r>
      <w:r>
        <w:rPr>
          <w:rStyle w:val="stext1"/>
          <w:rFonts w:ascii="taipei" w:hAnsi="taipei"/>
          <w:b/>
          <w:color w:val="000000"/>
          <w:sz w:val="24"/>
          <w:szCs w:val="24"/>
          <w:u w:val="single"/>
        </w:rPr>
        <w:t>保訓會</w:t>
      </w:r>
      <w:r>
        <w:rPr>
          <w:rStyle w:val="stext1"/>
          <w:rFonts w:ascii="sөũ" w:hAnsi="sөũ" w:hint="eastAsia"/>
          <w:b/>
          <w:color w:val="000000"/>
          <w:sz w:val="24"/>
          <w:szCs w:val="24"/>
          <w:u w:val="single"/>
        </w:rPr>
        <w:t>（</w:t>
      </w:r>
      <w:r>
        <w:rPr>
          <w:rStyle w:val="stext1"/>
          <w:rFonts w:ascii="sөũ" w:hAnsi="sөũ"/>
          <w:b/>
          <w:color w:val="000000"/>
          <w:sz w:val="24"/>
          <w:szCs w:val="24"/>
          <w:u w:val="single"/>
        </w:rPr>
        <w:t>9</w:t>
      </w:r>
      <w:r>
        <w:rPr>
          <w:rStyle w:val="stext1"/>
          <w:rFonts w:ascii="sөũ" w:hAnsi="sөũ" w:hint="eastAsia"/>
          <w:b/>
          <w:color w:val="000000"/>
          <w:sz w:val="24"/>
          <w:szCs w:val="24"/>
          <w:u w:val="single"/>
        </w:rPr>
        <w:t>0</w:t>
      </w:r>
      <w:r>
        <w:rPr>
          <w:rStyle w:val="stext1"/>
          <w:rFonts w:ascii="sөũ" w:hAnsi="sөũ" w:hint="eastAsia"/>
          <w:b/>
          <w:color w:val="000000"/>
          <w:sz w:val="24"/>
          <w:szCs w:val="24"/>
          <w:u w:val="single"/>
        </w:rPr>
        <w:t>）</w:t>
      </w:r>
      <w:r>
        <w:rPr>
          <w:rStyle w:val="stext1"/>
          <w:rFonts w:ascii="sөũ" w:hAnsi="sөũ"/>
          <w:b/>
          <w:color w:val="000000"/>
          <w:sz w:val="24"/>
          <w:szCs w:val="24"/>
          <w:u w:val="single"/>
        </w:rPr>
        <w:t>公</w:t>
      </w:r>
      <w:r>
        <w:rPr>
          <w:rStyle w:val="stext1"/>
          <w:rFonts w:ascii="sөũ" w:hAnsi="sөũ" w:hint="eastAsia"/>
          <w:b/>
          <w:color w:val="000000"/>
          <w:sz w:val="24"/>
          <w:szCs w:val="24"/>
          <w:u w:val="single"/>
        </w:rPr>
        <w:t>申</w:t>
      </w:r>
      <w:r>
        <w:rPr>
          <w:rStyle w:val="stext1"/>
          <w:rFonts w:ascii="sөũ" w:hAnsi="sөũ"/>
          <w:b/>
          <w:color w:val="000000"/>
          <w:sz w:val="24"/>
          <w:szCs w:val="24"/>
          <w:u w:val="single"/>
        </w:rPr>
        <w:t>決字第</w:t>
      </w:r>
      <w:r>
        <w:rPr>
          <w:rStyle w:val="stext1"/>
          <w:rFonts w:ascii="sөũ" w:hAnsi="sөũ"/>
          <w:b/>
          <w:color w:val="000000"/>
          <w:sz w:val="24"/>
          <w:szCs w:val="24"/>
          <w:u w:val="single"/>
        </w:rPr>
        <w:t>0</w:t>
      </w:r>
      <w:r>
        <w:rPr>
          <w:rStyle w:val="stext1"/>
          <w:rFonts w:ascii="sөũ" w:hAnsi="sөũ" w:hint="eastAsia"/>
          <w:b/>
          <w:color w:val="000000"/>
          <w:sz w:val="24"/>
          <w:szCs w:val="24"/>
          <w:u w:val="single"/>
        </w:rPr>
        <w:t>133</w:t>
      </w:r>
      <w:r>
        <w:rPr>
          <w:rStyle w:val="stext1"/>
          <w:rFonts w:ascii="sөũ" w:hAnsi="sөũ"/>
          <w:b/>
          <w:color w:val="000000"/>
          <w:sz w:val="24"/>
          <w:szCs w:val="24"/>
          <w:u w:val="single"/>
        </w:rPr>
        <w:t>號</w:t>
      </w:r>
      <w:r>
        <w:rPr>
          <w:rStyle w:val="stext1"/>
          <w:rFonts w:hint="eastAsia"/>
          <w:b/>
          <w:color w:val="000000"/>
          <w:sz w:val="24"/>
          <w:szCs w:val="24"/>
          <w:u w:val="single"/>
        </w:rPr>
        <w:t>決定（以下簡稱「</w:t>
      </w:r>
      <w:r>
        <w:rPr>
          <w:rStyle w:val="stext1"/>
          <w:rFonts w:ascii="sөũ" w:hAnsi="sөũ"/>
          <w:b/>
          <w:color w:val="000000"/>
          <w:sz w:val="24"/>
          <w:szCs w:val="24"/>
          <w:u w:val="single"/>
        </w:rPr>
        <w:t>吳俊模</w:t>
      </w:r>
      <w:r>
        <w:rPr>
          <w:rFonts w:hint="eastAsia"/>
          <w:b/>
          <w:u w:val="single"/>
        </w:rPr>
        <w:t>案</w:t>
      </w:r>
      <w:r>
        <w:rPr>
          <w:rStyle w:val="stext1"/>
          <w:rFonts w:hint="eastAsia"/>
          <w:b/>
          <w:color w:val="000000"/>
          <w:sz w:val="24"/>
          <w:szCs w:val="24"/>
          <w:u w:val="single"/>
        </w:rPr>
        <w:t>」）</w:t>
      </w:r>
      <w:r>
        <w:rPr>
          <w:rStyle w:val="stext1"/>
          <w:rFonts w:hint="eastAsia"/>
          <w:color w:val="000000"/>
          <w:sz w:val="24"/>
          <w:szCs w:val="24"/>
        </w:rPr>
        <w:t>謂：「</w:t>
      </w:r>
      <w:r>
        <w:rPr>
          <w:rStyle w:val="stext1"/>
          <w:rFonts w:ascii="sөũ" w:hAnsi="sөũ"/>
          <w:color w:val="000000"/>
          <w:sz w:val="24"/>
          <w:szCs w:val="24"/>
        </w:rPr>
        <w:t>緣再申訴人現職為行政院海岸巡防署海洋巡防總局（以下簡稱海防局）南部機動海巡隊艦艇駕駛員，原係財政部關稅總局（以下簡稱關稅總局）移撥該局人員，因不服海防局委請關稅總局辦理之八十九年關務人員升任甄審會議所為再申訴人現職俸級（四七五俸點）未滿一年，與規定</w:t>
      </w:r>
      <w:r>
        <w:rPr>
          <w:rStyle w:val="stext1"/>
          <w:rFonts w:ascii="sөũ" w:hAnsi="sөũ"/>
          <w:color w:val="000000"/>
          <w:sz w:val="24"/>
          <w:szCs w:val="24"/>
        </w:rPr>
        <w:t>不符，不得參加本次升任甄審之決議，向海防局提出申訴，嗣不服該局九十年四月三日（九０）洋局人字第一六三二八號書函之函復，爰向本會提出申訴（應為再申訴，以下同）</w:t>
      </w:r>
      <w:r>
        <w:rPr>
          <w:rStyle w:val="stext1"/>
          <w:rFonts w:ascii="sөũ" w:hAnsi="sөũ" w:hint="eastAsia"/>
          <w:color w:val="000000"/>
          <w:sz w:val="24"/>
          <w:szCs w:val="24"/>
        </w:rPr>
        <w:t>…。」保訓會雖受理該案，但最後以再申訴無理由而駁回之。</w:t>
      </w:r>
    </w:p>
    <w:p w:rsidR="00000000" w:rsidRDefault="000236BE">
      <w:pPr>
        <w:pStyle w:val="ab"/>
        <w:spacing w:before="180" w:line="480" w:lineRule="auto"/>
        <w:ind w:firstLine="480"/>
        <w:rPr>
          <w:rStyle w:val="stext1"/>
          <w:rFonts w:ascii="sөũ" w:hAnsi="sөũ" w:hint="eastAsia"/>
          <w:color w:val="000000"/>
          <w:sz w:val="24"/>
          <w:szCs w:val="24"/>
        </w:rPr>
      </w:pPr>
      <w:r>
        <w:rPr>
          <w:rStyle w:val="stext1"/>
          <w:rFonts w:ascii="sөũ" w:hAnsi="sөũ" w:hint="eastAsia"/>
          <w:color w:val="000000"/>
          <w:sz w:val="24"/>
          <w:szCs w:val="24"/>
        </w:rPr>
        <w:t>相對地，對於公務人員消極未被列入陞遷名冊之案件，保訓會有決定認為</w:t>
      </w:r>
      <w:r>
        <w:rPr>
          <w:rStyle w:val="stext1"/>
          <w:rFonts w:ascii="sөũ" w:hAnsi="sөũ"/>
          <w:b/>
          <w:color w:val="000000"/>
          <w:sz w:val="24"/>
          <w:szCs w:val="24"/>
          <w:u w:val="single"/>
        </w:rPr>
        <w:t>未獲列入陞任或遷調名冊，乃係機關內部所為之管理措施</w:t>
      </w:r>
      <w:r>
        <w:rPr>
          <w:rStyle w:val="stext1"/>
          <w:rFonts w:ascii="sөũ" w:hAnsi="sөũ"/>
          <w:color w:val="000000"/>
          <w:sz w:val="24"/>
          <w:szCs w:val="24"/>
        </w:rPr>
        <w:t>，對</w:t>
      </w:r>
      <w:r>
        <w:rPr>
          <w:rStyle w:val="stext1"/>
          <w:rFonts w:ascii="sөũ" w:hAnsi="sөũ" w:hint="eastAsia"/>
          <w:color w:val="000000"/>
          <w:sz w:val="24"/>
          <w:szCs w:val="24"/>
        </w:rPr>
        <w:t>公務人員</w:t>
      </w:r>
      <w:r>
        <w:rPr>
          <w:rStyle w:val="stext1"/>
          <w:rFonts w:ascii="sөũ" w:hAnsi="sөũ"/>
          <w:color w:val="000000"/>
          <w:sz w:val="24"/>
          <w:szCs w:val="24"/>
        </w:rPr>
        <w:t>之權利尚無重大影響，且未改變其公務人員之身分關係，不得依據保障法所定復審程序請求救濟</w:t>
      </w:r>
      <w:r>
        <w:rPr>
          <w:rStyle w:val="stext1"/>
          <w:rFonts w:ascii="sөũ" w:hAnsi="sөũ" w:hint="eastAsia"/>
          <w:color w:val="000000"/>
          <w:sz w:val="24"/>
          <w:szCs w:val="24"/>
        </w:rPr>
        <w:t>。</w:t>
      </w:r>
    </w:p>
    <w:p w:rsidR="00000000" w:rsidRDefault="000236BE">
      <w:pPr>
        <w:pStyle w:val="ab"/>
        <w:spacing w:before="180" w:line="480" w:lineRule="auto"/>
        <w:ind w:firstLine="480"/>
        <w:rPr>
          <w:rStyle w:val="stext1"/>
          <w:rFonts w:ascii="sөũ" w:hAnsi="sөũ" w:hint="eastAsia"/>
          <w:color w:val="000000"/>
          <w:sz w:val="24"/>
          <w:szCs w:val="24"/>
        </w:rPr>
      </w:pPr>
      <w:r>
        <w:rPr>
          <w:rStyle w:val="stext1"/>
          <w:rFonts w:ascii="sөũ" w:hAnsi="sөũ" w:hint="eastAsia"/>
          <w:color w:val="000000"/>
          <w:sz w:val="24"/>
          <w:szCs w:val="24"/>
        </w:rPr>
        <w:t>例如</w:t>
      </w:r>
      <w:r>
        <w:rPr>
          <w:rStyle w:val="stext1"/>
          <w:rFonts w:ascii="taipei" w:hAnsi="taipei"/>
          <w:b/>
          <w:color w:val="000000"/>
          <w:sz w:val="24"/>
          <w:szCs w:val="24"/>
          <w:u w:val="single"/>
        </w:rPr>
        <w:t>保訓會</w:t>
      </w:r>
      <w:r>
        <w:rPr>
          <w:rStyle w:val="stext1"/>
          <w:rFonts w:ascii="sөũ" w:hAnsi="sөũ" w:hint="eastAsia"/>
          <w:b/>
          <w:color w:val="000000"/>
          <w:sz w:val="24"/>
          <w:szCs w:val="24"/>
          <w:u w:val="single"/>
        </w:rPr>
        <w:t>（</w:t>
      </w:r>
      <w:r>
        <w:rPr>
          <w:rStyle w:val="stext1"/>
          <w:rFonts w:ascii="sөũ" w:hAnsi="sөũ"/>
          <w:b/>
          <w:color w:val="000000"/>
          <w:sz w:val="24"/>
          <w:szCs w:val="24"/>
          <w:u w:val="single"/>
        </w:rPr>
        <w:t>91</w:t>
      </w:r>
      <w:r>
        <w:rPr>
          <w:rStyle w:val="stext1"/>
          <w:rFonts w:ascii="sөũ" w:hAnsi="sөũ" w:hint="eastAsia"/>
          <w:b/>
          <w:color w:val="000000"/>
          <w:sz w:val="24"/>
          <w:szCs w:val="24"/>
          <w:u w:val="single"/>
        </w:rPr>
        <w:t>）</w:t>
      </w:r>
      <w:r>
        <w:rPr>
          <w:rStyle w:val="stext1"/>
          <w:rFonts w:ascii="sөũ" w:hAnsi="sөũ"/>
          <w:b/>
          <w:color w:val="000000"/>
          <w:sz w:val="24"/>
          <w:szCs w:val="24"/>
          <w:u w:val="single"/>
        </w:rPr>
        <w:t>公審決字第</w:t>
      </w:r>
      <w:r>
        <w:rPr>
          <w:rStyle w:val="stext1"/>
          <w:rFonts w:ascii="sөũ" w:hAnsi="sөũ"/>
          <w:b/>
          <w:color w:val="000000"/>
          <w:sz w:val="24"/>
          <w:szCs w:val="24"/>
          <w:u w:val="single"/>
        </w:rPr>
        <w:t>0061</w:t>
      </w:r>
      <w:r>
        <w:rPr>
          <w:rStyle w:val="stext1"/>
          <w:rFonts w:ascii="sөũ" w:hAnsi="sөũ"/>
          <w:b/>
          <w:color w:val="000000"/>
          <w:sz w:val="24"/>
          <w:szCs w:val="24"/>
          <w:u w:val="single"/>
        </w:rPr>
        <w:t>號</w:t>
      </w:r>
      <w:r>
        <w:rPr>
          <w:rStyle w:val="stext1"/>
          <w:rFonts w:hint="eastAsia"/>
          <w:b/>
          <w:color w:val="000000"/>
          <w:sz w:val="24"/>
          <w:szCs w:val="24"/>
          <w:u w:val="single"/>
        </w:rPr>
        <w:t>決定（以下簡稱「</w:t>
      </w:r>
      <w:r>
        <w:rPr>
          <w:rFonts w:hint="eastAsia"/>
          <w:b/>
          <w:u w:val="single"/>
        </w:rPr>
        <w:t>張夢麟案</w:t>
      </w:r>
      <w:r>
        <w:rPr>
          <w:rStyle w:val="stext1"/>
          <w:rFonts w:hint="eastAsia"/>
          <w:b/>
          <w:color w:val="000000"/>
          <w:sz w:val="24"/>
          <w:szCs w:val="24"/>
          <w:u w:val="single"/>
        </w:rPr>
        <w:t>」）</w:t>
      </w:r>
      <w:r>
        <w:rPr>
          <w:rStyle w:val="stext1"/>
          <w:rFonts w:hint="eastAsia"/>
          <w:color w:val="000000"/>
          <w:sz w:val="24"/>
          <w:szCs w:val="24"/>
        </w:rPr>
        <w:t>謂：「</w:t>
      </w:r>
      <w:r>
        <w:rPr>
          <w:rStyle w:val="stext1"/>
          <w:rFonts w:ascii="sөũ" w:hAnsi="sөũ"/>
          <w:color w:val="000000"/>
          <w:sz w:val="24"/>
          <w:szCs w:val="24"/>
        </w:rPr>
        <w:t>查再復審人現任</w:t>
      </w:r>
      <w:r>
        <w:rPr>
          <w:rStyle w:val="stext1"/>
          <w:rFonts w:ascii="sөũ" w:hAnsi="sөũ"/>
          <w:color w:val="000000"/>
          <w:sz w:val="24"/>
          <w:szCs w:val="24"/>
        </w:rPr>
        <w:t>法務部調查局臺灣省調查處調查專員，因認法務部調查局九十年六月二十日第一五三次人事甄審委員會辦理縣市調查站主任職缺作業，違反公務人員陞遷法及其相關法規，未將其列入陞任或遷調名冊事件，向法務部提出復審，嗣不服復審決定，向本會提出再復審，按再復審人未獲列入陞任或遷調名冊，乃係機關內部所為之管理措施，對再復審人之權利尚無重大影響，且未改變其公務</w:t>
      </w:r>
      <w:r>
        <w:rPr>
          <w:rStyle w:val="stext1"/>
          <w:rFonts w:ascii="sөũ" w:hAnsi="sөũ"/>
          <w:color w:val="000000"/>
          <w:sz w:val="24"/>
          <w:szCs w:val="24"/>
        </w:rPr>
        <w:lastRenderedPageBreak/>
        <w:t>人員之身分關係，亦非其基於公務人員身分所產生公法上財產請求權遭受侵害，揆諸前開說明，尚不得依據公務人員保障法所定復審、再復審程序請求救濟，法務部復審決定不予受理，其認事用法，</w:t>
      </w:r>
      <w:r>
        <w:rPr>
          <w:rStyle w:val="stext1"/>
          <w:rFonts w:ascii="sөũ" w:hAnsi="sөũ"/>
          <w:color w:val="000000"/>
          <w:sz w:val="24"/>
          <w:szCs w:val="24"/>
        </w:rPr>
        <w:t>核無違誤，再復審人續向本會提起再復審，仍應不予受理。</w:t>
      </w:r>
      <w:r>
        <w:rPr>
          <w:rStyle w:val="ae"/>
          <w:rFonts w:ascii="sөũ" w:hAnsi="sөũ" w:hint="eastAsia"/>
          <w:color w:val="000000"/>
        </w:rPr>
        <w:footnoteReference w:id="2"/>
      </w:r>
      <w:r>
        <w:rPr>
          <w:rStyle w:val="stext1"/>
          <w:rFonts w:ascii="sөũ" w:hAnsi="sөũ" w:hint="eastAsia"/>
          <w:color w:val="000000"/>
          <w:sz w:val="24"/>
          <w:szCs w:val="24"/>
        </w:rPr>
        <w:t>」</w:t>
      </w:r>
    </w:p>
    <w:p w:rsidR="00000000" w:rsidRDefault="000236BE">
      <w:pPr>
        <w:pStyle w:val="4"/>
        <w:spacing w:line="480" w:lineRule="auto"/>
      </w:pPr>
      <w:bookmarkStart w:id="25" w:name="_Toc121199212"/>
      <w:bookmarkStart w:id="26" w:name="_Toc121212684"/>
      <w:bookmarkStart w:id="27" w:name="_Toc121212947"/>
      <w:r>
        <w:rPr>
          <w:rFonts w:hint="eastAsia"/>
        </w:rPr>
        <w:t>3.2.1.5.</w:t>
      </w:r>
      <w:r>
        <w:t>甄審委員會所為之評審決定</w:t>
      </w:r>
      <w:bookmarkEnd w:id="25"/>
      <w:bookmarkEnd w:id="26"/>
      <w:bookmarkEnd w:id="27"/>
    </w:p>
    <w:p w:rsidR="00000000" w:rsidRDefault="000236BE">
      <w:pPr>
        <w:pStyle w:val="ab"/>
        <w:spacing w:before="180" w:line="480" w:lineRule="auto"/>
        <w:ind w:firstLine="503"/>
        <w:rPr>
          <w:rStyle w:val="stext1"/>
          <w:rFonts w:ascii="sөũ" w:hAnsi="sөũ" w:hint="eastAsia"/>
          <w:color w:val="000000"/>
        </w:rPr>
      </w:pPr>
      <w:r>
        <w:rPr>
          <w:rFonts w:hint="eastAsia"/>
          <w:w w:val="105"/>
        </w:rPr>
        <w:t>各機關辦理公務人員之陞遷時，除應由人事單位就具有擬陞遷職務任用資格人員，分別情形，依積分高低順序或資格條件造列名冊外，並應檢同有關資料，報請本機關首長交付甄審委員會進行評審</w:t>
      </w:r>
      <w:r>
        <w:rPr>
          <w:w w:val="105"/>
        </w:rPr>
        <w:t>（陞遷法</w:t>
      </w:r>
      <w:r>
        <w:rPr>
          <w:spacing w:val="45"/>
          <w:kern w:val="0"/>
        </w:rPr>
        <w:t>第</w:t>
      </w:r>
      <w:r>
        <w:rPr>
          <w:rFonts w:hAnsi="Arial" w:hint="eastAsia"/>
          <w:spacing w:val="45"/>
          <w:kern w:val="0"/>
        </w:rPr>
        <w:t>9</w:t>
      </w:r>
      <w:r>
        <w:rPr>
          <w:kern w:val="0"/>
        </w:rPr>
        <w:t>條</w:t>
      </w:r>
      <w:r>
        <w:rPr>
          <w:rFonts w:hint="eastAsia"/>
          <w:kern w:val="0"/>
        </w:rPr>
        <w:t>第</w:t>
      </w:r>
      <w:r>
        <w:rPr>
          <w:rFonts w:hint="eastAsia"/>
          <w:kern w:val="0"/>
        </w:rPr>
        <w:t>1</w:t>
      </w:r>
      <w:r>
        <w:rPr>
          <w:rFonts w:hint="eastAsia"/>
          <w:kern w:val="0"/>
        </w:rPr>
        <w:t>項</w:t>
      </w:r>
      <w:r>
        <w:rPr>
          <w:w w:val="105"/>
        </w:rPr>
        <w:t>）</w:t>
      </w:r>
      <w:r>
        <w:rPr>
          <w:rFonts w:hint="eastAsia"/>
          <w:w w:val="105"/>
        </w:rPr>
        <w:t>。對於此一評審決定，保訓會並不認為係一具體管理措施。例如</w:t>
      </w:r>
      <w:r>
        <w:rPr>
          <w:rStyle w:val="af3"/>
          <w:b/>
          <w:u w:val="single"/>
        </w:rPr>
        <w:t>保訓會</w:t>
      </w:r>
      <w:r>
        <w:rPr>
          <w:rStyle w:val="af3"/>
          <w:rFonts w:hint="eastAsia"/>
          <w:b/>
          <w:u w:val="single"/>
        </w:rPr>
        <w:t>（</w:t>
      </w:r>
      <w:r>
        <w:rPr>
          <w:rStyle w:val="af3"/>
          <w:rFonts w:hint="eastAsia"/>
          <w:b/>
          <w:u w:val="single"/>
        </w:rPr>
        <w:t>94</w:t>
      </w:r>
      <w:r>
        <w:rPr>
          <w:rStyle w:val="af3"/>
          <w:rFonts w:hint="eastAsia"/>
          <w:b/>
          <w:u w:val="single"/>
        </w:rPr>
        <w:t>）</w:t>
      </w:r>
      <w:r>
        <w:rPr>
          <w:rStyle w:val="af3"/>
          <w:b/>
          <w:u w:val="single"/>
        </w:rPr>
        <w:t>公申決字第</w:t>
      </w:r>
      <w:r>
        <w:rPr>
          <w:rStyle w:val="af3"/>
          <w:b/>
          <w:u w:val="single"/>
        </w:rPr>
        <w:t>0</w:t>
      </w:r>
      <w:r>
        <w:rPr>
          <w:rStyle w:val="af3"/>
          <w:rFonts w:hint="eastAsia"/>
          <w:b/>
          <w:u w:val="single"/>
        </w:rPr>
        <w:t>113</w:t>
      </w:r>
      <w:r>
        <w:rPr>
          <w:rStyle w:val="af3"/>
          <w:b/>
          <w:u w:val="single"/>
        </w:rPr>
        <w:t>號</w:t>
      </w:r>
      <w:r>
        <w:rPr>
          <w:rStyle w:val="af3"/>
          <w:rFonts w:hint="eastAsia"/>
          <w:b/>
          <w:u w:val="single"/>
        </w:rPr>
        <w:t>決定（以下簡稱「張克難案」）</w:t>
      </w:r>
      <w:r>
        <w:rPr>
          <w:rStyle w:val="stext1"/>
          <w:rFonts w:ascii="sөũ" w:hAnsi="sөũ" w:hint="eastAsia"/>
          <w:sz w:val="24"/>
          <w:szCs w:val="24"/>
        </w:rPr>
        <w:t>指出：「</w:t>
      </w:r>
      <w:r>
        <w:rPr>
          <w:rStyle w:val="stext1"/>
          <w:rFonts w:ascii="sөũ" w:hAnsi="sөũ"/>
          <w:sz w:val="24"/>
          <w:szCs w:val="24"/>
        </w:rPr>
        <w:t>依相關人事法規，以各機關辦理人員陞遷，應由人事單位就具有擬陞遷職務任用資格人員，造列名冊並檢</w:t>
      </w:r>
      <w:r>
        <w:rPr>
          <w:rStyle w:val="stext1"/>
          <w:rFonts w:ascii="sөũ" w:hAnsi="sөũ"/>
          <w:sz w:val="24"/>
          <w:szCs w:val="24"/>
        </w:rPr>
        <w:t>同有關資料，報請本機關首長交付甄審委員會評審後，依程序報請機關首長就評審結果圈定陞補人員，並據以核發派令。是本件臺北市稅捐稽徵處</w:t>
      </w:r>
      <w:r>
        <w:rPr>
          <w:rStyle w:val="stext1"/>
          <w:rFonts w:ascii="sөũ" w:hAnsi="sөũ"/>
          <w:b/>
          <w:sz w:val="24"/>
          <w:szCs w:val="24"/>
          <w:u w:val="single"/>
        </w:rPr>
        <w:t>甄審委員會對於薦任第八職等法制職系秘書職缺之遷調作業所為之評審決定，僅係派令核發之前置程序，非屬對再申訴人所為之具體管理措施</w:t>
      </w:r>
      <w:r>
        <w:rPr>
          <w:rStyle w:val="stext1"/>
          <w:rFonts w:ascii="sөũ" w:hAnsi="sөũ"/>
          <w:sz w:val="24"/>
          <w:szCs w:val="24"/>
        </w:rPr>
        <w:t>。</w:t>
      </w:r>
      <w:r>
        <w:rPr>
          <w:rStyle w:val="stext1"/>
          <w:rFonts w:ascii="sөũ" w:hAnsi="sөũ" w:hint="eastAsia"/>
          <w:sz w:val="24"/>
          <w:szCs w:val="24"/>
        </w:rPr>
        <w:t>」但是在陞遷程序中，甄審會評分決定前，人事單位就具有任用資格人員，依陞遷法第</w:t>
      </w:r>
      <w:r>
        <w:rPr>
          <w:rStyle w:val="stext1"/>
          <w:rFonts w:ascii="sөũ" w:hAnsi="sөũ" w:hint="eastAsia"/>
          <w:sz w:val="24"/>
          <w:szCs w:val="24"/>
        </w:rPr>
        <w:t>7</w:t>
      </w:r>
      <w:r>
        <w:rPr>
          <w:rStyle w:val="stext1"/>
          <w:rFonts w:ascii="sөũ" w:hAnsi="sөũ" w:hint="eastAsia"/>
          <w:sz w:val="24"/>
          <w:szCs w:val="24"/>
        </w:rPr>
        <w:t>條所定標準，核計分數，依積分高低造列名冊，（所謂資績計分部分），保訓會則肯認屬機關之具體管理措施（</w:t>
      </w:r>
      <w:r>
        <w:rPr>
          <w:rStyle w:val="af3"/>
          <w:b/>
          <w:u w:val="single"/>
        </w:rPr>
        <w:t>保訓會</w:t>
      </w:r>
      <w:r>
        <w:rPr>
          <w:rStyle w:val="af3"/>
          <w:rFonts w:hint="eastAsia"/>
          <w:b/>
          <w:u w:val="single"/>
        </w:rPr>
        <w:t>（</w:t>
      </w:r>
      <w:r>
        <w:rPr>
          <w:rStyle w:val="af3"/>
          <w:rFonts w:hint="eastAsia"/>
          <w:b/>
          <w:u w:val="single"/>
        </w:rPr>
        <w:t>92</w:t>
      </w:r>
      <w:r>
        <w:rPr>
          <w:rStyle w:val="af3"/>
          <w:rFonts w:hint="eastAsia"/>
          <w:b/>
          <w:u w:val="single"/>
        </w:rPr>
        <w:t>）</w:t>
      </w:r>
      <w:r>
        <w:rPr>
          <w:rStyle w:val="af3"/>
          <w:b/>
          <w:u w:val="single"/>
        </w:rPr>
        <w:t>公申決字第</w:t>
      </w:r>
      <w:r>
        <w:rPr>
          <w:rStyle w:val="af3"/>
          <w:b/>
          <w:u w:val="single"/>
        </w:rPr>
        <w:t>0</w:t>
      </w:r>
      <w:r>
        <w:rPr>
          <w:rStyle w:val="af3"/>
          <w:rFonts w:hint="eastAsia"/>
          <w:b/>
          <w:u w:val="single"/>
        </w:rPr>
        <w:t>327</w:t>
      </w:r>
      <w:r>
        <w:rPr>
          <w:rStyle w:val="af3"/>
          <w:b/>
          <w:u w:val="single"/>
        </w:rPr>
        <w:t>號</w:t>
      </w:r>
      <w:r>
        <w:rPr>
          <w:rStyle w:val="af3"/>
          <w:rFonts w:hint="eastAsia"/>
          <w:b/>
          <w:u w:val="single"/>
        </w:rPr>
        <w:t>決定（以下簡稱「</w:t>
      </w:r>
      <w:r>
        <w:rPr>
          <w:rFonts w:hint="eastAsia"/>
          <w:b/>
          <w:u w:val="single"/>
        </w:rPr>
        <w:t>莊靜儀</w:t>
      </w:r>
      <w:r>
        <w:rPr>
          <w:rStyle w:val="af3"/>
          <w:rFonts w:hint="eastAsia"/>
          <w:b/>
          <w:u w:val="single"/>
        </w:rPr>
        <w:t>案」）</w:t>
      </w:r>
      <w:r>
        <w:rPr>
          <w:rStyle w:val="stext1"/>
          <w:rFonts w:ascii="sөũ" w:hAnsi="sөũ" w:hint="eastAsia"/>
          <w:sz w:val="24"/>
          <w:szCs w:val="24"/>
        </w:rPr>
        <w:t>。</w:t>
      </w:r>
    </w:p>
    <w:p w:rsidR="00000000" w:rsidRDefault="000236BE">
      <w:pPr>
        <w:pStyle w:val="4"/>
        <w:spacing w:line="480" w:lineRule="auto"/>
        <w:rPr>
          <w:rFonts w:hint="eastAsia"/>
        </w:rPr>
      </w:pPr>
      <w:bookmarkStart w:id="28" w:name="_Toc121199213"/>
      <w:bookmarkStart w:id="29" w:name="_Toc121212685"/>
      <w:bookmarkStart w:id="30" w:name="_Toc121212948"/>
      <w:r>
        <w:t>3.2.1.</w:t>
      </w:r>
      <w:r>
        <w:rPr>
          <w:rFonts w:hint="eastAsia"/>
        </w:rPr>
        <w:t>6</w:t>
      </w:r>
      <w:r>
        <w:t>.</w:t>
      </w:r>
      <w:r>
        <w:rPr>
          <w:rFonts w:hint="eastAsia"/>
        </w:rPr>
        <w:t>本人未獲陞遷</w:t>
      </w:r>
      <w:bookmarkEnd w:id="28"/>
      <w:bookmarkEnd w:id="29"/>
      <w:bookmarkEnd w:id="30"/>
    </w:p>
    <w:p w:rsidR="00000000" w:rsidRDefault="000236BE">
      <w:pPr>
        <w:pStyle w:val="22"/>
        <w:spacing w:line="480" w:lineRule="auto"/>
        <w:rPr>
          <w:rStyle w:val="af3"/>
          <w:rFonts w:hint="eastAsia"/>
          <w:b/>
          <w:u w:val="single"/>
        </w:rPr>
      </w:pPr>
      <w:r>
        <w:rPr>
          <w:rStyle w:val="af3"/>
          <w:rFonts w:hint="eastAsia"/>
          <w:b/>
          <w:u w:val="single"/>
        </w:rPr>
        <w:t>（一）判斷餘地與裁量之尊重</w:t>
      </w:r>
    </w:p>
    <w:p w:rsidR="00000000" w:rsidRDefault="000236BE">
      <w:pPr>
        <w:pStyle w:val="22"/>
        <w:spacing w:line="480" w:lineRule="auto"/>
        <w:rPr>
          <w:rStyle w:val="af3"/>
          <w:rFonts w:hint="eastAsia"/>
        </w:rPr>
      </w:pPr>
      <w:r>
        <w:rPr>
          <w:rStyle w:val="af3"/>
          <w:rFonts w:hint="eastAsia"/>
        </w:rPr>
        <w:lastRenderedPageBreak/>
        <w:t>對於本人雖參與甄審，惟最終未獲陞遷之案件，保訓會認為人事</w:t>
      </w:r>
      <w:r>
        <w:rPr>
          <w:rStyle w:val="af3"/>
        </w:rPr>
        <w:t>甄審會</w:t>
      </w:r>
      <w:r>
        <w:rPr>
          <w:rStyle w:val="af3"/>
          <w:rFonts w:hint="eastAsia"/>
        </w:rPr>
        <w:t>對</w:t>
      </w:r>
      <w:r>
        <w:rPr>
          <w:rStyle w:val="af3"/>
        </w:rPr>
        <w:t>符合資格條件者之服務情形、專長才能、發展潛力、領導統御等因素作綜合考評</w:t>
      </w:r>
      <w:r>
        <w:rPr>
          <w:rStyle w:val="af3"/>
          <w:rFonts w:hint="eastAsia"/>
        </w:rPr>
        <w:t>時，</w:t>
      </w:r>
      <w:r>
        <w:rPr>
          <w:rStyle w:val="af3"/>
        </w:rPr>
        <w:t>類此考評工作，富高度屬人性，除辦理考評業務有法定程序上之瑕疵、對事實認定有違誤、審議未遵守一般公認價值判斷之標準、有「與事件無關之考慮」牽涉在內及有違反平等原則等情事外，機關學校首長或甄審會或審議會對符合資格者考評之「判斷餘地」理應尊重</w:t>
      </w:r>
      <w:r>
        <w:rPr>
          <w:rStyle w:val="af3"/>
          <w:rFonts w:hint="eastAsia"/>
        </w:rPr>
        <w:t>。換言之，保訓會原則上並不進行審查。例如</w:t>
      </w:r>
      <w:r>
        <w:rPr>
          <w:rStyle w:val="af3"/>
          <w:b/>
          <w:u w:val="single"/>
        </w:rPr>
        <w:t>保訓會</w:t>
      </w:r>
      <w:r>
        <w:rPr>
          <w:rStyle w:val="af3"/>
          <w:rFonts w:hint="eastAsia"/>
          <w:b/>
          <w:u w:val="single"/>
        </w:rPr>
        <w:t>（</w:t>
      </w:r>
      <w:r>
        <w:rPr>
          <w:rStyle w:val="af3"/>
          <w:b/>
          <w:u w:val="single"/>
        </w:rPr>
        <w:t>86</w:t>
      </w:r>
      <w:r>
        <w:rPr>
          <w:rStyle w:val="af3"/>
          <w:rFonts w:hint="eastAsia"/>
          <w:b/>
          <w:u w:val="single"/>
        </w:rPr>
        <w:t>）</w:t>
      </w:r>
      <w:r>
        <w:rPr>
          <w:rStyle w:val="af3"/>
          <w:b/>
          <w:u w:val="single"/>
        </w:rPr>
        <w:t>公申決字第</w:t>
      </w:r>
      <w:r>
        <w:rPr>
          <w:rStyle w:val="af3"/>
          <w:b/>
          <w:u w:val="single"/>
        </w:rPr>
        <w:t>0096</w:t>
      </w:r>
      <w:r>
        <w:rPr>
          <w:rStyle w:val="af3"/>
          <w:b/>
          <w:u w:val="single"/>
        </w:rPr>
        <w:t>號</w:t>
      </w:r>
      <w:r>
        <w:rPr>
          <w:rStyle w:val="af3"/>
          <w:rFonts w:hint="eastAsia"/>
          <w:b/>
          <w:u w:val="single"/>
        </w:rPr>
        <w:t>決定（以下簡稱「陳進福</w:t>
      </w:r>
      <w:r>
        <w:rPr>
          <w:rStyle w:val="af3"/>
          <w:rFonts w:hint="eastAsia"/>
          <w:b/>
          <w:u w:val="single"/>
        </w:rPr>
        <w:t>案」）</w:t>
      </w:r>
      <w:r>
        <w:rPr>
          <w:rStyle w:val="af3"/>
          <w:rFonts w:hint="eastAsia"/>
        </w:rPr>
        <w:t>謂：「『</w:t>
      </w:r>
      <w:r>
        <w:rPr>
          <w:rStyle w:val="af3"/>
        </w:rPr>
        <w:t>現職委任公務人員參加晉升薦任官等訓練遴選要點</w:t>
      </w:r>
      <w:r>
        <w:rPr>
          <w:rStyle w:val="af3"/>
          <w:rFonts w:hint="eastAsia"/>
        </w:rPr>
        <w:t>』</w:t>
      </w:r>
      <w:r>
        <w:rPr>
          <w:rStyle w:val="af3"/>
        </w:rPr>
        <w:t>第二點第一項：</w:t>
      </w:r>
      <w:r>
        <w:rPr>
          <w:rStyle w:val="af3"/>
          <w:rFonts w:hint="eastAsia"/>
        </w:rPr>
        <w:t>『</w:t>
      </w:r>
      <w:r>
        <w:rPr>
          <w:rStyle w:val="af3"/>
        </w:rPr>
        <w:t>遴選現職委任公務人員參加晉升薦任官等訓練，應就具有公務人員任用法第十七條第三項所定資格條件者加以遴選，並依考試與學歷、訓練進修、年資、考績、獎懲及綜合考評等項所定標準加以評定，積分高者優先受訓。其遴選評分標準如附表。</w:t>
      </w:r>
      <w:r>
        <w:rPr>
          <w:rStyle w:val="af3"/>
          <w:rFonts w:hint="eastAsia"/>
        </w:rPr>
        <w:t>』……</w:t>
      </w:r>
      <w:r>
        <w:rPr>
          <w:rStyle w:val="af3"/>
        </w:rPr>
        <w:t>等規定觀之，各機關、學校辦理遴選現職委任公務人員參加晉升薦任官等訓練時，應依</w:t>
      </w:r>
      <w:r>
        <w:rPr>
          <w:rStyle w:val="af3"/>
          <w:rFonts w:hint="eastAsia"/>
        </w:rPr>
        <w:t>『</w:t>
      </w:r>
      <w:r>
        <w:rPr>
          <w:rStyle w:val="af3"/>
        </w:rPr>
        <w:t>各機關學校遴選現職委任公務人員參加晉升薦任官等訓練評分標準表</w:t>
      </w:r>
      <w:r>
        <w:rPr>
          <w:rStyle w:val="af3"/>
          <w:rFonts w:hint="eastAsia"/>
        </w:rPr>
        <w:t>』</w:t>
      </w:r>
      <w:r>
        <w:rPr>
          <w:rStyle w:val="af3"/>
        </w:rPr>
        <w:t>(</w:t>
      </w:r>
      <w:r>
        <w:rPr>
          <w:rStyle w:val="af3"/>
        </w:rPr>
        <w:t>以下簡稱評分標準表</w:t>
      </w:r>
      <w:r>
        <w:rPr>
          <w:rStyle w:val="af3"/>
        </w:rPr>
        <w:t xml:space="preserve">) </w:t>
      </w:r>
      <w:r>
        <w:rPr>
          <w:rStyle w:val="af3"/>
        </w:rPr>
        <w:t>所定之標準評定積分。次按該評分標準表之</w:t>
      </w:r>
      <w:r>
        <w:rPr>
          <w:rStyle w:val="af3"/>
          <w:rFonts w:hint="eastAsia"/>
        </w:rPr>
        <w:t>『</w:t>
      </w:r>
      <w:r>
        <w:rPr>
          <w:rStyle w:val="af3"/>
        </w:rPr>
        <w:t>考試與學歷</w:t>
      </w:r>
      <w:r>
        <w:rPr>
          <w:rStyle w:val="af3"/>
          <w:rFonts w:hint="eastAsia"/>
        </w:rPr>
        <w:t>』</w:t>
      </w:r>
      <w:r>
        <w:rPr>
          <w:rStyle w:val="af3"/>
        </w:rPr>
        <w:t>、</w:t>
      </w:r>
      <w:r>
        <w:rPr>
          <w:rStyle w:val="af3"/>
          <w:rFonts w:hint="eastAsia"/>
        </w:rPr>
        <w:t>『</w:t>
      </w:r>
      <w:r>
        <w:rPr>
          <w:rStyle w:val="af3"/>
        </w:rPr>
        <w:t>訓練進修</w:t>
      </w:r>
      <w:r>
        <w:rPr>
          <w:rStyle w:val="af3"/>
          <w:rFonts w:hint="eastAsia"/>
        </w:rPr>
        <w:t>』</w:t>
      </w:r>
      <w:r>
        <w:rPr>
          <w:rStyle w:val="af3"/>
        </w:rPr>
        <w:t>、</w:t>
      </w:r>
      <w:r>
        <w:rPr>
          <w:rStyle w:val="af3"/>
          <w:rFonts w:hint="eastAsia"/>
        </w:rPr>
        <w:t>『</w:t>
      </w:r>
      <w:r>
        <w:rPr>
          <w:rStyle w:val="af3"/>
        </w:rPr>
        <w:t>年資</w:t>
      </w:r>
      <w:r>
        <w:rPr>
          <w:rStyle w:val="af3"/>
          <w:rFonts w:hint="eastAsia"/>
        </w:rPr>
        <w:t>』</w:t>
      </w:r>
      <w:r>
        <w:rPr>
          <w:rStyle w:val="af3"/>
        </w:rPr>
        <w:t>、</w:t>
      </w:r>
      <w:r>
        <w:rPr>
          <w:rStyle w:val="af3"/>
          <w:rFonts w:hint="eastAsia"/>
        </w:rPr>
        <w:t>『</w:t>
      </w:r>
      <w:r>
        <w:rPr>
          <w:rStyle w:val="af3"/>
        </w:rPr>
        <w:t>考績</w:t>
      </w:r>
      <w:r>
        <w:rPr>
          <w:rStyle w:val="af3"/>
          <w:rFonts w:hint="eastAsia"/>
        </w:rPr>
        <w:t>』</w:t>
      </w:r>
      <w:r>
        <w:rPr>
          <w:rStyle w:val="af3"/>
        </w:rPr>
        <w:t>、</w:t>
      </w:r>
      <w:r>
        <w:rPr>
          <w:rStyle w:val="af3"/>
          <w:rFonts w:hint="eastAsia"/>
        </w:rPr>
        <w:t>『</w:t>
      </w:r>
      <w:r>
        <w:rPr>
          <w:rStyle w:val="af3"/>
        </w:rPr>
        <w:t>獎懲</w:t>
      </w:r>
      <w:r>
        <w:rPr>
          <w:rStyle w:val="af3"/>
          <w:rFonts w:hint="eastAsia"/>
        </w:rPr>
        <w:t>』</w:t>
      </w:r>
      <w:r>
        <w:rPr>
          <w:rStyle w:val="af3"/>
        </w:rPr>
        <w:t>等項，均有一定之評分標準，至</w:t>
      </w:r>
      <w:r>
        <w:rPr>
          <w:rStyle w:val="af3"/>
          <w:rFonts w:hint="eastAsia"/>
        </w:rPr>
        <w:t>『</w:t>
      </w:r>
      <w:r>
        <w:rPr>
          <w:rStyle w:val="af3"/>
        </w:rPr>
        <w:t>綜合考評</w:t>
      </w:r>
      <w:r>
        <w:rPr>
          <w:rStyle w:val="af3"/>
          <w:rFonts w:hint="eastAsia"/>
        </w:rPr>
        <w:t>』</w:t>
      </w:r>
      <w:r>
        <w:rPr>
          <w:rStyle w:val="af3"/>
        </w:rPr>
        <w:t>一項，其因素欄規定：</w:t>
      </w:r>
      <w:r>
        <w:rPr>
          <w:rStyle w:val="af3"/>
          <w:rFonts w:hint="eastAsia"/>
        </w:rPr>
        <w:t>『</w:t>
      </w:r>
      <w:r>
        <w:rPr>
          <w:rStyle w:val="af3"/>
        </w:rPr>
        <w:t>由機關、學校首長或授權甄審會或審議會議就各該機關符合公務人員任用法第十七條第三項資格條件者之服務情形、專長才能、發展潛力、領導統御等因素作綜合考評。</w:t>
      </w:r>
      <w:r>
        <w:rPr>
          <w:rStyle w:val="af3"/>
          <w:rFonts w:hint="eastAsia"/>
        </w:rPr>
        <w:t>』</w:t>
      </w:r>
      <w:r>
        <w:rPr>
          <w:rStyle w:val="af3"/>
        </w:rPr>
        <w:t>惟類此考評工作，富高度屬人性，除辦理考評業務有法定程序上之瑕疵、對事實認定有違誤、審議未遵守一般公認價值判斷之標準、有「與事件無關之考慮」牽涉在內及有違反平等原則等情事外，機關學校首長或甄審會或審議會對符合資格者考評之</w:t>
      </w:r>
      <w:r>
        <w:rPr>
          <w:rStyle w:val="af3"/>
          <w:rFonts w:hint="eastAsia"/>
        </w:rPr>
        <w:t>『</w:t>
      </w:r>
      <w:r>
        <w:rPr>
          <w:rStyle w:val="af3"/>
        </w:rPr>
        <w:t>判斷餘地</w:t>
      </w:r>
      <w:r>
        <w:rPr>
          <w:rStyle w:val="af3"/>
          <w:rFonts w:hint="eastAsia"/>
        </w:rPr>
        <w:t>』</w:t>
      </w:r>
      <w:r>
        <w:rPr>
          <w:rStyle w:val="af3"/>
        </w:rPr>
        <w:t>理應尊重。</w:t>
      </w:r>
      <w:r>
        <w:rPr>
          <w:rStyle w:val="af3"/>
          <w:rFonts w:hint="eastAsia"/>
        </w:rPr>
        <w:t>」本案雖非直接</w:t>
      </w:r>
      <w:r>
        <w:rPr>
          <w:rStyle w:val="af3"/>
          <w:rFonts w:hint="eastAsia"/>
        </w:rPr>
        <w:t>屬於公務人員陞遷案例，而屬未獲機關遴薦參加晉升官等訓練事件而提起</w:t>
      </w:r>
      <w:r>
        <w:rPr>
          <w:rStyle w:val="af3"/>
          <w:rFonts w:hint="eastAsia"/>
        </w:rPr>
        <w:lastRenderedPageBreak/>
        <w:t>之再申訴事件。惟同樣涉及</w:t>
      </w:r>
      <w:r>
        <w:rPr>
          <w:rStyle w:val="af3"/>
        </w:rPr>
        <w:t>機關首長或甄審會或審議會對符合資格者考評之判斷餘地</w:t>
      </w:r>
      <w:r>
        <w:rPr>
          <w:rStyle w:val="af3"/>
          <w:rFonts w:hint="eastAsia"/>
        </w:rPr>
        <w:t>，其法理相當，料保訓會之立場應不致有所差異。</w:t>
      </w:r>
    </w:p>
    <w:p w:rsidR="00000000" w:rsidRDefault="000236BE">
      <w:pPr>
        <w:pStyle w:val="22"/>
        <w:spacing w:line="480" w:lineRule="auto"/>
        <w:rPr>
          <w:rStyle w:val="stext1"/>
          <w:rFonts w:ascii="sөũ" w:hAnsi="sөũ" w:hint="eastAsia"/>
          <w:color w:val="000000"/>
          <w:sz w:val="24"/>
          <w:szCs w:val="24"/>
        </w:rPr>
      </w:pPr>
      <w:r>
        <w:rPr>
          <w:rStyle w:val="stext1"/>
          <w:rFonts w:ascii="sөũ" w:hAnsi="sөũ"/>
          <w:color w:val="000000"/>
          <w:sz w:val="24"/>
          <w:szCs w:val="24"/>
        </w:rPr>
        <w:t>依陞遷法</w:t>
      </w:r>
      <w:r>
        <w:rPr>
          <w:rStyle w:val="stext1"/>
          <w:rFonts w:ascii="sөũ" w:hAnsi="sөũ" w:hint="eastAsia"/>
          <w:color w:val="000000"/>
          <w:sz w:val="24"/>
          <w:szCs w:val="24"/>
        </w:rPr>
        <w:t>之相關</w:t>
      </w:r>
      <w:r>
        <w:rPr>
          <w:rStyle w:val="stext1"/>
          <w:rFonts w:ascii="sөũ" w:hAnsi="sөũ"/>
          <w:color w:val="000000"/>
          <w:sz w:val="24"/>
          <w:szCs w:val="24"/>
        </w:rPr>
        <w:t>規定，各機關職務出缺時，應由人事單位簽報機關首長決定職缺擬辦內陞或外補後再行辦理陞遷，且辦理陞遷時，應就具有擬陞遷職務任用資格人員，分別情形，依積分高低順序或資格條件造列名冊，並檢同有關資料，交甄審委員會評審後，報請機關首長就前三名中圈定陞補之。</w:t>
      </w:r>
      <w:r>
        <w:rPr>
          <w:rStyle w:val="stext1"/>
          <w:rFonts w:ascii="sөũ" w:hAnsi="sөũ" w:hint="eastAsia"/>
          <w:color w:val="000000"/>
          <w:sz w:val="24"/>
          <w:szCs w:val="24"/>
        </w:rPr>
        <w:t>因此不只</w:t>
      </w:r>
      <w:r>
        <w:rPr>
          <w:rStyle w:val="stext1"/>
          <w:rFonts w:ascii="sөũ" w:hAnsi="sөũ"/>
          <w:color w:val="000000"/>
          <w:sz w:val="24"/>
          <w:szCs w:val="24"/>
        </w:rPr>
        <w:t>機關首長在合理及必要之範圍內，基於內部管理、領導統御及業務運</w:t>
      </w:r>
      <w:r>
        <w:rPr>
          <w:rStyle w:val="stext1"/>
          <w:rFonts w:ascii="sөũ" w:hAnsi="sөũ"/>
          <w:color w:val="000000"/>
          <w:sz w:val="24"/>
          <w:szCs w:val="24"/>
        </w:rPr>
        <w:t>作需要，就公務人員之職務陞遷，應本專才、專業、適才、適所之旨外，並應就公務人員個人之工作表現、品行操守、學識能力等各方面考核評量。類此考評工作，富高度屬人性，</w:t>
      </w:r>
      <w:r>
        <w:rPr>
          <w:rStyle w:val="stext1"/>
          <w:rFonts w:ascii="sөũ" w:hAnsi="sөũ" w:hint="eastAsia"/>
          <w:color w:val="000000"/>
          <w:sz w:val="24"/>
          <w:szCs w:val="24"/>
        </w:rPr>
        <w:t>所以</w:t>
      </w:r>
      <w:r>
        <w:rPr>
          <w:rStyle w:val="stext1"/>
          <w:rFonts w:ascii="sөũ" w:hAnsi="sөũ"/>
          <w:color w:val="000000"/>
          <w:sz w:val="24"/>
          <w:szCs w:val="24"/>
        </w:rPr>
        <w:t>除考評違反相關人事法令規定、具有法定程序上之瑕疵、對事實認定有違誤、未遵守一般公認價值判斷之標準、有與事件無關之考慮牽涉在內及有違反平等原則等情事外，主管長官對部屬所為之考評及職務陞遷之判斷餘地，應予尊重。</w:t>
      </w:r>
      <w:r>
        <w:rPr>
          <w:rStyle w:val="stext1"/>
          <w:rFonts w:ascii="sөũ" w:hAnsi="sөũ" w:hint="eastAsia"/>
          <w:b/>
          <w:color w:val="000000"/>
          <w:sz w:val="24"/>
          <w:szCs w:val="24"/>
          <w:u w:val="single"/>
        </w:rPr>
        <w:t>甚至於即使</w:t>
      </w:r>
      <w:r>
        <w:rPr>
          <w:rStyle w:val="stext1"/>
          <w:rFonts w:ascii="sөũ" w:hAnsi="sөũ"/>
          <w:b/>
          <w:color w:val="000000"/>
          <w:sz w:val="24"/>
          <w:szCs w:val="24"/>
          <w:u w:val="single"/>
        </w:rPr>
        <w:t>資績分數排序為第一，機關首長</w:t>
      </w:r>
      <w:r>
        <w:rPr>
          <w:rStyle w:val="stext1"/>
          <w:rFonts w:ascii="sөũ" w:hAnsi="sөũ" w:hint="eastAsia"/>
          <w:b/>
          <w:color w:val="000000"/>
          <w:sz w:val="24"/>
          <w:szCs w:val="24"/>
          <w:u w:val="single"/>
        </w:rPr>
        <w:t>亦</w:t>
      </w:r>
      <w:r>
        <w:rPr>
          <w:rStyle w:val="stext1"/>
          <w:rFonts w:ascii="sөũ" w:hAnsi="sөũ"/>
          <w:b/>
          <w:color w:val="000000"/>
          <w:sz w:val="24"/>
          <w:szCs w:val="24"/>
          <w:u w:val="single"/>
        </w:rPr>
        <w:t>非不得就前三名中圈定</w:t>
      </w:r>
      <w:r>
        <w:rPr>
          <w:rStyle w:val="stext1"/>
          <w:rFonts w:ascii="sөũ" w:hAnsi="sөũ" w:hint="eastAsia"/>
          <w:b/>
          <w:color w:val="000000"/>
          <w:sz w:val="24"/>
          <w:szCs w:val="24"/>
          <w:u w:val="single"/>
        </w:rPr>
        <w:t>其他</w:t>
      </w:r>
      <w:r>
        <w:rPr>
          <w:rStyle w:val="stext1"/>
          <w:rFonts w:ascii="sөũ" w:hAnsi="sөũ"/>
          <w:b/>
          <w:color w:val="000000"/>
          <w:sz w:val="24"/>
          <w:szCs w:val="24"/>
          <w:u w:val="single"/>
        </w:rPr>
        <w:t>人陞補。</w:t>
      </w:r>
      <w:r>
        <w:rPr>
          <w:rStyle w:val="stext1"/>
          <w:rFonts w:ascii="sөũ" w:hAnsi="sөũ" w:hint="eastAsia"/>
          <w:b/>
          <w:color w:val="000000"/>
          <w:sz w:val="24"/>
          <w:szCs w:val="24"/>
          <w:u w:val="single"/>
        </w:rPr>
        <w:t>除非有</w:t>
      </w:r>
      <w:r>
        <w:rPr>
          <w:rStyle w:val="stext1"/>
          <w:rFonts w:ascii="sөũ" w:hAnsi="sөũ"/>
          <w:b/>
          <w:color w:val="000000"/>
          <w:sz w:val="24"/>
          <w:szCs w:val="24"/>
          <w:u w:val="single"/>
        </w:rPr>
        <w:t>其他足資證明</w:t>
      </w:r>
      <w:r>
        <w:rPr>
          <w:rStyle w:val="stext1"/>
          <w:rFonts w:ascii="sөũ" w:hAnsi="sөũ" w:hint="eastAsia"/>
          <w:b/>
          <w:color w:val="000000"/>
          <w:sz w:val="24"/>
          <w:szCs w:val="24"/>
          <w:u w:val="single"/>
        </w:rPr>
        <w:t>首長</w:t>
      </w:r>
      <w:r>
        <w:rPr>
          <w:rStyle w:val="stext1"/>
          <w:rFonts w:ascii="sөũ" w:hAnsi="sөũ"/>
          <w:b/>
          <w:color w:val="000000"/>
          <w:sz w:val="24"/>
          <w:szCs w:val="24"/>
          <w:u w:val="single"/>
        </w:rPr>
        <w:t>對其有不當考量，致影響</w:t>
      </w:r>
      <w:r>
        <w:rPr>
          <w:rStyle w:val="stext1"/>
          <w:rFonts w:ascii="sөũ" w:hAnsi="sөũ" w:hint="eastAsia"/>
          <w:b/>
          <w:color w:val="000000"/>
          <w:sz w:val="24"/>
          <w:szCs w:val="24"/>
          <w:u w:val="single"/>
        </w:rPr>
        <w:t>陞遷</w:t>
      </w:r>
      <w:r>
        <w:rPr>
          <w:rStyle w:val="stext1"/>
          <w:rFonts w:ascii="sөũ" w:hAnsi="sөũ"/>
          <w:b/>
          <w:color w:val="000000"/>
          <w:sz w:val="24"/>
          <w:szCs w:val="24"/>
          <w:u w:val="single"/>
        </w:rPr>
        <w:t>之具體事證</w:t>
      </w:r>
      <w:r>
        <w:rPr>
          <w:rStyle w:val="stext1"/>
          <w:rFonts w:ascii="sөũ" w:hAnsi="sөũ" w:hint="eastAsia"/>
          <w:color w:val="000000"/>
          <w:sz w:val="24"/>
          <w:szCs w:val="24"/>
        </w:rPr>
        <w:t>。</w:t>
      </w:r>
      <w:r>
        <w:rPr>
          <w:rStyle w:val="af3"/>
          <w:rFonts w:hint="eastAsia"/>
        </w:rPr>
        <w:t>例如</w:t>
      </w:r>
      <w:r>
        <w:rPr>
          <w:rStyle w:val="af3"/>
          <w:b/>
          <w:u w:val="single"/>
        </w:rPr>
        <w:t>保訓會</w:t>
      </w:r>
      <w:r>
        <w:rPr>
          <w:rStyle w:val="af3"/>
          <w:rFonts w:hint="eastAsia"/>
          <w:b/>
          <w:u w:val="single"/>
        </w:rPr>
        <w:t>（</w:t>
      </w:r>
      <w:r>
        <w:rPr>
          <w:rStyle w:val="af3"/>
          <w:rFonts w:hint="eastAsia"/>
          <w:b/>
          <w:u w:val="single"/>
        </w:rPr>
        <w:t>93</w:t>
      </w:r>
      <w:r>
        <w:rPr>
          <w:rStyle w:val="af3"/>
          <w:rFonts w:hint="eastAsia"/>
          <w:b/>
          <w:u w:val="single"/>
        </w:rPr>
        <w:t>）</w:t>
      </w:r>
      <w:r>
        <w:rPr>
          <w:rStyle w:val="af3"/>
          <w:b/>
          <w:u w:val="single"/>
        </w:rPr>
        <w:t>公</w:t>
      </w:r>
      <w:r>
        <w:rPr>
          <w:rStyle w:val="af3"/>
          <w:rFonts w:hint="eastAsia"/>
          <w:b/>
          <w:u w:val="single"/>
        </w:rPr>
        <w:t>審</w:t>
      </w:r>
      <w:r>
        <w:rPr>
          <w:rStyle w:val="af3"/>
          <w:b/>
          <w:u w:val="single"/>
        </w:rPr>
        <w:t>決字第</w:t>
      </w:r>
      <w:r>
        <w:rPr>
          <w:rStyle w:val="af3"/>
          <w:b/>
          <w:u w:val="single"/>
        </w:rPr>
        <w:t>0</w:t>
      </w:r>
      <w:r>
        <w:rPr>
          <w:rStyle w:val="af3"/>
          <w:rFonts w:hint="eastAsia"/>
          <w:b/>
          <w:u w:val="single"/>
        </w:rPr>
        <w:t>260</w:t>
      </w:r>
      <w:r>
        <w:rPr>
          <w:rStyle w:val="af3"/>
          <w:rFonts w:hint="eastAsia"/>
          <w:b/>
          <w:u w:val="single"/>
        </w:rPr>
        <w:t>號決定（以下簡稱「</w:t>
      </w:r>
      <w:r>
        <w:rPr>
          <w:rStyle w:val="stext1"/>
          <w:rFonts w:ascii="sөũ" w:hAnsi="sөũ"/>
          <w:b/>
          <w:color w:val="000000"/>
          <w:sz w:val="24"/>
          <w:szCs w:val="24"/>
          <w:u w:val="single"/>
        </w:rPr>
        <w:t>張福恒</w:t>
      </w:r>
      <w:r>
        <w:rPr>
          <w:rStyle w:val="af3"/>
          <w:rFonts w:hint="eastAsia"/>
          <w:b/>
          <w:u w:val="single"/>
        </w:rPr>
        <w:t>案」）</w:t>
      </w:r>
      <w:r>
        <w:rPr>
          <w:rStyle w:val="af3"/>
          <w:rFonts w:hint="eastAsia"/>
        </w:rPr>
        <w:t>即認為，</w:t>
      </w:r>
      <w:r>
        <w:rPr>
          <w:rStyle w:val="stext1"/>
          <w:rFonts w:ascii="sөũ" w:hAnsi="sөũ"/>
          <w:color w:val="000000"/>
          <w:sz w:val="24"/>
          <w:szCs w:val="24"/>
        </w:rPr>
        <w:t>機關首長基於領導統御及業務運作需要，就公務人員職務陞遷之考核評量，富高度屬人性，對於機關首長之決定，應予尊重。</w:t>
      </w:r>
      <w:r>
        <w:rPr>
          <w:rStyle w:val="stext1"/>
          <w:rFonts w:ascii="sөũ" w:hAnsi="sөũ" w:hint="eastAsia"/>
          <w:color w:val="000000"/>
          <w:sz w:val="24"/>
          <w:szCs w:val="24"/>
        </w:rPr>
        <w:t>顯然保訓會承認機關首長此一陞遷圈選決定除非有裁量之瑕疵（例如裁量濫用），否則也應予以尊重</w:t>
      </w:r>
      <w:r>
        <w:rPr>
          <w:rStyle w:val="ae"/>
          <w:rFonts w:ascii="sөũ" w:hAnsi="sөũ" w:hint="eastAsia"/>
          <w:color w:val="000000"/>
        </w:rPr>
        <w:footnoteReference w:id="3"/>
      </w:r>
      <w:r>
        <w:rPr>
          <w:rStyle w:val="stext1"/>
          <w:rFonts w:ascii="sөũ" w:hAnsi="sөũ" w:hint="eastAsia"/>
          <w:color w:val="000000"/>
          <w:sz w:val="24"/>
          <w:szCs w:val="24"/>
        </w:rPr>
        <w:t>。</w:t>
      </w:r>
    </w:p>
    <w:p w:rsidR="00000000" w:rsidRDefault="000236BE">
      <w:pPr>
        <w:pStyle w:val="22"/>
        <w:spacing w:line="480" w:lineRule="auto"/>
        <w:rPr>
          <w:rStyle w:val="stext1"/>
          <w:rFonts w:ascii="sөũ" w:hAnsi="sөũ" w:hint="eastAsia"/>
          <w:color w:val="000000"/>
          <w:sz w:val="24"/>
          <w:szCs w:val="24"/>
        </w:rPr>
      </w:pPr>
      <w:r>
        <w:rPr>
          <w:rStyle w:val="af3"/>
          <w:rFonts w:hint="eastAsia"/>
        </w:rPr>
        <w:t>同時對於請求陞遷之公務人員是否具有所謂「陞遷請求權」的認定，在若干案件中，保訓會至少承認當事人具有所謂形式之（主觀）公法上權利。對於其申</w:t>
      </w:r>
      <w:r>
        <w:rPr>
          <w:rStyle w:val="af3"/>
          <w:rFonts w:hint="eastAsia"/>
        </w:rPr>
        <w:lastRenderedPageBreak/>
        <w:t>請應為適法之決定。例如</w:t>
      </w:r>
      <w:r>
        <w:rPr>
          <w:rStyle w:val="af3"/>
          <w:b/>
          <w:u w:val="single"/>
        </w:rPr>
        <w:t>保訓會</w:t>
      </w:r>
      <w:r>
        <w:rPr>
          <w:rStyle w:val="af3"/>
          <w:rFonts w:hint="eastAsia"/>
          <w:b/>
          <w:u w:val="single"/>
        </w:rPr>
        <w:t>（</w:t>
      </w:r>
      <w:r>
        <w:rPr>
          <w:rStyle w:val="af3"/>
          <w:rFonts w:hint="eastAsia"/>
          <w:b/>
          <w:u w:val="single"/>
        </w:rPr>
        <w:t>93</w:t>
      </w:r>
      <w:r>
        <w:rPr>
          <w:rStyle w:val="af3"/>
          <w:rFonts w:hint="eastAsia"/>
          <w:b/>
          <w:u w:val="single"/>
        </w:rPr>
        <w:t>）</w:t>
      </w:r>
      <w:r>
        <w:rPr>
          <w:rStyle w:val="af3"/>
          <w:b/>
          <w:u w:val="single"/>
        </w:rPr>
        <w:t>公</w:t>
      </w:r>
      <w:r>
        <w:rPr>
          <w:rStyle w:val="af3"/>
          <w:rFonts w:hint="eastAsia"/>
          <w:b/>
          <w:u w:val="single"/>
        </w:rPr>
        <w:t>審</w:t>
      </w:r>
      <w:r>
        <w:rPr>
          <w:rStyle w:val="af3"/>
          <w:b/>
          <w:u w:val="single"/>
        </w:rPr>
        <w:t>決字第</w:t>
      </w:r>
      <w:r>
        <w:rPr>
          <w:rStyle w:val="af3"/>
          <w:b/>
          <w:u w:val="single"/>
        </w:rPr>
        <w:t>0</w:t>
      </w:r>
      <w:r>
        <w:rPr>
          <w:rStyle w:val="af3"/>
          <w:rFonts w:hint="eastAsia"/>
          <w:b/>
          <w:u w:val="single"/>
        </w:rPr>
        <w:t>352</w:t>
      </w:r>
      <w:r>
        <w:rPr>
          <w:rStyle w:val="af3"/>
          <w:rFonts w:hint="eastAsia"/>
          <w:b/>
          <w:u w:val="single"/>
        </w:rPr>
        <w:t>號決定（以下簡稱「</w:t>
      </w:r>
      <w:r>
        <w:rPr>
          <w:b/>
          <w:u w:val="single"/>
        </w:rPr>
        <w:t>謝隆寶</w:t>
      </w:r>
      <w:r>
        <w:rPr>
          <w:rFonts w:hint="eastAsia"/>
          <w:b/>
          <w:u w:val="single"/>
        </w:rPr>
        <w:t>I</w:t>
      </w:r>
      <w:r>
        <w:rPr>
          <w:rStyle w:val="af3"/>
          <w:rFonts w:hint="eastAsia"/>
          <w:b/>
          <w:u w:val="single"/>
        </w:rPr>
        <w:t>案」）</w:t>
      </w:r>
      <w:r>
        <w:rPr>
          <w:rStyle w:val="af3"/>
          <w:rFonts w:hint="eastAsia"/>
        </w:rPr>
        <w:t>謂：「</w:t>
      </w:r>
      <w:r>
        <w:rPr>
          <w:rStyle w:val="stext1"/>
          <w:rFonts w:ascii="sөũ" w:hAnsi="sөũ"/>
          <w:color w:val="000000"/>
          <w:sz w:val="24"/>
          <w:szCs w:val="24"/>
        </w:rPr>
        <w:t>件復審人於九十三年</w:t>
      </w:r>
      <w:r>
        <w:rPr>
          <w:rStyle w:val="stext1"/>
          <w:rFonts w:ascii="sөũ" w:hAnsi="sөũ"/>
          <w:color w:val="000000"/>
          <w:sz w:val="24"/>
          <w:szCs w:val="24"/>
        </w:rPr>
        <w:t>八月十七日復審書主張依保障法第二十六條提起復審，並於九十三年九月十二日復審補充說明書中稱，其係於九十三年七月二十四日以書面報告，向臺南市警察局請求，應依臺南市警察局九十二年度第十一序列職務人員陞職資績計分排名次序陞職小隊長。如前述，</w:t>
      </w:r>
      <w:r>
        <w:rPr>
          <w:rStyle w:val="stext1"/>
          <w:rFonts w:ascii="sөũ" w:hAnsi="sөũ"/>
          <w:b/>
          <w:sz w:val="24"/>
          <w:szCs w:val="24"/>
          <w:u w:val="single"/>
        </w:rPr>
        <w:t>復審人上開九十三年七月二十四日之書面報告，已有向臺南市警察局請求陞任為刑警隊小隊長之申請，惟依卷附資料，臺南市警察局就復審人上開申請案件，迄今已逾二個月期間，仍未作成處分，揆諸上揭規定，洵有未洽，臺南市警察局應於二個月內為一定之處分。</w:t>
      </w:r>
      <w:r>
        <w:rPr>
          <w:rStyle w:val="stext1"/>
          <w:rFonts w:ascii="sөũ" w:hAnsi="sөũ" w:hint="eastAsia"/>
          <w:sz w:val="24"/>
          <w:szCs w:val="24"/>
        </w:rPr>
        <w:t>」</w:t>
      </w:r>
    </w:p>
    <w:p w:rsidR="00000000" w:rsidRDefault="000236BE">
      <w:pPr>
        <w:pStyle w:val="22"/>
        <w:spacing w:line="480" w:lineRule="auto"/>
        <w:rPr>
          <w:rStyle w:val="af3"/>
          <w:rFonts w:hint="eastAsia"/>
          <w:b/>
        </w:rPr>
      </w:pPr>
      <w:r>
        <w:rPr>
          <w:rStyle w:val="af3"/>
          <w:rFonts w:hint="eastAsia"/>
          <w:b/>
          <w:u w:val="single"/>
        </w:rPr>
        <w:t>（二）陞遷辦理完成而欠缺</w:t>
      </w:r>
      <w:r>
        <w:rPr>
          <w:rStyle w:val="stext1"/>
          <w:rFonts w:ascii="sөũ" w:hAnsi="sөũ"/>
          <w:b/>
          <w:color w:val="000000"/>
          <w:sz w:val="24"/>
          <w:szCs w:val="24"/>
          <w:u w:val="single"/>
        </w:rPr>
        <w:t>權利保護之必要</w:t>
      </w:r>
      <w:r>
        <w:rPr>
          <w:rStyle w:val="stext1"/>
          <w:rFonts w:ascii="sөũ" w:hAnsi="sөũ" w:hint="eastAsia"/>
          <w:b/>
          <w:color w:val="000000"/>
          <w:sz w:val="24"/>
          <w:szCs w:val="24"/>
          <w:u w:val="single"/>
        </w:rPr>
        <w:t>性</w:t>
      </w:r>
    </w:p>
    <w:p w:rsidR="00000000" w:rsidRDefault="000236BE">
      <w:pPr>
        <w:pStyle w:val="22"/>
        <w:spacing w:line="480" w:lineRule="auto"/>
        <w:rPr>
          <w:rStyle w:val="af3"/>
          <w:rFonts w:hint="eastAsia"/>
        </w:rPr>
      </w:pPr>
      <w:r>
        <w:rPr>
          <w:rStyle w:val="af3"/>
          <w:rFonts w:hint="eastAsia"/>
        </w:rPr>
        <w:t>另外在一些公務人員不服陞遷決定，但於其提起救濟時陞遷已辦理完成的案件，保訓會認為</w:t>
      </w:r>
      <w:r>
        <w:rPr>
          <w:rStyle w:val="stext1"/>
          <w:rFonts w:ascii="sөũ" w:hAnsi="sөũ"/>
          <w:color w:val="000000"/>
          <w:sz w:val="24"/>
          <w:szCs w:val="24"/>
        </w:rPr>
        <w:t>公務人員提出再申訴，倘對於當事人被侵害之權利或法律上利益，縱經審議之結果，亦無從補救，或無法回復其法律上之地位或其他利益者，其再申訴已無實益，即屬欠缺權利保護之必要。</w:t>
      </w:r>
    </w:p>
    <w:p w:rsidR="00000000" w:rsidRDefault="000236BE">
      <w:pPr>
        <w:pStyle w:val="22"/>
        <w:spacing w:line="480" w:lineRule="auto"/>
        <w:rPr>
          <w:rStyle w:val="af3"/>
          <w:rFonts w:hint="eastAsia"/>
        </w:rPr>
      </w:pPr>
      <w:r>
        <w:rPr>
          <w:rStyle w:val="stext1"/>
          <w:rFonts w:ascii="sөũ" w:hAnsi="sөũ" w:hint="eastAsia"/>
          <w:color w:val="000000"/>
          <w:sz w:val="24"/>
          <w:szCs w:val="24"/>
        </w:rPr>
        <w:t>例如</w:t>
      </w:r>
      <w:r>
        <w:rPr>
          <w:rStyle w:val="af3"/>
          <w:b/>
          <w:u w:val="single"/>
        </w:rPr>
        <w:t>保訓會</w:t>
      </w:r>
      <w:r>
        <w:rPr>
          <w:rStyle w:val="af3"/>
          <w:rFonts w:hint="eastAsia"/>
          <w:b/>
          <w:u w:val="single"/>
        </w:rPr>
        <w:t>（</w:t>
      </w:r>
      <w:r>
        <w:rPr>
          <w:rStyle w:val="af3"/>
          <w:rFonts w:hint="eastAsia"/>
          <w:b/>
          <w:u w:val="single"/>
        </w:rPr>
        <w:t>91</w:t>
      </w:r>
      <w:r>
        <w:rPr>
          <w:rStyle w:val="af3"/>
          <w:rFonts w:hint="eastAsia"/>
          <w:b/>
          <w:u w:val="single"/>
        </w:rPr>
        <w:t>）</w:t>
      </w:r>
      <w:r>
        <w:rPr>
          <w:rStyle w:val="af3"/>
          <w:b/>
          <w:u w:val="single"/>
        </w:rPr>
        <w:t>公</w:t>
      </w:r>
      <w:r>
        <w:rPr>
          <w:rStyle w:val="af3"/>
          <w:rFonts w:hint="eastAsia"/>
          <w:b/>
          <w:u w:val="single"/>
        </w:rPr>
        <w:t>申</w:t>
      </w:r>
      <w:r>
        <w:rPr>
          <w:rStyle w:val="af3"/>
          <w:b/>
          <w:u w:val="single"/>
        </w:rPr>
        <w:t>決字第</w:t>
      </w:r>
      <w:r>
        <w:rPr>
          <w:rStyle w:val="af3"/>
          <w:b/>
          <w:u w:val="single"/>
        </w:rPr>
        <w:t>0</w:t>
      </w:r>
      <w:r>
        <w:rPr>
          <w:rStyle w:val="af3"/>
          <w:rFonts w:hint="eastAsia"/>
          <w:b/>
          <w:u w:val="single"/>
        </w:rPr>
        <w:t>343</w:t>
      </w:r>
      <w:r>
        <w:rPr>
          <w:rStyle w:val="af3"/>
          <w:rFonts w:hint="eastAsia"/>
          <w:b/>
          <w:u w:val="single"/>
        </w:rPr>
        <w:t>號決定（以下簡稱「</w:t>
      </w:r>
      <w:r>
        <w:rPr>
          <w:b/>
          <w:color w:val="000000"/>
          <w:u w:val="single"/>
        </w:rPr>
        <w:t>稅代州</w:t>
      </w:r>
      <w:r>
        <w:rPr>
          <w:rStyle w:val="af3"/>
          <w:rFonts w:hint="eastAsia"/>
          <w:b/>
          <w:u w:val="single"/>
        </w:rPr>
        <w:t>案」）</w:t>
      </w:r>
      <w:r>
        <w:rPr>
          <w:rStyle w:val="af3"/>
          <w:rFonts w:hint="eastAsia"/>
        </w:rPr>
        <w:t>謂：「</w:t>
      </w:r>
      <w:r>
        <w:rPr>
          <w:rStyle w:val="stext1"/>
          <w:rFonts w:ascii="sөũ" w:hAnsi="sөũ"/>
          <w:color w:val="000000"/>
          <w:sz w:val="24"/>
          <w:szCs w:val="24"/>
        </w:rPr>
        <w:t>再申訴人固主張高雄市政府兵役處未待其懲處案所提救濟程序確定，人事甄審委員會即剔除其參與陞遷之資格，違反公平原則，請求重新審議云云，惟卷查該處第二科股長傅</w:t>
      </w:r>
      <w:r>
        <w:rPr>
          <w:rStyle w:val="stext1"/>
          <w:rFonts w:ascii="sөũ" w:hAnsi="sөũ"/>
          <w:color w:val="000000"/>
          <w:sz w:val="24"/>
          <w:szCs w:val="24"/>
        </w:rPr>
        <w:t>○○</w:t>
      </w:r>
      <w:r>
        <w:rPr>
          <w:rStyle w:val="stext1"/>
          <w:rFonts w:ascii="sөũ" w:hAnsi="sөũ"/>
          <w:color w:val="000000"/>
          <w:sz w:val="24"/>
          <w:szCs w:val="24"/>
        </w:rPr>
        <w:t>經銓敘部核定自九十一年二月十六日自願</w:t>
      </w:r>
      <w:r>
        <w:rPr>
          <w:rStyle w:val="stext1"/>
          <w:rFonts w:ascii="sөũ" w:hAnsi="sөũ"/>
          <w:color w:val="000000"/>
          <w:sz w:val="24"/>
          <w:szCs w:val="24"/>
        </w:rPr>
        <w:t>退休生效，該職缺經該處同年二月五日循行政程序簽陳高雄市市長同年二月二十日核准辦理內陞補實，該處茲於九十一年二月二十七日召開九十年第二次人事甄審委員會，辦理評審該處第二科股長職缺陞遷案，討論結果因再申訴人最近一年（九十年）年終考績考列丙等，爰決議依公務人員陞遷法第十二條第五款規定，剔除其陞任資格。該甄審</w:t>
      </w:r>
      <w:r>
        <w:rPr>
          <w:rStyle w:val="stext1"/>
          <w:rFonts w:ascii="sөũ" w:hAnsi="sөũ"/>
          <w:color w:val="000000"/>
          <w:sz w:val="24"/>
          <w:szCs w:val="24"/>
        </w:rPr>
        <w:lastRenderedPageBreak/>
        <w:t>委員會評審後依規定程序於同年二月二十七日報請該處處長圈定由科員黃</w:t>
      </w:r>
      <w:r>
        <w:rPr>
          <w:rStyle w:val="stext1"/>
          <w:rFonts w:ascii="sөũ" w:hAnsi="sөũ"/>
          <w:color w:val="000000"/>
          <w:sz w:val="24"/>
          <w:szCs w:val="24"/>
        </w:rPr>
        <w:t>○○</w:t>
      </w:r>
      <w:r>
        <w:rPr>
          <w:rStyle w:val="stext1"/>
          <w:rFonts w:ascii="sөũ" w:hAnsi="sөũ"/>
          <w:color w:val="000000"/>
          <w:sz w:val="24"/>
          <w:szCs w:val="24"/>
        </w:rPr>
        <w:t>陞任，並經該處九十一年三月一日高市兵役人字第三００五號令核布及報經銓敘部九十一年三月十四日部銓四字第０九一二一二二四一０號函銓敘審定，自九十一</w:t>
      </w:r>
      <w:r>
        <w:rPr>
          <w:rStyle w:val="stext1"/>
          <w:rFonts w:ascii="sөũ" w:hAnsi="sөũ"/>
          <w:color w:val="000000"/>
          <w:sz w:val="24"/>
          <w:szCs w:val="24"/>
        </w:rPr>
        <w:t>年三月一日生效在案。雖再申訴人不服該處九十年十二月二十六日予以記過二次之懲處，提出申訴、再申訴，案經本會以九十一年五月七日九一公申決字第００九二號再申訴決定書決定撤銷在案，其九十年年終考績並經該處以九十一年七月九日高市兵役人字第０九一０００九八三七號考績通知書重新核布為甲等，但因</w:t>
      </w:r>
      <w:r>
        <w:rPr>
          <w:rStyle w:val="stext1"/>
          <w:rFonts w:ascii="sөũ" w:hAnsi="sөũ"/>
          <w:b/>
          <w:color w:val="000000"/>
          <w:sz w:val="24"/>
          <w:szCs w:val="24"/>
          <w:u w:val="single"/>
        </w:rPr>
        <w:t>該陞遷案業已依程序陞補完成，顯屬無法補救</w:t>
      </w:r>
      <w:r>
        <w:rPr>
          <w:rStyle w:val="stext1"/>
          <w:rFonts w:ascii="sөũ" w:hAnsi="sөũ"/>
          <w:color w:val="000000"/>
          <w:sz w:val="24"/>
          <w:szCs w:val="24"/>
        </w:rPr>
        <w:t>，準此，</w:t>
      </w:r>
      <w:r>
        <w:rPr>
          <w:rStyle w:val="stext1"/>
          <w:rFonts w:ascii="sөũ" w:hAnsi="sөũ"/>
          <w:b/>
          <w:color w:val="000000"/>
          <w:sz w:val="24"/>
          <w:szCs w:val="24"/>
          <w:u w:val="single"/>
        </w:rPr>
        <w:t>本案再申訴人所不服該處人事甄審委員會剔除渠參加陞任股長甄審之決議</w:t>
      </w:r>
      <w:r>
        <w:rPr>
          <w:rStyle w:val="stext1"/>
          <w:rFonts w:ascii="sөũ" w:hAnsi="sөũ"/>
          <w:color w:val="000000"/>
          <w:sz w:val="24"/>
          <w:szCs w:val="24"/>
        </w:rPr>
        <w:t>，揆諸首揭說明，</w:t>
      </w:r>
      <w:r>
        <w:rPr>
          <w:rStyle w:val="stext1"/>
          <w:rFonts w:ascii="sөũ" w:hAnsi="sөũ"/>
          <w:b/>
          <w:color w:val="000000"/>
          <w:sz w:val="24"/>
          <w:szCs w:val="24"/>
          <w:u w:val="single"/>
        </w:rPr>
        <w:t>其所提出之再申訴顯已無實益，自屬欠缺權利保護之要件</w:t>
      </w:r>
      <w:r>
        <w:rPr>
          <w:rStyle w:val="stext1"/>
          <w:rFonts w:ascii="sөũ" w:hAnsi="sөũ"/>
          <w:color w:val="000000"/>
          <w:sz w:val="24"/>
          <w:szCs w:val="24"/>
        </w:rPr>
        <w:t>，爰應予以駁回。</w:t>
      </w:r>
      <w:r>
        <w:rPr>
          <w:rStyle w:val="stext1"/>
          <w:rFonts w:ascii="sөũ" w:hAnsi="sөũ" w:hint="eastAsia"/>
          <w:color w:val="000000"/>
          <w:sz w:val="24"/>
          <w:szCs w:val="24"/>
        </w:rPr>
        <w:t>」</w:t>
      </w:r>
    </w:p>
    <w:p w:rsidR="00000000" w:rsidRDefault="000236BE">
      <w:pPr>
        <w:pStyle w:val="22"/>
        <w:spacing w:line="480" w:lineRule="auto"/>
        <w:rPr>
          <w:rStyle w:val="stext1"/>
          <w:rFonts w:ascii="sөũ" w:hAnsi="sөũ" w:hint="eastAsia"/>
          <w:color w:val="000000"/>
          <w:sz w:val="24"/>
          <w:szCs w:val="24"/>
        </w:rPr>
      </w:pPr>
      <w:r>
        <w:rPr>
          <w:rStyle w:val="stext1"/>
          <w:rFonts w:ascii="sөũ" w:hAnsi="sөũ" w:hint="eastAsia"/>
          <w:color w:val="000000"/>
          <w:sz w:val="24"/>
          <w:szCs w:val="24"/>
        </w:rPr>
        <w:t>又</w:t>
      </w:r>
      <w:r>
        <w:rPr>
          <w:rStyle w:val="stext1"/>
          <w:rFonts w:ascii="sөũ" w:hAnsi="sөũ"/>
          <w:color w:val="000000"/>
          <w:sz w:val="24"/>
          <w:szCs w:val="24"/>
        </w:rPr>
        <w:t>公務人員對於服務機關或人事主管機</w:t>
      </w:r>
      <w:r>
        <w:rPr>
          <w:rStyle w:val="stext1"/>
          <w:rFonts w:ascii="sөũ" w:hAnsi="sөũ"/>
          <w:color w:val="000000"/>
          <w:sz w:val="24"/>
          <w:szCs w:val="24"/>
        </w:rPr>
        <w:t>關所為之行政處分，認為違法或顯然不當，致損害其權利或利益者，得依公務人員保障法第</w:t>
      </w:r>
      <w:r>
        <w:rPr>
          <w:rStyle w:val="stext1"/>
          <w:rFonts w:ascii="sөũ" w:hAnsi="sөũ"/>
          <w:color w:val="000000"/>
          <w:sz w:val="24"/>
          <w:szCs w:val="24"/>
        </w:rPr>
        <w:t>25</w:t>
      </w:r>
      <w:r>
        <w:rPr>
          <w:rStyle w:val="stext1"/>
          <w:rFonts w:ascii="sөũ" w:hAnsi="sөũ"/>
          <w:color w:val="000000"/>
          <w:sz w:val="24"/>
          <w:szCs w:val="24"/>
        </w:rPr>
        <w:t>條規定，提起復審，惟公務人員提起復審時，如已無實益，</w:t>
      </w:r>
      <w:r>
        <w:rPr>
          <w:rStyle w:val="stext1"/>
          <w:rFonts w:ascii="sөũ" w:hAnsi="sөũ" w:hint="eastAsia"/>
          <w:color w:val="000000"/>
          <w:sz w:val="24"/>
          <w:szCs w:val="24"/>
        </w:rPr>
        <w:t>亦</w:t>
      </w:r>
      <w:r>
        <w:rPr>
          <w:rStyle w:val="stext1"/>
          <w:rFonts w:ascii="sөũ" w:hAnsi="sөũ"/>
          <w:color w:val="000000"/>
          <w:sz w:val="24"/>
          <w:szCs w:val="24"/>
        </w:rPr>
        <w:t>屬</w:t>
      </w:r>
      <w:r>
        <w:rPr>
          <w:rStyle w:val="stext1"/>
          <w:rFonts w:ascii="sөũ" w:hAnsi="sөũ"/>
          <w:b/>
          <w:color w:val="000000"/>
          <w:sz w:val="24"/>
          <w:szCs w:val="24"/>
          <w:u w:val="single"/>
        </w:rPr>
        <w:t>欠缺權利保護之必要</w:t>
      </w:r>
      <w:r>
        <w:rPr>
          <w:rStyle w:val="stext1"/>
          <w:rFonts w:ascii="sөũ" w:hAnsi="sөũ"/>
          <w:color w:val="000000"/>
          <w:sz w:val="24"/>
          <w:szCs w:val="24"/>
        </w:rPr>
        <w:t>，應予駁回。</w:t>
      </w:r>
      <w:r>
        <w:rPr>
          <w:rStyle w:val="stext1"/>
          <w:rFonts w:ascii="sөũ" w:hAnsi="sөũ" w:hint="eastAsia"/>
          <w:color w:val="000000"/>
          <w:sz w:val="24"/>
          <w:szCs w:val="24"/>
        </w:rPr>
        <w:t>例如</w:t>
      </w:r>
      <w:r>
        <w:rPr>
          <w:rStyle w:val="af3"/>
          <w:b/>
          <w:u w:val="single"/>
        </w:rPr>
        <w:t>保訓會</w:t>
      </w:r>
      <w:r>
        <w:rPr>
          <w:rStyle w:val="af3"/>
          <w:rFonts w:hint="eastAsia"/>
          <w:b/>
          <w:u w:val="single"/>
        </w:rPr>
        <w:t>（</w:t>
      </w:r>
      <w:r>
        <w:rPr>
          <w:rStyle w:val="af3"/>
          <w:rFonts w:hint="eastAsia"/>
          <w:b/>
          <w:u w:val="single"/>
        </w:rPr>
        <w:t>94</w:t>
      </w:r>
      <w:r>
        <w:rPr>
          <w:rStyle w:val="af3"/>
          <w:rFonts w:hint="eastAsia"/>
          <w:b/>
          <w:u w:val="single"/>
        </w:rPr>
        <w:t>）</w:t>
      </w:r>
      <w:r>
        <w:rPr>
          <w:rStyle w:val="af3"/>
          <w:b/>
          <w:u w:val="single"/>
        </w:rPr>
        <w:t>公</w:t>
      </w:r>
      <w:r>
        <w:rPr>
          <w:rStyle w:val="af3"/>
          <w:rFonts w:hint="eastAsia"/>
          <w:b/>
          <w:u w:val="single"/>
        </w:rPr>
        <w:t>審</w:t>
      </w:r>
      <w:r>
        <w:rPr>
          <w:rStyle w:val="af3"/>
          <w:b/>
          <w:u w:val="single"/>
        </w:rPr>
        <w:t>決字第</w:t>
      </w:r>
      <w:r>
        <w:rPr>
          <w:rStyle w:val="af3"/>
          <w:b/>
          <w:u w:val="single"/>
        </w:rPr>
        <w:t>0</w:t>
      </w:r>
      <w:r>
        <w:rPr>
          <w:rStyle w:val="af3"/>
          <w:rFonts w:hint="eastAsia"/>
          <w:b/>
          <w:u w:val="single"/>
        </w:rPr>
        <w:t>037</w:t>
      </w:r>
      <w:r>
        <w:rPr>
          <w:rStyle w:val="af3"/>
          <w:rFonts w:hint="eastAsia"/>
          <w:b/>
          <w:u w:val="single"/>
        </w:rPr>
        <w:t>號決定（以下簡稱「</w:t>
      </w:r>
      <w:r>
        <w:rPr>
          <w:b/>
          <w:u w:val="single"/>
        </w:rPr>
        <w:t>謝隆寶</w:t>
      </w:r>
      <w:r>
        <w:rPr>
          <w:rFonts w:hint="eastAsia"/>
          <w:b/>
          <w:u w:val="single"/>
        </w:rPr>
        <w:t>II</w:t>
      </w:r>
      <w:r>
        <w:rPr>
          <w:rStyle w:val="af3"/>
          <w:rFonts w:hint="eastAsia"/>
          <w:b/>
          <w:u w:val="single"/>
        </w:rPr>
        <w:t>案」）</w:t>
      </w:r>
      <w:r>
        <w:rPr>
          <w:rStyle w:val="af3"/>
          <w:rFonts w:hint="eastAsia"/>
        </w:rPr>
        <w:t>謂：「</w:t>
      </w:r>
      <w:r>
        <w:rPr>
          <w:rStyle w:val="stext1"/>
          <w:rFonts w:ascii="sөũ" w:hAnsi="sөũ"/>
          <w:color w:val="000000"/>
          <w:sz w:val="24"/>
          <w:szCs w:val="24"/>
        </w:rPr>
        <w:t>本件復審人前以南市警局</w:t>
      </w:r>
      <w:r>
        <w:rPr>
          <w:rStyle w:val="stext1"/>
          <w:rFonts w:ascii="sөũ" w:hAnsi="sөũ"/>
          <w:color w:val="000000"/>
          <w:sz w:val="24"/>
          <w:szCs w:val="24"/>
        </w:rPr>
        <w:t>92</w:t>
      </w:r>
      <w:r>
        <w:rPr>
          <w:rStyle w:val="stext1"/>
          <w:rFonts w:ascii="sөũ" w:hAnsi="sөũ"/>
          <w:color w:val="000000"/>
          <w:sz w:val="24"/>
          <w:szCs w:val="24"/>
        </w:rPr>
        <w:t>年第</w:t>
      </w:r>
      <w:r>
        <w:rPr>
          <w:rStyle w:val="stext1"/>
          <w:rFonts w:ascii="sөũ" w:hAnsi="sөũ"/>
          <w:color w:val="000000"/>
          <w:sz w:val="24"/>
          <w:szCs w:val="24"/>
        </w:rPr>
        <w:t>11</w:t>
      </w:r>
      <w:r>
        <w:rPr>
          <w:rStyle w:val="stext1"/>
          <w:rFonts w:ascii="sөũ" w:hAnsi="sөũ"/>
          <w:color w:val="000000"/>
          <w:sz w:val="24"/>
          <w:szCs w:val="24"/>
        </w:rPr>
        <w:t>序列職務人員遷調資積計分名次其排序第一，請求陞任該局刑警隊小隊長職務。惟查南市警局辦理該小隊長職缺之陞補案，係經</w:t>
      </w:r>
      <w:r>
        <w:rPr>
          <w:rStyle w:val="stext1"/>
          <w:rFonts w:ascii="sөũ" w:hAnsi="sөũ"/>
          <w:color w:val="000000"/>
          <w:sz w:val="24"/>
          <w:szCs w:val="24"/>
        </w:rPr>
        <w:t>93</w:t>
      </w:r>
      <w:r>
        <w:rPr>
          <w:rStyle w:val="stext1"/>
          <w:rFonts w:ascii="sөũ" w:hAnsi="sөũ"/>
          <w:color w:val="000000"/>
          <w:sz w:val="24"/>
          <w:szCs w:val="24"/>
        </w:rPr>
        <w:t>年</w:t>
      </w:r>
      <w:r>
        <w:rPr>
          <w:rStyle w:val="stext1"/>
          <w:rFonts w:ascii="sөũ" w:hAnsi="sөũ"/>
          <w:color w:val="000000"/>
          <w:sz w:val="24"/>
          <w:szCs w:val="24"/>
        </w:rPr>
        <w:t>6</w:t>
      </w:r>
      <w:r>
        <w:rPr>
          <w:rStyle w:val="stext1"/>
          <w:rFonts w:ascii="sөũ" w:hAnsi="sөũ"/>
          <w:color w:val="000000"/>
          <w:sz w:val="24"/>
          <w:szCs w:val="24"/>
        </w:rPr>
        <w:t>月</w:t>
      </w:r>
      <w:r>
        <w:rPr>
          <w:rStyle w:val="stext1"/>
          <w:rFonts w:ascii="sөũ" w:hAnsi="sөũ"/>
          <w:color w:val="000000"/>
          <w:sz w:val="24"/>
          <w:szCs w:val="24"/>
        </w:rPr>
        <w:t>23</w:t>
      </w:r>
      <w:r>
        <w:rPr>
          <w:rStyle w:val="stext1"/>
          <w:rFonts w:ascii="sөũ" w:hAnsi="sөũ"/>
          <w:color w:val="000000"/>
          <w:sz w:val="24"/>
          <w:szCs w:val="24"/>
        </w:rPr>
        <w:t>日該局</w:t>
      </w:r>
      <w:r>
        <w:rPr>
          <w:rStyle w:val="stext1"/>
          <w:rFonts w:ascii="sөũ" w:hAnsi="sөũ"/>
          <w:color w:val="000000"/>
          <w:sz w:val="24"/>
          <w:szCs w:val="24"/>
        </w:rPr>
        <w:t>92</w:t>
      </w:r>
      <w:r>
        <w:rPr>
          <w:rStyle w:val="stext1"/>
          <w:rFonts w:ascii="sөũ" w:hAnsi="sөũ"/>
          <w:color w:val="000000"/>
          <w:sz w:val="24"/>
          <w:szCs w:val="24"/>
        </w:rPr>
        <w:t>年第</w:t>
      </w:r>
      <w:r>
        <w:rPr>
          <w:rStyle w:val="stext1"/>
          <w:rFonts w:ascii="sөũ" w:hAnsi="sөũ"/>
          <w:color w:val="000000"/>
          <w:sz w:val="24"/>
          <w:szCs w:val="24"/>
        </w:rPr>
        <w:t>16</w:t>
      </w:r>
      <w:r>
        <w:rPr>
          <w:rStyle w:val="stext1"/>
          <w:rFonts w:ascii="sөũ" w:hAnsi="sөũ"/>
          <w:color w:val="000000"/>
          <w:sz w:val="24"/>
          <w:szCs w:val="24"/>
        </w:rPr>
        <w:t>次人事甄審委員會甄審由該局</w:t>
      </w:r>
      <w:r>
        <w:rPr>
          <w:rStyle w:val="stext1"/>
          <w:rFonts w:ascii="sөũ" w:hAnsi="sөũ"/>
          <w:color w:val="000000"/>
          <w:sz w:val="24"/>
          <w:szCs w:val="24"/>
        </w:rPr>
        <w:t>92</w:t>
      </w:r>
      <w:r>
        <w:rPr>
          <w:rStyle w:val="stext1"/>
          <w:rFonts w:ascii="sөũ" w:hAnsi="sөũ"/>
          <w:color w:val="000000"/>
          <w:sz w:val="24"/>
          <w:szCs w:val="24"/>
        </w:rPr>
        <w:t>年度第</w:t>
      </w:r>
      <w:r>
        <w:rPr>
          <w:rStyle w:val="stext1"/>
          <w:rFonts w:ascii="sөũ" w:hAnsi="sөũ"/>
          <w:color w:val="000000"/>
          <w:sz w:val="24"/>
          <w:szCs w:val="24"/>
        </w:rPr>
        <w:t>11</w:t>
      </w:r>
      <w:r>
        <w:rPr>
          <w:rStyle w:val="stext1"/>
          <w:rFonts w:ascii="sөũ" w:hAnsi="sөũ"/>
          <w:color w:val="000000"/>
          <w:sz w:val="24"/>
          <w:szCs w:val="24"/>
        </w:rPr>
        <w:t>序列職務人員陞職資積計分清冊中，按積分高低順序或</w:t>
      </w:r>
      <w:r>
        <w:rPr>
          <w:rStyle w:val="stext1"/>
          <w:rFonts w:ascii="sөũ" w:hAnsi="sөũ"/>
          <w:color w:val="000000"/>
          <w:sz w:val="24"/>
          <w:szCs w:val="24"/>
        </w:rPr>
        <w:t>資格條件造列名冊，由首長依規定就前</w:t>
      </w:r>
      <w:r>
        <w:rPr>
          <w:rStyle w:val="stext1"/>
          <w:rFonts w:ascii="sөũ" w:hAnsi="sөũ"/>
          <w:color w:val="000000"/>
          <w:sz w:val="24"/>
          <w:szCs w:val="24"/>
        </w:rPr>
        <w:t>3</w:t>
      </w:r>
      <w:r>
        <w:rPr>
          <w:rStyle w:val="stext1"/>
          <w:rFonts w:ascii="sөũ" w:hAnsi="sөũ"/>
          <w:color w:val="000000"/>
          <w:sz w:val="24"/>
          <w:szCs w:val="24"/>
        </w:rPr>
        <w:t>名中圈定偵查員李威賢陞補之。茲以</w:t>
      </w:r>
      <w:r>
        <w:rPr>
          <w:rStyle w:val="stext1"/>
          <w:rFonts w:ascii="sөũ" w:hAnsi="sөũ"/>
          <w:b/>
          <w:color w:val="000000"/>
          <w:sz w:val="24"/>
          <w:szCs w:val="24"/>
          <w:u w:val="single"/>
        </w:rPr>
        <w:t>復審人業於</w:t>
      </w:r>
      <w:r>
        <w:rPr>
          <w:rStyle w:val="stext1"/>
          <w:rFonts w:ascii="sөũ" w:hAnsi="sөũ"/>
          <w:b/>
          <w:color w:val="000000"/>
          <w:sz w:val="24"/>
          <w:szCs w:val="24"/>
          <w:u w:val="single"/>
        </w:rPr>
        <w:t>93</w:t>
      </w:r>
      <w:r>
        <w:rPr>
          <w:rStyle w:val="stext1"/>
          <w:rFonts w:ascii="sөũ" w:hAnsi="sөũ"/>
          <w:b/>
          <w:color w:val="000000"/>
          <w:sz w:val="24"/>
          <w:szCs w:val="24"/>
          <w:u w:val="single"/>
        </w:rPr>
        <w:t>年</w:t>
      </w:r>
      <w:r>
        <w:rPr>
          <w:rStyle w:val="stext1"/>
          <w:rFonts w:ascii="sөũ" w:hAnsi="sөũ"/>
          <w:b/>
          <w:color w:val="000000"/>
          <w:sz w:val="24"/>
          <w:szCs w:val="24"/>
          <w:u w:val="single"/>
        </w:rPr>
        <w:t>10</w:t>
      </w:r>
      <w:r>
        <w:rPr>
          <w:rStyle w:val="stext1"/>
          <w:rFonts w:ascii="sөũ" w:hAnsi="sөũ"/>
          <w:b/>
          <w:color w:val="000000"/>
          <w:sz w:val="24"/>
          <w:szCs w:val="24"/>
          <w:u w:val="single"/>
        </w:rPr>
        <w:t>月</w:t>
      </w:r>
      <w:r>
        <w:rPr>
          <w:rStyle w:val="stext1"/>
          <w:rFonts w:ascii="sөũ" w:hAnsi="sөũ"/>
          <w:b/>
          <w:color w:val="000000"/>
          <w:sz w:val="24"/>
          <w:szCs w:val="24"/>
          <w:u w:val="single"/>
        </w:rPr>
        <w:t>21</w:t>
      </w:r>
      <w:r>
        <w:rPr>
          <w:rStyle w:val="stext1"/>
          <w:rFonts w:ascii="sөũ" w:hAnsi="sөũ"/>
          <w:b/>
          <w:color w:val="000000"/>
          <w:sz w:val="24"/>
          <w:szCs w:val="24"/>
          <w:u w:val="single"/>
        </w:rPr>
        <w:t>日調任南縣警局刑警隊，則復審人所執請求陞任南市警局刑警隊小隊長之標的，業因復審人調任其他警察機關，已非南市警局所屬人員，而該小隊長職缺，應由本機關人員陞遷，無法由他機關人員遞補，復審人自無陞任南市警局刑警隊小隊長之</w:t>
      </w:r>
      <w:r>
        <w:rPr>
          <w:rStyle w:val="stext1"/>
          <w:rFonts w:ascii="sөũ" w:hAnsi="sөũ"/>
          <w:b/>
          <w:color w:val="000000"/>
          <w:sz w:val="24"/>
          <w:szCs w:val="24"/>
          <w:u w:val="single"/>
        </w:rPr>
        <w:lastRenderedPageBreak/>
        <w:t>可能，揆諸前揭說明，其所提復審，顯已無實益，核屬欠缺權利保護之要件，爰應予駁回</w:t>
      </w:r>
      <w:r>
        <w:rPr>
          <w:rStyle w:val="stext1"/>
          <w:rFonts w:ascii="sөũ" w:hAnsi="sөũ"/>
          <w:color w:val="000000"/>
          <w:sz w:val="24"/>
          <w:szCs w:val="24"/>
        </w:rPr>
        <w:t>。</w:t>
      </w:r>
      <w:r>
        <w:rPr>
          <w:rStyle w:val="stext1"/>
          <w:rFonts w:ascii="sөũ" w:hAnsi="sөũ" w:hint="eastAsia"/>
          <w:color w:val="000000"/>
          <w:sz w:val="24"/>
          <w:szCs w:val="24"/>
        </w:rPr>
        <w:t>」</w:t>
      </w:r>
    </w:p>
    <w:p w:rsidR="00000000" w:rsidRDefault="000236BE">
      <w:pPr>
        <w:pStyle w:val="22"/>
        <w:spacing w:line="480" w:lineRule="auto"/>
        <w:rPr>
          <w:rStyle w:val="stext1"/>
          <w:rFonts w:ascii="sөũ" w:hAnsi="sөũ" w:hint="eastAsia"/>
          <w:color w:val="000000"/>
          <w:sz w:val="24"/>
          <w:szCs w:val="24"/>
        </w:rPr>
      </w:pPr>
      <w:r>
        <w:rPr>
          <w:rStyle w:val="stext1"/>
          <w:rFonts w:ascii="sөũ" w:hAnsi="sөũ" w:hint="eastAsia"/>
          <w:color w:val="000000"/>
          <w:sz w:val="24"/>
          <w:szCs w:val="24"/>
        </w:rPr>
        <w:t>又如</w:t>
      </w:r>
      <w:r>
        <w:rPr>
          <w:rStyle w:val="af3"/>
          <w:b/>
          <w:u w:val="single"/>
        </w:rPr>
        <w:t>保訓會</w:t>
      </w:r>
      <w:r>
        <w:rPr>
          <w:rStyle w:val="af3"/>
          <w:rFonts w:hint="eastAsia"/>
          <w:b/>
          <w:u w:val="single"/>
        </w:rPr>
        <w:t>（</w:t>
      </w:r>
      <w:r>
        <w:rPr>
          <w:rStyle w:val="af3"/>
          <w:rFonts w:hint="eastAsia"/>
          <w:b/>
          <w:u w:val="single"/>
        </w:rPr>
        <w:t>94</w:t>
      </w:r>
      <w:r>
        <w:rPr>
          <w:rStyle w:val="af3"/>
          <w:rFonts w:hint="eastAsia"/>
          <w:b/>
          <w:u w:val="single"/>
        </w:rPr>
        <w:t>）</w:t>
      </w:r>
      <w:r>
        <w:rPr>
          <w:rStyle w:val="af3"/>
          <w:b/>
          <w:u w:val="single"/>
        </w:rPr>
        <w:t>公</w:t>
      </w:r>
      <w:r>
        <w:rPr>
          <w:rStyle w:val="af3"/>
          <w:rFonts w:hint="eastAsia"/>
          <w:b/>
          <w:u w:val="single"/>
        </w:rPr>
        <w:t>申</w:t>
      </w:r>
      <w:r>
        <w:rPr>
          <w:rStyle w:val="af3"/>
          <w:b/>
          <w:u w:val="single"/>
        </w:rPr>
        <w:t>決字第</w:t>
      </w:r>
      <w:r>
        <w:rPr>
          <w:rStyle w:val="af3"/>
          <w:b/>
          <w:u w:val="single"/>
        </w:rPr>
        <w:t>0</w:t>
      </w:r>
      <w:r>
        <w:rPr>
          <w:rStyle w:val="af3"/>
          <w:rFonts w:hint="eastAsia"/>
          <w:b/>
          <w:u w:val="single"/>
        </w:rPr>
        <w:t>026</w:t>
      </w:r>
      <w:r>
        <w:rPr>
          <w:rStyle w:val="af3"/>
          <w:rFonts w:hint="eastAsia"/>
          <w:b/>
          <w:u w:val="single"/>
        </w:rPr>
        <w:t>號決定（以下簡稱「</w:t>
      </w:r>
      <w:r>
        <w:rPr>
          <w:rFonts w:hint="eastAsia"/>
          <w:b/>
          <w:u w:val="single"/>
        </w:rPr>
        <w:t>林群彬</w:t>
      </w:r>
      <w:r>
        <w:rPr>
          <w:rStyle w:val="af3"/>
          <w:rFonts w:hint="eastAsia"/>
          <w:b/>
          <w:u w:val="single"/>
        </w:rPr>
        <w:t>案」）</w:t>
      </w:r>
      <w:r>
        <w:rPr>
          <w:rStyle w:val="af3"/>
          <w:rFonts w:hint="eastAsia"/>
        </w:rPr>
        <w:t>謂：「</w:t>
      </w:r>
      <w:r>
        <w:rPr>
          <w:rStyle w:val="stext1"/>
          <w:rFonts w:ascii="sөũ" w:hAnsi="sөũ"/>
          <w:color w:val="000000"/>
          <w:sz w:val="24"/>
          <w:szCs w:val="24"/>
        </w:rPr>
        <w:t>公務人員不服服務機關之管理措施，於提起申訴、再申</w:t>
      </w:r>
      <w:r>
        <w:rPr>
          <w:rStyle w:val="stext1"/>
          <w:rFonts w:ascii="sөũ" w:hAnsi="sөũ"/>
          <w:color w:val="000000"/>
          <w:sz w:val="24"/>
          <w:szCs w:val="24"/>
        </w:rPr>
        <w:t>訴時，如已無實益，即屬</w:t>
      </w:r>
      <w:r>
        <w:rPr>
          <w:rStyle w:val="stext1"/>
          <w:rFonts w:ascii="sөũ" w:hAnsi="sөũ"/>
          <w:sz w:val="24"/>
          <w:szCs w:val="24"/>
        </w:rPr>
        <w:t>欠缺權利保護之必要，</w:t>
      </w:r>
      <w:r>
        <w:rPr>
          <w:rStyle w:val="stext1"/>
          <w:rFonts w:ascii="sөũ" w:hAnsi="sөũ"/>
          <w:color w:val="000000"/>
          <w:sz w:val="24"/>
          <w:szCs w:val="24"/>
        </w:rPr>
        <w:t>應予駁回。承前述，法務部依上開訓練計畫於</w:t>
      </w:r>
      <w:r>
        <w:rPr>
          <w:rStyle w:val="stext1"/>
          <w:rFonts w:ascii="sөũ" w:hAnsi="sөũ"/>
          <w:color w:val="000000"/>
          <w:sz w:val="24"/>
          <w:szCs w:val="24"/>
        </w:rPr>
        <w:t>93</w:t>
      </w:r>
      <w:r>
        <w:rPr>
          <w:rStyle w:val="stext1"/>
          <w:rFonts w:ascii="sөũ" w:hAnsi="sөũ"/>
          <w:color w:val="000000"/>
          <w:sz w:val="24"/>
          <w:szCs w:val="24"/>
        </w:rPr>
        <w:t>年</w:t>
      </w:r>
      <w:r>
        <w:rPr>
          <w:rStyle w:val="stext1"/>
          <w:rFonts w:ascii="sөũ" w:hAnsi="sөũ"/>
          <w:color w:val="000000"/>
          <w:sz w:val="24"/>
          <w:szCs w:val="24"/>
        </w:rPr>
        <w:t>10</w:t>
      </w:r>
      <w:r>
        <w:rPr>
          <w:rStyle w:val="stext1"/>
          <w:rFonts w:ascii="sөũ" w:hAnsi="sөũ"/>
          <w:color w:val="000000"/>
          <w:sz w:val="24"/>
          <w:szCs w:val="24"/>
        </w:rPr>
        <w:t>月</w:t>
      </w:r>
      <w:r>
        <w:rPr>
          <w:rStyle w:val="stext1"/>
          <w:rFonts w:ascii="sөũ" w:hAnsi="sөũ"/>
          <w:color w:val="000000"/>
          <w:sz w:val="24"/>
          <w:szCs w:val="24"/>
        </w:rPr>
        <w:t>4</w:t>
      </w:r>
      <w:r>
        <w:rPr>
          <w:rStyle w:val="stext1"/>
          <w:rFonts w:ascii="sөũ" w:hAnsi="sөũ"/>
          <w:color w:val="000000"/>
          <w:sz w:val="24"/>
          <w:szCs w:val="24"/>
        </w:rPr>
        <w:t>日至同年</w:t>
      </w:r>
      <w:r>
        <w:rPr>
          <w:rStyle w:val="stext1"/>
          <w:rFonts w:ascii="sөũ" w:hAnsi="sөũ"/>
          <w:color w:val="000000"/>
          <w:sz w:val="24"/>
          <w:szCs w:val="24"/>
        </w:rPr>
        <w:t>12</w:t>
      </w:r>
      <w:r>
        <w:rPr>
          <w:rStyle w:val="stext1"/>
          <w:rFonts w:ascii="sөũ" w:hAnsi="sөũ"/>
          <w:color w:val="000000"/>
          <w:sz w:val="24"/>
          <w:szCs w:val="24"/>
        </w:rPr>
        <w:t>月</w:t>
      </w:r>
      <w:r>
        <w:rPr>
          <w:rStyle w:val="stext1"/>
          <w:rFonts w:ascii="sөũ" w:hAnsi="sөũ"/>
          <w:color w:val="000000"/>
          <w:sz w:val="24"/>
          <w:szCs w:val="24"/>
        </w:rPr>
        <w:t>3</w:t>
      </w:r>
      <w:r>
        <w:rPr>
          <w:rStyle w:val="stext1"/>
          <w:rFonts w:ascii="sөũ" w:hAnsi="sөũ"/>
          <w:color w:val="000000"/>
          <w:sz w:val="24"/>
          <w:szCs w:val="24"/>
        </w:rPr>
        <w:t>日開辦科（課、組）員儲訓班第五期訓練，嗣該訓練計畫並經法務部函令自</w:t>
      </w:r>
      <w:r>
        <w:rPr>
          <w:rStyle w:val="stext1"/>
          <w:rFonts w:ascii="sөũ" w:hAnsi="sөũ"/>
          <w:color w:val="000000"/>
          <w:sz w:val="24"/>
          <w:szCs w:val="24"/>
        </w:rPr>
        <w:t>93</w:t>
      </w:r>
      <w:r>
        <w:rPr>
          <w:rStyle w:val="stext1"/>
          <w:rFonts w:ascii="sөũ" w:hAnsi="sөũ"/>
          <w:color w:val="000000"/>
          <w:sz w:val="24"/>
          <w:szCs w:val="24"/>
        </w:rPr>
        <w:t>年</w:t>
      </w:r>
      <w:r>
        <w:rPr>
          <w:rStyle w:val="stext1"/>
          <w:rFonts w:ascii="sөũ" w:hAnsi="sөũ"/>
          <w:color w:val="000000"/>
          <w:sz w:val="24"/>
          <w:szCs w:val="24"/>
        </w:rPr>
        <w:t>12</w:t>
      </w:r>
      <w:r>
        <w:rPr>
          <w:rStyle w:val="stext1"/>
          <w:rFonts w:ascii="sөũ" w:hAnsi="sөũ"/>
          <w:color w:val="000000"/>
          <w:sz w:val="24"/>
          <w:szCs w:val="24"/>
        </w:rPr>
        <w:t>月</w:t>
      </w:r>
      <w:r>
        <w:rPr>
          <w:rStyle w:val="stext1"/>
          <w:rFonts w:ascii="sөũ" w:hAnsi="sөũ"/>
          <w:color w:val="000000"/>
          <w:sz w:val="24"/>
          <w:szCs w:val="24"/>
        </w:rPr>
        <w:t>6</w:t>
      </w:r>
      <w:r>
        <w:rPr>
          <w:rStyle w:val="stext1"/>
          <w:rFonts w:ascii="sөũ" w:hAnsi="sөũ"/>
          <w:color w:val="000000"/>
          <w:sz w:val="24"/>
          <w:szCs w:val="24"/>
        </w:rPr>
        <w:t>日停止適用，此有法務部</w:t>
      </w:r>
      <w:r>
        <w:rPr>
          <w:rStyle w:val="stext1"/>
          <w:rFonts w:ascii="sөũ" w:hAnsi="sөũ"/>
          <w:color w:val="000000"/>
          <w:sz w:val="24"/>
          <w:szCs w:val="24"/>
        </w:rPr>
        <w:t>93</w:t>
      </w:r>
      <w:r>
        <w:rPr>
          <w:rStyle w:val="stext1"/>
          <w:rFonts w:ascii="sөũ" w:hAnsi="sөũ"/>
          <w:color w:val="000000"/>
          <w:sz w:val="24"/>
          <w:szCs w:val="24"/>
        </w:rPr>
        <w:t>年</w:t>
      </w:r>
      <w:r>
        <w:rPr>
          <w:rStyle w:val="stext1"/>
          <w:rFonts w:ascii="sөũ" w:hAnsi="sөũ"/>
          <w:color w:val="000000"/>
          <w:sz w:val="24"/>
          <w:szCs w:val="24"/>
        </w:rPr>
        <w:t>12</w:t>
      </w:r>
      <w:r>
        <w:rPr>
          <w:rStyle w:val="stext1"/>
          <w:rFonts w:ascii="sөũ" w:hAnsi="sөũ"/>
          <w:color w:val="000000"/>
          <w:sz w:val="24"/>
          <w:szCs w:val="24"/>
        </w:rPr>
        <w:t>月</w:t>
      </w:r>
      <w:r>
        <w:rPr>
          <w:rStyle w:val="stext1"/>
          <w:rFonts w:ascii="sөũ" w:hAnsi="sөũ"/>
          <w:color w:val="000000"/>
          <w:sz w:val="24"/>
          <w:szCs w:val="24"/>
        </w:rPr>
        <w:t>6</w:t>
      </w:r>
      <w:r>
        <w:rPr>
          <w:rStyle w:val="stext1"/>
          <w:rFonts w:ascii="sөũ" w:hAnsi="sөũ"/>
          <w:color w:val="000000"/>
          <w:sz w:val="24"/>
          <w:szCs w:val="24"/>
        </w:rPr>
        <w:t>日法人字第</w:t>
      </w:r>
      <w:r>
        <w:rPr>
          <w:rStyle w:val="stext1"/>
          <w:rFonts w:ascii="sөũ" w:hAnsi="sөũ"/>
          <w:color w:val="000000"/>
          <w:sz w:val="24"/>
          <w:szCs w:val="24"/>
        </w:rPr>
        <w:t>0931303587</w:t>
      </w:r>
      <w:r>
        <w:rPr>
          <w:rStyle w:val="stext1"/>
          <w:rFonts w:ascii="sөũ" w:hAnsi="sөũ"/>
          <w:color w:val="000000"/>
          <w:sz w:val="24"/>
          <w:szCs w:val="24"/>
        </w:rPr>
        <w:t>號函影本附卷可稽。準此，本件再申訴人林群彬等</w:t>
      </w:r>
      <w:r>
        <w:rPr>
          <w:rStyle w:val="stext1"/>
          <w:rFonts w:ascii="sөũ" w:hAnsi="sөũ"/>
          <w:color w:val="000000"/>
          <w:sz w:val="24"/>
          <w:szCs w:val="24"/>
        </w:rPr>
        <w:t>7</w:t>
      </w:r>
      <w:r>
        <w:rPr>
          <w:rStyle w:val="stext1"/>
          <w:rFonts w:ascii="sөũ" w:hAnsi="sөũ"/>
          <w:color w:val="000000"/>
          <w:sz w:val="24"/>
          <w:szCs w:val="24"/>
        </w:rPr>
        <w:t>人固有意願參與科（課、組）員儲訓班第五期訓練，並經由臺南監獄報送法務部遴選參加甄試，主張矯正機關儲訓計畫優先受訓之規定違背法令云云，</w:t>
      </w:r>
      <w:r>
        <w:rPr>
          <w:rStyle w:val="stext1"/>
          <w:rFonts w:ascii="sөũ" w:hAnsi="sөũ"/>
          <w:b/>
          <w:sz w:val="24"/>
          <w:szCs w:val="24"/>
          <w:u w:val="single"/>
        </w:rPr>
        <w:t>惟系爭科（課、組）員儲訓班第五期訓練業於</w:t>
      </w:r>
      <w:r>
        <w:rPr>
          <w:rStyle w:val="stext1"/>
          <w:rFonts w:ascii="sөũ" w:hAnsi="sөũ"/>
          <w:b/>
          <w:sz w:val="24"/>
          <w:szCs w:val="24"/>
          <w:u w:val="single"/>
        </w:rPr>
        <w:t>93</w:t>
      </w:r>
      <w:r>
        <w:rPr>
          <w:rStyle w:val="stext1"/>
          <w:rFonts w:ascii="sөũ" w:hAnsi="sөũ"/>
          <w:b/>
          <w:sz w:val="24"/>
          <w:szCs w:val="24"/>
          <w:u w:val="single"/>
        </w:rPr>
        <w:t>年</w:t>
      </w:r>
      <w:r>
        <w:rPr>
          <w:rStyle w:val="stext1"/>
          <w:rFonts w:ascii="sөũ" w:hAnsi="sөũ"/>
          <w:b/>
          <w:sz w:val="24"/>
          <w:szCs w:val="24"/>
          <w:u w:val="single"/>
        </w:rPr>
        <w:t>12</w:t>
      </w:r>
      <w:r>
        <w:rPr>
          <w:rStyle w:val="stext1"/>
          <w:rFonts w:ascii="sөũ" w:hAnsi="sөũ"/>
          <w:b/>
          <w:sz w:val="24"/>
          <w:szCs w:val="24"/>
          <w:u w:val="single"/>
        </w:rPr>
        <w:t>月</w:t>
      </w:r>
      <w:r>
        <w:rPr>
          <w:rStyle w:val="stext1"/>
          <w:rFonts w:ascii="sөũ" w:hAnsi="sөũ"/>
          <w:b/>
          <w:sz w:val="24"/>
          <w:szCs w:val="24"/>
          <w:u w:val="single"/>
        </w:rPr>
        <w:t>3</w:t>
      </w:r>
      <w:r>
        <w:rPr>
          <w:rStyle w:val="stext1"/>
          <w:rFonts w:ascii="sөũ" w:hAnsi="sөũ"/>
          <w:b/>
          <w:sz w:val="24"/>
          <w:szCs w:val="24"/>
          <w:u w:val="single"/>
        </w:rPr>
        <w:t>日辦理完竣，且系爭矯正</w:t>
      </w:r>
      <w:r>
        <w:rPr>
          <w:rStyle w:val="stext1"/>
          <w:rFonts w:ascii="sөũ" w:hAnsi="sөũ"/>
          <w:b/>
          <w:sz w:val="24"/>
          <w:szCs w:val="24"/>
          <w:u w:val="single"/>
        </w:rPr>
        <w:t>機關儲訓計畫自</w:t>
      </w:r>
      <w:r>
        <w:rPr>
          <w:rStyle w:val="stext1"/>
          <w:rFonts w:ascii="sөũ" w:hAnsi="sөũ"/>
          <w:b/>
          <w:sz w:val="24"/>
          <w:szCs w:val="24"/>
          <w:u w:val="single"/>
        </w:rPr>
        <w:t>93</w:t>
      </w:r>
      <w:r>
        <w:rPr>
          <w:rStyle w:val="stext1"/>
          <w:rFonts w:ascii="sөũ" w:hAnsi="sөũ"/>
          <w:b/>
          <w:sz w:val="24"/>
          <w:szCs w:val="24"/>
          <w:u w:val="single"/>
        </w:rPr>
        <w:t>年</w:t>
      </w:r>
      <w:r>
        <w:rPr>
          <w:rStyle w:val="stext1"/>
          <w:rFonts w:ascii="sөũ" w:hAnsi="sөũ"/>
          <w:b/>
          <w:sz w:val="24"/>
          <w:szCs w:val="24"/>
          <w:u w:val="single"/>
        </w:rPr>
        <w:t>12</w:t>
      </w:r>
      <w:r>
        <w:rPr>
          <w:rStyle w:val="stext1"/>
          <w:rFonts w:ascii="sөũ" w:hAnsi="sөũ"/>
          <w:b/>
          <w:sz w:val="24"/>
          <w:szCs w:val="24"/>
          <w:u w:val="single"/>
        </w:rPr>
        <w:t>月</w:t>
      </w:r>
      <w:r>
        <w:rPr>
          <w:rStyle w:val="stext1"/>
          <w:rFonts w:ascii="sөũ" w:hAnsi="sөũ"/>
          <w:b/>
          <w:sz w:val="24"/>
          <w:szCs w:val="24"/>
          <w:u w:val="single"/>
        </w:rPr>
        <w:t>6</w:t>
      </w:r>
      <w:r>
        <w:rPr>
          <w:rStyle w:val="stext1"/>
          <w:rFonts w:ascii="sөũ" w:hAnsi="sөũ"/>
          <w:b/>
          <w:sz w:val="24"/>
          <w:szCs w:val="24"/>
          <w:u w:val="single"/>
        </w:rPr>
        <w:t>日起停止適用，</w:t>
      </w:r>
      <w:r>
        <w:rPr>
          <w:rStyle w:val="stext1"/>
          <w:rFonts w:ascii="sөũ" w:hAnsi="sөũ"/>
          <w:sz w:val="24"/>
          <w:szCs w:val="24"/>
        </w:rPr>
        <w:t>復依法務部答復稱，將改採陞任後實施專業訓練之制度，揆諸首揭說明，</w:t>
      </w:r>
      <w:r>
        <w:rPr>
          <w:rStyle w:val="stext1"/>
          <w:rFonts w:ascii="sөũ" w:hAnsi="sөũ"/>
          <w:b/>
          <w:sz w:val="24"/>
          <w:szCs w:val="24"/>
          <w:u w:val="single"/>
        </w:rPr>
        <w:t>渠等所提起之再申訴顯已無實益，自屬欠缺權利保護之必要，爰應予以駁回</w:t>
      </w:r>
      <w:r>
        <w:rPr>
          <w:rStyle w:val="stext1"/>
          <w:rFonts w:ascii="sөũ" w:hAnsi="sөũ"/>
          <w:color w:val="000000"/>
          <w:sz w:val="24"/>
          <w:szCs w:val="24"/>
        </w:rPr>
        <w:t>。</w:t>
      </w:r>
      <w:r>
        <w:rPr>
          <w:rStyle w:val="stext1"/>
          <w:rFonts w:ascii="sөũ" w:hAnsi="sөũ" w:hint="eastAsia"/>
          <w:color w:val="000000"/>
          <w:sz w:val="24"/>
          <w:szCs w:val="24"/>
        </w:rPr>
        <w:t>」</w:t>
      </w:r>
    </w:p>
    <w:p w:rsidR="00000000" w:rsidRDefault="000236BE">
      <w:pPr>
        <w:pStyle w:val="4"/>
        <w:spacing w:line="480" w:lineRule="auto"/>
        <w:rPr>
          <w:rFonts w:hint="eastAsia"/>
        </w:rPr>
      </w:pPr>
      <w:bookmarkStart w:id="31" w:name="_Toc121199214"/>
      <w:bookmarkStart w:id="32" w:name="_Toc121212686"/>
      <w:bookmarkStart w:id="33" w:name="_Toc121212949"/>
      <w:r>
        <w:rPr>
          <w:rFonts w:hint="eastAsia"/>
        </w:rPr>
        <w:t>3.2.1.7.</w:t>
      </w:r>
      <w:r>
        <w:rPr>
          <w:rFonts w:hint="eastAsia"/>
        </w:rPr>
        <w:t>對於他人獲得陞遷不服</w:t>
      </w:r>
      <w:bookmarkEnd w:id="31"/>
      <w:bookmarkEnd w:id="32"/>
      <w:bookmarkEnd w:id="33"/>
    </w:p>
    <w:p w:rsidR="00000000" w:rsidRDefault="000236BE">
      <w:pPr>
        <w:pStyle w:val="22"/>
        <w:spacing w:line="480" w:lineRule="auto"/>
        <w:rPr>
          <w:rStyle w:val="stext1"/>
          <w:rFonts w:ascii="sөũ" w:hAnsi="sөũ" w:hint="eastAsia"/>
          <w:color w:val="000000"/>
        </w:rPr>
      </w:pPr>
      <w:r>
        <w:rPr>
          <w:rStyle w:val="af3"/>
          <w:rFonts w:hint="eastAsia"/>
        </w:rPr>
        <w:t>公務人員之陞遷救濟中，有時也會有單獨對於他人之陞任不服之案件發生。保訓會的見解似認為，此類案件因非屬涉及自己權益事項，提起救濟時往往不具請求救濟的權能（訴訟權能），而非適格之主體。例如</w:t>
      </w:r>
      <w:r>
        <w:rPr>
          <w:rStyle w:val="af3"/>
          <w:b/>
          <w:u w:val="single"/>
        </w:rPr>
        <w:t>保訓會</w:t>
      </w:r>
      <w:r>
        <w:rPr>
          <w:rStyle w:val="stext1"/>
          <w:rFonts w:ascii="sөũ" w:hAnsi="sөũ" w:hint="eastAsia"/>
          <w:b/>
          <w:color w:val="000000"/>
          <w:sz w:val="24"/>
          <w:szCs w:val="24"/>
          <w:u w:val="single"/>
        </w:rPr>
        <w:t>（</w:t>
      </w:r>
      <w:r>
        <w:rPr>
          <w:rStyle w:val="stext1"/>
          <w:rFonts w:ascii="sөũ" w:hAnsi="sөũ"/>
          <w:b/>
          <w:color w:val="000000"/>
          <w:sz w:val="24"/>
          <w:szCs w:val="24"/>
          <w:u w:val="single"/>
        </w:rPr>
        <w:t>90</w:t>
      </w:r>
      <w:r>
        <w:rPr>
          <w:rStyle w:val="stext1"/>
          <w:rFonts w:ascii="sөũ" w:hAnsi="sөũ" w:hint="eastAsia"/>
          <w:b/>
          <w:color w:val="000000"/>
          <w:sz w:val="24"/>
          <w:szCs w:val="24"/>
          <w:u w:val="single"/>
        </w:rPr>
        <w:t>）</w:t>
      </w:r>
      <w:r>
        <w:rPr>
          <w:rStyle w:val="stext1"/>
          <w:rFonts w:ascii="sөũ" w:hAnsi="sөũ"/>
          <w:b/>
          <w:color w:val="000000"/>
          <w:sz w:val="24"/>
          <w:szCs w:val="24"/>
          <w:u w:val="single"/>
        </w:rPr>
        <w:t>公申決字第</w:t>
      </w:r>
      <w:r>
        <w:rPr>
          <w:rStyle w:val="stext1"/>
          <w:rFonts w:ascii="sөũ" w:hAnsi="sөũ"/>
          <w:b/>
          <w:color w:val="000000"/>
          <w:sz w:val="24"/>
          <w:szCs w:val="24"/>
          <w:u w:val="single"/>
        </w:rPr>
        <w:t>0169</w:t>
      </w:r>
      <w:r>
        <w:rPr>
          <w:rStyle w:val="stext1"/>
          <w:rFonts w:ascii="sөũ" w:hAnsi="sөũ"/>
          <w:b/>
          <w:color w:val="000000"/>
          <w:sz w:val="24"/>
          <w:szCs w:val="24"/>
          <w:u w:val="single"/>
        </w:rPr>
        <w:t>號</w:t>
      </w:r>
      <w:r>
        <w:rPr>
          <w:rStyle w:val="af3"/>
          <w:rFonts w:hint="eastAsia"/>
          <w:b/>
          <w:u w:val="single"/>
        </w:rPr>
        <w:t>決定（以下簡稱「</w:t>
      </w:r>
      <w:r>
        <w:rPr>
          <w:rStyle w:val="stext"/>
          <w:rFonts w:hint="eastAsia"/>
          <w:b/>
          <w:u w:val="single"/>
        </w:rPr>
        <w:t>葉玉琴</w:t>
      </w:r>
      <w:r>
        <w:rPr>
          <w:rStyle w:val="af3"/>
          <w:rFonts w:hint="eastAsia"/>
          <w:b/>
          <w:u w:val="single"/>
        </w:rPr>
        <w:t>案」）</w:t>
      </w:r>
      <w:r>
        <w:rPr>
          <w:rStyle w:val="af3"/>
          <w:rFonts w:hint="eastAsia"/>
        </w:rPr>
        <w:t>謂：「</w:t>
      </w:r>
      <w:r>
        <w:rPr>
          <w:rStyle w:val="stext1"/>
          <w:rFonts w:ascii="sөũ" w:hAnsi="sөũ"/>
          <w:color w:val="000000"/>
          <w:sz w:val="24"/>
          <w:szCs w:val="24"/>
        </w:rPr>
        <w:t>本案再申訴人等二人現職為國立臺北商業技術學院</w:t>
      </w:r>
      <w:r>
        <w:rPr>
          <w:rStyle w:val="stext1"/>
          <w:rFonts w:ascii="sөũ" w:hAnsi="sөũ"/>
          <w:color w:val="000000"/>
          <w:sz w:val="24"/>
          <w:szCs w:val="24"/>
        </w:rPr>
        <w:t>附設高級商業職業進修學校（以下簡稱附設高商）幹事，因八十九年八月十七日國立台北商業專科學校（按：為國立臺北商業技術學院前身，以下簡稱台北商專）人事室通知有數名組員出缺，擬辦理升遷，註明有意升遷者限期</w:t>
      </w:r>
      <w:r>
        <w:rPr>
          <w:rStyle w:val="stext1"/>
          <w:rFonts w:ascii="sөũ" w:hAnsi="sөũ"/>
          <w:color w:val="000000"/>
          <w:sz w:val="24"/>
          <w:szCs w:val="24"/>
        </w:rPr>
        <w:lastRenderedPageBreak/>
        <w:t>填繳表件，逾期視同無意升任。爰該校唐</w:t>
      </w:r>
      <w:r>
        <w:rPr>
          <w:rStyle w:val="stext1"/>
          <w:rFonts w:ascii="sөũ" w:hAnsi="sөũ"/>
          <w:color w:val="000000"/>
          <w:sz w:val="24"/>
          <w:szCs w:val="24"/>
        </w:rPr>
        <w:t>○○</w:t>
      </w:r>
      <w:r>
        <w:rPr>
          <w:rStyle w:val="stext1"/>
          <w:rFonts w:ascii="sөũ" w:hAnsi="sөũ"/>
          <w:color w:val="000000"/>
          <w:sz w:val="24"/>
          <w:szCs w:val="24"/>
        </w:rPr>
        <w:t>女士依該升遷通知填表並表示願意配合服務單位之調動。而再申訴人等受限該升遷通知第二點「本校暨附設高商進校人員交流升遷時，須經本校職缺所在單位主管及附設高商進校校務主任</w:t>
      </w:r>
      <w:r>
        <w:rPr>
          <w:rStyle w:val="stext1"/>
          <w:rFonts w:ascii="sөũ" w:hAnsi="sөũ"/>
          <w:sz w:val="24"/>
          <w:szCs w:val="24"/>
        </w:rPr>
        <w:t>同意</w:t>
      </w:r>
      <w:r>
        <w:rPr>
          <w:rStyle w:val="stext1"/>
          <w:rFonts w:ascii="sөũ" w:hAnsi="sөũ"/>
          <w:color w:val="000000"/>
          <w:sz w:val="24"/>
          <w:szCs w:val="24"/>
        </w:rPr>
        <w:t>，並隨所升遷職缺調派該單位服務，如無意交流升遷並調動服務單位者，請勿填繳」之規定，未填繳表件。同年十二月一</w:t>
      </w:r>
      <w:r>
        <w:rPr>
          <w:rStyle w:val="stext1"/>
          <w:rFonts w:ascii="sөũ" w:hAnsi="sөũ"/>
          <w:color w:val="000000"/>
          <w:sz w:val="24"/>
          <w:szCs w:val="24"/>
        </w:rPr>
        <w:t>日台北商專發布唐員調升組員，惟另予註記調派該校附設高商服務。再申訴人爰就上開陞遷事件向台北商專提出申訴，嗣不服該校之申訴函復，向本會提出再申訴。茲依卷附再申訴人等申訴書、再申訴書改善建議事項觀之，</w:t>
      </w:r>
      <w:r>
        <w:rPr>
          <w:rStyle w:val="stext1"/>
          <w:rFonts w:ascii="sөũ" w:hAnsi="sөũ"/>
          <w:b/>
          <w:color w:val="000000"/>
          <w:sz w:val="24"/>
          <w:szCs w:val="24"/>
          <w:u w:val="single"/>
        </w:rPr>
        <w:t>再申訴人等均係請求服務機關應依上開升遷通知第二點規定，即刻辦理唐員歸建</w:t>
      </w:r>
      <w:r>
        <w:rPr>
          <w:rStyle w:val="stext1"/>
          <w:rFonts w:ascii="sөũ" w:hAnsi="sөũ"/>
          <w:color w:val="000000"/>
          <w:sz w:val="24"/>
          <w:szCs w:val="24"/>
        </w:rPr>
        <w:t>（按：唐員業於九十年八月一日歸建該校總務處），</w:t>
      </w:r>
      <w:r>
        <w:rPr>
          <w:rStyle w:val="stext1"/>
          <w:rFonts w:ascii="sөũ" w:hAnsi="sөũ"/>
          <w:b/>
          <w:color w:val="000000"/>
          <w:sz w:val="24"/>
          <w:szCs w:val="24"/>
          <w:u w:val="single"/>
        </w:rPr>
        <w:t>惟查本案服務機關就唐員所為之派令，並非以再申訴人等為對象，且</w:t>
      </w:r>
      <w:r>
        <w:rPr>
          <w:rStyle w:val="stext1"/>
          <w:rFonts w:ascii="sөũ" w:hAnsi="sөũ" w:hint="eastAsia"/>
          <w:b/>
          <w:color w:val="000000"/>
          <w:sz w:val="24"/>
          <w:szCs w:val="24"/>
          <w:u w:val="single"/>
        </w:rPr>
        <w:t>『</w:t>
      </w:r>
      <w:r>
        <w:rPr>
          <w:rStyle w:val="stext1"/>
          <w:rFonts w:ascii="sөũ" w:hAnsi="sөũ"/>
          <w:b/>
          <w:color w:val="000000"/>
          <w:sz w:val="24"/>
          <w:szCs w:val="24"/>
          <w:u w:val="single"/>
        </w:rPr>
        <w:t>其處理結果與再申訴人等個人權益尚無直接關連</w:t>
      </w:r>
      <w:r>
        <w:rPr>
          <w:rStyle w:val="stext1"/>
          <w:rFonts w:ascii="sөũ" w:hAnsi="sөũ" w:hint="eastAsia"/>
          <w:b/>
          <w:color w:val="000000"/>
          <w:sz w:val="24"/>
          <w:szCs w:val="24"/>
          <w:u w:val="single"/>
        </w:rPr>
        <w:t>』</w:t>
      </w:r>
      <w:r>
        <w:rPr>
          <w:rStyle w:val="stext1"/>
          <w:rFonts w:ascii="sөũ" w:hAnsi="sөũ"/>
          <w:b/>
          <w:color w:val="000000"/>
          <w:sz w:val="24"/>
          <w:szCs w:val="24"/>
          <w:u w:val="single"/>
        </w:rPr>
        <w:t>；復未見該機關因該案而對再申訴人等予以具體管理措施</w:t>
      </w:r>
      <w:r>
        <w:rPr>
          <w:rStyle w:val="stext1"/>
          <w:rFonts w:ascii="sөũ" w:hAnsi="sөũ"/>
          <w:color w:val="000000"/>
          <w:sz w:val="24"/>
          <w:szCs w:val="24"/>
        </w:rPr>
        <w:t>。是以，再申訴人等逕依申訴、再申訴程序爭執，</w:t>
      </w:r>
      <w:r>
        <w:rPr>
          <w:rStyle w:val="stext1"/>
          <w:rFonts w:ascii="sөũ" w:hAnsi="sөũ"/>
          <w:color w:val="000000"/>
          <w:sz w:val="24"/>
          <w:szCs w:val="24"/>
        </w:rPr>
        <w:t>揆諸首揭說明，於法即有未合，本案爰應不予受理。</w:t>
      </w:r>
      <w:r>
        <w:rPr>
          <w:rStyle w:val="stext1"/>
          <w:rFonts w:ascii="sөũ" w:hAnsi="sөũ" w:hint="eastAsia"/>
          <w:color w:val="000000"/>
          <w:sz w:val="24"/>
          <w:szCs w:val="24"/>
        </w:rPr>
        <w:t>」若考量行政處分中有附第三人效力的成分，即使該行政處分對關係人權益無直接關連，但仍有權益間接影響的可能性，是否全然在救濟時當事人不適格，仍未可率而言之。</w:t>
      </w:r>
    </w:p>
    <w:p w:rsidR="00000000" w:rsidRDefault="000236BE">
      <w:pPr>
        <w:pStyle w:val="22"/>
        <w:spacing w:line="480" w:lineRule="auto"/>
        <w:rPr>
          <w:rStyle w:val="stext"/>
          <w:rFonts w:hint="eastAsia"/>
        </w:rPr>
      </w:pPr>
      <w:r>
        <w:rPr>
          <w:rStyle w:val="stext1"/>
          <w:rFonts w:ascii="sөũ" w:hAnsi="sөũ" w:hint="eastAsia"/>
          <w:color w:val="000000"/>
          <w:sz w:val="24"/>
          <w:szCs w:val="24"/>
        </w:rPr>
        <w:t>又</w:t>
      </w:r>
      <w:r>
        <w:rPr>
          <w:rStyle w:val="af3"/>
          <w:b/>
          <w:u w:val="single"/>
        </w:rPr>
        <w:t>保訓會</w:t>
      </w:r>
      <w:r>
        <w:rPr>
          <w:rStyle w:val="stext"/>
          <w:rFonts w:hint="eastAsia"/>
          <w:b/>
          <w:u w:val="single"/>
        </w:rPr>
        <w:t>（</w:t>
      </w:r>
      <w:r>
        <w:rPr>
          <w:rStyle w:val="stext"/>
          <w:b/>
          <w:u w:val="single"/>
        </w:rPr>
        <w:t>94</w:t>
      </w:r>
      <w:r>
        <w:rPr>
          <w:rStyle w:val="stext"/>
          <w:rFonts w:hint="eastAsia"/>
          <w:b/>
          <w:u w:val="single"/>
        </w:rPr>
        <w:t>）</w:t>
      </w:r>
      <w:r>
        <w:rPr>
          <w:rStyle w:val="stext"/>
          <w:b/>
          <w:u w:val="single"/>
        </w:rPr>
        <w:t>公審決字第</w:t>
      </w:r>
      <w:r>
        <w:rPr>
          <w:rStyle w:val="stext"/>
          <w:b/>
          <w:u w:val="single"/>
        </w:rPr>
        <w:t>0053</w:t>
      </w:r>
      <w:r>
        <w:rPr>
          <w:rStyle w:val="stext"/>
          <w:b/>
          <w:u w:val="single"/>
        </w:rPr>
        <w:t>號</w:t>
      </w:r>
      <w:r>
        <w:rPr>
          <w:rStyle w:val="af3"/>
          <w:rFonts w:hint="eastAsia"/>
          <w:b/>
          <w:u w:val="single"/>
        </w:rPr>
        <w:t>決定（以下簡稱「</w:t>
      </w:r>
      <w:r>
        <w:rPr>
          <w:rStyle w:val="stext"/>
          <w:b/>
          <w:u w:val="single"/>
        </w:rPr>
        <w:t>黃椿雄</w:t>
      </w:r>
      <w:r>
        <w:rPr>
          <w:rStyle w:val="af3"/>
          <w:rFonts w:hint="eastAsia"/>
          <w:b/>
          <w:u w:val="single"/>
        </w:rPr>
        <w:t>案」）</w:t>
      </w:r>
      <w:r>
        <w:rPr>
          <w:rStyle w:val="af3"/>
          <w:rFonts w:hint="eastAsia"/>
        </w:rPr>
        <w:t>中，復審人主張「</w:t>
      </w:r>
      <w:r>
        <w:rPr>
          <w:rStyle w:val="stext"/>
        </w:rPr>
        <w:t>警政署修正警正專員（秘書）遴選規定，不但放寬遴選對象且增加優先考量條件，同時未對同仁公告，嚴重剝奪本署警務正陞職權益。本次修正警正專員（秘書）遴選規定，其中陞遷遴選對象突然增加現任第</w:t>
      </w:r>
      <w:r>
        <w:rPr>
          <w:rStyle w:val="stext"/>
        </w:rPr>
        <w:t>6</w:t>
      </w:r>
      <w:r>
        <w:rPr>
          <w:rStyle w:val="stext"/>
        </w:rPr>
        <w:t>序列主管職務</w:t>
      </w:r>
      <w:r>
        <w:rPr>
          <w:rStyle w:val="stext"/>
        </w:rPr>
        <w:t>1</w:t>
      </w:r>
      <w:r>
        <w:rPr>
          <w:rStyle w:val="stext"/>
        </w:rPr>
        <w:t>年以上且任同序列職務滿</w:t>
      </w:r>
      <w:r>
        <w:rPr>
          <w:rStyle w:val="stext"/>
        </w:rPr>
        <w:t>5</w:t>
      </w:r>
      <w:r>
        <w:rPr>
          <w:rStyle w:val="stext"/>
        </w:rPr>
        <w:t>年以上者，</w:t>
      </w:r>
      <w:r>
        <w:rPr>
          <w:rStyle w:val="stext"/>
        </w:rPr>
        <w:t>惟具碩士以上學歷者得優先考量；現任第</w:t>
      </w:r>
      <w:r>
        <w:rPr>
          <w:rStyle w:val="stext"/>
        </w:rPr>
        <w:t>6</w:t>
      </w:r>
      <w:r>
        <w:rPr>
          <w:rStyle w:val="stext"/>
        </w:rPr>
        <w:t>序列職務，且曾任縣市警察局分局長職務滿</w:t>
      </w:r>
      <w:r>
        <w:rPr>
          <w:rStyle w:val="stext"/>
        </w:rPr>
        <w:t>3</w:t>
      </w:r>
      <w:r>
        <w:rPr>
          <w:rStyle w:val="stext"/>
        </w:rPr>
        <w:t>年以上者</w:t>
      </w:r>
      <w:r>
        <w:rPr>
          <w:rStyle w:val="stext"/>
        </w:rPr>
        <w:t>2</w:t>
      </w:r>
      <w:r>
        <w:rPr>
          <w:rStyle w:val="stext"/>
        </w:rPr>
        <w:t>項。由於此遴選規定對本署警務正（第</w:t>
      </w:r>
      <w:r>
        <w:rPr>
          <w:rStyle w:val="stext"/>
        </w:rPr>
        <w:t>6</w:t>
      </w:r>
      <w:r>
        <w:rPr>
          <w:rStyle w:val="stext"/>
        </w:rPr>
        <w:t>序列）陞職權益影響甚大，卻未依法公告本署同仁，令本署眾多</w:t>
      </w:r>
      <w:r>
        <w:rPr>
          <w:rStyle w:val="stext"/>
        </w:rPr>
        <w:lastRenderedPageBreak/>
        <w:t>同仁感覺黑箱作業，違反陞遷法第</w:t>
      </w:r>
      <w:r>
        <w:rPr>
          <w:rStyle w:val="stext"/>
        </w:rPr>
        <w:t>2</w:t>
      </w:r>
      <w:r>
        <w:rPr>
          <w:rStyle w:val="stext"/>
        </w:rPr>
        <w:t>條所揭櫫之公開、公平、公正原則，更有量身訂製為特定人員大開後門之嫌。</w:t>
      </w:r>
      <w:r>
        <w:rPr>
          <w:rStyle w:val="stext"/>
          <w:b/>
          <w:u w:val="single"/>
        </w:rPr>
        <w:t>例如本次適用遴選規定外補陞職之刑事警察局呂組長，其在刑事警察局積分，尚無法陞任該局研究員（第</w:t>
      </w:r>
      <w:r>
        <w:rPr>
          <w:rStyle w:val="stext"/>
          <w:b/>
          <w:u w:val="single"/>
        </w:rPr>
        <w:t>5</w:t>
      </w:r>
      <w:r>
        <w:rPr>
          <w:rStyle w:val="stext"/>
          <w:b/>
          <w:u w:val="single"/>
        </w:rPr>
        <w:t>序列），但呂組長卻另闢蹊徑，長期借調於本署劉副署長辦公室，擔任機要工作，並以具有</w:t>
      </w:r>
      <w:r>
        <w:rPr>
          <w:rStyle w:val="stext"/>
          <w:rFonts w:hint="eastAsia"/>
          <w:b/>
          <w:u w:val="single"/>
        </w:rPr>
        <w:t>『</w:t>
      </w:r>
      <w:r>
        <w:rPr>
          <w:rStyle w:val="stext"/>
          <w:b/>
          <w:u w:val="single"/>
        </w:rPr>
        <w:t>碩士以上學歷者，得優先考量</w:t>
      </w:r>
      <w:r>
        <w:rPr>
          <w:rStyle w:val="stext"/>
          <w:rFonts w:hint="eastAsia"/>
          <w:b/>
          <w:u w:val="single"/>
        </w:rPr>
        <w:t>』</w:t>
      </w:r>
      <w:r>
        <w:rPr>
          <w:rStyle w:val="stext"/>
          <w:b/>
          <w:u w:val="single"/>
        </w:rPr>
        <w:t>條件，再簽由署長圈定陞任</w:t>
      </w:r>
      <w:r>
        <w:rPr>
          <w:rStyle w:val="stext"/>
        </w:rPr>
        <w:t>。同</w:t>
      </w:r>
      <w:r>
        <w:rPr>
          <w:rStyle w:val="stext"/>
        </w:rPr>
        <w:t>次會議中，另有科長陞任警監督察及專員陞任科長</w:t>
      </w:r>
      <w:r>
        <w:rPr>
          <w:rStyle w:val="stext"/>
        </w:rPr>
        <w:t>2</w:t>
      </w:r>
      <w:r>
        <w:rPr>
          <w:rStyle w:val="stext"/>
        </w:rPr>
        <w:t>案，其中專員陞任科長排名第</w:t>
      </w:r>
      <w:r>
        <w:rPr>
          <w:rStyle w:val="stext"/>
        </w:rPr>
        <w:t>1</w:t>
      </w:r>
      <w:r>
        <w:rPr>
          <w:rStyle w:val="stext"/>
        </w:rPr>
        <w:t>之本署程專員，因涉案法院審理中，仍同與第</w:t>
      </w:r>
      <w:r>
        <w:rPr>
          <w:rStyle w:val="stext"/>
        </w:rPr>
        <w:t>2</w:t>
      </w:r>
      <w:r>
        <w:rPr>
          <w:rStyle w:val="stext"/>
        </w:rPr>
        <w:t>、</w:t>
      </w:r>
      <w:r>
        <w:rPr>
          <w:rStyle w:val="stext"/>
        </w:rPr>
        <w:t>3</w:t>
      </w:r>
      <w:r>
        <w:rPr>
          <w:rStyle w:val="stext"/>
        </w:rPr>
        <w:t>名簽陳署長圈選。另一案則為署長辦公室陳科長，甫於本（</w:t>
      </w:r>
      <w:r>
        <w:rPr>
          <w:rStyle w:val="stext"/>
        </w:rPr>
        <w:t>93</w:t>
      </w:r>
      <w:r>
        <w:rPr>
          <w:rStyle w:val="stext"/>
        </w:rPr>
        <w:t>）年</w:t>
      </w:r>
      <w:r>
        <w:rPr>
          <w:rStyle w:val="stext"/>
        </w:rPr>
        <w:t>5</w:t>
      </w:r>
      <w:r>
        <w:rPr>
          <w:rStyle w:val="stext"/>
        </w:rPr>
        <w:t>月底</w:t>
      </w:r>
      <w:r>
        <w:rPr>
          <w:rStyle w:val="stext"/>
        </w:rPr>
        <w:t>6</w:t>
      </w:r>
      <w:r>
        <w:rPr>
          <w:rStyle w:val="stext"/>
        </w:rPr>
        <w:t>月初始調入本署服務，不符未滿</w:t>
      </w:r>
      <w:r>
        <w:rPr>
          <w:rStyle w:val="stext"/>
        </w:rPr>
        <w:t>1</w:t>
      </w:r>
      <w:r>
        <w:rPr>
          <w:rStyle w:val="stext"/>
        </w:rPr>
        <w:t>年不能列冊陞職之不成文慣例，但人事室仍將渠列冊為科長陞任警監督察第</w:t>
      </w:r>
      <w:r>
        <w:rPr>
          <w:rStyle w:val="stext"/>
        </w:rPr>
        <w:t>1</w:t>
      </w:r>
      <w:r>
        <w:rPr>
          <w:rStyle w:val="stext"/>
        </w:rPr>
        <w:t>名，人事甄審委員會亦決議通過，渠等最後雖未陞任，惟警政署之標準如何能杜悠悠之口？</w:t>
      </w:r>
      <w:r>
        <w:rPr>
          <w:rStyle w:val="stext"/>
          <w:rFonts w:hint="eastAsia"/>
        </w:rPr>
        <w:t>」保訓會則以「</w:t>
      </w:r>
      <w:r>
        <w:rPr>
          <w:rStyle w:val="stext"/>
          <w:b/>
          <w:u w:val="single"/>
        </w:rPr>
        <w:t>所指警政署於辦理科長陞任警監督察及專員陞任科長</w:t>
      </w:r>
      <w:r>
        <w:rPr>
          <w:rStyle w:val="stext"/>
          <w:b/>
          <w:u w:val="single"/>
        </w:rPr>
        <w:t>2</w:t>
      </w:r>
      <w:r>
        <w:rPr>
          <w:rStyle w:val="stext"/>
          <w:b/>
          <w:u w:val="single"/>
        </w:rPr>
        <w:t>案，將具不得列入陞任要件之人員列入，有所違失云云，茲上開警監督察及科長陞任案尚與本件</w:t>
      </w:r>
      <w:r>
        <w:rPr>
          <w:rStyle w:val="stext"/>
          <w:b/>
          <w:u w:val="single"/>
        </w:rPr>
        <w:t>系爭專員（秘書）陞任案無涉</w:t>
      </w:r>
      <w:r>
        <w:rPr>
          <w:rStyle w:val="stext"/>
          <w:rFonts w:hint="eastAsia"/>
          <w:b/>
          <w:u w:val="single"/>
        </w:rPr>
        <w:t>」</w:t>
      </w:r>
      <w:r>
        <w:rPr>
          <w:rStyle w:val="stext"/>
          <w:rFonts w:hint="eastAsia"/>
        </w:rPr>
        <w:t>為由，駁回復審人之請求。保訓會雖未提出更具體的理由，諒係以原告不適格（即並無自己公法上之權利受侵害）而駁回之。</w:t>
      </w:r>
    </w:p>
    <w:p w:rsidR="00000000" w:rsidRDefault="000236BE">
      <w:pPr>
        <w:pStyle w:val="4"/>
        <w:spacing w:line="480" w:lineRule="auto"/>
        <w:rPr>
          <w:rFonts w:hint="eastAsia"/>
        </w:rPr>
      </w:pPr>
      <w:bookmarkStart w:id="34" w:name="_Toc121199215"/>
      <w:bookmarkStart w:id="35" w:name="_Toc121212687"/>
      <w:bookmarkStart w:id="36" w:name="_Toc121212950"/>
      <w:r>
        <w:rPr>
          <w:rFonts w:hint="eastAsia"/>
        </w:rPr>
        <w:t>3.2.1.8.</w:t>
      </w:r>
      <w:r>
        <w:rPr>
          <w:rFonts w:hint="eastAsia"/>
        </w:rPr>
        <w:t>競爭關係下的陞遷救濟</w:t>
      </w:r>
      <w:bookmarkEnd w:id="34"/>
      <w:bookmarkEnd w:id="35"/>
      <w:bookmarkEnd w:id="36"/>
    </w:p>
    <w:p w:rsidR="00000000" w:rsidRDefault="000236BE">
      <w:pPr>
        <w:pStyle w:val="22"/>
        <w:spacing w:line="480" w:lineRule="auto"/>
        <w:rPr>
          <w:rStyle w:val="text"/>
          <w:rFonts w:hint="eastAsia"/>
        </w:rPr>
      </w:pPr>
      <w:r>
        <w:rPr>
          <w:rStyle w:val="af3"/>
          <w:rFonts w:hint="eastAsia"/>
        </w:rPr>
        <w:t>公務人員之陞遷往往是一個存在多數競爭者的爭議案件。對於自己未獲得陞遷之決定不服，請求救濟時，往往會牽涉到其他已經任命第三人之權益。倘當事人之救濟有理由，但第三人之任命亦已確定，基於職務安定的要求，保訓會採納了一般訴願與行政訴訟實務上不常採用的</w:t>
      </w:r>
      <w:r>
        <w:rPr>
          <w:rStyle w:val="af3"/>
          <w:rFonts w:hint="eastAsia"/>
          <w:b/>
          <w:u w:val="single"/>
        </w:rPr>
        <w:t>情況決定（判決）方式</w:t>
      </w:r>
      <w:r>
        <w:rPr>
          <w:rStyle w:val="af3"/>
          <w:rFonts w:hint="eastAsia"/>
        </w:rPr>
        <w:t>。將雖有理由之</w:t>
      </w:r>
      <w:r>
        <w:rPr>
          <w:rStyle w:val="text"/>
        </w:rPr>
        <w:t>再復審</w:t>
      </w:r>
      <w:r>
        <w:rPr>
          <w:rStyle w:val="text"/>
          <w:rFonts w:hint="eastAsia"/>
        </w:rPr>
        <w:t>予以</w:t>
      </w:r>
      <w:r>
        <w:rPr>
          <w:rStyle w:val="text"/>
        </w:rPr>
        <w:t>駁回</w:t>
      </w:r>
      <w:r>
        <w:rPr>
          <w:rStyle w:val="text"/>
          <w:rFonts w:hint="eastAsia"/>
        </w:rPr>
        <w:t>，而於決定主文中諭知</w:t>
      </w:r>
      <w:r>
        <w:rPr>
          <w:rStyle w:val="text"/>
        </w:rPr>
        <w:t>原處分違法。</w:t>
      </w:r>
    </w:p>
    <w:p w:rsidR="00000000" w:rsidRDefault="000236BE">
      <w:pPr>
        <w:pStyle w:val="22"/>
        <w:spacing w:line="480" w:lineRule="auto"/>
        <w:rPr>
          <w:rStyle w:val="af3"/>
          <w:rFonts w:hint="eastAsia"/>
        </w:rPr>
      </w:pPr>
      <w:r>
        <w:rPr>
          <w:rStyle w:val="af3"/>
          <w:rFonts w:hint="eastAsia"/>
        </w:rPr>
        <w:t>例如</w:t>
      </w:r>
      <w:r>
        <w:rPr>
          <w:rStyle w:val="af3"/>
          <w:b/>
          <w:u w:val="single"/>
        </w:rPr>
        <w:t>保訓會</w:t>
      </w:r>
      <w:r>
        <w:rPr>
          <w:rStyle w:val="af3"/>
          <w:rFonts w:hint="eastAsia"/>
          <w:b/>
          <w:u w:val="single"/>
        </w:rPr>
        <w:t>（</w:t>
      </w:r>
      <w:r>
        <w:rPr>
          <w:rStyle w:val="af3"/>
          <w:rFonts w:hint="eastAsia"/>
          <w:b/>
          <w:u w:val="single"/>
        </w:rPr>
        <w:t>91</w:t>
      </w:r>
      <w:r>
        <w:rPr>
          <w:rStyle w:val="af3"/>
          <w:rFonts w:hint="eastAsia"/>
          <w:b/>
          <w:u w:val="single"/>
        </w:rPr>
        <w:t>）</w:t>
      </w:r>
      <w:r>
        <w:rPr>
          <w:rStyle w:val="af3"/>
          <w:b/>
          <w:u w:val="single"/>
        </w:rPr>
        <w:t>公</w:t>
      </w:r>
      <w:r>
        <w:rPr>
          <w:rStyle w:val="af3"/>
          <w:rFonts w:hint="eastAsia"/>
          <w:b/>
          <w:u w:val="single"/>
        </w:rPr>
        <w:t>審</w:t>
      </w:r>
      <w:r>
        <w:rPr>
          <w:rStyle w:val="af3"/>
          <w:b/>
          <w:u w:val="single"/>
        </w:rPr>
        <w:t>決字第</w:t>
      </w:r>
      <w:r>
        <w:rPr>
          <w:rStyle w:val="af3"/>
          <w:b/>
          <w:u w:val="single"/>
        </w:rPr>
        <w:t>0</w:t>
      </w:r>
      <w:r>
        <w:rPr>
          <w:rStyle w:val="af3"/>
          <w:rFonts w:hint="eastAsia"/>
          <w:b/>
          <w:u w:val="single"/>
        </w:rPr>
        <w:t>128</w:t>
      </w:r>
      <w:r>
        <w:rPr>
          <w:rStyle w:val="af3"/>
          <w:rFonts w:hint="eastAsia"/>
          <w:b/>
          <w:u w:val="single"/>
        </w:rPr>
        <w:t>號決定（以下簡稱「</w:t>
      </w:r>
      <w:r>
        <w:rPr>
          <w:b/>
          <w:u w:val="single"/>
        </w:rPr>
        <w:t>劉慶蜀</w:t>
      </w:r>
      <w:r>
        <w:rPr>
          <w:rStyle w:val="af3"/>
          <w:rFonts w:hint="eastAsia"/>
          <w:b/>
          <w:u w:val="single"/>
        </w:rPr>
        <w:t>案」）</w:t>
      </w:r>
      <w:r>
        <w:rPr>
          <w:rStyle w:val="af3"/>
          <w:rFonts w:hint="eastAsia"/>
        </w:rPr>
        <w:t>謂：「</w:t>
      </w:r>
      <w:r>
        <w:rPr>
          <w:rStyle w:val="stext"/>
        </w:rPr>
        <w:t>北市社會局於八十五年間以推展社政業務急迫需要為由，將再復審人由薦任第八職</w:t>
      </w:r>
      <w:r>
        <w:rPr>
          <w:rStyle w:val="stext"/>
        </w:rPr>
        <w:lastRenderedPageBreak/>
        <w:t>等至第九職等視察調任為薦任第六職等至第七職等科員，並自同年九月一日生效。再復審人不服，提起行政救濟，經改制前行政法院八十六年度判字第二八七七號判決：「再訴願決定、訴願決定及原處分均撤銷。」該局爰另重行發布再復審人調任為薦任第六職等至第七職等科員，並溯自八十五年九月一日生效。再復審人仍不服，復提起行政救濟，案經臺北市政府九十年五月九日府復字第九００四八四五四００號復審決定：「原</w:t>
      </w:r>
      <w:r>
        <w:rPr>
          <w:rStyle w:val="stext"/>
        </w:rPr>
        <w:t>處分撤銷，由原處分機關於收受決定書之次日起三十日內另為處分。」嗣該府依北市社會局派免建議函，以九十年七月六日府人二字第九００八０五六五００號令，將再復審人由薦任第六職等至第七職等科員調任現職，另衡酌再復審人調職後，原職缺已由第三人遞補，並依人事法規銓敘審定，屬合法派任，倘調任處分溯及既往失其效力，將滋生同一職務有二人任用與銓敘等與公務人員任用法規不符之情事，且再復審人實際上亦未從事視察工作，恢復追溯生效日期與事實不符，爰將再復審人調任現職生效日期定為九十年七月五日。茲臺北市政府既以北市社會局八十七年三月十日</w:t>
      </w:r>
      <w:r>
        <w:rPr>
          <w:rStyle w:val="stext"/>
        </w:rPr>
        <w:t>調任處分與公務人員保障法之立法意旨未盡相符而予以撤銷，然撤銷時並未另定失效日期，依行政程序法第一百十八條之規定，該經撤銷之調任處分自應溯及既往失其效力，是以，臺北市政府九十年七月六日府人二字第九００八０五六五００號令，將再復審人調任現職生效日期定為九十年七月五日，於法即有未合。惟查</w:t>
      </w:r>
      <w:r>
        <w:rPr>
          <w:rStyle w:val="stext"/>
          <w:b/>
          <w:u w:val="single"/>
        </w:rPr>
        <w:t>再復審人八十五年調任科員後，所遺視察職缺業已由第三人遞補，並已依人事法規銓敘審定，該第三人既屬合法派任，其身分關係自應予以保障，北市社會局原調任處分雖經撤銷，因另涉原職缺已由第三人遞補所生相關權益，如遽予回復原狀所生影響並非僅及於</w:t>
      </w:r>
      <w:r>
        <w:rPr>
          <w:rStyle w:val="stext"/>
          <w:b/>
          <w:u w:val="single"/>
        </w:rPr>
        <w:t>再復審人權益，尚滋生同一職務同時有二人任用與銓敘等情事，而與公務人員任用法規不符。審酌上開等情，臺北市政府九十年七月六日府人二字第九０</w:t>
      </w:r>
      <w:r>
        <w:rPr>
          <w:rStyle w:val="stext"/>
          <w:b/>
          <w:u w:val="single"/>
        </w:rPr>
        <w:lastRenderedPageBreak/>
        <w:t>０八０五六五００號令與法固有未合，惟如將其撤銷顯與公益相違背，應仍予以維持。</w:t>
      </w:r>
      <w:r>
        <w:rPr>
          <w:rStyle w:val="stext"/>
        </w:rPr>
        <w:t>復審機關認原處分有關再復審人調任視察部分不當，固有未洽，然其駁回復審請求之結果尚無二致，</w:t>
      </w:r>
      <w:r>
        <w:rPr>
          <w:rStyle w:val="stext"/>
          <w:b/>
          <w:u w:val="single"/>
        </w:rPr>
        <w:t>再復審人遞向本會提起再復審，仍應予以駁回。惟考量再復審人因上開調任處分所受損害不應全由渠承擔，宜由原行政處分機關就該部分與再復審人進行協議。</w:t>
      </w:r>
      <w:r>
        <w:rPr>
          <w:rStyle w:val="stext"/>
          <w:rFonts w:hint="eastAsia"/>
        </w:rPr>
        <w:t>」至於</w:t>
      </w:r>
      <w:r>
        <w:rPr>
          <w:rStyle w:val="stext"/>
        </w:rPr>
        <w:t>原行政處分機關就該部分</w:t>
      </w:r>
      <w:r>
        <w:rPr>
          <w:rStyle w:val="stext"/>
          <w:rFonts w:hint="eastAsia"/>
        </w:rPr>
        <w:t>如何</w:t>
      </w:r>
      <w:r>
        <w:rPr>
          <w:rStyle w:val="stext"/>
        </w:rPr>
        <w:t>與再復審人進行協議</w:t>
      </w:r>
      <w:r>
        <w:rPr>
          <w:rStyle w:val="stext"/>
          <w:rFonts w:hint="eastAsia"/>
        </w:rPr>
        <w:t>，則有待進一步探查。</w:t>
      </w:r>
    </w:p>
    <w:p w:rsidR="00000000" w:rsidRDefault="000236BE">
      <w:pPr>
        <w:pStyle w:val="3"/>
        <w:spacing w:before="180" w:after="180" w:line="480" w:lineRule="auto"/>
        <w:rPr>
          <w:rFonts w:hint="eastAsia"/>
        </w:rPr>
      </w:pPr>
      <w:bookmarkStart w:id="37" w:name="_Toc121199216"/>
      <w:bookmarkStart w:id="38" w:name="_Toc121212688"/>
      <w:bookmarkStart w:id="39" w:name="_Toc121212951"/>
      <w:r>
        <w:rPr>
          <w:rFonts w:hint="eastAsia"/>
        </w:rPr>
        <w:t>3</w:t>
      </w:r>
      <w:r>
        <w:rPr>
          <w:rFonts w:hint="eastAsia"/>
        </w:rPr>
        <w:t>.2.2.</w:t>
      </w:r>
      <w:r>
        <w:rPr>
          <w:rFonts w:hint="eastAsia"/>
        </w:rPr>
        <w:t>參加他機關陞遷案件</w:t>
      </w:r>
      <w:bookmarkEnd w:id="37"/>
      <w:bookmarkEnd w:id="38"/>
      <w:bookmarkEnd w:id="39"/>
    </w:p>
    <w:p w:rsidR="00000000" w:rsidRDefault="000236BE">
      <w:pPr>
        <w:pStyle w:val="4"/>
        <w:spacing w:line="480" w:lineRule="auto"/>
        <w:rPr>
          <w:rFonts w:hint="eastAsia"/>
        </w:rPr>
      </w:pPr>
      <w:bookmarkStart w:id="40" w:name="_Toc121199217"/>
      <w:bookmarkStart w:id="41" w:name="_Toc121212689"/>
      <w:bookmarkStart w:id="42" w:name="_Toc121212952"/>
      <w:r>
        <w:rPr>
          <w:rFonts w:hint="eastAsia"/>
        </w:rPr>
        <w:t>3.2.2.1.</w:t>
      </w:r>
      <w:r>
        <w:rPr>
          <w:rFonts w:hint="eastAsia"/>
        </w:rPr>
        <w:t>他機關未通知甄審</w:t>
      </w:r>
      <w:bookmarkEnd w:id="40"/>
      <w:bookmarkEnd w:id="41"/>
      <w:bookmarkEnd w:id="42"/>
    </w:p>
    <w:p w:rsidR="00000000" w:rsidRDefault="000236BE">
      <w:pPr>
        <w:pStyle w:val="22"/>
        <w:spacing w:line="480" w:lineRule="auto"/>
        <w:rPr>
          <w:rStyle w:val="af3"/>
          <w:rFonts w:hint="eastAsia"/>
        </w:rPr>
      </w:pPr>
      <w:r>
        <w:rPr>
          <w:rStyle w:val="af3"/>
          <w:rFonts w:hint="eastAsia"/>
        </w:rPr>
        <w:t>公務人員於參與他機關之陞遷甄選，對於他機關之積極或消極決定，若認為有侵害其權益時，亦有可能尋求保訓會之救濟。倘他機關決定不予率取，如同本機關未予陞遷決定般，原則上應視決定機關之裁量或判斷是否違法而定，否則原則上也應尊重機關之決定。相反地，他機關辦理陞遷時，若未被納入甄審名冊或者未被通知參與甄審，</w:t>
      </w:r>
      <w:r>
        <w:rPr>
          <w:rStyle w:val="af3"/>
          <w:b/>
          <w:u w:val="single"/>
        </w:rPr>
        <w:t>保訓會</w:t>
      </w:r>
      <w:r>
        <w:rPr>
          <w:rStyle w:val="stext1"/>
          <w:rFonts w:ascii="sөũ" w:hAnsi="sөũ" w:hint="eastAsia"/>
          <w:b/>
          <w:color w:val="000000"/>
          <w:sz w:val="24"/>
          <w:szCs w:val="24"/>
          <w:u w:val="single"/>
        </w:rPr>
        <w:t>（</w:t>
      </w:r>
      <w:r>
        <w:rPr>
          <w:rStyle w:val="stext1"/>
          <w:rFonts w:ascii="sөũ" w:hAnsi="sөũ"/>
          <w:b/>
          <w:color w:val="000000"/>
          <w:sz w:val="24"/>
          <w:szCs w:val="24"/>
          <w:u w:val="single"/>
        </w:rPr>
        <w:t>93</w:t>
      </w:r>
      <w:r>
        <w:rPr>
          <w:rStyle w:val="stext1"/>
          <w:rFonts w:ascii="sөũ" w:hAnsi="sөũ" w:hint="eastAsia"/>
          <w:b/>
          <w:color w:val="000000"/>
          <w:sz w:val="24"/>
          <w:szCs w:val="24"/>
          <w:u w:val="single"/>
        </w:rPr>
        <w:t>）</w:t>
      </w:r>
      <w:r>
        <w:rPr>
          <w:rStyle w:val="stext1"/>
          <w:rFonts w:ascii="sөũ" w:hAnsi="sөũ"/>
          <w:b/>
          <w:color w:val="000000"/>
          <w:sz w:val="24"/>
          <w:szCs w:val="24"/>
          <w:u w:val="single"/>
        </w:rPr>
        <w:t>公審決字第</w:t>
      </w:r>
      <w:r>
        <w:rPr>
          <w:rStyle w:val="stext1"/>
          <w:rFonts w:ascii="sөũ" w:hAnsi="sөũ"/>
          <w:b/>
          <w:color w:val="000000"/>
          <w:sz w:val="24"/>
          <w:szCs w:val="24"/>
          <w:u w:val="single"/>
        </w:rPr>
        <w:t xml:space="preserve">0138 </w:t>
      </w:r>
      <w:r>
        <w:rPr>
          <w:rStyle w:val="stext1"/>
          <w:rFonts w:ascii="sөũ" w:hAnsi="sөũ"/>
          <w:b/>
          <w:color w:val="000000"/>
          <w:sz w:val="24"/>
          <w:szCs w:val="24"/>
          <w:u w:val="single"/>
        </w:rPr>
        <w:t>號</w:t>
      </w:r>
      <w:r>
        <w:rPr>
          <w:rFonts w:ascii="新細明體" w:hAnsi="新細明體" w:cs="新細明體" w:hint="eastAsia"/>
          <w:b/>
          <w:color w:val="000000"/>
          <w:kern w:val="0"/>
          <w:u w:val="single"/>
        </w:rPr>
        <w:t>決定</w:t>
      </w:r>
      <w:r>
        <w:rPr>
          <w:rStyle w:val="af3"/>
          <w:rFonts w:hint="eastAsia"/>
          <w:b/>
          <w:u w:val="single"/>
        </w:rPr>
        <w:t>（以下簡稱「</w:t>
      </w:r>
      <w:r>
        <w:rPr>
          <w:rFonts w:hint="eastAsia"/>
          <w:b/>
          <w:u w:val="single"/>
        </w:rPr>
        <w:t>林華彥</w:t>
      </w:r>
      <w:r>
        <w:rPr>
          <w:rStyle w:val="af3"/>
          <w:rFonts w:hint="eastAsia"/>
          <w:b/>
          <w:u w:val="single"/>
        </w:rPr>
        <w:t>案」）</w:t>
      </w:r>
      <w:r>
        <w:rPr>
          <w:rStyle w:val="af3"/>
          <w:rFonts w:hint="eastAsia"/>
        </w:rPr>
        <w:t>指出：「</w:t>
      </w:r>
      <w:r>
        <w:rPr>
          <w:rStyle w:val="stext1"/>
          <w:rFonts w:ascii="sөũ" w:hAnsi="sөũ"/>
          <w:color w:val="000000"/>
          <w:sz w:val="24"/>
          <w:szCs w:val="24"/>
        </w:rPr>
        <w:t>復審人前應國立東華大學（以下簡稱東華大學）於行政院人事行政局全球資訊網</w:t>
      </w:r>
      <w:r>
        <w:rPr>
          <w:rStyle w:val="stext1"/>
          <w:rFonts w:ascii="新細明體" w:hAnsi="新細明體" w:cs="新細明體" w:hint="eastAsia"/>
          <w:color w:val="000000"/>
          <w:sz w:val="24"/>
          <w:szCs w:val="24"/>
        </w:rPr>
        <w:t>/</w:t>
      </w:r>
      <w:r>
        <w:rPr>
          <w:rStyle w:val="stext1"/>
          <w:rFonts w:ascii="sөũ" w:hAnsi="sөũ"/>
          <w:color w:val="000000"/>
          <w:sz w:val="24"/>
          <w:szCs w:val="24"/>
        </w:rPr>
        <w:t>事求人</w:t>
      </w:r>
      <w:r>
        <w:rPr>
          <w:rStyle w:val="stext1"/>
          <w:rFonts w:ascii="sөũ" w:hAnsi="sөũ" w:hint="eastAsia"/>
          <w:color w:val="000000"/>
          <w:sz w:val="24"/>
          <w:szCs w:val="24"/>
        </w:rPr>
        <w:t>/</w:t>
      </w:r>
      <w:r>
        <w:rPr>
          <w:rStyle w:val="stext1"/>
          <w:rFonts w:ascii="sөũ" w:hAnsi="sөũ"/>
          <w:color w:val="000000"/>
          <w:sz w:val="24"/>
          <w:szCs w:val="24"/>
        </w:rPr>
        <w:t>機關徵才項目之公告：公開甄選一般行政職系薦任第八職等至第九職等組長職缺一名，於民國九十三年一月八日以限時掛號郵寄相關證件資料參加該校之公開甄選，經該校於次日收文，因該校逾二個月未通知其參加甄試，乃於九十三年二月二十六日向本會提起復審，並於同年三月五日補充說明到會。經查復審人於該復審補充說明主張其於九十三年一月八日依法申請參加甄選，其既無不符甄選資格情形，東華大學應於初審後通知甄試，惟該校並未於相當期間內為相關之作為，致其無法參加甄試而損害其權利或利益，請求撤銷原甄</w:t>
      </w:r>
      <w:r>
        <w:rPr>
          <w:rStyle w:val="stext1"/>
          <w:rFonts w:ascii="sөũ" w:hAnsi="sөũ"/>
          <w:color w:val="000000"/>
          <w:sz w:val="24"/>
          <w:szCs w:val="24"/>
        </w:rPr>
        <w:lastRenderedPageBreak/>
        <w:t>選結果，重行依法辦理公開甄選程序云云，按</w:t>
      </w:r>
      <w:r>
        <w:rPr>
          <w:rStyle w:val="stext1"/>
          <w:rFonts w:ascii="sөũ" w:hAnsi="sөũ"/>
          <w:b/>
          <w:color w:val="000000"/>
          <w:sz w:val="24"/>
          <w:szCs w:val="24"/>
          <w:u w:val="single"/>
        </w:rPr>
        <w:t>各機</w:t>
      </w:r>
      <w:r>
        <w:rPr>
          <w:rStyle w:val="stext1"/>
          <w:rFonts w:ascii="sөũ" w:hAnsi="sөũ"/>
          <w:b/>
          <w:color w:val="000000"/>
          <w:sz w:val="24"/>
          <w:szCs w:val="24"/>
          <w:u w:val="single"/>
        </w:rPr>
        <w:t>關依公務人員陞遷法</w:t>
      </w:r>
      <w:r>
        <w:rPr>
          <w:rStyle w:val="stext1"/>
          <w:rFonts w:ascii="sөũ" w:hAnsi="sөũ"/>
          <w:color w:val="000000"/>
          <w:sz w:val="24"/>
          <w:szCs w:val="24"/>
        </w:rPr>
        <w:t>第五條第二項：</w:t>
      </w:r>
      <w:r>
        <w:rPr>
          <w:rStyle w:val="stext1"/>
          <w:rFonts w:ascii="sөũ" w:hAnsi="sөũ" w:hint="eastAsia"/>
          <w:color w:val="000000"/>
          <w:sz w:val="24"/>
          <w:szCs w:val="24"/>
        </w:rPr>
        <w:t>『</w:t>
      </w:r>
      <w:r>
        <w:rPr>
          <w:rStyle w:val="stext1"/>
          <w:rFonts w:ascii="sөũ" w:hAnsi="sөũ"/>
          <w:color w:val="000000"/>
          <w:sz w:val="24"/>
          <w:szCs w:val="24"/>
        </w:rPr>
        <w:t>各機關職缺</w:t>
      </w:r>
      <w:r>
        <w:rPr>
          <w:rStyle w:val="stext1"/>
          <w:rFonts w:ascii="sөũ" w:hAnsi="sөũ"/>
          <w:color w:val="000000"/>
          <w:sz w:val="24"/>
          <w:szCs w:val="24"/>
        </w:rPr>
        <w:t>……</w:t>
      </w:r>
      <w:r>
        <w:rPr>
          <w:rStyle w:val="stext1"/>
          <w:rFonts w:ascii="sөũ" w:hAnsi="sөũ"/>
          <w:color w:val="000000"/>
          <w:sz w:val="24"/>
          <w:szCs w:val="24"/>
        </w:rPr>
        <w:t>如由他機關人員陞遷時，應公開甄選。</w:t>
      </w:r>
      <w:r>
        <w:rPr>
          <w:rStyle w:val="stext1"/>
          <w:rFonts w:ascii="sөũ" w:hAnsi="sөũ" w:hint="eastAsia"/>
          <w:color w:val="000000"/>
          <w:sz w:val="24"/>
          <w:szCs w:val="24"/>
        </w:rPr>
        <w:t>』</w:t>
      </w:r>
      <w:r>
        <w:rPr>
          <w:rStyle w:val="stext1"/>
          <w:rFonts w:ascii="sөũ" w:hAnsi="sөũ"/>
          <w:color w:val="000000"/>
          <w:sz w:val="24"/>
          <w:szCs w:val="24"/>
        </w:rPr>
        <w:t>規</w:t>
      </w:r>
      <w:r>
        <w:rPr>
          <w:rStyle w:val="stext1"/>
          <w:rFonts w:ascii="sөũ" w:hAnsi="sөũ"/>
          <w:b/>
          <w:color w:val="000000"/>
          <w:sz w:val="24"/>
          <w:szCs w:val="24"/>
          <w:u w:val="single"/>
        </w:rPr>
        <w:t>定所舉辦之公開甄選，雖符合資格人員均得參加，惟非謂參加人員即具有請求舉辦機關通知甄試並為一定行政處分之權利</w:t>
      </w:r>
      <w:r>
        <w:rPr>
          <w:rStyle w:val="stext1"/>
          <w:rFonts w:ascii="sөũ" w:hAnsi="sөũ"/>
          <w:color w:val="000000"/>
          <w:sz w:val="24"/>
          <w:szCs w:val="24"/>
        </w:rPr>
        <w:t>。而本件復審人亦無提出其他請求東華大學應通知其參加甄試之法據，是本件非屬依法申請之案件至明。則復審人以其應東華大學公開甄選即屬依法申請，並以該校未通知其參加甄試，認該校於法定期間內應作為而不作為而提起復審，核與首揭規定未合，應不予受理。</w:t>
      </w:r>
      <w:r>
        <w:rPr>
          <w:rStyle w:val="stext1"/>
          <w:rFonts w:ascii="sөũ" w:hAnsi="sөũ" w:hint="eastAsia"/>
          <w:color w:val="000000"/>
          <w:sz w:val="24"/>
          <w:szCs w:val="24"/>
        </w:rPr>
        <w:t>」保訓會受理復審之請求，其立場並認為復審人此時並無要求舉辦甄審機關為行政處分之（主觀</w:t>
      </w:r>
      <w:r>
        <w:rPr>
          <w:rStyle w:val="stext1"/>
          <w:rFonts w:ascii="sөũ" w:hAnsi="sөũ" w:hint="eastAsia"/>
          <w:color w:val="000000"/>
          <w:sz w:val="24"/>
          <w:szCs w:val="24"/>
        </w:rPr>
        <w:t>）公法上權利，似乎將甄審機關所為參與甄審之通知視為一行政處分。與前述「</w:t>
      </w:r>
      <w:r>
        <w:rPr>
          <w:rStyle w:val="stext1"/>
          <w:rFonts w:ascii="sөũ" w:hAnsi="sөũ" w:hint="eastAsia"/>
          <w:b/>
          <w:color w:val="000000"/>
          <w:sz w:val="24"/>
          <w:szCs w:val="24"/>
        </w:rPr>
        <w:t>謝隆寶</w:t>
      </w:r>
      <w:r>
        <w:rPr>
          <w:rStyle w:val="stext1"/>
          <w:rFonts w:ascii="sөũ" w:hAnsi="sөũ" w:hint="eastAsia"/>
          <w:b/>
          <w:color w:val="000000"/>
          <w:sz w:val="24"/>
          <w:szCs w:val="24"/>
        </w:rPr>
        <w:t>I</w:t>
      </w:r>
      <w:r>
        <w:rPr>
          <w:rStyle w:val="stext1"/>
          <w:rFonts w:ascii="sөũ" w:hAnsi="sөũ" w:hint="eastAsia"/>
          <w:b/>
          <w:color w:val="000000"/>
          <w:sz w:val="24"/>
          <w:szCs w:val="24"/>
        </w:rPr>
        <w:t>案</w:t>
      </w:r>
      <w:r>
        <w:rPr>
          <w:rStyle w:val="stext1"/>
          <w:rFonts w:ascii="sөũ" w:hAnsi="sөũ" w:hint="eastAsia"/>
          <w:color w:val="000000"/>
          <w:sz w:val="24"/>
          <w:szCs w:val="24"/>
        </w:rPr>
        <w:t>」比較，兩案雖有參與本機關（謝隆寶</w:t>
      </w:r>
      <w:r>
        <w:rPr>
          <w:rStyle w:val="stext1"/>
          <w:rFonts w:ascii="sөũ" w:hAnsi="sөũ" w:hint="eastAsia"/>
          <w:color w:val="000000"/>
          <w:sz w:val="24"/>
          <w:szCs w:val="24"/>
        </w:rPr>
        <w:t>I</w:t>
      </w:r>
      <w:r>
        <w:rPr>
          <w:rStyle w:val="stext1"/>
          <w:rFonts w:ascii="sөũ" w:hAnsi="sөũ" w:hint="eastAsia"/>
          <w:color w:val="000000"/>
          <w:sz w:val="24"/>
          <w:szCs w:val="24"/>
        </w:rPr>
        <w:t>案）與他機關（</w:t>
      </w:r>
      <w:r>
        <w:rPr>
          <w:rFonts w:hint="eastAsia"/>
        </w:rPr>
        <w:t>林華彥</w:t>
      </w:r>
      <w:r>
        <w:rPr>
          <w:rStyle w:val="af3"/>
          <w:rFonts w:hint="eastAsia"/>
        </w:rPr>
        <w:t>案</w:t>
      </w:r>
      <w:r>
        <w:rPr>
          <w:rStyle w:val="stext1"/>
          <w:rFonts w:ascii="sөũ" w:hAnsi="sөũ" w:hint="eastAsia"/>
          <w:color w:val="000000"/>
          <w:sz w:val="24"/>
          <w:szCs w:val="24"/>
        </w:rPr>
        <w:t>）陞遷之別，惟前者肯定當事人至少具有形式上主觀公權利的立場，與後者持否定見解之差異因素何在，似乎仍難僅以陞遷程序的形式差異而令人接受。</w:t>
      </w:r>
    </w:p>
    <w:p w:rsidR="00000000" w:rsidRDefault="000236BE">
      <w:pPr>
        <w:pStyle w:val="4"/>
        <w:spacing w:line="480" w:lineRule="auto"/>
        <w:rPr>
          <w:rFonts w:hint="eastAsia"/>
        </w:rPr>
      </w:pPr>
      <w:bookmarkStart w:id="43" w:name="_Toc121199218"/>
      <w:bookmarkStart w:id="44" w:name="_Toc121212690"/>
      <w:bookmarkStart w:id="45" w:name="_Toc121212953"/>
      <w:r>
        <w:rPr>
          <w:rFonts w:hint="eastAsia"/>
        </w:rPr>
        <w:t>3.2.2.2.</w:t>
      </w:r>
      <w:r>
        <w:rPr>
          <w:rFonts w:hint="eastAsia"/>
        </w:rPr>
        <w:t>商調時原服務機關不同意</w:t>
      </w:r>
      <w:bookmarkEnd w:id="43"/>
      <w:bookmarkEnd w:id="44"/>
      <w:bookmarkEnd w:id="45"/>
    </w:p>
    <w:p w:rsidR="00000000" w:rsidRDefault="000236BE">
      <w:pPr>
        <w:pStyle w:val="22"/>
        <w:spacing w:line="480" w:lineRule="auto"/>
        <w:rPr>
          <w:rStyle w:val="stext1"/>
          <w:color w:val="000000"/>
          <w:sz w:val="24"/>
          <w:szCs w:val="24"/>
        </w:rPr>
      </w:pPr>
      <w:r>
        <w:rPr>
          <w:rStyle w:val="stext1"/>
          <w:rFonts w:hAnsi="新細明體"/>
          <w:color w:val="000000"/>
          <w:sz w:val="24"/>
          <w:szCs w:val="24"/>
        </w:rPr>
        <w:t>公務人員任用法第</w:t>
      </w:r>
      <w:r>
        <w:rPr>
          <w:rStyle w:val="stext1"/>
          <w:color w:val="000000"/>
          <w:sz w:val="24"/>
          <w:szCs w:val="24"/>
        </w:rPr>
        <w:t>22</w:t>
      </w:r>
      <w:r>
        <w:rPr>
          <w:rStyle w:val="stext1"/>
          <w:rFonts w:hAnsi="新細明體"/>
          <w:color w:val="000000"/>
          <w:sz w:val="24"/>
          <w:szCs w:val="24"/>
        </w:rPr>
        <w:t>條規定：「各機關不得任用其他機關現職人員。如有特殊需要時，得指名商調之。</w:t>
      </w:r>
      <w:r>
        <w:rPr>
          <w:rStyle w:val="stext1"/>
          <w:color w:val="000000"/>
          <w:sz w:val="24"/>
          <w:szCs w:val="24"/>
        </w:rPr>
        <w:t>……</w:t>
      </w:r>
      <w:r>
        <w:rPr>
          <w:rStyle w:val="stext1"/>
          <w:rFonts w:hAnsi="新細明體"/>
          <w:color w:val="000000"/>
          <w:sz w:val="24"/>
          <w:szCs w:val="24"/>
        </w:rPr>
        <w:t>」同法施行細則第</w:t>
      </w:r>
      <w:r>
        <w:rPr>
          <w:rStyle w:val="stext1"/>
          <w:color w:val="000000"/>
          <w:sz w:val="24"/>
          <w:szCs w:val="24"/>
        </w:rPr>
        <w:t>21</w:t>
      </w:r>
      <w:r>
        <w:rPr>
          <w:rStyle w:val="stext1"/>
          <w:rFonts w:hAnsi="新細明體"/>
          <w:color w:val="000000"/>
          <w:sz w:val="24"/>
          <w:szCs w:val="24"/>
        </w:rPr>
        <w:t>條規定：「本法第二十二條所稱『如有特殊需要時，得指名商調之』，指各機關職務出缺，如</w:t>
      </w:r>
      <w:r>
        <w:rPr>
          <w:rStyle w:val="stext1"/>
          <w:rFonts w:hAnsi="新細明體"/>
          <w:color w:val="000000"/>
          <w:sz w:val="24"/>
          <w:szCs w:val="24"/>
        </w:rPr>
        <w:t>因業務需要，需任用其他機關人員時，應經該機關辦理甄審後，詳細敘明擬調人員之職稱、姓名及擬任之職務，函商原服務機關同意，始得調用而言。」</w:t>
      </w:r>
    </w:p>
    <w:p w:rsidR="00000000" w:rsidRDefault="000236BE">
      <w:pPr>
        <w:pStyle w:val="22"/>
        <w:spacing w:line="480" w:lineRule="auto"/>
        <w:rPr>
          <w:rStyle w:val="stext1"/>
          <w:rFonts w:ascii="新細明體" w:hAnsi="新細明體" w:hint="eastAsia"/>
          <w:color w:val="000000"/>
          <w:sz w:val="24"/>
          <w:szCs w:val="24"/>
        </w:rPr>
      </w:pPr>
      <w:r>
        <w:rPr>
          <w:rStyle w:val="stext1"/>
          <w:rFonts w:ascii="新細明體" w:hAnsi="新細明體" w:hint="eastAsia"/>
          <w:color w:val="000000"/>
          <w:sz w:val="24"/>
          <w:szCs w:val="24"/>
        </w:rPr>
        <w:t>倘他機關函請原服務機關同意商調時，原服務機關不予同意，</w:t>
      </w:r>
      <w:r>
        <w:rPr>
          <w:rStyle w:val="af3"/>
          <w:b/>
          <w:u w:val="single"/>
        </w:rPr>
        <w:t>保訓會</w:t>
      </w:r>
      <w:r>
        <w:rPr>
          <w:rFonts w:ascii="新細明體" w:hAnsi="新細明體" w:cs="新細明體" w:hint="eastAsia"/>
          <w:b/>
          <w:color w:val="000000"/>
          <w:kern w:val="0"/>
          <w:u w:val="single"/>
        </w:rPr>
        <w:t>（</w:t>
      </w:r>
      <w:r>
        <w:rPr>
          <w:rFonts w:ascii="新細明體" w:hAnsi="新細明體" w:cs="新細明體"/>
          <w:b/>
          <w:color w:val="000000"/>
          <w:kern w:val="0"/>
          <w:u w:val="single"/>
        </w:rPr>
        <w:t>90</w:t>
      </w:r>
      <w:r>
        <w:rPr>
          <w:rFonts w:ascii="新細明體" w:hAnsi="新細明體" w:cs="新細明體" w:hint="eastAsia"/>
          <w:b/>
          <w:color w:val="000000"/>
          <w:kern w:val="0"/>
          <w:u w:val="single"/>
        </w:rPr>
        <w:t>）</w:t>
      </w:r>
      <w:r>
        <w:rPr>
          <w:rFonts w:ascii="新細明體" w:hAnsi="新細明體" w:cs="新細明體"/>
          <w:b/>
          <w:color w:val="000000"/>
          <w:kern w:val="0"/>
          <w:u w:val="single"/>
        </w:rPr>
        <w:t>公申決字第</w:t>
      </w:r>
      <w:r>
        <w:rPr>
          <w:rFonts w:ascii="新細明體" w:hAnsi="新細明體" w:cs="新細明體"/>
          <w:b/>
          <w:color w:val="000000"/>
          <w:kern w:val="0"/>
          <w:u w:val="single"/>
        </w:rPr>
        <w:t>0035</w:t>
      </w:r>
      <w:r>
        <w:rPr>
          <w:rFonts w:ascii="新細明體" w:hAnsi="新細明體" w:cs="新細明體"/>
          <w:b/>
          <w:color w:val="000000"/>
          <w:kern w:val="0"/>
          <w:u w:val="single"/>
        </w:rPr>
        <w:t>號</w:t>
      </w:r>
      <w:r>
        <w:rPr>
          <w:rFonts w:ascii="新細明體" w:hAnsi="新細明體" w:cs="新細明體" w:hint="eastAsia"/>
          <w:b/>
          <w:color w:val="000000"/>
          <w:kern w:val="0"/>
          <w:u w:val="single"/>
        </w:rPr>
        <w:t>決定</w:t>
      </w:r>
      <w:r>
        <w:rPr>
          <w:rStyle w:val="af3"/>
          <w:rFonts w:hint="eastAsia"/>
          <w:b/>
          <w:u w:val="single"/>
        </w:rPr>
        <w:t>（以下簡稱「</w:t>
      </w:r>
      <w:r>
        <w:rPr>
          <w:rFonts w:ascii="新細明體" w:hAnsi="新細明體" w:hint="eastAsia"/>
          <w:b/>
          <w:u w:val="single"/>
        </w:rPr>
        <w:t>王少雲</w:t>
      </w:r>
      <w:r>
        <w:rPr>
          <w:rStyle w:val="af3"/>
          <w:rFonts w:hint="eastAsia"/>
          <w:b/>
          <w:u w:val="single"/>
        </w:rPr>
        <w:t>案」）</w:t>
      </w:r>
      <w:r>
        <w:rPr>
          <w:rStyle w:val="af3"/>
          <w:rFonts w:hint="eastAsia"/>
        </w:rPr>
        <w:t>指出「</w:t>
      </w:r>
      <w:r>
        <w:rPr>
          <w:rStyle w:val="stext1"/>
          <w:rFonts w:ascii="新細明體" w:hAnsi="新細明體"/>
          <w:color w:val="000000"/>
          <w:sz w:val="24"/>
          <w:szCs w:val="24"/>
        </w:rPr>
        <w:t>機關首長考量其屬官之工作情形及機關業務之需要等理由，於合理性及必要性範圍內，對上開同意權之行使係屬其人事固有權限，如未違反相關人事法令，應予尊重。</w:t>
      </w:r>
      <w:r>
        <w:rPr>
          <w:rStyle w:val="stext1"/>
          <w:rFonts w:ascii="新細明體" w:hAnsi="新細明體" w:hint="eastAsia"/>
          <w:color w:val="000000"/>
          <w:sz w:val="24"/>
          <w:szCs w:val="24"/>
        </w:rPr>
        <w:t>」</w:t>
      </w:r>
    </w:p>
    <w:p w:rsidR="00000000" w:rsidRDefault="000236BE">
      <w:pPr>
        <w:pStyle w:val="4"/>
        <w:spacing w:line="480" w:lineRule="auto"/>
        <w:rPr>
          <w:rFonts w:hint="eastAsia"/>
        </w:rPr>
      </w:pPr>
      <w:bookmarkStart w:id="46" w:name="_Toc121199219"/>
      <w:bookmarkStart w:id="47" w:name="_Toc121212691"/>
      <w:bookmarkStart w:id="48" w:name="_Toc121212954"/>
      <w:r>
        <w:rPr>
          <w:rFonts w:hint="eastAsia"/>
        </w:rPr>
        <w:lastRenderedPageBreak/>
        <w:t>3.2.2.3.</w:t>
      </w:r>
      <w:r>
        <w:rPr>
          <w:rFonts w:hint="eastAsia"/>
        </w:rPr>
        <w:t>商調時他機關嗣後中止商調程序</w:t>
      </w:r>
      <w:bookmarkEnd w:id="46"/>
      <w:bookmarkEnd w:id="47"/>
      <w:bookmarkEnd w:id="48"/>
    </w:p>
    <w:p w:rsidR="00000000" w:rsidRDefault="000236BE">
      <w:pPr>
        <w:pStyle w:val="22"/>
        <w:spacing w:line="480" w:lineRule="auto"/>
        <w:rPr>
          <w:rStyle w:val="af3"/>
          <w:rFonts w:hint="eastAsia"/>
        </w:rPr>
      </w:pPr>
      <w:r>
        <w:rPr>
          <w:rStyle w:val="af3"/>
          <w:rFonts w:hint="eastAsia"/>
        </w:rPr>
        <w:t>實務上另有因他機關於辦理指明商調時，嗣後發現商調人員任用資</w:t>
      </w:r>
      <w:r>
        <w:rPr>
          <w:rStyle w:val="af3"/>
          <w:rFonts w:hint="eastAsia"/>
        </w:rPr>
        <w:t>格不符，因此中止商調程序，當事人隨後請求核發派令遭拒絕而生之爭議。</w:t>
      </w:r>
      <w:r>
        <w:rPr>
          <w:rStyle w:val="af3"/>
          <w:b/>
          <w:u w:val="single"/>
        </w:rPr>
        <w:t>保訓會</w:t>
      </w:r>
      <w:r>
        <w:rPr>
          <w:rStyle w:val="stext"/>
          <w:rFonts w:hint="eastAsia"/>
          <w:b/>
          <w:u w:val="single"/>
        </w:rPr>
        <w:t>（</w:t>
      </w:r>
      <w:r>
        <w:rPr>
          <w:rStyle w:val="stext"/>
          <w:b/>
          <w:u w:val="single"/>
        </w:rPr>
        <w:t>94</w:t>
      </w:r>
      <w:r>
        <w:rPr>
          <w:rStyle w:val="stext"/>
          <w:rFonts w:hint="eastAsia"/>
          <w:b/>
          <w:u w:val="single"/>
        </w:rPr>
        <w:t>）</w:t>
      </w:r>
      <w:r>
        <w:rPr>
          <w:rStyle w:val="stext"/>
          <w:b/>
          <w:u w:val="single"/>
        </w:rPr>
        <w:t>公審決字第</w:t>
      </w:r>
      <w:r>
        <w:rPr>
          <w:rStyle w:val="stext"/>
          <w:b/>
          <w:u w:val="single"/>
        </w:rPr>
        <w:t xml:space="preserve">0077 </w:t>
      </w:r>
      <w:r>
        <w:rPr>
          <w:rStyle w:val="stext"/>
          <w:b/>
          <w:u w:val="single"/>
        </w:rPr>
        <w:t>號</w:t>
      </w:r>
      <w:r>
        <w:rPr>
          <w:rFonts w:ascii="新細明體" w:hAnsi="新細明體" w:cs="新細明體" w:hint="eastAsia"/>
          <w:b/>
          <w:color w:val="000000"/>
          <w:kern w:val="0"/>
          <w:u w:val="single"/>
        </w:rPr>
        <w:t>決定</w:t>
      </w:r>
      <w:r>
        <w:rPr>
          <w:rStyle w:val="af3"/>
          <w:rFonts w:hint="eastAsia"/>
          <w:b/>
          <w:u w:val="single"/>
        </w:rPr>
        <w:t>（以下簡稱「</w:t>
      </w:r>
      <w:r>
        <w:rPr>
          <w:rFonts w:ascii="新細明體" w:hAnsi="新細明體" w:hint="eastAsia"/>
          <w:b/>
          <w:u w:val="single"/>
        </w:rPr>
        <w:t>張志賓</w:t>
      </w:r>
      <w:r>
        <w:rPr>
          <w:rStyle w:val="af3"/>
          <w:rFonts w:hint="eastAsia"/>
          <w:b/>
          <w:u w:val="single"/>
        </w:rPr>
        <w:t>案」）</w:t>
      </w:r>
      <w:r>
        <w:rPr>
          <w:rStyle w:val="af3"/>
          <w:rFonts w:hint="eastAsia"/>
        </w:rPr>
        <w:t>中，保訓會認為此類拒絕函件具有行政處分性質，而受理復審救濟程序。但因</w:t>
      </w:r>
      <w:r>
        <w:rPr>
          <w:rStyle w:val="stext"/>
        </w:rPr>
        <w:t>復審人所不服之未為調任，業因已另行辦理甄選並遴調他人調任該職，而無回復調任前狀態之可能，其所提復審，顯已無實益，自屬欠缺權利保護之要件</w:t>
      </w:r>
      <w:r>
        <w:rPr>
          <w:rStyle w:val="stext"/>
          <w:rFonts w:hint="eastAsia"/>
        </w:rPr>
        <w:t>而遭駁回</w:t>
      </w:r>
      <w:r>
        <w:rPr>
          <w:rStyle w:val="stext"/>
        </w:rPr>
        <w:t>。</w:t>
      </w:r>
    </w:p>
    <w:p w:rsidR="00000000" w:rsidRDefault="000236BE">
      <w:pPr>
        <w:pStyle w:val="3"/>
        <w:spacing w:before="180" w:after="180" w:line="480" w:lineRule="auto"/>
        <w:rPr>
          <w:rFonts w:hint="eastAsia"/>
        </w:rPr>
      </w:pPr>
      <w:bookmarkStart w:id="49" w:name="_Toc121199220"/>
      <w:bookmarkStart w:id="50" w:name="_Toc121212692"/>
      <w:bookmarkStart w:id="51" w:name="_Toc121212955"/>
      <w:r>
        <w:rPr>
          <w:rFonts w:hint="eastAsia"/>
        </w:rPr>
        <w:t>3.2.3.</w:t>
      </w:r>
      <w:r>
        <w:rPr>
          <w:rFonts w:hint="eastAsia"/>
        </w:rPr>
        <w:t>再申訴與復審程序之選擇</w:t>
      </w:r>
      <w:bookmarkEnd w:id="49"/>
      <w:bookmarkEnd w:id="50"/>
      <w:bookmarkEnd w:id="51"/>
    </w:p>
    <w:p w:rsidR="00000000" w:rsidRDefault="000236BE">
      <w:pPr>
        <w:pStyle w:val="22"/>
        <w:spacing w:line="480" w:lineRule="auto"/>
        <w:rPr>
          <w:rFonts w:ascii="標楷體" w:hint="eastAsia"/>
        </w:rPr>
      </w:pPr>
      <w:r>
        <w:rPr>
          <w:rStyle w:val="af3"/>
          <w:rFonts w:hint="eastAsia"/>
        </w:rPr>
        <w:t>對於公務人員陞遷保障救濟的程序，往往會在（再）申訴與復審程序之間產生抉擇困難。若針對前揭保訓會決定加以分析，並循整個陞遷程序觀察，略</w:t>
      </w:r>
      <w:r>
        <w:rPr>
          <w:rStyle w:val="af3"/>
          <w:rFonts w:hint="eastAsia"/>
        </w:rPr>
        <w:t>可將實務之見解整理如下。其中對於陞遷決定之救濟程序決定，往往取決於個案判斷當事人是否重大權利影響（見附圖二）。這種認知結果，可以從</w:t>
      </w:r>
      <w:r>
        <w:rPr>
          <w:rFonts w:ascii="標楷體" w:hint="eastAsia"/>
          <w:color w:val="000000"/>
        </w:rPr>
        <w:t>公務人員保障暨培訓委員會於</w:t>
      </w:r>
      <w:r>
        <w:rPr>
          <w:color w:val="000000"/>
        </w:rPr>
        <w:t>92</w:t>
      </w:r>
      <w:r>
        <w:rPr>
          <w:color w:val="000000"/>
        </w:rPr>
        <w:t>年</w:t>
      </w:r>
      <w:r>
        <w:rPr>
          <w:color w:val="000000"/>
        </w:rPr>
        <w:t>10</w:t>
      </w:r>
      <w:r>
        <w:rPr>
          <w:color w:val="000000"/>
        </w:rPr>
        <w:t>月</w:t>
      </w:r>
      <w:r>
        <w:rPr>
          <w:color w:val="000000"/>
        </w:rPr>
        <w:t>17</w:t>
      </w:r>
      <w:r>
        <w:rPr>
          <w:rFonts w:ascii="標楷體" w:hint="eastAsia"/>
          <w:color w:val="000000"/>
        </w:rPr>
        <w:t>日曾針對</w:t>
      </w:r>
      <w:r>
        <w:rPr>
          <w:rFonts w:ascii="標楷體" w:hint="eastAsia"/>
        </w:rPr>
        <w:t>「調任、請求派任、工作指派等事件究應適用復審或申訴程序疑義」問題，類型化討論後所獲致的結論加以理解</w:t>
      </w:r>
      <w:r>
        <w:rPr>
          <w:rStyle w:val="ae"/>
          <w:rFonts w:ascii="標楷體"/>
        </w:rPr>
        <w:footnoteReference w:id="4"/>
      </w:r>
      <w:r>
        <w:rPr>
          <w:rFonts w:ascii="標楷體" w:hint="eastAsia"/>
        </w:rPr>
        <w:t>。</w:t>
      </w:r>
    </w:p>
    <w:p w:rsidR="00000000" w:rsidRDefault="000236BE">
      <w:pPr>
        <w:pStyle w:val="22"/>
        <w:spacing w:line="480" w:lineRule="auto"/>
        <w:rPr>
          <w:rFonts w:hint="eastAsia"/>
        </w:rPr>
      </w:pPr>
      <w:r>
        <w:rPr>
          <w:rFonts w:hint="eastAsia"/>
        </w:rPr>
        <w:t>（一）</w:t>
      </w:r>
      <w:r>
        <w:rPr>
          <w:rFonts w:hAnsi="標楷體" w:cs="Arial" w:hint="eastAsia"/>
        </w:rPr>
        <w:t>主管調任非主管職務：除經陞任甄審者外，</w:t>
      </w:r>
      <w:r>
        <w:rPr>
          <w:rFonts w:hint="eastAsia"/>
        </w:rPr>
        <w:t>此類調任已影響公務人員之地位、尊榮，及其後之陞遷</w:t>
      </w:r>
      <w:r>
        <w:rPr>
          <w:rStyle w:val="ae"/>
        </w:rPr>
        <w:footnoteReference w:id="5"/>
      </w:r>
      <w:r>
        <w:rPr>
          <w:rFonts w:hint="eastAsia"/>
        </w:rPr>
        <w:t>與俸給，參照司法院釋字第</w:t>
      </w:r>
      <w:r>
        <w:rPr>
          <w:rFonts w:hint="eastAsia"/>
        </w:rPr>
        <w:t>539</w:t>
      </w:r>
      <w:r>
        <w:rPr>
          <w:rFonts w:hint="eastAsia"/>
        </w:rPr>
        <w:t>號解釋理由書意旨，應認對公務員權利有重大影響，適用復審程序。</w:t>
      </w:r>
    </w:p>
    <w:p w:rsidR="00000000" w:rsidRDefault="000236BE">
      <w:pPr>
        <w:pStyle w:val="22"/>
        <w:spacing w:line="480" w:lineRule="auto"/>
        <w:rPr>
          <w:rFonts w:hint="eastAsia"/>
        </w:rPr>
      </w:pPr>
      <w:r>
        <w:rPr>
          <w:rFonts w:hint="eastAsia"/>
        </w:rPr>
        <w:lastRenderedPageBreak/>
        <w:t>（二）調任較低官等職務：此類調任已影響公務</w:t>
      </w:r>
      <w:r>
        <w:rPr>
          <w:rFonts w:hint="eastAsia"/>
        </w:rPr>
        <w:t>人員之地位、尊榮，及其官職等、俸給，應認對公務員權利有重大影響，適用復審程序。</w:t>
      </w:r>
    </w:p>
    <w:p w:rsidR="00000000" w:rsidRDefault="000236BE">
      <w:pPr>
        <w:pStyle w:val="22"/>
        <w:spacing w:line="480" w:lineRule="auto"/>
        <w:rPr>
          <w:rFonts w:hint="eastAsia"/>
        </w:rPr>
      </w:pPr>
      <w:r>
        <w:rPr>
          <w:rFonts w:hint="eastAsia"/>
        </w:rPr>
        <w:t>（三）</w:t>
      </w:r>
      <w:r>
        <w:rPr>
          <w:rFonts w:hAnsi="標楷體" w:cs="Arial" w:hint="eastAsia"/>
        </w:rPr>
        <w:t>調任同官等不同陞遷序列職務：</w:t>
      </w:r>
      <w:r>
        <w:rPr>
          <w:rFonts w:hint="eastAsia"/>
        </w:rPr>
        <w:t>此類調任於本機關已涉及降低原陞遷序列者，已影響公務人員之地位、尊榮，及陞遷與級俸之晉敘，應認對公務員權利有重大影響，適用復審程序。</w:t>
      </w:r>
    </w:p>
    <w:p w:rsidR="00000000" w:rsidRDefault="000236BE">
      <w:pPr>
        <w:pStyle w:val="22"/>
        <w:spacing w:line="480" w:lineRule="auto"/>
        <w:rPr>
          <w:rFonts w:hint="eastAsia"/>
        </w:rPr>
      </w:pPr>
      <w:r>
        <w:rPr>
          <w:rFonts w:hint="eastAsia"/>
        </w:rPr>
        <w:t>（四）改變任用制度之調任：此類調任已影響公務人員之身分及地位，應認對公務員權利有重大影響，適用復審程序。</w:t>
      </w:r>
    </w:p>
    <w:p w:rsidR="00000000" w:rsidRDefault="000236BE">
      <w:pPr>
        <w:pStyle w:val="22"/>
        <w:spacing w:line="480" w:lineRule="auto"/>
        <w:rPr>
          <w:rFonts w:hint="eastAsia"/>
        </w:rPr>
      </w:pPr>
      <w:r>
        <w:rPr>
          <w:rFonts w:hint="eastAsia"/>
        </w:rPr>
        <w:t>（五）同一任免權責機關所為不同機關或不同區域職務之調任：因係屬同一權責機關長官所發之職務命令，均為其機關內部之管理措施，應依申訴程序處理。</w:t>
      </w:r>
    </w:p>
    <w:p w:rsidR="00000000" w:rsidRDefault="000236BE">
      <w:pPr>
        <w:pStyle w:val="22"/>
        <w:spacing w:line="480" w:lineRule="auto"/>
        <w:rPr>
          <w:rFonts w:hint="eastAsia"/>
        </w:rPr>
      </w:pPr>
      <w:r>
        <w:rPr>
          <w:rFonts w:hint="eastAsia"/>
        </w:rPr>
        <w:t>（六）</w:t>
      </w:r>
      <w:r>
        <w:rPr>
          <w:rFonts w:hAnsi="標楷體" w:cs="Arial" w:hint="eastAsia"/>
        </w:rPr>
        <w:t>工作指派：此類</w:t>
      </w:r>
      <w:r>
        <w:rPr>
          <w:rFonts w:hAnsi="標楷體" w:cs="Arial" w:hint="eastAsia"/>
        </w:rPr>
        <w:t>型應再</w:t>
      </w:r>
      <w:r>
        <w:rPr>
          <w:rFonts w:hint="eastAsia"/>
        </w:rPr>
        <w:t>區分為職務調整及</w:t>
      </w:r>
      <w:r>
        <w:rPr>
          <w:rFonts w:hAnsi="標楷體" w:cs="Arial" w:hint="eastAsia"/>
        </w:rPr>
        <w:t>工作指派</w:t>
      </w:r>
      <w:r>
        <w:rPr>
          <w:rFonts w:hint="eastAsia"/>
        </w:rPr>
        <w:t>。其中職務調整為同職稱、不同職務內容之分配；而</w:t>
      </w:r>
      <w:r>
        <w:rPr>
          <w:rFonts w:hAnsi="標楷體" w:cs="Arial" w:hint="eastAsia"/>
        </w:rPr>
        <w:t>工作指派</w:t>
      </w:r>
      <w:r>
        <w:rPr>
          <w:rFonts w:hint="eastAsia"/>
        </w:rPr>
        <w:t>則係指對於同一職務工作內容及範圍，所為之具體指派，二者均應依申訴程序處理。</w:t>
      </w:r>
    </w:p>
    <w:p w:rsidR="00000000" w:rsidRDefault="000236BE">
      <w:pPr>
        <w:pStyle w:val="22"/>
        <w:spacing w:line="480" w:lineRule="auto"/>
        <w:rPr>
          <w:rFonts w:hint="eastAsia"/>
        </w:rPr>
      </w:pPr>
      <w:r>
        <w:rPr>
          <w:rFonts w:hint="eastAsia"/>
        </w:rPr>
        <w:t>（七）請求派任主管或較高官等、職等職務：分別依當事人主張，比照上開主管調任非主管職務、調任較低官等職務及調任同官等不同陞遷序列職務處理方式辦理。</w:t>
      </w:r>
    </w:p>
    <w:p w:rsidR="00000000" w:rsidRDefault="000236BE">
      <w:pPr>
        <w:pStyle w:val="22"/>
        <w:spacing w:line="480" w:lineRule="auto"/>
        <w:rPr>
          <w:rFonts w:hint="eastAsia"/>
        </w:rPr>
      </w:pPr>
      <w:r>
        <w:rPr>
          <w:rFonts w:hint="eastAsia"/>
        </w:rPr>
        <w:t>實務上的這種認定標準，在現行法的限制下，由權利保障的需求性與正當性而言，洵屬用心良苦。在法制未調整前，不失為可行的類型化操作。惟若顧慮法體系的統一與救濟體系的完整性，在立法政策上，容有發展的空間（見下文）。</w:t>
      </w:r>
    </w:p>
    <w:p w:rsidR="00000000" w:rsidRDefault="000236BE">
      <w:pPr>
        <w:pStyle w:val="22"/>
        <w:ind w:firstLineChars="0" w:firstLine="0"/>
        <w:rPr>
          <w:rStyle w:val="af3"/>
          <w:rFonts w:ascii="標楷體" w:eastAsia="標楷體" w:hAnsi="標楷體" w:hint="eastAsia"/>
        </w:rPr>
      </w:pPr>
      <w:r>
        <w:rPr>
          <w:rStyle w:val="af3"/>
        </w:rPr>
        <w:br w:type="page"/>
      </w:r>
      <w:r>
        <w:rPr>
          <w:rStyle w:val="af3"/>
          <w:rFonts w:ascii="標楷體" w:eastAsia="標楷體" w:hAnsi="標楷體" w:hint="eastAsia"/>
        </w:rPr>
        <w:lastRenderedPageBreak/>
        <w:t>附圖二：公務人員陞遷流程與申訴、復審程序之決定</w:t>
      </w:r>
    </w:p>
    <w:tbl>
      <w:tblPr>
        <w:tblW w:w="9648"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00"/>
        <w:gridCol w:w="900"/>
        <w:gridCol w:w="900"/>
        <w:gridCol w:w="900"/>
        <w:gridCol w:w="900"/>
        <w:gridCol w:w="900"/>
        <w:gridCol w:w="900"/>
        <w:gridCol w:w="900"/>
        <w:gridCol w:w="900"/>
        <w:gridCol w:w="900"/>
      </w:tblGrid>
      <w:tr w:rsidR="00000000">
        <w:trPr>
          <w:cantSplit/>
          <w:trHeight w:val="264"/>
        </w:trPr>
        <w:tc>
          <w:tcPr>
            <w:tcW w:w="648" w:type="dxa"/>
            <w:vMerge w:val="restart"/>
            <w:tcBorders>
              <w:right w:val="thickThinSmallGap" w:sz="24" w:space="0" w:color="auto"/>
            </w:tcBorders>
            <w:vAlign w:val="center"/>
          </w:tcPr>
          <w:p w:rsidR="00000000" w:rsidRDefault="005C164A">
            <w:pPr>
              <w:snapToGrid w:val="0"/>
              <w:jc w:val="center"/>
              <w:rPr>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-189230</wp:posOffset>
                      </wp:positionV>
                      <wp:extent cx="4686300" cy="114300"/>
                      <wp:effectExtent l="11430" t="26670" r="17145" b="20955"/>
                      <wp:wrapNone/>
                      <wp:docPr id="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14300"/>
                              </a:xfrm>
                              <a:prstGeom prst="notchedRightArrow">
                                <a:avLst>
                                  <a:gd name="adj1" fmla="val 50000"/>
                                  <a:gd name="adj2" fmla="val 1025000"/>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A6E94"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59" o:spid="_x0000_s1026" type="#_x0000_t94" style="position:absolute;margin-left:27pt;margin-top:-14.9pt;width:36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DVQQIAAJ4EAAAOAAAAZHJzL2Uyb0RvYy54bWysVFFv0zAQfkfiP1h+Z0lKW7po6TRtDCEN&#10;mBj8ANd2GoPtM7bbtPv1nJ2sZPCCEHmIfLnzd9/dd5eLy4PRZC99UGAbWp2VlEjLQSi7bejXL7ev&#10;VpSEyKxgGqxs6FEGerl++eKid7WcQQdaSE8QxIa6dw3tYnR1UQTeScPCGThp0dmCNyyi6beF8KxH&#10;dKOLWVkuix68cB64DAG/3gxOus74bSt5/NS2QUaiG4rcYn77/N6kd7G+YPXWM9cpPtJg/8DCMGUx&#10;6QnqhkVGdl79AWUU9xCgjWccTAFtq7jMNWA1VflbNQ8dczLXgs0J7tSm8P9g+cf9vSdKoHaUWGZQ&#10;oqtdhJyZLM5Tf3oXagx7cPc+VRjcHfDvgVi47pjdyivvoe8kE8iqSvHFswvJCHiVbPoPIBCeIXxu&#10;1aH1JgFiE8ghK3I8KSIPkXD8OF+ulq9LFI6jr6rm6ZxSsPrptvMhvpNgSDo01ELE0RGf1baLmVlO&#10;xfZ3IWZ5xFgkE9+w4NZoVHvPNFmU+IzTMImZTWOqcpbCRgIjJlJ5opC7A1qJW6V1Nvx2c609wQRY&#10;WX7Gy2Eapi3psbrzclFmts+c4e8wjIq4R1qZhq5OiViddHlrRZ7yyJQezshZ21GopM2g8QbEEXXy&#10;MCwJLjUeOvCPlPS4IA0NP3bMS0r0e4tan1fzedqobMwXb2Zo+KlnM/UwyxGqoZGS4Xgdhy3cOZ+0&#10;SrOTWmYhjV+r4tMgDaxGsrgEWfxxYdOWTe0c9eu3sv4JAAD//wMAUEsDBBQABgAIAAAAIQC/XjUm&#10;4AAAAAoBAAAPAAAAZHJzL2Rvd25yZXYueG1sTI9PT4NAEMXvJn6HzZh4Me0C8Q8gS2M0njRpik3P&#10;W5gCKTtLdpeC397xpMd58/Le+xWbxQzigs73lhTE6wgEUm2bnloF+6/3VQrCB02NHiyhgm/0sCmv&#10;rwqdN3amHV6q0AoOIZ9rBV0IYy6lrzs02q/tiMS/k3VGBz5dKxunZw43g0yi6FEa3RM3dHrE1w7r&#10;czUZBXK7zQ7LYarOzn18vsVTOu/uUqVub5aXZxABl/Bnht/5PB1K3nS0EzVeDAoe7hklKFglGSOw&#10;4SlLWDmyEscpyLKQ/xHKHwAAAP//AwBQSwECLQAUAAYACAAAACEAtoM4kv4AAADhAQAAEwAAAAAA&#10;AAAAAAAAAAAAAAAAW0NvbnRlbnRfVHlwZXNdLnhtbFBLAQItABQABgAIAAAAIQA4/SH/1gAAAJQB&#10;AAALAAAAAAAAAAAAAAAAAC8BAABfcmVscy8ucmVsc1BLAQItABQABgAIAAAAIQCfVyDVQQIAAJ4E&#10;AAAOAAAAAAAAAAAAAAAAAC4CAABkcnMvZTJvRG9jLnhtbFBLAQItABQABgAIAAAAIQC/XjUm4AAA&#10;AAoBAAAPAAAAAAAAAAAAAAAAAJsEAABkcnMvZG93bnJldi54bWxQSwUGAAAAAAQABADzAAAAqAUA&#10;AAAA&#10;" fillcolor="black" strokeweight="1.5pt"/>
                  </w:pict>
                </mc:Fallback>
              </mc:AlternateContent>
            </w:r>
          </w:p>
        </w:tc>
        <w:tc>
          <w:tcPr>
            <w:tcW w:w="9000" w:type="dxa"/>
            <w:gridSpan w:val="10"/>
            <w:tcBorders>
              <w:left w:val="thickThinSmallGap" w:sz="24" w:space="0" w:color="auto"/>
            </w:tcBorders>
            <w:vAlign w:val="center"/>
          </w:tcPr>
          <w:p w:rsidR="00000000" w:rsidRDefault="000236BE">
            <w:pPr>
              <w:snapToGrid w:val="0"/>
              <w:jc w:val="center"/>
              <w:rPr>
                <w:rFonts w:hint="eastAsia"/>
                <w:sz w:val="20"/>
                <w:szCs w:val="20"/>
              </w:rPr>
            </w:pPr>
            <w:r>
              <w:rPr>
                <w:rFonts w:hint="eastAsia"/>
                <w:sz w:val="20"/>
                <w:szCs w:val="20"/>
              </w:rPr>
              <w:t>公</w:t>
            </w:r>
            <w:r>
              <w:rPr>
                <w:rFonts w:hint="eastAsia"/>
                <w:sz w:val="20"/>
                <w:szCs w:val="20"/>
              </w:rPr>
              <w:t xml:space="preserve">  </w:t>
            </w:r>
            <w:r>
              <w:rPr>
                <w:rFonts w:hint="eastAsia"/>
                <w:sz w:val="20"/>
                <w:szCs w:val="20"/>
              </w:rPr>
              <w:t>務</w:t>
            </w:r>
            <w:r>
              <w:rPr>
                <w:rFonts w:hint="eastAsia"/>
                <w:sz w:val="20"/>
                <w:szCs w:val="20"/>
              </w:rPr>
              <w:t xml:space="preserve">  </w:t>
            </w:r>
            <w:r>
              <w:rPr>
                <w:rFonts w:hint="eastAsia"/>
                <w:sz w:val="20"/>
                <w:szCs w:val="20"/>
              </w:rPr>
              <w:t>人</w:t>
            </w:r>
            <w:r>
              <w:rPr>
                <w:rFonts w:hint="eastAsia"/>
                <w:sz w:val="20"/>
                <w:szCs w:val="20"/>
              </w:rPr>
              <w:t xml:space="preserve">  </w:t>
            </w:r>
            <w:r>
              <w:rPr>
                <w:rFonts w:hint="eastAsia"/>
                <w:sz w:val="20"/>
                <w:szCs w:val="20"/>
              </w:rPr>
              <w:t>員</w:t>
            </w:r>
            <w:r>
              <w:rPr>
                <w:rFonts w:hint="eastAsia"/>
                <w:sz w:val="20"/>
                <w:szCs w:val="20"/>
              </w:rPr>
              <w:t xml:space="preserve">  </w:t>
            </w:r>
            <w:r>
              <w:rPr>
                <w:rFonts w:hint="eastAsia"/>
                <w:sz w:val="20"/>
                <w:szCs w:val="20"/>
              </w:rPr>
              <w:t>陞</w:t>
            </w:r>
            <w:r>
              <w:rPr>
                <w:rFonts w:hint="eastAsia"/>
                <w:sz w:val="20"/>
                <w:szCs w:val="20"/>
              </w:rPr>
              <w:t xml:space="preserve">  </w:t>
            </w:r>
            <w:r>
              <w:rPr>
                <w:rFonts w:hint="eastAsia"/>
                <w:sz w:val="20"/>
                <w:szCs w:val="20"/>
              </w:rPr>
              <w:t>遷</w:t>
            </w:r>
            <w:r>
              <w:rPr>
                <w:rFonts w:hint="eastAsia"/>
                <w:sz w:val="20"/>
                <w:szCs w:val="20"/>
              </w:rPr>
              <w:t xml:space="preserve">  </w:t>
            </w:r>
            <w:r>
              <w:rPr>
                <w:rFonts w:hint="eastAsia"/>
                <w:sz w:val="20"/>
                <w:szCs w:val="20"/>
              </w:rPr>
              <w:t>流</w:t>
            </w:r>
            <w:r>
              <w:rPr>
                <w:rFonts w:hint="eastAsia"/>
                <w:sz w:val="20"/>
                <w:szCs w:val="20"/>
              </w:rPr>
              <w:t xml:space="preserve">  </w:t>
            </w:r>
            <w:r>
              <w:rPr>
                <w:rFonts w:hint="eastAsia"/>
                <w:sz w:val="20"/>
                <w:szCs w:val="20"/>
              </w:rPr>
              <w:t>程</w:t>
            </w:r>
          </w:p>
        </w:tc>
      </w:tr>
      <w:tr w:rsidR="00000000">
        <w:trPr>
          <w:cantSplit/>
          <w:trHeight w:val="477"/>
        </w:trPr>
        <w:tc>
          <w:tcPr>
            <w:tcW w:w="648" w:type="dxa"/>
            <w:vMerge/>
            <w:tcBorders>
              <w:right w:val="thickThinSmallGap" w:sz="24" w:space="0" w:color="auto"/>
            </w:tcBorders>
          </w:tcPr>
          <w:p w:rsidR="00000000" w:rsidRDefault="000236BE">
            <w:pPr>
              <w:snapToGrid w:val="0"/>
              <w:jc w:val="center"/>
              <w:rPr>
                <w:sz w:val="20"/>
                <w:szCs w:val="20"/>
              </w:rPr>
            </w:pPr>
          </w:p>
        </w:tc>
        <w:tc>
          <w:tcPr>
            <w:tcW w:w="900" w:type="dxa"/>
            <w:vMerge w:val="restart"/>
            <w:tcBorders>
              <w:left w:val="thickThinSmallGap" w:sz="24" w:space="0" w:color="auto"/>
            </w:tcBorders>
          </w:tcPr>
          <w:p w:rsidR="00000000" w:rsidRDefault="000236BE">
            <w:pPr>
              <w:snapToGrid w:val="0"/>
              <w:jc w:val="center"/>
              <w:rPr>
                <w:rFonts w:hint="eastAsia"/>
                <w:sz w:val="20"/>
                <w:szCs w:val="20"/>
              </w:rPr>
            </w:pPr>
            <w:r>
              <w:rPr>
                <w:rFonts w:hint="eastAsia"/>
                <w:sz w:val="20"/>
                <w:szCs w:val="20"/>
              </w:rPr>
              <w:t>陞遷序列表不合理</w:t>
            </w:r>
          </w:p>
        </w:tc>
        <w:tc>
          <w:tcPr>
            <w:tcW w:w="900" w:type="dxa"/>
            <w:vMerge w:val="restart"/>
          </w:tcPr>
          <w:p w:rsidR="00000000" w:rsidRDefault="000236BE">
            <w:pPr>
              <w:snapToGrid w:val="0"/>
              <w:jc w:val="center"/>
              <w:rPr>
                <w:sz w:val="20"/>
                <w:szCs w:val="20"/>
              </w:rPr>
            </w:pPr>
            <w:r>
              <w:rPr>
                <w:rFonts w:hint="eastAsia"/>
                <w:sz w:val="20"/>
                <w:szCs w:val="20"/>
              </w:rPr>
              <w:t>內陞或外補之決定</w:t>
            </w:r>
          </w:p>
          <w:p w:rsidR="00000000" w:rsidRDefault="000236BE">
            <w:pPr>
              <w:snapToGrid w:val="0"/>
              <w:jc w:val="center"/>
              <w:rPr>
                <w:b/>
                <w:sz w:val="16"/>
                <w:szCs w:val="16"/>
              </w:rPr>
            </w:pPr>
          </w:p>
        </w:tc>
        <w:tc>
          <w:tcPr>
            <w:tcW w:w="900" w:type="dxa"/>
            <w:vMerge w:val="restart"/>
          </w:tcPr>
          <w:p w:rsidR="00000000" w:rsidRDefault="000236BE">
            <w:pPr>
              <w:snapToGrid w:val="0"/>
              <w:jc w:val="center"/>
              <w:rPr>
                <w:rFonts w:hint="eastAsia"/>
                <w:sz w:val="20"/>
                <w:szCs w:val="20"/>
              </w:rPr>
            </w:pPr>
            <w:r>
              <w:rPr>
                <w:rFonts w:hint="eastAsia"/>
                <w:sz w:val="20"/>
                <w:szCs w:val="20"/>
              </w:rPr>
              <w:t>內陞或外補之作業標準不一（或變動）</w:t>
            </w:r>
          </w:p>
        </w:tc>
        <w:tc>
          <w:tcPr>
            <w:tcW w:w="900" w:type="dxa"/>
            <w:vMerge w:val="restart"/>
          </w:tcPr>
          <w:p w:rsidR="00000000" w:rsidRDefault="000236BE">
            <w:pPr>
              <w:snapToGrid w:val="0"/>
              <w:jc w:val="center"/>
              <w:rPr>
                <w:sz w:val="20"/>
                <w:szCs w:val="20"/>
              </w:rPr>
            </w:pPr>
            <w:r>
              <w:rPr>
                <w:rFonts w:hint="eastAsia"/>
                <w:sz w:val="20"/>
                <w:szCs w:val="20"/>
              </w:rPr>
              <w:t>未列入甄審名冊</w:t>
            </w:r>
          </w:p>
          <w:p w:rsidR="00000000" w:rsidRDefault="000236BE">
            <w:pPr>
              <w:snapToGrid w:val="0"/>
              <w:jc w:val="center"/>
              <w:rPr>
                <w:b/>
                <w:sz w:val="16"/>
                <w:szCs w:val="16"/>
              </w:rPr>
            </w:pPr>
          </w:p>
        </w:tc>
        <w:tc>
          <w:tcPr>
            <w:tcW w:w="900" w:type="dxa"/>
            <w:vMerge w:val="restart"/>
            <w:shd w:val="clear" w:color="auto" w:fill="E0E0E0"/>
          </w:tcPr>
          <w:p w:rsidR="00000000" w:rsidRDefault="000236BE">
            <w:pPr>
              <w:snapToGrid w:val="0"/>
              <w:jc w:val="center"/>
              <w:rPr>
                <w:rFonts w:hint="eastAsia"/>
                <w:sz w:val="20"/>
                <w:szCs w:val="20"/>
              </w:rPr>
            </w:pPr>
            <w:r>
              <w:rPr>
                <w:rFonts w:hint="eastAsia"/>
                <w:sz w:val="20"/>
                <w:szCs w:val="20"/>
              </w:rPr>
              <w:t>甄審會評分</w:t>
            </w:r>
          </w:p>
        </w:tc>
        <w:tc>
          <w:tcPr>
            <w:tcW w:w="900" w:type="dxa"/>
            <w:vMerge w:val="restart"/>
          </w:tcPr>
          <w:p w:rsidR="00000000" w:rsidRDefault="000236BE">
            <w:pPr>
              <w:snapToGrid w:val="0"/>
              <w:jc w:val="center"/>
              <w:rPr>
                <w:rFonts w:hint="eastAsia"/>
                <w:sz w:val="20"/>
                <w:szCs w:val="20"/>
              </w:rPr>
            </w:pPr>
            <w:r>
              <w:rPr>
                <w:rFonts w:hint="eastAsia"/>
                <w:sz w:val="20"/>
                <w:szCs w:val="20"/>
              </w:rPr>
              <w:t>未通知參加他機關甄審</w:t>
            </w:r>
          </w:p>
        </w:tc>
        <w:tc>
          <w:tcPr>
            <w:tcW w:w="900" w:type="dxa"/>
            <w:vMerge w:val="restart"/>
          </w:tcPr>
          <w:p w:rsidR="00000000" w:rsidRDefault="000236BE">
            <w:pPr>
              <w:snapToGrid w:val="0"/>
              <w:jc w:val="center"/>
              <w:rPr>
                <w:rFonts w:hint="eastAsia"/>
                <w:sz w:val="20"/>
                <w:szCs w:val="20"/>
              </w:rPr>
            </w:pPr>
            <w:r>
              <w:rPr>
                <w:rFonts w:hint="eastAsia"/>
                <w:sz w:val="20"/>
                <w:szCs w:val="20"/>
              </w:rPr>
              <w:t>商調時原服務機關不同意</w:t>
            </w:r>
          </w:p>
        </w:tc>
        <w:tc>
          <w:tcPr>
            <w:tcW w:w="1800" w:type="dxa"/>
            <w:gridSpan w:val="2"/>
            <w:shd w:val="clear" w:color="auto" w:fill="CCCCCC"/>
            <w:vAlign w:val="center"/>
          </w:tcPr>
          <w:p w:rsidR="00000000" w:rsidRDefault="000236BE">
            <w:pPr>
              <w:snapToGrid w:val="0"/>
              <w:jc w:val="center"/>
              <w:rPr>
                <w:sz w:val="20"/>
                <w:szCs w:val="20"/>
              </w:rPr>
            </w:pPr>
            <w:r>
              <w:rPr>
                <w:rFonts w:hint="eastAsia"/>
                <w:sz w:val="20"/>
                <w:szCs w:val="20"/>
              </w:rPr>
              <w:t>陞遷決定</w:t>
            </w:r>
          </w:p>
        </w:tc>
        <w:tc>
          <w:tcPr>
            <w:tcW w:w="900" w:type="dxa"/>
            <w:vMerge w:val="restart"/>
          </w:tcPr>
          <w:p w:rsidR="00000000" w:rsidRDefault="000236BE">
            <w:pPr>
              <w:snapToGrid w:val="0"/>
              <w:jc w:val="center"/>
              <w:rPr>
                <w:rFonts w:hint="eastAsia"/>
                <w:sz w:val="20"/>
                <w:szCs w:val="20"/>
              </w:rPr>
            </w:pPr>
            <w:r>
              <w:rPr>
                <w:rFonts w:hint="eastAsia"/>
                <w:sz w:val="20"/>
                <w:szCs w:val="20"/>
              </w:rPr>
              <w:t>不發派令</w:t>
            </w:r>
          </w:p>
        </w:tc>
      </w:tr>
      <w:tr w:rsidR="00000000">
        <w:trPr>
          <w:cantSplit/>
          <w:trHeight w:val="542"/>
        </w:trPr>
        <w:tc>
          <w:tcPr>
            <w:tcW w:w="648" w:type="dxa"/>
            <w:vMerge/>
            <w:tcBorders>
              <w:bottom w:val="single" w:sz="4" w:space="0" w:color="auto"/>
              <w:right w:val="thickThinSmallGap" w:sz="24" w:space="0" w:color="auto"/>
            </w:tcBorders>
            <w:vAlign w:val="center"/>
          </w:tcPr>
          <w:p w:rsidR="00000000" w:rsidRDefault="000236BE">
            <w:pPr>
              <w:jc w:val="center"/>
              <w:rPr>
                <w:sz w:val="20"/>
                <w:szCs w:val="20"/>
              </w:rPr>
            </w:pPr>
          </w:p>
        </w:tc>
        <w:tc>
          <w:tcPr>
            <w:tcW w:w="900" w:type="dxa"/>
            <w:vMerge/>
            <w:tcBorders>
              <w:left w:val="thickThinSmallGap" w:sz="24" w:space="0" w:color="auto"/>
              <w:bottom w:val="single" w:sz="4" w:space="0" w:color="auto"/>
            </w:tcBorders>
            <w:vAlign w:val="center"/>
          </w:tcPr>
          <w:p w:rsidR="00000000" w:rsidRDefault="000236BE">
            <w:pPr>
              <w:jc w:val="center"/>
              <w:rPr>
                <w:rFonts w:hint="eastAsia"/>
                <w:sz w:val="20"/>
                <w:szCs w:val="20"/>
              </w:rPr>
            </w:pPr>
          </w:p>
        </w:tc>
        <w:tc>
          <w:tcPr>
            <w:tcW w:w="900" w:type="dxa"/>
            <w:vMerge/>
            <w:tcBorders>
              <w:bottom w:val="single" w:sz="4" w:space="0" w:color="auto"/>
            </w:tcBorders>
            <w:vAlign w:val="center"/>
          </w:tcPr>
          <w:p w:rsidR="00000000" w:rsidRDefault="000236BE">
            <w:pPr>
              <w:snapToGrid w:val="0"/>
              <w:jc w:val="center"/>
              <w:rPr>
                <w:rFonts w:hint="eastAsia"/>
                <w:sz w:val="20"/>
                <w:szCs w:val="20"/>
              </w:rPr>
            </w:pPr>
          </w:p>
        </w:tc>
        <w:tc>
          <w:tcPr>
            <w:tcW w:w="900" w:type="dxa"/>
            <w:vMerge/>
            <w:tcBorders>
              <w:bottom w:val="single" w:sz="4" w:space="0" w:color="auto"/>
            </w:tcBorders>
            <w:vAlign w:val="center"/>
          </w:tcPr>
          <w:p w:rsidR="00000000" w:rsidRDefault="000236BE">
            <w:pPr>
              <w:snapToGrid w:val="0"/>
              <w:jc w:val="center"/>
              <w:rPr>
                <w:rFonts w:hint="eastAsia"/>
                <w:sz w:val="20"/>
                <w:szCs w:val="20"/>
              </w:rPr>
            </w:pPr>
          </w:p>
        </w:tc>
        <w:tc>
          <w:tcPr>
            <w:tcW w:w="900" w:type="dxa"/>
            <w:vMerge/>
            <w:tcBorders>
              <w:bottom w:val="single" w:sz="4" w:space="0" w:color="auto"/>
            </w:tcBorders>
            <w:vAlign w:val="center"/>
          </w:tcPr>
          <w:p w:rsidR="00000000" w:rsidRDefault="000236BE">
            <w:pPr>
              <w:snapToGrid w:val="0"/>
              <w:jc w:val="center"/>
              <w:rPr>
                <w:rFonts w:hint="eastAsia"/>
                <w:sz w:val="20"/>
                <w:szCs w:val="20"/>
              </w:rPr>
            </w:pPr>
          </w:p>
        </w:tc>
        <w:tc>
          <w:tcPr>
            <w:tcW w:w="900" w:type="dxa"/>
            <w:vMerge/>
            <w:tcBorders>
              <w:bottom w:val="single" w:sz="4" w:space="0" w:color="auto"/>
            </w:tcBorders>
            <w:vAlign w:val="center"/>
          </w:tcPr>
          <w:p w:rsidR="00000000" w:rsidRDefault="000236BE">
            <w:pPr>
              <w:snapToGrid w:val="0"/>
              <w:jc w:val="center"/>
              <w:rPr>
                <w:rFonts w:hint="eastAsia"/>
                <w:sz w:val="20"/>
                <w:szCs w:val="20"/>
              </w:rPr>
            </w:pPr>
          </w:p>
        </w:tc>
        <w:tc>
          <w:tcPr>
            <w:tcW w:w="900" w:type="dxa"/>
            <w:vMerge/>
            <w:tcBorders>
              <w:bottom w:val="single" w:sz="4" w:space="0" w:color="auto"/>
            </w:tcBorders>
            <w:vAlign w:val="center"/>
          </w:tcPr>
          <w:p w:rsidR="00000000" w:rsidRDefault="000236BE">
            <w:pPr>
              <w:jc w:val="center"/>
              <w:rPr>
                <w:rFonts w:hint="eastAsia"/>
                <w:sz w:val="20"/>
                <w:szCs w:val="20"/>
              </w:rPr>
            </w:pPr>
          </w:p>
        </w:tc>
        <w:tc>
          <w:tcPr>
            <w:tcW w:w="900" w:type="dxa"/>
            <w:vMerge/>
            <w:tcBorders>
              <w:bottom w:val="single" w:sz="4" w:space="0" w:color="auto"/>
            </w:tcBorders>
            <w:vAlign w:val="center"/>
          </w:tcPr>
          <w:p w:rsidR="00000000" w:rsidRDefault="000236BE">
            <w:pPr>
              <w:jc w:val="center"/>
              <w:rPr>
                <w:rFonts w:hint="eastAsia"/>
                <w:sz w:val="20"/>
                <w:szCs w:val="20"/>
              </w:rPr>
            </w:pPr>
          </w:p>
        </w:tc>
        <w:tc>
          <w:tcPr>
            <w:tcW w:w="900" w:type="dxa"/>
            <w:tcBorders>
              <w:bottom w:val="single" w:sz="4" w:space="0" w:color="auto"/>
            </w:tcBorders>
            <w:shd w:val="clear" w:color="auto" w:fill="CCCCCC"/>
            <w:vAlign w:val="center"/>
          </w:tcPr>
          <w:p w:rsidR="00000000" w:rsidRDefault="000236BE">
            <w:pPr>
              <w:snapToGrid w:val="0"/>
              <w:jc w:val="center"/>
              <w:rPr>
                <w:rFonts w:hint="eastAsia"/>
                <w:sz w:val="20"/>
                <w:szCs w:val="20"/>
              </w:rPr>
            </w:pPr>
            <w:r>
              <w:rPr>
                <w:rFonts w:hint="eastAsia"/>
                <w:sz w:val="20"/>
                <w:szCs w:val="20"/>
              </w:rPr>
              <w:t>對自己陞遷結果不服</w:t>
            </w:r>
          </w:p>
        </w:tc>
        <w:tc>
          <w:tcPr>
            <w:tcW w:w="900" w:type="dxa"/>
            <w:tcBorders>
              <w:bottom w:val="single" w:sz="4" w:space="0" w:color="auto"/>
            </w:tcBorders>
            <w:shd w:val="clear" w:color="auto" w:fill="CCCCCC"/>
            <w:vAlign w:val="center"/>
          </w:tcPr>
          <w:p w:rsidR="00000000" w:rsidRDefault="000236BE">
            <w:pPr>
              <w:snapToGrid w:val="0"/>
              <w:jc w:val="center"/>
              <w:rPr>
                <w:rFonts w:hint="eastAsia"/>
                <w:sz w:val="20"/>
                <w:szCs w:val="20"/>
              </w:rPr>
            </w:pPr>
            <w:r>
              <w:rPr>
                <w:rFonts w:hint="eastAsia"/>
                <w:sz w:val="20"/>
                <w:szCs w:val="20"/>
              </w:rPr>
              <w:t>對他人陞遷結果不服</w:t>
            </w:r>
          </w:p>
        </w:tc>
        <w:tc>
          <w:tcPr>
            <w:tcW w:w="900" w:type="dxa"/>
            <w:vMerge/>
            <w:tcBorders>
              <w:bottom w:val="single" w:sz="4" w:space="0" w:color="auto"/>
            </w:tcBorders>
            <w:vAlign w:val="center"/>
          </w:tcPr>
          <w:p w:rsidR="00000000" w:rsidRDefault="000236BE">
            <w:pPr>
              <w:jc w:val="center"/>
              <w:rPr>
                <w:rFonts w:hint="eastAsia"/>
                <w:sz w:val="20"/>
                <w:szCs w:val="20"/>
              </w:rPr>
            </w:pPr>
          </w:p>
        </w:tc>
      </w:tr>
      <w:tr w:rsidR="00000000">
        <w:trPr>
          <w:trHeight w:val="1696"/>
        </w:trPr>
        <w:tc>
          <w:tcPr>
            <w:tcW w:w="648" w:type="dxa"/>
            <w:tcBorders>
              <w:bottom w:val="thickThinSmallGap" w:sz="24" w:space="0" w:color="auto"/>
              <w:right w:val="thickThinSmallGap" w:sz="24" w:space="0" w:color="auto"/>
            </w:tcBorders>
            <w:vAlign w:val="center"/>
          </w:tcPr>
          <w:p w:rsidR="00000000" w:rsidRDefault="000236BE">
            <w:pPr>
              <w:snapToGrid w:val="0"/>
              <w:jc w:val="center"/>
              <w:rPr>
                <w:rFonts w:hint="eastAsia"/>
                <w:sz w:val="20"/>
                <w:szCs w:val="20"/>
              </w:rPr>
            </w:pPr>
            <w:r>
              <w:rPr>
                <w:rFonts w:hint="eastAsia"/>
                <w:sz w:val="20"/>
                <w:szCs w:val="20"/>
              </w:rPr>
              <w:t>法律行為性質</w:t>
            </w:r>
          </w:p>
        </w:tc>
        <w:tc>
          <w:tcPr>
            <w:tcW w:w="900" w:type="dxa"/>
            <w:tcBorders>
              <w:left w:val="thickThinSmallGap" w:sz="24" w:space="0" w:color="auto"/>
              <w:bottom w:val="thickThinSmallGap" w:sz="24" w:space="0" w:color="auto"/>
            </w:tcBorders>
            <w:vAlign w:val="center"/>
          </w:tcPr>
          <w:p w:rsidR="00000000" w:rsidRDefault="000236BE">
            <w:pPr>
              <w:snapToGrid w:val="0"/>
              <w:jc w:val="center"/>
              <w:rPr>
                <w:rFonts w:hint="eastAsia"/>
                <w:b/>
                <w:sz w:val="16"/>
                <w:szCs w:val="16"/>
              </w:rPr>
            </w:pPr>
            <w:r>
              <w:rPr>
                <w:rFonts w:hint="eastAsia"/>
                <w:b/>
                <w:sz w:val="16"/>
                <w:szCs w:val="16"/>
              </w:rPr>
              <w:t>管理措施</w:t>
            </w:r>
          </w:p>
        </w:tc>
        <w:tc>
          <w:tcPr>
            <w:tcW w:w="900" w:type="dxa"/>
            <w:tcBorders>
              <w:bottom w:val="thickThinSmallGap" w:sz="24" w:space="0" w:color="auto"/>
            </w:tcBorders>
            <w:vAlign w:val="center"/>
          </w:tcPr>
          <w:p w:rsidR="00000000" w:rsidRDefault="000236BE">
            <w:pPr>
              <w:snapToGrid w:val="0"/>
              <w:jc w:val="center"/>
              <w:rPr>
                <w:rFonts w:hint="eastAsia"/>
                <w:b/>
                <w:sz w:val="16"/>
                <w:szCs w:val="16"/>
              </w:rPr>
            </w:pPr>
            <w:r>
              <w:rPr>
                <w:rFonts w:hint="eastAsia"/>
                <w:b/>
                <w:sz w:val="16"/>
                <w:szCs w:val="16"/>
              </w:rPr>
              <w:t>管理措施</w:t>
            </w:r>
          </w:p>
        </w:tc>
        <w:tc>
          <w:tcPr>
            <w:tcW w:w="900" w:type="dxa"/>
            <w:tcBorders>
              <w:bottom w:val="thickThinSmallGap" w:sz="24" w:space="0" w:color="auto"/>
            </w:tcBorders>
            <w:vAlign w:val="center"/>
          </w:tcPr>
          <w:p w:rsidR="00000000" w:rsidRDefault="000236BE">
            <w:pPr>
              <w:snapToGrid w:val="0"/>
              <w:jc w:val="center"/>
              <w:rPr>
                <w:rFonts w:hint="eastAsia"/>
                <w:b/>
                <w:sz w:val="16"/>
                <w:szCs w:val="16"/>
              </w:rPr>
            </w:pPr>
            <w:r>
              <w:rPr>
                <w:rFonts w:hint="eastAsia"/>
                <w:b/>
                <w:sz w:val="16"/>
                <w:szCs w:val="16"/>
              </w:rPr>
              <w:t>非具體管理措施</w:t>
            </w:r>
          </w:p>
          <w:p w:rsidR="00000000" w:rsidRDefault="000236BE">
            <w:pPr>
              <w:snapToGrid w:val="0"/>
              <w:jc w:val="center"/>
              <w:rPr>
                <w:rFonts w:hint="eastAsia"/>
                <w:b/>
                <w:sz w:val="16"/>
                <w:szCs w:val="16"/>
              </w:rPr>
            </w:pPr>
            <w:r>
              <w:rPr>
                <w:rFonts w:hint="eastAsia"/>
                <w:b/>
                <w:sz w:val="16"/>
                <w:szCs w:val="16"/>
              </w:rPr>
              <w:t>（一般抽象規範）</w:t>
            </w:r>
          </w:p>
        </w:tc>
        <w:tc>
          <w:tcPr>
            <w:tcW w:w="900" w:type="dxa"/>
            <w:tcBorders>
              <w:bottom w:val="thickThinSmallGap" w:sz="24" w:space="0" w:color="auto"/>
            </w:tcBorders>
            <w:vAlign w:val="center"/>
          </w:tcPr>
          <w:p w:rsidR="00000000" w:rsidRDefault="000236BE">
            <w:pPr>
              <w:snapToGrid w:val="0"/>
              <w:jc w:val="center"/>
              <w:rPr>
                <w:rFonts w:hint="eastAsia"/>
                <w:b/>
                <w:sz w:val="16"/>
                <w:szCs w:val="16"/>
              </w:rPr>
            </w:pPr>
            <w:r>
              <w:rPr>
                <w:rFonts w:hint="eastAsia"/>
                <w:b/>
                <w:sz w:val="16"/>
                <w:szCs w:val="16"/>
              </w:rPr>
              <w:t>管理措施</w:t>
            </w:r>
          </w:p>
        </w:tc>
        <w:tc>
          <w:tcPr>
            <w:tcW w:w="900" w:type="dxa"/>
            <w:tcBorders>
              <w:bottom w:val="thickThinSmallGap" w:sz="24" w:space="0" w:color="auto"/>
            </w:tcBorders>
            <w:shd w:val="clear" w:color="auto" w:fill="E0E0E0"/>
            <w:vAlign w:val="center"/>
          </w:tcPr>
          <w:p w:rsidR="00000000" w:rsidRDefault="000236BE">
            <w:pPr>
              <w:snapToGrid w:val="0"/>
              <w:jc w:val="center"/>
              <w:rPr>
                <w:rFonts w:hint="eastAsia"/>
                <w:b/>
                <w:sz w:val="16"/>
                <w:szCs w:val="16"/>
              </w:rPr>
            </w:pPr>
            <w:r>
              <w:rPr>
                <w:rFonts w:hint="eastAsia"/>
                <w:b/>
                <w:sz w:val="16"/>
                <w:szCs w:val="16"/>
              </w:rPr>
              <w:t>尚非</w:t>
            </w:r>
          </w:p>
          <w:p w:rsidR="00000000" w:rsidRDefault="000236BE">
            <w:pPr>
              <w:snapToGrid w:val="0"/>
              <w:jc w:val="center"/>
              <w:rPr>
                <w:rFonts w:hint="eastAsia"/>
                <w:b/>
                <w:sz w:val="16"/>
                <w:szCs w:val="16"/>
              </w:rPr>
            </w:pPr>
            <w:r>
              <w:rPr>
                <w:rFonts w:hint="eastAsia"/>
                <w:b/>
                <w:sz w:val="16"/>
                <w:szCs w:val="16"/>
              </w:rPr>
              <w:t>管理措施</w:t>
            </w:r>
          </w:p>
        </w:tc>
        <w:tc>
          <w:tcPr>
            <w:tcW w:w="900" w:type="dxa"/>
            <w:tcBorders>
              <w:bottom w:val="thickThinSmallGap" w:sz="24" w:space="0" w:color="auto"/>
            </w:tcBorders>
            <w:vAlign w:val="center"/>
          </w:tcPr>
          <w:p w:rsidR="00000000" w:rsidRDefault="000236BE">
            <w:pPr>
              <w:snapToGrid w:val="0"/>
              <w:jc w:val="center"/>
              <w:rPr>
                <w:rFonts w:ascii="Arial" w:hAnsi="Arial" w:cs="Arial" w:hint="eastAsia"/>
                <w:b/>
                <w:sz w:val="16"/>
                <w:szCs w:val="16"/>
                <w:lang w:val="de-DE"/>
              </w:rPr>
            </w:pPr>
            <w:r>
              <w:rPr>
                <w:rFonts w:hint="eastAsia"/>
                <w:b/>
                <w:sz w:val="16"/>
                <w:szCs w:val="16"/>
              </w:rPr>
              <w:t>管理措施</w:t>
            </w:r>
          </w:p>
        </w:tc>
        <w:tc>
          <w:tcPr>
            <w:tcW w:w="900" w:type="dxa"/>
            <w:tcBorders>
              <w:bottom w:val="thickThinSmallGap" w:sz="24" w:space="0" w:color="auto"/>
            </w:tcBorders>
            <w:vAlign w:val="center"/>
          </w:tcPr>
          <w:p w:rsidR="00000000" w:rsidRDefault="000236BE">
            <w:pPr>
              <w:snapToGrid w:val="0"/>
              <w:jc w:val="center"/>
              <w:rPr>
                <w:rFonts w:hint="eastAsia"/>
                <w:b/>
                <w:sz w:val="16"/>
                <w:szCs w:val="16"/>
              </w:rPr>
            </w:pPr>
            <w:r>
              <w:rPr>
                <w:rFonts w:hint="eastAsia"/>
                <w:b/>
                <w:sz w:val="16"/>
                <w:szCs w:val="16"/>
              </w:rPr>
              <w:t>管理措施</w:t>
            </w:r>
          </w:p>
        </w:tc>
        <w:tc>
          <w:tcPr>
            <w:tcW w:w="900" w:type="dxa"/>
            <w:tcBorders>
              <w:bottom w:val="thickThinSmallGap" w:sz="24" w:space="0" w:color="auto"/>
            </w:tcBorders>
            <w:vAlign w:val="center"/>
          </w:tcPr>
          <w:p w:rsidR="00000000" w:rsidRDefault="000236BE">
            <w:pPr>
              <w:snapToGrid w:val="0"/>
              <w:jc w:val="center"/>
              <w:rPr>
                <w:rFonts w:hint="eastAsia"/>
                <w:b/>
                <w:sz w:val="16"/>
                <w:szCs w:val="16"/>
              </w:rPr>
            </w:pPr>
            <w:r>
              <w:rPr>
                <w:rFonts w:hint="eastAsia"/>
                <w:b/>
                <w:sz w:val="16"/>
                <w:szCs w:val="16"/>
              </w:rPr>
              <w:t>管理措施行政處分</w:t>
            </w:r>
          </w:p>
          <w:p w:rsidR="00000000" w:rsidRDefault="000236BE">
            <w:pPr>
              <w:snapToGrid w:val="0"/>
              <w:jc w:val="center"/>
              <w:rPr>
                <w:rFonts w:hint="eastAsia"/>
                <w:b/>
                <w:sz w:val="16"/>
                <w:szCs w:val="16"/>
              </w:rPr>
            </w:pPr>
            <w:r>
              <w:rPr>
                <w:rFonts w:hint="eastAsia"/>
                <w:b/>
                <w:sz w:val="20"/>
                <w:szCs w:val="20"/>
              </w:rPr>
              <w:t>？</w:t>
            </w:r>
          </w:p>
        </w:tc>
        <w:tc>
          <w:tcPr>
            <w:tcW w:w="900" w:type="dxa"/>
            <w:tcBorders>
              <w:bottom w:val="thickThinSmallGap" w:sz="24" w:space="0" w:color="auto"/>
            </w:tcBorders>
            <w:vAlign w:val="center"/>
          </w:tcPr>
          <w:p w:rsidR="00000000" w:rsidRDefault="000236BE">
            <w:pPr>
              <w:snapToGrid w:val="0"/>
              <w:jc w:val="center"/>
              <w:rPr>
                <w:rFonts w:hint="eastAsia"/>
                <w:b/>
                <w:sz w:val="16"/>
                <w:szCs w:val="16"/>
              </w:rPr>
            </w:pPr>
            <w:r>
              <w:rPr>
                <w:rFonts w:hint="eastAsia"/>
                <w:b/>
                <w:sz w:val="16"/>
                <w:szCs w:val="16"/>
              </w:rPr>
              <w:t>管理措施行政處分</w:t>
            </w:r>
          </w:p>
          <w:p w:rsidR="00000000" w:rsidRDefault="000236BE">
            <w:pPr>
              <w:snapToGrid w:val="0"/>
              <w:jc w:val="center"/>
              <w:rPr>
                <w:rFonts w:hint="eastAsia"/>
                <w:b/>
                <w:sz w:val="16"/>
                <w:szCs w:val="16"/>
              </w:rPr>
            </w:pPr>
            <w:r>
              <w:rPr>
                <w:rFonts w:hint="eastAsia"/>
                <w:b/>
                <w:sz w:val="20"/>
                <w:szCs w:val="20"/>
              </w:rPr>
              <w:t>？</w:t>
            </w:r>
          </w:p>
        </w:tc>
        <w:tc>
          <w:tcPr>
            <w:tcW w:w="900" w:type="dxa"/>
            <w:tcBorders>
              <w:bottom w:val="thickThinSmallGap" w:sz="24" w:space="0" w:color="auto"/>
            </w:tcBorders>
            <w:vAlign w:val="center"/>
          </w:tcPr>
          <w:p w:rsidR="00000000" w:rsidRDefault="000236BE">
            <w:pPr>
              <w:snapToGrid w:val="0"/>
              <w:jc w:val="center"/>
              <w:rPr>
                <w:rFonts w:hint="eastAsia"/>
                <w:b/>
                <w:sz w:val="16"/>
                <w:szCs w:val="16"/>
              </w:rPr>
            </w:pPr>
            <w:r>
              <w:rPr>
                <w:rFonts w:hint="eastAsia"/>
                <w:b/>
                <w:sz w:val="16"/>
                <w:szCs w:val="16"/>
              </w:rPr>
              <w:t>行政處分</w:t>
            </w:r>
          </w:p>
        </w:tc>
      </w:tr>
      <w:tr w:rsidR="00000000">
        <w:trPr>
          <w:cantSplit/>
          <w:trHeight w:val="762"/>
        </w:trPr>
        <w:tc>
          <w:tcPr>
            <w:tcW w:w="648" w:type="dxa"/>
            <w:vMerge w:val="restart"/>
            <w:tcBorders>
              <w:top w:val="thickThinSmallGap" w:sz="24" w:space="0" w:color="auto"/>
              <w:right w:val="thickThinSmallGap" w:sz="24" w:space="0" w:color="auto"/>
            </w:tcBorders>
            <w:vAlign w:val="center"/>
          </w:tcPr>
          <w:p w:rsidR="00000000" w:rsidRDefault="000236BE">
            <w:pPr>
              <w:snapToGrid w:val="0"/>
              <w:jc w:val="center"/>
              <w:rPr>
                <w:rFonts w:hint="eastAsia"/>
                <w:sz w:val="20"/>
                <w:szCs w:val="20"/>
              </w:rPr>
            </w:pPr>
            <w:r>
              <w:rPr>
                <w:rFonts w:hint="eastAsia"/>
                <w:sz w:val="20"/>
                <w:szCs w:val="20"/>
              </w:rPr>
              <w:t>再</w:t>
            </w:r>
          </w:p>
          <w:p w:rsidR="00000000" w:rsidRDefault="000236BE">
            <w:pPr>
              <w:snapToGrid w:val="0"/>
              <w:jc w:val="center"/>
              <w:rPr>
                <w:rFonts w:hint="eastAsia"/>
                <w:sz w:val="20"/>
                <w:szCs w:val="20"/>
              </w:rPr>
            </w:pPr>
            <w:r>
              <w:rPr>
                <w:rFonts w:hint="eastAsia"/>
                <w:sz w:val="20"/>
                <w:szCs w:val="20"/>
              </w:rPr>
              <w:t>申</w:t>
            </w:r>
          </w:p>
          <w:p w:rsidR="00000000" w:rsidRDefault="000236BE">
            <w:pPr>
              <w:snapToGrid w:val="0"/>
              <w:jc w:val="center"/>
              <w:rPr>
                <w:sz w:val="20"/>
                <w:szCs w:val="20"/>
              </w:rPr>
            </w:pPr>
            <w:r>
              <w:rPr>
                <w:rFonts w:hint="eastAsia"/>
                <w:sz w:val="20"/>
                <w:szCs w:val="20"/>
              </w:rPr>
              <w:t>訴</w:t>
            </w:r>
          </w:p>
        </w:tc>
        <w:tc>
          <w:tcPr>
            <w:tcW w:w="900" w:type="dxa"/>
            <w:vMerge w:val="restart"/>
            <w:tcBorders>
              <w:top w:val="thickThinSmallGap" w:sz="24" w:space="0" w:color="auto"/>
              <w:left w:val="thickThinSmallGap" w:sz="24" w:space="0" w:color="auto"/>
            </w:tcBorders>
            <w:vAlign w:val="center"/>
          </w:tcPr>
          <w:p w:rsidR="00000000" w:rsidRDefault="000236BE">
            <w:pPr>
              <w:snapToGrid w:val="0"/>
              <w:jc w:val="center"/>
              <w:rPr>
                <w:rFonts w:hint="eastAsia"/>
                <w:sz w:val="20"/>
                <w:szCs w:val="20"/>
              </w:rPr>
            </w:pPr>
            <w:r>
              <w:rPr>
                <w:rFonts w:ascii="sөũ" w:hAnsi="sөũ" w:cs="新細明體" w:hint="eastAsia"/>
                <w:color w:val="000000"/>
                <w:kern w:val="0"/>
                <w:sz w:val="20"/>
                <w:szCs w:val="20"/>
              </w:rPr>
              <w:t>吳台生案</w:t>
            </w:r>
          </w:p>
        </w:tc>
        <w:tc>
          <w:tcPr>
            <w:tcW w:w="900" w:type="dxa"/>
            <w:vMerge w:val="restart"/>
            <w:tcBorders>
              <w:top w:val="thickThinSmallGap" w:sz="24" w:space="0" w:color="auto"/>
            </w:tcBorders>
            <w:vAlign w:val="center"/>
          </w:tcPr>
          <w:p w:rsidR="00000000" w:rsidRDefault="000236BE">
            <w:pPr>
              <w:snapToGrid w:val="0"/>
              <w:jc w:val="center"/>
              <w:rPr>
                <w:rFonts w:hint="eastAsia"/>
                <w:sz w:val="20"/>
                <w:szCs w:val="20"/>
              </w:rPr>
            </w:pPr>
            <w:r>
              <w:rPr>
                <w:rFonts w:hint="eastAsia"/>
                <w:sz w:val="20"/>
                <w:szCs w:val="20"/>
              </w:rPr>
              <w:t>？</w:t>
            </w:r>
          </w:p>
        </w:tc>
        <w:tc>
          <w:tcPr>
            <w:tcW w:w="900" w:type="dxa"/>
            <w:vMerge w:val="restart"/>
            <w:tcBorders>
              <w:top w:val="thickThinSmallGap" w:sz="24" w:space="0" w:color="auto"/>
            </w:tcBorders>
            <w:vAlign w:val="center"/>
          </w:tcPr>
          <w:p w:rsidR="00000000" w:rsidRDefault="000236BE">
            <w:pPr>
              <w:snapToGrid w:val="0"/>
              <w:jc w:val="center"/>
              <w:rPr>
                <w:rFonts w:hint="eastAsia"/>
                <w:sz w:val="20"/>
                <w:szCs w:val="20"/>
              </w:rPr>
            </w:pPr>
          </w:p>
        </w:tc>
        <w:tc>
          <w:tcPr>
            <w:tcW w:w="900" w:type="dxa"/>
            <w:tcBorders>
              <w:top w:val="thickThinSmallGap" w:sz="24" w:space="0" w:color="auto"/>
              <w:bottom w:val="single" w:sz="4" w:space="0" w:color="auto"/>
            </w:tcBorders>
            <w:vAlign w:val="center"/>
          </w:tcPr>
          <w:p w:rsidR="00000000" w:rsidRDefault="000236BE">
            <w:pPr>
              <w:snapToGrid w:val="0"/>
              <w:jc w:val="center"/>
              <w:rPr>
                <w:sz w:val="20"/>
                <w:szCs w:val="20"/>
              </w:rPr>
            </w:pPr>
            <w:r>
              <w:rPr>
                <w:rStyle w:val="stext1"/>
                <w:rFonts w:ascii="sөũ" w:hAnsi="sөũ"/>
                <w:color w:val="000000"/>
                <w:sz w:val="20"/>
                <w:szCs w:val="20"/>
              </w:rPr>
              <w:t>吳俊模</w:t>
            </w:r>
            <w:r>
              <w:rPr>
                <w:rFonts w:hint="eastAsia"/>
                <w:sz w:val="20"/>
                <w:szCs w:val="20"/>
              </w:rPr>
              <w:t>案</w:t>
            </w:r>
          </w:p>
          <w:p w:rsidR="00000000" w:rsidRDefault="000236BE">
            <w:pPr>
              <w:snapToGrid w:val="0"/>
              <w:jc w:val="center"/>
              <w:rPr>
                <w:rFonts w:hint="eastAsia"/>
                <w:sz w:val="20"/>
                <w:szCs w:val="20"/>
              </w:rPr>
            </w:pPr>
          </w:p>
        </w:tc>
        <w:tc>
          <w:tcPr>
            <w:tcW w:w="900" w:type="dxa"/>
            <w:vMerge w:val="restart"/>
            <w:tcBorders>
              <w:top w:val="thickThinSmallGap" w:sz="24" w:space="0" w:color="auto"/>
            </w:tcBorders>
            <w:shd w:val="clear" w:color="auto" w:fill="E0E0E0"/>
            <w:vAlign w:val="center"/>
          </w:tcPr>
          <w:p w:rsidR="00000000" w:rsidRDefault="000236BE">
            <w:pPr>
              <w:snapToGrid w:val="0"/>
              <w:jc w:val="center"/>
              <w:rPr>
                <w:rFonts w:hint="eastAsia"/>
                <w:sz w:val="20"/>
                <w:szCs w:val="20"/>
              </w:rPr>
            </w:pPr>
          </w:p>
        </w:tc>
        <w:tc>
          <w:tcPr>
            <w:tcW w:w="900" w:type="dxa"/>
            <w:vMerge w:val="restart"/>
            <w:tcBorders>
              <w:top w:val="thickThinSmallGap" w:sz="24" w:space="0" w:color="auto"/>
            </w:tcBorders>
            <w:vAlign w:val="center"/>
          </w:tcPr>
          <w:p w:rsidR="00000000" w:rsidRDefault="000236BE">
            <w:pPr>
              <w:snapToGrid w:val="0"/>
              <w:jc w:val="center"/>
              <w:rPr>
                <w:sz w:val="20"/>
                <w:szCs w:val="20"/>
                <w:lang w:val="de-DE"/>
              </w:rPr>
            </w:pPr>
          </w:p>
        </w:tc>
        <w:tc>
          <w:tcPr>
            <w:tcW w:w="900" w:type="dxa"/>
            <w:vMerge w:val="restart"/>
            <w:tcBorders>
              <w:top w:val="thickThinSmallGap" w:sz="24" w:space="0" w:color="auto"/>
            </w:tcBorders>
            <w:vAlign w:val="center"/>
          </w:tcPr>
          <w:p w:rsidR="00000000" w:rsidRDefault="000236BE">
            <w:pPr>
              <w:snapToGrid w:val="0"/>
              <w:jc w:val="center"/>
              <w:rPr>
                <w:rFonts w:hint="eastAsia"/>
                <w:sz w:val="20"/>
                <w:szCs w:val="20"/>
              </w:rPr>
            </w:pPr>
            <w:r>
              <w:rPr>
                <w:rFonts w:ascii="新細明體" w:hAnsi="新細明體" w:hint="eastAsia"/>
                <w:sz w:val="20"/>
                <w:szCs w:val="20"/>
              </w:rPr>
              <w:t>王少雲</w:t>
            </w:r>
            <w:r>
              <w:rPr>
                <w:rStyle w:val="af3"/>
                <w:rFonts w:hint="eastAsia"/>
                <w:sz w:val="20"/>
                <w:szCs w:val="20"/>
              </w:rPr>
              <w:t>案</w:t>
            </w:r>
          </w:p>
        </w:tc>
        <w:tc>
          <w:tcPr>
            <w:tcW w:w="900" w:type="dxa"/>
            <w:vMerge w:val="restart"/>
            <w:tcBorders>
              <w:top w:val="thickThinSmallGap" w:sz="24" w:space="0" w:color="auto"/>
            </w:tcBorders>
            <w:shd w:val="clear" w:color="auto" w:fill="E0E0E0"/>
            <w:vAlign w:val="center"/>
          </w:tcPr>
          <w:p w:rsidR="00000000" w:rsidRDefault="000236BE">
            <w:pPr>
              <w:snapToGrid w:val="0"/>
              <w:jc w:val="center"/>
              <w:rPr>
                <w:rFonts w:eastAsia="MS Mincho"/>
                <w:sz w:val="20"/>
                <w:szCs w:val="20"/>
                <w:lang w:eastAsia="ja-JP"/>
              </w:rPr>
            </w:pPr>
            <w:r>
              <w:rPr>
                <w:color w:val="000000"/>
                <w:sz w:val="20"/>
                <w:szCs w:val="20"/>
              </w:rPr>
              <w:t>稅代州</w:t>
            </w:r>
            <w:r>
              <w:rPr>
                <w:rStyle w:val="af3"/>
                <w:rFonts w:hint="eastAsia"/>
                <w:sz w:val="20"/>
                <w:szCs w:val="20"/>
              </w:rPr>
              <w:t>案</w:t>
            </w:r>
            <w:r>
              <w:rPr>
                <w:rStyle w:val="af3"/>
                <w:sz w:val="20"/>
                <w:szCs w:val="20"/>
              </w:rPr>
              <w:t xml:space="preserve"> </w:t>
            </w:r>
            <w:r>
              <w:rPr>
                <w:rStyle w:val="af3"/>
                <w:rFonts w:ascii="Times New Roman" w:hAnsi="Times New Roman"/>
                <w:sz w:val="20"/>
                <w:szCs w:val="20"/>
              </w:rPr>
              <w:t>***</w:t>
            </w:r>
          </w:p>
        </w:tc>
        <w:tc>
          <w:tcPr>
            <w:tcW w:w="900" w:type="dxa"/>
            <w:vMerge w:val="restart"/>
            <w:tcBorders>
              <w:top w:val="thickThinSmallGap" w:sz="24" w:space="0" w:color="auto"/>
            </w:tcBorders>
            <w:shd w:val="clear" w:color="auto" w:fill="E0E0E0"/>
            <w:vAlign w:val="center"/>
          </w:tcPr>
          <w:p w:rsidR="00000000" w:rsidRDefault="000236BE">
            <w:pPr>
              <w:snapToGrid w:val="0"/>
              <w:jc w:val="center"/>
              <w:rPr>
                <w:rFonts w:hint="eastAsia"/>
                <w:sz w:val="20"/>
                <w:szCs w:val="20"/>
              </w:rPr>
            </w:pPr>
            <w:r>
              <w:rPr>
                <w:rStyle w:val="stext"/>
                <w:rFonts w:hint="eastAsia"/>
                <w:sz w:val="20"/>
                <w:szCs w:val="20"/>
              </w:rPr>
              <w:t>葉玉琴</w:t>
            </w:r>
            <w:r>
              <w:rPr>
                <w:rStyle w:val="af3"/>
                <w:rFonts w:hint="eastAsia"/>
                <w:sz w:val="20"/>
                <w:szCs w:val="20"/>
              </w:rPr>
              <w:t>案</w:t>
            </w:r>
            <w:r>
              <w:rPr>
                <w:rStyle w:val="af3"/>
                <w:sz w:val="20"/>
                <w:szCs w:val="20"/>
              </w:rPr>
              <w:t xml:space="preserve"> </w:t>
            </w:r>
            <w:r>
              <w:rPr>
                <w:rStyle w:val="af3"/>
                <w:rFonts w:ascii="Times New Roman" w:hAnsi="Times New Roman"/>
                <w:sz w:val="20"/>
                <w:szCs w:val="20"/>
              </w:rPr>
              <w:t>***</w:t>
            </w:r>
          </w:p>
        </w:tc>
        <w:tc>
          <w:tcPr>
            <w:tcW w:w="900" w:type="dxa"/>
            <w:vMerge w:val="restart"/>
            <w:tcBorders>
              <w:top w:val="thickThinSmallGap" w:sz="24" w:space="0" w:color="auto"/>
            </w:tcBorders>
            <w:vAlign w:val="center"/>
          </w:tcPr>
          <w:p w:rsidR="00000000" w:rsidRDefault="000236BE">
            <w:pPr>
              <w:snapToGrid w:val="0"/>
              <w:jc w:val="center"/>
              <w:rPr>
                <w:rFonts w:hint="eastAsia"/>
                <w:sz w:val="20"/>
                <w:szCs w:val="20"/>
              </w:rPr>
            </w:pPr>
          </w:p>
        </w:tc>
      </w:tr>
      <w:tr w:rsidR="00000000">
        <w:trPr>
          <w:cantSplit/>
          <w:trHeight w:val="528"/>
        </w:trPr>
        <w:tc>
          <w:tcPr>
            <w:tcW w:w="648" w:type="dxa"/>
            <w:vMerge/>
            <w:tcBorders>
              <w:bottom w:val="thickThinSmallGap" w:sz="24" w:space="0" w:color="auto"/>
              <w:right w:val="thickThinSmallGap" w:sz="24" w:space="0" w:color="auto"/>
            </w:tcBorders>
            <w:vAlign w:val="center"/>
          </w:tcPr>
          <w:p w:rsidR="00000000" w:rsidRDefault="000236BE">
            <w:pPr>
              <w:snapToGrid w:val="0"/>
              <w:jc w:val="center"/>
              <w:rPr>
                <w:sz w:val="20"/>
                <w:szCs w:val="20"/>
              </w:rPr>
            </w:pPr>
          </w:p>
        </w:tc>
        <w:tc>
          <w:tcPr>
            <w:tcW w:w="900" w:type="dxa"/>
            <w:vMerge/>
            <w:tcBorders>
              <w:left w:val="thickThinSmallGap" w:sz="24" w:space="0" w:color="auto"/>
              <w:bottom w:val="thickThinSmallGap" w:sz="24" w:space="0" w:color="auto"/>
            </w:tcBorders>
            <w:vAlign w:val="center"/>
          </w:tcPr>
          <w:p w:rsidR="00000000" w:rsidRDefault="000236BE">
            <w:pPr>
              <w:snapToGrid w:val="0"/>
              <w:jc w:val="center"/>
              <w:rPr>
                <w:rFonts w:hint="eastAsia"/>
                <w:sz w:val="20"/>
                <w:szCs w:val="20"/>
              </w:rPr>
            </w:pPr>
          </w:p>
        </w:tc>
        <w:tc>
          <w:tcPr>
            <w:tcW w:w="900" w:type="dxa"/>
            <w:vMerge/>
            <w:tcBorders>
              <w:bottom w:val="thickThinSmallGap" w:sz="24" w:space="0" w:color="auto"/>
            </w:tcBorders>
            <w:vAlign w:val="center"/>
          </w:tcPr>
          <w:p w:rsidR="00000000" w:rsidRDefault="000236BE">
            <w:pPr>
              <w:snapToGrid w:val="0"/>
              <w:jc w:val="center"/>
              <w:rPr>
                <w:rFonts w:hint="eastAsia"/>
                <w:sz w:val="20"/>
                <w:szCs w:val="20"/>
              </w:rPr>
            </w:pPr>
          </w:p>
        </w:tc>
        <w:tc>
          <w:tcPr>
            <w:tcW w:w="900" w:type="dxa"/>
            <w:vMerge/>
            <w:tcBorders>
              <w:bottom w:val="thickThinSmallGap" w:sz="24" w:space="0" w:color="auto"/>
            </w:tcBorders>
            <w:vAlign w:val="center"/>
          </w:tcPr>
          <w:p w:rsidR="00000000" w:rsidRDefault="000236BE">
            <w:pPr>
              <w:snapToGrid w:val="0"/>
              <w:jc w:val="center"/>
              <w:rPr>
                <w:rFonts w:hint="eastAsia"/>
                <w:sz w:val="20"/>
                <w:szCs w:val="20"/>
              </w:rPr>
            </w:pPr>
          </w:p>
        </w:tc>
        <w:tc>
          <w:tcPr>
            <w:tcW w:w="900" w:type="dxa"/>
            <w:tcBorders>
              <w:bottom w:val="thickThinSmallGap" w:sz="24" w:space="0" w:color="auto"/>
            </w:tcBorders>
            <w:vAlign w:val="center"/>
          </w:tcPr>
          <w:p w:rsidR="00000000" w:rsidRDefault="000236BE">
            <w:pPr>
              <w:snapToGrid w:val="0"/>
              <w:jc w:val="center"/>
              <w:rPr>
                <w:rFonts w:hint="eastAsia"/>
                <w:sz w:val="20"/>
                <w:szCs w:val="20"/>
              </w:rPr>
            </w:pPr>
            <w:r>
              <w:rPr>
                <w:rFonts w:hint="eastAsia"/>
                <w:sz w:val="20"/>
                <w:szCs w:val="20"/>
              </w:rPr>
              <w:t>張夢麟案</w:t>
            </w:r>
          </w:p>
        </w:tc>
        <w:tc>
          <w:tcPr>
            <w:tcW w:w="900" w:type="dxa"/>
            <w:vMerge/>
            <w:tcBorders>
              <w:bottom w:val="thickThinSmallGap" w:sz="24" w:space="0" w:color="auto"/>
            </w:tcBorders>
            <w:shd w:val="clear" w:color="auto" w:fill="E0E0E0"/>
            <w:vAlign w:val="center"/>
          </w:tcPr>
          <w:p w:rsidR="00000000" w:rsidRDefault="000236BE">
            <w:pPr>
              <w:snapToGrid w:val="0"/>
              <w:jc w:val="center"/>
              <w:rPr>
                <w:rFonts w:hint="eastAsia"/>
                <w:sz w:val="20"/>
                <w:szCs w:val="20"/>
              </w:rPr>
            </w:pPr>
          </w:p>
        </w:tc>
        <w:tc>
          <w:tcPr>
            <w:tcW w:w="900" w:type="dxa"/>
            <w:vMerge/>
            <w:tcBorders>
              <w:bottom w:val="thickThinSmallGap" w:sz="24" w:space="0" w:color="auto"/>
            </w:tcBorders>
            <w:vAlign w:val="center"/>
          </w:tcPr>
          <w:p w:rsidR="00000000" w:rsidRDefault="000236BE">
            <w:pPr>
              <w:snapToGrid w:val="0"/>
              <w:jc w:val="center"/>
              <w:rPr>
                <w:rFonts w:hint="eastAsia"/>
                <w:sz w:val="20"/>
                <w:szCs w:val="20"/>
              </w:rPr>
            </w:pPr>
          </w:p>
        </w:tc>
        <w:tc>
          <w:tcPr>
            <w:tcW w:w="900" w:type="dxa"/>
            <w:vMerge/>
            <w:tcBorders>
              <w:bottom w:val="thickThinSmallGap" w:sz="24" w:space="0" w:color="auto"/>
            </w:tcBorders>
            <w:vAlign w:val="center"/>
          </w:tcPr>
          <w:p w:rsidR="00000000" w:rsidRDefault="000236BE">
            <w:pPr>
              <w:snapToGrid w:val="0"/>
              <w:jc w:val="center"/>
              <w:rPr>
                <w:rFonts w:hint="eastAsia"/>
                <w:sz w:val="20"/>
                <w:szCs w:val="20"/>
              </w:rPr>
            </w:pPr>
          </w:p>
        </w:tc>
        <w:tc>
          <w:tcPr>
            <w:tcW w:w="900" w:type="dxa"/>
            <w:vMerge/>
            <w:tcBorders>
              <w:bottom w:val="thickThinSmallGap" w:sz="24" w:space="0" w:color="auto"/>
            </w:tcBorders>
            <w:vAlign w:val="center"/>
          </w:tcPr>
          <w:p w:rsidR="00000000" w:rsidRDefault="000236BE">
            <w:pPr>
              <w:snapToGrid w:val="0"/>
              <w:jc w:val="center"/>
              <w:rPr>
                <w:rFonts w:hint="eastAsia"/>
                <w:sz w:val="20"/>
                <w:szCs w:val="20"/>
              </w:rPr>
            </w:pPr>
          </w:p>
        </w:tc>
        <w:tc>
          <w:tcPr>
            <w:tcW w:w="900" w:type="dxa"/>
            <w:vMerge/>
            <w:tcBorders>
              <w:bottom w:val="thickThinSmallGap" w:sz="24" w:space="0" w:color="auto"/>
            </w:tcBorders>
            <w:vAlign w:val="center"/>
          </w:tcPr>
          <w:p w:rsidR="00000000" w:rsidRDefault="000236BE">
            <w:pPr>
              <w:snapToGrid w:val="0"/>
              <w:jc w:val="center"/>
              <w:rPr>
                <w:rFonts w:hint="eastAsia"/>
                <w:sz w:val="20"/>
                <w:szCs w:val="20"/>
              </w:rPr>
            </w:pPr>
          </w:p>
        </w:tc>
        <w:tc>
          <w:tcPr>
            <w:tcW w:w="900" w:type="dxa"/>
            <w:vMerge/>
            <w:tcBorders>
              <w:bottom w:val="thickThinSmallGap" w:sz="24" w:space="0" w:color="auto"/>
            </w:tcBorders>
            <w:vAlign w:val="center"/>
          </w:tcPr>
          <w:p w:rsidR="00000000" w:rsidRDefault="000236BE">
            <w:pPr>
              <w:snapToGrid w:val="0"/>
              <w:jc w:val="center"/>
              <w:rPr>
                <w:rFonts w:hint="eastAsia"/>
                <w:sz w:val="20"/>
                <w:szCs w:val="20"/>
              </w:rPr>
            </w:pPr>
          </w:p>
        </w:tc>
      </w:tr>
      <w:tr w:rsidR="00000000">
        <w:trPr>
          <w:cantSplit/>
          <w:trHeight w:val="528"/>
        </w:trPr>
        <w:tc>
          <w:tcPr>
            <w:tcW w:w="648" w:type="dxa"/>
            <w:vMerge w:val="restart"/>
            <w:tcBorders>
              <w:top w:val="thickThinSmallGap" w:sz="24" w:space="0" w:color="auto"/>
              <w:right w:val="thickThinSmallGap" w:sz="24" w:space="0" w:color="auto"/>
            </w:tcBorders>
            <w:vAlign w:val="center"/>
          </w:tcPr>
          <w:p w:rsidR="00000000" w:rsidRDefault="000236BE">
            <w:pPr>
              <w:snapToGrid w:val="0"/>
              <w:jc w:val="center"/>
              <w:rPr>
                <w:rFonts w:hint="eastAsia"/>
                <w:sz w:val="20"/>
                <w:szCs w:val="20"/>
              </w:rPr>
            </w:pPr>
            <w:r>
              <w:rPr>
                <w:rFonts w:hint="eastAsia"/>
                <w:sz w:val="20"/>
                <w:szCs w:val="20"/>
              </w:rPr>
              <w:t>復</w:t>
            </w:r>
          </w:p>
          <w:p w:rsidR="00000000" w:rsidRDefault="000236BE">
            <w:pPr>
              <w:snapToGrid w:val="0"/>
              <w:jc w:val="center"/>
              <w:rPr>
                <w:sz w:val="20"/>
                <w:szCs w:val="20"/>
              </w:rPr>
            </w:pPr>
            <w:r>
              <w:rPr>
                <w:rFonts w:hint="eastAsia"/>
                <w:sz w:val="20"/>
                <w:szCs w:val="20"/>
              </w:rPr>
              <w:t>審</w:t>
            </w:r>
          </w:p>
        </w:tc>
        <w:tc>
          <w:tcPr>
            <w:tcW w:w="900" w:type="dxa"/>
            <w:vMerge w:val="restart"/>
            <w:tcBorders>
              <w:top w:val="thickThinSmallGap" w:sz="24" w:space="0" w:color="auto"/>
              <w:left w:val="thickThinSmallGap" w:sz="24" w:space="0" w:color="auto"/>
            </w:tcBorders>
          </w:tcPr>
          <w:p w:rsidR="00000000" w:rsidRDefault="000236BE">
            <w:pPr>
              <w:snapToGrid w:val="0"/>
              <w:jc w:val="center"/>
              <w:rPr>
                <w:rFonts w:hint="eastAsia"/>
                <w:sz w:val="20"/>
                <w:szCs w:val="20"/>
              </w:rPr>
            </w:pPr>
          </w:p>
        </w:tc>
        <w:tc>
          <w:tcPr>
            <w:tcW w:w="900" w:type="dxa"/>
            <w:vMerge w:val="restart"/>
            <w:tcBorders>
              <w:top w:val="thickThinSmallGap" w:sz="24" w:space="0" w:color="auto"/>
            </w:tcBorders>
          </w:tcPr>
          <w:p w:rsidR="00000000" w:rsidRDefault="000236BE">
            <w:pPr>
              <w:snapToGrid w:val="0"/>
              <w:jc w:val="center"/>
              <w:rPr>
                <w:rFonts w:hint="eastAsia"/>
                <w:sz w:val="20"/>
                <w:szCs w:val="20"/>
              </w:rPr>
            </w:pPr>
          </w:p>
        </w:tc>
        <w:tc>
          <w:tcPr>
            <w:tcW w:w="900" w:type="dxa"/>
            <w:vMerge w:val="restart"/>
            <w:tcBorders>
              <w:top w:val="thickThinSmallGap" w:sz="24" w:space="0" w:color="auto"/>
            </w:tcBorders>
          </w:tcPr>
          <w:p w:rsidR="00000000" w:rsidRDefault="000236BE">
            <w:pPr>
              <w:snapToGrid w:val="0"/>
              <w:jc w:val="center"/>
              <w:rPr>
                <w:rFonts w:hint="eastAsia"/>
                <w:sz w:val="20"/>
                <w:szCs w:val="20"/>
              </w:rPr>
            </w:pPr>
          </w:p>
        </w:tc>
        <w:tc>
          <w:tcPr>
            <w:tcW w:w="900" w:type="dxa"/>
            <w:vMerge w:val="restart"/>
            <w:tcBorders>
              <w:top w:val="thickThinSmallGap" w:sz="24" w:space="0" w:color="auto"/>
            </w:tcBorders>
          </w:tcPr>
          <w:p w:rsidR="00000000" w:rsidRDefault="000236BE">
            <w:pPr>
              <w:snapToGrid w:val="0"/>
              <w:jc w:val="center"/>
              <w:rPr>
                <w:rFonts w:hint="eastAsia"/>
                <w:sz w:val="20"/>
                <w:szCs w:val="20"/>
              </w:rPr>
            </w:pPr>
          </w:p>
        </w:tc>
        <w:tc>
          <w:tcPr>
            <w:tcW w:w="900" w:type="dxa"/>
            <w:vMerge w:val="restart"/>
            <w:tcBorders>
              <w:top w:val="thickThinSmallGap" w:sz="24" w:space="0" w:color="auto"/>
            </w:tcBorders>
            <w:shd w:val="clear" w:color="auto" w:fill="E0E0E0"/>
          </w:tcPr>
          <w:p w:rsidR="00000000" w:rsidRDefault="000236BE">
            <w:pPr>
              <w:snapToGrid w:val="0"/>
              <w:jc w:val="center"/>
              <w:rPr>
                <w:rFonts w:hint="eastAsia"/>
                <w:sz w:val="20"/>
                <w:szCs w:val="20"/>
              </w:rPr>
            </w:pPr>
          </w:p>
        </w:tc>
        <w:tc>
          <w:tcPr>
            <w:tcW w:w="900" w:type="dxa"/>
            <w:vMerge w:val="restart"/>
            <w:tcBorders>
              <w:top w:val="thickThinSmallGap" w:sz="24" w:space="0" w:color="auto"/>
            </w:tcBorders>
            <w:vAlign w:val="center"/>
          </w:tcPr>
          <w:p w:rsidR="00000000" w:rsidRDefault="000236BE">
            <w:pPr>
              <w:snapToGrid w:val="0"/>
              <w:jc w:val="center"/>
              <w:rPr>
                <w:rFonts w:hint="eastAsia"/>
                <w:sz w:val="20"/>
                <w:szCs w:val="20"/>
              </w:rPr>
            </w:pPr>
            <w:r>
              <w:rPr>
                <w:rFonts w:hint="eastAsia"/>
                <w:sz w:val="20"/>
                <w:szCs w:val="20"/>
              </w:rPr>
              <w:t>林華彥</w:t>
            </w:r>
            <w:r>
              <w:rPr>
                <w:rStyle w:val="af3"/>
                <w:rFonts w:hint="eastAsia"/>
                <w:sz w:val="20"/>
                <w:szCs w:val="20"/>
              </w:rPr>
              <w:t>案</w:t>
            </w:r>
            <w:r>
              <w:rPr>
                <w:rStyle w:val="af3"/>
                <w:rFonts w:hint="eastAsia"/>
                <w:sz w:val="20"/>
                <w:szCs w:val="20"/>
              </w:rPr>
              <w:t xml:space="preserve"> </w:t>
            </w:r>
            <w:r>
              <w:rPr>
                <w:rStyle w:val="af3"/>
                <w:rFonts w:ascii="Times New Roman" w:hAnsi="Times New Roman"/>
                <w:sz w:val="20"/>
                <w:szCs w:val="20"/>
              </w:rPr>
              <w:t>*</w:t>
            </w:r>
          </w:p>
        </w:tc>
        <w:tc>
          <w:tcPr>
            <w:tcW w:w="900" w:type="dxa"/>
            <w:vMerge w:val="restart"/>
            <w:tcBorders>
              <w:top w:val="thickThinSmallGap" w:sz="24" w:space="0" w:color="auto"/>
            </w:tcBorders>
          </w:tcPr>
          <w:p w:rsidR="00000000" w:rsidRDefault="000236BE">
            <w:pPr>
              <w:snapToGrid w:val="0"/>
              <w:jc w:val="center"/>
              <w:rPr>
                <w:rFonts w:hint="eastAsia"/>
                <w:sz w:val="20"/>
                <w:szCs w:val="20"/>
              </w:rPr>
            </w:pPr>
          </w:p>
        </w:tc>
        <w:tc>
          <w:tcPr>
            <w:tcW w:w="900" w:type="dxa"/>
            <w:tcBorders>
              <w:top w:val="thickThinSmallGap" w:sz="24" w:space="0" w:color="auto"/>
            </w:tcBorders>
          </w:tcPr>
          <w:p w:rsidR="00000000" w:rsidRDefault="000236BE">
            <w:pPr>
              <w:snapToGrid w:val="0"/>
              <w:jc w:val="center"/>
              <w:rPr>
                <w:rFonts w:hint="eastAsia"/>
                <w:sz w:val="20"/>
                <w:szCs w:val="20"/>
              </w:rPr>
            </w:pPr>
            <w:r>
              <w:rPr>
                <w:sz w:val="20"/>
                <w:szCs w:val="20"/>
              </w:rPr>
              <w:t>劉慶蜀</w:t>
            </w:r>
            <w:r>
              <w:rPr>
                <w:rStyle w:val="af3"/>
                <w:rFonts w:hint="eastAsia"/>
                <w:sz w:val="20"/>
                <w:szCs w:val="20"/>
              </w:rPr>
              <w:t>案</w:t>
            </w:r>
            <w:r>
              <w:rPr>
                <w:rStyle w:val="af3"/>
                <w:rFonts w:hint="eastAsia"/>
                <w:sz w:val="20"/>
                <w:szCs w:val="20"/>
              </w:rPr>
              <w:t xml:space="preserve"> </w:t>
            </w:r>
            <w:r>
              <w:rPr>
                <w:rStyle w:val="af3"/>
                <w:rFonts w:ascii="Times New Roman" w:hAnsi="Times New Roman"/>
                <w:sz w:val="20"/>
                <w:szCs w:val="20"/>
              </w:rPr>
              <w:t>**</w:t>
            </w:r>
          </w:p>
        </w:tc>
        <w:tc>
          <w:tcPr>
            <w:tcW w:w="900" w:type="dxa"/>
            <w:vMerge w:val="restart"/>
            <w:tcBorders>
              <w:top w:val="thickThinSmallGap" w:sz="24" w:space="0" w:color="auto"/>
            </w:tcBorders>
            <w:vAlign w:val="center"/>
          </w:tcPr>
          <w:p w:rsidR="00000000" w:rsidRDefault="000236BE">
            <w:pPr>
              <w:snapToGrid w:val="0"/>
              <w:jc w:val="center"/>
              <w:rPr>
                <w:rFonts w:hint="eastAsia"/>
                <w:sz w:val="20"/>
                <w:szCs w:val="20"/>
              </w:rPr>
            </w:pPr>
            <w:r>
              <w:rPr>
                <w:rStyle w:val="stext"/>
                <w:sz w:val="20"/>
                <w:szCs w:val="20"/>
              </w:rPr>
              <w:t>黃椿雄</w:t>
            </w:r>
            <w:r>
              <w:rPr>
                <w:rStyle w:val="af3"/>
                <w:rFonts w:hint="eastAsia"/>
                <w:sz w:val="20"/>
                <w:szCs w:val="20"/>
              </w:rPr>
              <w:t>案</w:t>
            </w:r>
          </w:p>
        </w:tc>
        <w:tc>
          <w:tcPr>
            <w:tcW w:w="900" w:type="dxa"/>
            <w:vMerge w:val="restart"/>
            <w:tcBorders>
              <w:top w:val="thickThinSmallGap" w:sz="24" w:space="0" w:color="auto"/>
            </w:tcBorders>
            <w:vAlign w:val="center"/>
          </w:tcPr>
          <w:p w:rsidR="00000000" w:rsidRDefault="000236BE">
            <w:pPr>
              <w:snapToGrid w:val="0"/>
              <w:jc w:val="center"/>
              <w:rPr>
                <w:rFonts w:hint="eastAsia"/>
                <w:sz w:val="20"/>
                <w:szCs w:val="20"/>
              </w:rPr>
            </w:pPr>
            <w:r>
              <w:rPr>
                <w:rFonts w:ascii="新細明體" w:hAnsi="新細明體" w:hint="eastAsia"/>
                <w:sz w:val="20"/>
                <w:szCs w:val="20"/>
              </w:rPr>
              <w:t>張志賓</w:t>
            </w:r>
            <w:r>
              <w:rPr>
                <w:rStyle w:val="af3"/>
                <w:rFonts w:hint="eastAsia"/>
                <w:sz w:val="20"/>
                <w:szCs w:val="20"/>
              </w:rPr>
              <w:t>案</w:t>
            </w:r>
          </w:p>
        </w:tc>
      </w:tr>
      <w:tr w:rsidR="00000000">
        <w:trPr>
          <w:cantSplit/>
          <w:trHeight w:val="528"/>
        </w:trPr>
        <w:tc>
          <w:tcPr>
            <w:tcW w:w="648" w:type="dxa"/>
            <w:vMerge/>
            <w:tcBorders>
              <w:right w:val="thickThinSmallGap" w:sz="24" w:space="0" w:color="auto"/>
            </w:tcBorders>
          </w:tcPr>
          <w:p w:rsidR="00000000" w:rsidRDefault="000236BE">
            <w:pPr>
              <w:snapToGrid w:val="0"/>
              <w:jc w:val="center"/>
              <w:rPr>
                <w:sz w:val="20"/>
                <w:szCs w:val="20"/>
              </w:rPr>
            </w:pPr>
          </w:p>
        </w:tc>
        <w:tc>
          <w:tcPr>
            <w:tcW w:w="900" w:type="dxa"/>
            <w:vMerge/>
            <w:tcBorders>
              <w:left w:val="thickThinSmallGap" w:sz="24" w:space="0" w:color="auto"/>
            </w:tcBorders>
          </w:tcPr>
          <w:p w:rsidR="00000000" w:rsidRDefault="000236BE">
            <w:pPr>
              <w:snapToGrid w:val="0"/>
              <w:jc w:val="center"/>
              <w:rPr>
                <w:rFonts w:hint="eastAsia"/>
                <w:sz w:val="20"/>
                <w:szCs w:val="20"/>
              </w:rPr>
            </w:pPr>
          </w:p>
        </w:tc>
        <w:tc>
          <w:tcPr>
            <w:tcW w:w="900" w:type="dxa"/>
            <w:vMerge/>
          </w:tcPr>
          <w:p w:rsidR="00000000" w:rsidRDefault="000236BE">
            <w:pPr>
              <w:snapToGrid w:val="0"/>
              <w:jc w:val="center"/>
              <w:rPr>
                <w:rFonts w:hint="eastAsia"/>
                <w:sz w:val="20"/>
                <w:szCs w:val="20"/>
              </w:rPr>
            </w:pPr>
          </w:p>
        </w:tc>
        <w:tc>
          <w:tcPr>
            <w:tcW w:w="900" w:type="dxa"/>
            <w:vMerge/>
          </w:tcPr>
          <w:p w:rsidR="00000000" w:rsidRDefault="000236BE">
            <w:pPr>
              <w:snapToGrid w:val="0"/>
              <w:jc w:val="center"/>
              <w:rPr>
                <w:rFonts w:hint="eastAsia"/>
                <w:sz w:val="20"/>
                <w:szCs w:val="20"/>
              </w:rPr>
            </w:pPr>
          </w:p>
        </w:tc>
        <w:tc>
          <w:tcPr>
            <w:tcW w:w="900" w:type="dxa"/>
            <w:vMerge/>
          </w:tcPr>
          <w:p w:rsidR="00000000" w:rsidRDefault="000236BE">
            <w:pPr>
              <w:snapToGrid w:val="0"/>
              <w:jc w:val="center"/>
              <w:rPr>
                <w:rFonts w:hint="eastAsia"/>
                <w:sz w:val="20"/>
                <w:szCs w:val="20"/>
              </w:rPr>
            </w:pPr>
          </w:p>
        </w:tc>
        <w:tc>
          <w:tcPr>
            <w:tcW w:w="900" w:type="dxa"/>
            <w:vMerge/>
            <w:shd w:val="clear" w:color="auto" w:fill="E0E0E0"/>
          </w:tcPr>
          <w:p w:rsidR="00000000" w:rsidRDefault="000236BE">
            <w:pPr>
              <w:snapToGrid w:val="0"/>
              <w:jc w:val="center"/>
              <w:rPr>
                <w:rFonts w:hint="eastAsia"/>
                <w:sz w:val="20"/>
                <w:szCs w:val="20"/>
              </w:rPr>
            </w:pPr>
          </w:p>
        </w:tc>
        <w:tc>
          <w:tcPr>
            <w:tcW w:w="900" w:type="dxa"/>
            <w:vMerge/>
          </w:tcPr>
          <w:p w:rsidR="00000000" w:rsidRDefault="000236BE">
            <w:pPr>
              <w:snapToGrid w:val="0"/>
              <w:jc w:val="center"/>
              <w:rPr>
                <w:rFonts w:hint="eastAsia"/>
                <w:sz w:val="20"/>
                <w:szCs w:val="20"/>
              </w:rPr>
            </w:pPr>
          </w:p>
        </w:tc>
        <w:tc>
          <w:tcPr>
            <w:tcW w:w="900" w:type="dxa"/>
            <w:vMerge/>
          </w:tcPr>
          <w:p w:rsidR="00000000" w:rsidRDefault="000236BE">
            <w:pPr>
              <w:snapToGrid w:val="0"/>
              <w:jc w:val="center"/>
              <w:rPr>
                <w:rFonts w:hint="eastAsia"/>
                <w:sz w:val="20"/>
                <w:szCs w:val="20"/>
              </w:rPr>
            </w:pPr>
          </w:p>
        </w:tc>
        <w:tc>
          <w:tcPr>
            <w:tcW w:w="900" w:type="dxa"/>
            <w:tcBorders>
              <w:bottom w:val="single" w:sz="4" w:space="0" w:color="auto"/>
            </w:tcBorders>
          </w:tcPr>
          <w:p w:rsidR="00000000" w:rsidRDefault="000236BE">
            <w:pPr>
              <w:snapToGrid w:val="0"/>
              <w:jc w:val="center"/>
              <w:rPr>
                <w:rFonts w:hint="eastAsia"/>
                <w:sz w:val="20"/>
                <w:szCs w:val="20"/>
              </w:rPr>
            </w:pPr>
            <w:r>
              <w:rPr>
                <w:sz w:val="20"/>
                <w:szCs w:val="20"/>
              </w:rPr>
              <w:t>謝隆寶</w:t>
            </w:r>
            <w:r>
              <w:rPr>
                <w:rFonts w:hint="eastAsia"/>
                <w:sz w:val="20"/>
                <w:szCs w:val="20"/>
              </w:rPr>
              <w:t>I</w:t>
            </w:r>
            <w:r>
              <w:rPr>
                <w:rStyle w:val="af3"/>
                <w:rFonts w:hint="eastAsia"/>
                <w:sz w:val="20"/>
                <w:szCs w:val="20"/>
              </w:rPr>
              <w:t>案</w:t>
            </w:r>
          </w:p>
        </w:tc>
        <w:tc>
          <w:tcPr>
            <w:tcW w:w="900" w:type="dxa"/>
            <w:vMerge/>
          </w:tcPr>
          <w:p w:rsidR="00000000" w:rsidRDefault="000236BE">
            <w:pPr>
              <w:snapToGrid w:val="0"/>
              <w:jc w:val="center"/>
              <w:rPr>
                <w:rFonts w:hint="eastAsia"/>
                <w:b/>
                <w:sz w:val="20"/>
                <w:szCs w:val="20"/>
              </w:rPr>
            </w:pPr>
          </w:p>
        </w:tc>
        <w:tc>
          <w:tcPr>
            <w:tcW w:w="900" w:type="dxa"/>
            <w:vMerge/>
          </w:tcPr>
          <w:p w:rsidR="00000000" w:rsidRDefault="000236BE">
            <w:pPr>
              <w:snapToGrid w:val="0"/>
              <w:jc w:val="center"/>
              <w:rPr>
                <w:rFonts w:hint="eastAsia"/>
                <w:sz w:val="20"/>
                <w:szCs w:val="20"/>
              </w:rPr>
            </w:pPr>
          </w:p>
        </w:tc>
      </w:tr>
      <w:tr w:rsidR="00000000">
        <w:trPr>
          <w:cantSplit/>
          <w:trHeight w:val="528"/>
        </w:trPr>
        <w:tc>
          <w:tcPr>
            <w:tcW w:w="648" w:type="dxa"/>
            <w:vMerge/>
            <w:tcBorders>
              <w:bottom w:val="thickThinSmallGap" w:sz="24" w:space="0" w:color="auto"/>
              <w:right w:val="thickThinSmallGap" w:sz="24" w:space="0" w:color="auto"/>
            </w:tcBorders>
          </w:tcPr>
          <w:p w:rsidR="00000000" w:rsidRDefault="000236BE">
            <w:pPr>
              <w:snapToGrid w:val="0"/>
              <w:jc w:val="center"/>
              <w:rPr>
                <w:sz w:val="20"/>
                <w:szCs w:val="20"/>
              </w:rPr>
            </w:pPr>
          </w:p>
        </w:tc>
        <w:tc>
          <w:tcPr>
            <w:tcW w:w="900" w:type="dxa"/>
            <w:vMerge/>
            <w:tcBorders>
              <w:left w:val="thickThinSmallGap" w:sz="24" w:space="0" w:color="auto"/>
              <w:bottom w:val="thickThinSmallGap" w:sz="24" w:space="0" w:color="auto"/>
            </w:tcBorders>
          </w:tcPr>
          <w:p w:rsidR="00000000" w:rsidRDefault="000236BE">
            <w:pPr>
              <w:snapToGrid w:val="0"/>
              <w:jc w:val="center"/>
              <w:rPr>
                <w:rFonts w:hint="eastAsia"/>
                <w:sz w:val="20"/>
                <w:szCs w:val="20"/>
              </w:rPr>
            </w:pPr>
          </w:p>
        </w:tc>
        <w:tc>
          <w:tcPr>
            <w:tcW w:w="900" w:type="dxa"/>
            <w:vMerge/>
            <w:tcBorders>
              <w:bottom w:val="thickThinSmallGap" w:sz="24" w:space="0" w:color="auto"/>
            </w:tcBorders>
          </w:tcPr>
          <w:p w:rsidR="00000000" w:rsidRDefault="000236BE">
            <w:pPr>
              <w:snapToGrid w:val="0"/>
              <w:jc w:val="center"/>
              <w:rPr>
                <w:rFonts w:hint="eastAsia"/>
                <w:sz w:val="20"/>
                <w:szCs w:val="20"/>
              </w:rPr>
            </w:pPr>
          </w:p>
        </w:tc>
        <w:tc>
          <w:tcPr>
            <w:tcW w:w="900" w:type="dxa"/>
            <w:vMerge/>
            <w:tcBorders>
              <w:bottom w:val="thickThinSmallGap" w:sz="24" w:space="0" w:color="auto"/>
            </w:tcBorders>
          </w:tcPr>
          <w:p w:rsidR="00000000" w:rsidRDefault="000236BE">
            <w:pPr>
              <w:snapToGrid w:val="0"/>
              <w:jc w:val="center"/>
              <w:rPr>
                <w:rFonts w:hint="eastAsia"/>
                <w:sz w:val="20"/>
                <w:szCs w:val="20"/>
              </w:rPr>
            </w:pPr>
          </w:p>
        </w:tc>
        <w:tc>
          <w:tcPr>
            <w:tcW w:w="900" w:type="dxa"/>
            <w:vMerge/>
            <w:tcBorders>
              <w:bottom w:val="thickThinSmallGap" w:sz="24" w:space="0" w:color="auto"/>
            </w:tcBorders>
          </w:tcPr>
          <w:p w:rsidR="00000000" w:rsidRDefault="000236BE">
            <w:pPr>
              <w:snapToGrid w:val="0"/>
              <w:jc w:val="center"/>
              <w:rPr>
                <w:rFonts w:hint="eastAsia"/>
                <w:sz w:val="20"/>
                <w:szCs w:val="20"/>
              </w:rPr>
            </w:pPr>
          </w:p>
        </w:tc>
        <w:tc>
          <w:tcPr>
            <w:tcW w:w="900" w:type="dxa"/>
            <w:vMerge/>
            <w:tcBorders>
              <w:bottom w:val="thickThinSmallGap" w:sz="24" w:space="0" w:color="auto"/>
            </w:tcBorders>
            <w:shd w:val="clear" w:color="auto" w:fill="E0E0E0"/>
          </w:tcPr>
          <w:p w:rsidR="00000000" w:rsidRDefault="000236BE">
            <w:pPr>
              <w:snapToGrid w:val="0"/>
              <w:jc w:val="center"/>
              <w:rPr>
                <w:rFonts w:hint="eastAsia"/>
                <w:sz w:val="20"/>
                <w:szCs w:val="20"/>
              </w:rPr>
            </w:pPr>
          </w:p>
        </w:tc>
        <w:tc>
          <w:tcPr>
            <w:tcW w:w="900" w:type="dxa"/>
            <w:vMerge/>
            <w:tcBorders>
              <w:bottom w:val="thickThinSmallGap" w:sz="24" w:space="0" w:color="auto"/>
            </w:tcBorders>
          </w:tcPr>
          <w:p w:rsidR="00000000" w:rsidRDefault="000236BE">
            <w:pPr>
              <w:snapToGrid w:val="0"/>
              <w:jc w:val="center"/>
              <w:rPr>
                <w:rFonts w:hint="eastAsia"/>
                <w:sz w:val="20"/>
                <w:szCs w:val="20"/>
              </w:rPr>
            </w:pPr>
          </w:p>
        </w:tc>
        <w:tc>
          <w:tcPr>
            <w:tcW w:w="900" w:type="dxa"/>
            <w:vMerge/>
            <w:tcBorders>
              <w:bottom w:val="thickThinSmallGap" w:sz="24" w:space="0" w:color="auto"/>
            </w:tcBorders>
          </w:tcPr>
          <w:p w:rsidR="00000000" w:rsidRDefault="000236BE">
            <w:pPr>
              <w:snapToGrid w:val="0"/>
              <w:jc w:val="center"/>
              <w:rPr>
                <w:rFonts w:hint="eastAsia"/>
                <w:sz w:val="20"/>
                <w:szCs w:val="20"/>
              </w:rPr>
            </w:pPr>
          </w:p>
        </w:tc>
        <w:tc>
          <w:tcPr>
            <w:tcW w:w="900" w:type="dxa"/>
            <w:tcBorders>
              <w:bottom w:val="thickThinSmallGap" w:sz="24" w:space="0" w:color="auto"/>
            </w:tcBorders>
          </w:tcPr>
          <w:p w:rsidR="00000000" w:rsidRDefault="000236BE">
            <w:pPr>
              <w:snapToGrid w:val="0"/>
              <w:jc w:val="center"/>
              <w:rPr>
                <w:rFonts w:hint="eastAsia"/>
                <w:sz w:val="20"/>
                <w:szCs w:val="20"/>
              </w:rPr>
            </w:pPr>
            <w:r>
              <w:rPr>
                <w:rStyle w:val="stext1"/>
                <w:rFonts w:ascii="sөũ" w:hAnsi="sөũ"/>
                <w:color w:val="000000"/>
                <w:sz w:val="20"/>
                <w:szCs w:val="20"/>
              </w:rPr>
              <w:t>張福恒</w:t>
            </w:r>
            <w:r>
              <w:rPr>
                <w:rStyle w:val="af3"/>
                <w:rFonts w:hint="eastAsia"/>
                <w:sz w:val="20"/>
                <w:szCs w:val="20"/>
              </w:rPr>
              <w:t>案</w:t>
            </w:r>
            <w:r>
              <w:rPr>
                <w:rStyle w:val="ae"/>
                <w:rFonts w:ascii="新細明體" w:hAnsi="新細明體"/>
                <w:sz w:val="20"/>
                <w:szCs w:val="20"/>
                <w:lang w:val="de-DE"/>
              </w:rPr>
              <w:footnoteReference w:id="6"/>
            </w:r>
          </w:p>
        </w:tc>
        <w:tc>
          <w:tcPr>
            <w:tcW w:w="900" w:type="dxa"/>
            <w:vMerge/>
            <w:tcBorders>
              <w:bottom w:val="thickThinSmallGap" w:sz="24" w:space="0" w:color="auto"/>
            </w:tcBorders>
          </w:tcPr>
          <w:p w:rsidR="00000000" w:rsidRDefault="000236BE">
            <w:pPr>
              <w:snapToGrid w:val="0"/>
              <w:jc w:val="center"/>
              <w:rPr>
                <w:rFonts w:hint="eastAsia"/>
                <w:b/>
                <w:sz w:val="20"/>
                <w:szCs w:val="20"/>
              </w:rPr>
            </w:pPr>
          </w:p>
        </w:tc>
        <w:tc>
          <w:tcPr>
            <w:tcW w:w="900" w:type="dxa"/>
            <w:vMerge/>
            <w:tcBorders>
              <w:bottom w:val="thickThinSmallGap" w:sz="24" w:space="0" w:color="auto"/>
            </w:tcBorders>
          </w:tcPr>
          <w:p w:rsidR="00000000" w:rsidRDefault="000236BE">
            <w:pPr>
              <w:snapToGrid w:val="0"/>
              <w:jc w:val="center"/>
              <w:rPr>
                <w:rFonts w:hint="eastAsia"/>
                <w:sz w:val="20"/>
                <w:szCs w:val="20"/>
              </w:rPr>
            </w:pPr>
          </w:p>
        </w:tc>
      </w:tr>
      <w:tr w:rsidR="00000000">
        <w:trPr>
          <w:trHeight w:val="1056"/>
        </w:trPr>
        <w:tc>
          <w:tcPr>
            <w:tcW w:w="648" w:type="dxa"/>
            <w:tcBorders>
              <w:top w:val="thickThinSmallGap" w:sz="24" w:space="0" w:color="auto"/>
              <w:right w:val="thickThinSmallGap" w:sz="24" w:space="0" w:color="auto"/>
            </w:tcBorders>
          </w:tcPr>
          <w:p w:rsidR="00000000" w:rsidRDefault="000236BE">
            <w:pPr>
              <w:snapToGrid w:val="0"/>
              <w:jc w:val="center"/>
              <w:rPr>
                <w:rFonts w:hint="eastAsia"/>
                <w:sz w:val="20"/>
                <w:szCs w:val="20"/>
              </w:rPr>
            </w:pPr>
            <w:r>
              <w:rPr>
                <w:rFonts w:hint="eastAsia"/>
                <w:sz w:val="20"/>
                <w:szCs w:val="20"/>
              </w:rPr>
              <w:t>其</w:t>
            </w:r>
          </w:p>
          <w:p w:rsidR="00000000" w:rsidRDefault="000236BE">
            <w:pPr>
              <w:snapToGrid w:val="0"/>
              <w:jc w:val="center"/>
              <w:rPr>
                <w:rFonts w:hint="eastAsia"/>
                <w:sz w:val="20"/>
                <w:szCs w:val="20"/>
              </w:rPr>
            </w:pPr>
            <w:r>
              <w:rPr>
                <w:rFonts w:hint="eastAsia"/>
                <w:sz w:val="20"/>
                <w:szCs w:val="20"/>
              </w:rPr>
              <w:t>他</w:t>
            </w:r>
          </w:p>
        </w:tc>
        <w:tc>
          <w:tcPr>
            <w:tcW w:w="900" w:type="dxa"/>
            <w:tcBorders>
              <w:top w:val="thickThinSmallGap" w:sz="24" w:space="0" w:color="auto"/>
              <w:left w:val="thickThinSmallGap" w:sz="24" w:space="0" w:color="auto"/>
            </w:tcBorders>
          </w:tcPr>
          <w:p w:rsidR="00000000" w:rsidRDefault="000236BE">
            <w:pPr>
              <w:snapToGrid w:val="0"/>
              <w:jc w:val="center"/>
              <w:rPr>
                <w:rFonts w:hint="eastAsia"/>
                <w:sz w:val="20"/>
                <w:szCs w:val="20"/>
              </w:rPr>
            </w:pPr>
          </w:p>
        </w:tc>
        <w:tc>
          <w:tcPr>
            <w:tcW w:w="900" w:type="dxa"/>
            <w:tcBorders>
              <w:top w:val="thickThinSmallGap" w:sz="24" w:space="0" w:color="auto"/>
            </w:tcBorders>
          </w:tcPr>
          <w:p w:rsidR="00000000" w:rsidRDefault="000236BE">
            <w:pPr>
              <w:snapToGrid w:val="0"/>
              <w:jc w:val="center"/>
              <w:rPr>
                <w:rFonts w:eastAsia="MS Mincho"/>
                <w:sz w:val="20"/>
                <w:szCs w:val="20"/>
                <w:lang w:val="de-DE" w:eastAsia="ja-JP"/>
              </w:rPr>
            </w:pPr>
            <w:r>
              <w:rPr>
                <w:rFonts w:hint="eastAsia"/>
                <w:sz w:val="20"/>
                <w:szCs w:val="20"/>
              </w:rPr>
              <w:t>蔡逸媚案</w:t>
            </w:r>
            <w:r>
              <w:rPr>
                <w:rFonts w:eastAsia="MS Mincho"/>
                <w:sz w:val="20"/>
                <w:szCs w:val="20"/>
                <w:lang w:val="de-DE" w:eastAsia="ja-JP"/>
              </w:rPr>
              <w:t>****</w:t>
            </w:r>
          </w:p>
        </w:tc>
        <w:tc>
          <w:tcPr>
            <w:tcW w:w="900" w:type="dxa"/>
            <w:tcBorders>
              <w:top w:val="thickThinSmallGap" w:sz="24" w:space="0" w:color="auto"/>
            </w:tcBorders>
          </w:tcPr>
          <w:p w:rsidR="00000000" w:rsidRDefault="000236BE">
            <w:pPr>
              <w:snapToGrid w:val="0"/>
              <w:jc w:val="center"/>
              <w:rPr>
                <w:rFonts w:hint="eastAsia"/>
                <w:sz w:val="20"/>
                <w:szCs w:val="20"/>
              </w:rPr>
            </w:pPr>
            <w:r>
              <w:rPr>
                <w:rFonts w:hint="eastAsia"/>
                <w:sz w:val="20"/>
                <w:szCs w:val="20"/>
              </w:rPr>
              <w:t>林睿駿案</w:t>
            </w:r>
          </w:p>
        </w:tc>
        <w:tc>
          <w:tcPr>
            <w:tcW w:w="900" w:type="dxa"/>
            <w:tcBorders>
              <w:top w:val="thickThinSmallGap" w:sz="24" w:space="0" w:color="auto"/>
            </w:tcBorders>
          </w:tcPr>
          <w:p w:rsidR="00000000" w:rsidRDefault="000236BE">
            <w:pPr>
              <w:snapToGrid w:val="0"/>
              <w:jc w:val="center"/>
              <w:rPr>
                <w:rFonts w:hint="eastAsia"/>
                <w:sz w:val="20"/>
                <w:szCs w:val="20"/>
              </w:rPr>
            </w:pPr>
          </w:p>
        </w:tc>
        <w:tc>
          <w:tcPr>
            <w:tcW w:w="900" w:type="dxa"/>
            <w:tcBorders>
              <w:top w:val="thickThinSmallGap" w:sz="24" w:space="0" w:color="auto"/>
            </w:tcBorders>
            <w:shd w:val="clear" w:color="auto" w:fill="E0E0E0"/>
          </w:tcPr>
          <w:p w:rsidR="00000000" w:rsidRDefault="000236BE">
            <w:pPr>
              <w:snapToGrid w:val="0"/>
              <w:jc w:val="center"/>
              <w:rPr>
                <w:rFonts w:eastAsia="MS Mincho" w:hint="eastAsia"/>
                <w:sz w:val="20"/>
                <w:szCs w:val="20"/>
                <w:lang w:eastAsia="ja-JP"/>
              </w:rPr>
            </w:pPr>
            <w:r>
              <w:rPr>
                <w:rStyle w:val="stext1"/>
                <w:rFonts w:ascii="sөũ" w:hAnsi="sөũ"/>
                <w:color w:val="000000"/>
                <w:sz w:val="20"/>
                <w:szCs w:val="20"/>
              </w:rPr>
              <w:t>張</w:t>
            </w:r>
            <w:r>
              <w:rPr>
                <w:rStyle w:val="stext1"/>
                <w:rFonts w:ascii="sөũ" w:hAnsi="sөũ" w:hint="eastAsia"/>
                <w:color w:val="000000"/>
                <w:sz w:val="20"/>
                <w:szCs w:val="20"/>
              </w:rPr>
              <w:t>克難</w:t>
            </w:r>
            <w:r>
              <w:rPr>
                <w:rStyle w:val="af3"/>
                <w:rFonts w:hint="eastAsia"/>
                <w:sz w:val="20"/>
                <w:szCs w:val="20"/>
              </w:rPr>
              <w:t>案</w:t>
            </w:r>
          </w:p>
        </w:tc>
        <w:tc>
          <w:tcPr>
            <w:tcW w:w="900" w:type="dxa"/>
            <w:tcBorders>
              <w:top w:val="thickThinSmallGap" w:sz="24" w:space="0" w:color="auto"/>
            </w:tcBorders>
          </w:tcPr>
          <w:p w:rsidR="00000000" w:rsidRDefault="000236BE">
            <w:pPr>
              <w:snapToGrid w:val="0"/>
              <w:jc w:val="center"/>
              <w:rPr>
                <w:rFonts w:hint="eastAsia"/>
                <w:sz w:val="20"/>
                <w:szCs w:val="20"/>
              </w:rPr>
            </w:pPr>
          </w:p>
        </w:tc>
        <w:tc>
          <w:tcPr>
            <w:tcW w:w="900" w:type="dxa"/>
            <w:tcBorders>
              <w:top w:val="thickThinSmallGap" w:sz="24" w:space="0" w:color="auto"/>
            </w:tcBorders>
          </w:tcPr>
          <w:p w:rsidR="00000000" w:rsidRDefault="000236BE">
            <w:pPr>
              <w:snapToGrid w:val="0"/>
              <w:jc w:val="center"/>
              <w:rPr>
                <w:rFonts w:hint="eastAsia"/>
                <w:sz w:val="20"/>
                <w:szCs w:val="20"/>
              </w:rPr>
            </w:pPr>
          </w:p>
        </w:tc>
        <w:tc>
          <w:tcPr>
            <w:tcW w:w="900" w:type="dxa"/>
            <w:tcBorders>
              <w:top w:val="thickThinSmallGap" w:sz="24" w:space="0" w:color="auto"/>
            </w:tcBorders>
          </w:tcPr>
          <w:p w:rsidR="00000000" w:rsidRDefault="000236BE">
            <w:pPr>
              <w:snapToGrid w:val="0"/>
              <w:jc w:val="center"/>
              <w:rPr>
                <w:rFonts w:hint="eastAsia"/>
                <w:sz w:val="20"/>
                <w:szCs w:val="20"/>
              </w:rPr>
            </w:pPr>
          </w:p>
        </w:tc>
        <w:tc>
          <w:tcPr>
            <w:tcW w:w="900" w:type="dxa"/>
            <w:tcBorders>
              <w:top w:val="thickThinSmallGap" w:sz="24" w:space="0" w:color="auto"/>
            </w:tcBorders>
          </w:tcPr>
          <w:p w:rsidR="00000000" w:rsidRDefault="000236BE">
            <w:pPr>
              <w:snapToGrid w:val="0"/>
              <w:jc w:val="center"/>
              <w:rPr>
                <w:rFonts w:hint="eastAsia"/>
                <w:b/>
                <w:sz w:val="20"/>
                <w:szCs w:val="20"/>
              </w:rPr>
            </w:pPr>
          </w:p>
        </w:tc>
        <w:tc>
          <w:tcPr>
            <w:tcW w:w="900" w:type="dxa"/>
            <w:tcBorders>
              <w:top w:val="thickThinSmallGap" w:sz="24" w:space="0" w:color="auto"/>
            </w:tcBorders>
          </w:tcPr>
          <w:p w:rsidR="00000000" w:rsidRDefault="000236BE">
            <w:pPr>
              <w:snapToGrid w:val="0"/>
              <w:jc w:val="center"/>
              <w:rPr>
                <w:rFonts w:hint="eastAsia"/>
                <w:sz w:val="20"/>
                <w:szCs w:val="20"/>
              </w:rPr>
            </w:pPr>
          </w:p>
        </w:tc>
      </w:tr>
    </w:tbl>
    <w:p w:rsidR="00000000" w:rsidRDefault="000236BE">
      <w:pPr>
        <w:pStyle w:val="22"/>
        <w:spacing w:beforeLines="0" w:before="0" w:after="0" w:line="240" w:lineRule="auto"/>
        <w:ind w:firstLine="400"/>
        <w:rPr>
          <w:rStyle w:val="af3"/>
          <w:sz w:val="20"/>
          <w:szCs w:val="20"/>
        </w:rPr>
      </w:pPr>
      <w:r>
        <w:rPr>
          <w:rStyle w:val="af3"/>
          <w:rFonts w:ascii="Times New Roman" w:hAnsi="Times New Roman"/>
          <w:sz w:val="20"/>
          <w:szCs w:val="20"/>
        </w:rPr>
        <w:t>*</w:t>
      </w:r>
      <w:r>
        <w:rPr>
          <w:rStyle w:val="af3"/>
          <w:rFonts w:ascii="Times New Roman" w:hAnsi="Times New Roman" w:hint="eastAsia"/>
          <w:sz w:val="20"/>
          <w:szCs w:val="20"/>
        </w:rPr>
        <w:t xml:space="preserve"> </w:t>
      </w:r>
      <w:r>
        <w:rPr>
          <w:rStyle w:val="af3"/>
          <w:rFonts w:hint="eastAsia"/>
          <w:sz w:val="20"/>
          <w:szCs w:val="20"/>
        </w:rPr>
        <w:t>以未獲通知作為復審之理由，而非認定通知行為係行政處分。</w:t>
      </w:r>
    </w:p>
    <w:p w:rsidR="00000000" w:rsidRDefault="000236BE">
      <w:pPr>
        <w:pStyle w:val="22"/>
        <w:spacing w:beforeLines="0" w:before="0" w:after="0" w:line="240" w:lineRule="auto"/>
        <w:ind w:firstLine="400"/>
        <w:rPr>
          <w:rStyle w:val="af3"/>
          <w:rFonts w:ascii="Times New Roman" w:hAnsi="Times New Roman"/>
          <w:sz w:val="20"/>
          <w:szCs w:val="20"/>
        </w:rPr>
      </w:pPr>
      <w:r>
        <w:rPr>
          <w:rStyle w:val="af3"/>
          <w:rFonts w:ascii="Times New Roman" w:hAnsi="Times New Roman"/>
          <w:sz w:val="20"/>
          <w:szCs w:val="20"/>
        </w:rPr>
        <w:t>**</w:t>
      </w:r>
      <w:r>
        <w:rPr>
          <w:rStyle w:val="af3"/>
          <w:rFonts w:ascii="Times New Roman" w:hAnsi="Times New Roman" w:hint="eastAsia"/>
          <w:sz w:val="20"/>
          <w:szCs w:val="20"/>
        </w:rPr>
        <w:t xml:space="preserve"> </w:t>
      </w:r>
      <w:r>
        <w:rPr>
          <w:rStyle w:val="af3"/>
          <w:rFonts w:ascii="Times New Roman" w:hAnsi="Times New Roman" w:hint="eastAsia"/>
          <w:sz w:val="20"/>
          <w:szCs w:val="20"/>
        </w:rPr>
        <w:t>復審決定遭台北高等行政法院撤銷。</w:t>
      </w:r>
    </w:p>
    <w:p w:rsidR="00000000" w:rsidRDefault="000236BE">
      <w:pPr>
        <w:pStyle w:val="22"/>
        <w:spacing w:beforeLines="0" w:before="0" w:after="0" w:line="240" w:lineRule="auto"/>
        <w:ind w:firstLine="400"/>
        <w:rPr>
          <w:rStyle w:val="af3"/>
          <w:rFonts w:ascii="Times New Roman" w:hAnsi="Times New Roman"/>
          <w:sz w:val="20"/>
          <w:szCs w:val="20"/>
        </w:rPr>
      </w:pPr>
      <w:r>
        <w:rPr>
          <w:rStyle w:val="af3"/>
          <w:rFonts w:ascii="Times New Roman" w:hAnsi="Times New Roman"/>
          <w:sz w:val="20"/>
          <w:szCs w:val="20"/>
        </w:rPr>
        <w:t xml:space="preserve">*** </w:t>
      </w:r>
      <w:r>
        <w:rPr>
          <w:rStyle w:val="af3"/>
          <w:rFonts w:ascii="Times New Roman" w:hAnsi="Times New Roman" w:hint="eastAsia"/>
          <w:sz w:val="20"/>
          <w:szCs w:val="20"/>
        </w:rPr>
        <w:t>根據保訓會於</w:t>
      </w:r>
      <w:r>
        <w:rPr>
          <w:rStyle w:val="af3"/>
          <w:rFonts w:ascii="Times New Roman" w:hAnsi="Times New Roman" w:hint="eastAsia"/>
          <w:sz w:val="20"/>
          <w:szCs w:val="20"/>
        </w:rPr>
        <w:t>92</w:t>
      </w:r>
      <w:r>
        <w:rPr>
          <w:rStyle w:val="af3"/>
          <w:rFonts w:ascii="Times New Roman" w:hAnsi="Times New Roman" w:hint="eastAsia"/>
          <w:sz w:val="20"/>
          <w:szCs w:val="20"/>
        </w:rPr>
        <w:t>年</w:t>
      </w:r>
      <w:r>
        <w:rPr>
          <w:rStyle w:val="af3"/>
          <w:rFonts w:ascii="Times New Roman" w:hAnsi="Times New Roman" w:hint="eastAsia"/>
          <w:sz w:val="20"/>
          <w:szCs w:val="20"/>
        </w:rPr>
        <w:t>10</w:t>
      </w:r>
      <w:r>
        <w:rPr>
          <w:rStyle w:val="af3"/>
          <w:rFonts w:ascii="Times New Roman" w:hAnsi="Times New Roman" w:hint="eastAsia"/>
          <w:sz w:val="20"/>
          <w:szCs w:val="20"/>
        </w:rPr>
        <w:t>月</w:t>
      </w:r>
      <w:r>
        <w:rPr>
          <w:rStyle w:val="af3"/>
          <w:rFonts w:ascii="Times New Roman" w:hAnsi="Times New Roman" w:hint="eastAsia"/>
          <w:sz w:val="20"/>
          <w:szCs w:val="20"/>
        </w:rPr>
        <w:t>17</w:t>
      </w:r>
      <w:r>
        <w:rPr>
          <w:rStyle w:val="af3"/>
          <w:rFonts w:ascii="Times New Roman" w:hAnsi="Times New Roman" w:hint="eastAsia"/>
          <w:sz w:val="20"/>
          <w:szCs w:val="20"/>
        </w:rPr>
        <w:t>日會議決議所採標準，日後似已統一循復審程序救濟。</w:t>
      </w:r>
    </w:p>
    <w:p w:rsidR="00000000" w:rsidRDefault="000236BE">
      <w:pPr>
        <w:pStyle w:val="22"/>
        <w:spacing w:beforeLines="0" w:before="0" w:after="0" w:line="240" w:lineRule="auto"/>
        <w:ind w:firstLine="400"/>
        <w:rPr>
          <w:rStyle w:val="af3"/>
          <w:rFonts w:hint="eastAsia"/>
        </w:rPr>
      </w:pPr>
      <w:r>
        <w:rPr>
          <w:rStyle w:val="af3"/>
          <w:rFonts w:ascii="Times New Roman" w:hAnsi="Times New Roman"/>
          <w:sz w:val="20"/>
          <w:szCs w:val="20"/>
        </w:rPr>
        <w:t>*</w:t>
      </w:r>
      <w:r>
        <w:rPr>
          <w:rStyle w:val="af3"/>
          <w:rFonts w:ascii="Times New Roman" w:hAnsi="Times New Roman"/>
          <w:sz w:val="20"/>
          <w:szCs w:val="20"/>
        </w:rPr>
        <w:t>***</w:t>
      </w:r>
      <w:r>
        <w:rPr>
          <w:rStyle w:val="af3"/>
          <w:rFonts w:ascii="Times New Roman" w:hAnsi="Times New Roman" w:hint="eastAsia"/>
          <w:sz w:val="20"/>
          <w:szCs w:val="20"/>
        </w:rPr>
        <w:t xml:space="preserve"> </w:t>
      </w:r>
      <w:r>
        <w:rPr>
          <w:rStyle w:val="af3"/>
          <w:rFonts w:ascii="Times New Roman" w:hAnsi="Times New Roman"/>
          <w:sz w:val="20"/>
          <w:szCs w:val="20"/>
        </w:rPr>
        <w:t xml:space="preserve"> </w:t>
      </w:r>
      <w:r>
        <w:rPr>
          <w:rStyle w:val="af3"/>
          <w:rFonts w:ascii="Times New Roman" w:hAnsi="Times New Roman" w:hint="eastAsia"/>
          <w:sz w:val="20"/>
          <w:szCs w:val="20"/>
        </w:rPr>
        <w:t>本案係復審案，但並非直接針對內陞外補決定之救濟。</w:t>
      </w:r>
    </w:p>
    <w:p w:rsidR="00000000" w:rsidRDefault="000236BE">
      <w:pPr>
        <w:pStyle w:val="2"/>
        <w:spacing w:line="480" w:lineRule="auto"/>
        <w:rPr>
          <w:rFonts w:hint="eastAsia"/>
          <w:lang w:val="de-DE"/>
        </w:rPr>
      </w:pPr>
      <w:bookmarkStart w:id="52" w:name="_Toc121199221"/>
      <w:bookmarkStart w:id="53" w:name="_Toc121212693"/>
      <w:bookmarkStart w:id="54" w:name="_Toc121212956"/>
      <w:r>
        <w:rPr>
          <w:lang w:val="de-DE"/>
        </w:rPr>
        <w:t>3.3.</w:t>
      </w:r>
      <w:r>
        <w:rPr>
          <w:lang w:val="de-DE"/>
        </w:rPr>
        <w:t>行政法院之裁判</w:t>
      </w:r>
      <w:bookmarkEnd w:id="52"/>
      <w:bookmarkEnd w:id="53"/>
      <w:bookmarkEnd w:id="54"/>
    </w:p>
    <w:p w:rsidR="00000000" w:rsidRDefault="000236BE">
      <w:pPr>
        <w:pStyle w:val="22"/>
        <w:spacing w:line="480" w:lineRule="auto"/>
        <w:rPr>
          <w:rStyle w:val="af3"/>
          <w:rFonts w:hint="eastAsia"/>
        </w:rPr>
      </w:pPr>
      <w:r>
        <w:rPr>
          <w:rStyle w:val="af3"/>
          <w:rFonts w:hint="eastAsia"/>
        </w:rPr>
        <w:t>行政法院對於陞遷程序中衍生之救濟爭議，其所持法律見解亦可約略整理如下：</w:t>
      </w:r>
    </w:p>
    <w:p w:rsidR="00000000" w:rsidRDefault="000236BE">
      <w:pPr>
        <w:pStyle w:val="22"/>
        <w:spacing w:line="480" w:lineRule="auto"/>
        <w:rPr>
          <w:rStyle w:val="af3"/>
          <w:rFonts w:hint="eastAsia"/>
          <w:b/>
        </w:rPr>
      </w:pPr>
      <w:r>
        <w:rPr>
          <w:rStyle w:val="af3"/>
          <w:rFonts w:hint="eastAsia"/>
          <w:b/>
        </w:rPr>
        <w:lastRenderedPageBreak/>
        <w:t>（一）</w:t>
      </w:r>
      <w:r>
        <w:rPr>
          <w:b/>
        </w:rPr>
        <w:t>未獲列入陞任或遷調名冊</w:t>
      </w:r>
    </w:p>
    <w:p w:rsidR="00000000" w:rsidRDefault="000236BE">
      <w:pPr>
        <w:pStyle w:val="22"/>
        <w:spacing w:line="480" w:lineRule="auto"/>
        <w:rPr>
          <w:rFonts w:hint="eastAsia"/>
        </w:rPr>
      </w:pPr>
      <w:r>
        <w:rPr>
          <w:rFonts w:hint="eastAsia"/>
        </w:rPr>
        <w:t>保訓會對於欲陞遷之公務人員未獲列入</w:t>
      </w:r>
      <w:r>
        <w:t>陞任或遷調名冊</w:t>
      </w:r>
      <w:r>
        <w:rPr>
          <w:rFonts w:hint="eastAsia"/>
        </w:rPr>
        <w:t>，認屬機關內部之管理措施。行政法院應該也支持是項見解。例如</w:t>
      </w:r>
      <w:r>
        <w:rPr>
          <w:rFonts w:hint="eastAsia"/>
          <w:b/>
          <w:u w:val="single"/>
        </w:rPr>
        <w:t>最高行政法院</w:t>
      </w:r>
      <w:r>
        <w:rPr>
          <w:rFonts w:hint="eastAsia"/>
          <w:b/>
          <w:u w:val="single"/>
        </w:rPr>
        <w:t>93</w:t>
      </w:r>
      <w:r>
        <w:rPr>
          <w:rFonts w:hint="eastAsia"/>
          <w:b/>
          <w:u w:val="single"/>
        </w:rPr>
        <w:t>年裁字第</w:t>
      </w:r>
      <w:r>
        <w:rPr>
          <w:rFonts w:hint="eastAsia"/>
          <w:b/>
          <w:u w:val="single"/>
        </w:rPr>
        <w:t>548</w:t>
      </w:r>
      <w:r>
        <w:rPr>
          <w:rFonts w:hint="eastAsia"/>
          <w:b/>
          <w:u w:val="single"/>
        </w:rPr>
        <w:t>號裁定（即「</w:t>
      </w:r>
      <w:r>
        <w:rPr>
          <w:b/>
          <w:u w:val="single"/>
        </w:rPr>
        <w:t>張夢麟</w:t>
      </w:r>
      <w:r>
        <w:rPr>
          <w:rFonts w:hint="eastAsia"/>
          <w:b/>
          <w:u w:val="single"/>
        </w:rPr>
        <w:t>案」）</w:t>
      </w:r>
      <w:r>
        <w:rPr>
          <w:rFonts w:hint="eastAsia"/>
        </w:rPr>
        <w:t>亦謂：「</w:t>
      </w:r>
      <w:r>
        <w:t>查抗告人未獲列入陞任或遷調名冊，核屬機關內部所為之管理措施，對抗告人之權利尚無重大影響，且未改變其公務人員之身分關係，亦非基於公務人員身分所產生公法上財產請求</w:t>
      </w:r>
      <w:r>
        <w:t>權遭受侵害，</w:t>
      </w:r>
      <w:r>
        <w:t>…</w:t>
      </w:r>
      <w:r>
        <w:t>，抗告人如認有何不妥，僅得提出申訴、再申訴尋求救濟</w:t>
      </w:r>
      <w:r>
        <w:rPr>
          <w:rFonts w:hint="eastAsia"/>
        </w:rPr>
        <w:t>。」</w:t>
      </w:r>
    </w:p>
    <w:p w:rsidR="00000000" w:rsidRDefault="000236BE">
      <w:pPr>
        <w:pStyle w:val="22"/>
        <w:spacing w:line="480" w:lineRule="auto"/>
        <w:rPr>
          <w:rFonts w:hint="eastAsia"/>
        </w:rPr>
      </w:pPr>
      <w:r>
        <w:rPr>
          <w:rFonts w:hint="eastAsia"/>
          <w:b/>
        </w:rPr>
        <w:t>（二）</w:t>
      </w:r>
      <w:r>
        <w:rPr>
          <w:rStyle w:val="af3"/>
          <w:rFonts w:hint="eastAsia"/>
          <w:b/>
        </w:rPr>
        <w:t>分數之評定</w:t>
      </w:r>
    </w:p>
    <w:p w:rsidR="00000000" w:rsidRDefault="000236BE">
      <w:pPr>
        <w:pStyle w:val="22"/>
        <w:spacing w:line="480" w:lineRule="auto"/>
        <w:rPr>
          <w:rFonts w:hint="eastAsia"/>
        </w:rPr>
      </w:pPr>
      <w:r>
        <w:rPr>
          <w:rFonts w:hint="eastAsia"/>
        </w:rPr>
        <w:t>對於陞遷案件中，甄審委員會所為之評審決定，保訓會在「</w:t>
      </w:r>
      <w:r>
        <w:rPr>
          <w:rFonts w:hint="eastAsia"/>
          <w:b/>
          <w:u w:val="single"/>
        </w:rPr>
        <w:t>張克難案</w:t>
      </w:r>
      <w:r>
        <w:rPr>
          <w:rFonts w:hint="eastAsia"/>
        </w:rPr>
        <w:t>」中，並不認為是對於當事人所為之具體管理措施，而僅屬派令核發之前置程序行為。至於資績計分部分，保訓會在「</w:t>
      </w:r>
      <w:r>
        <w:rPr>
          <w:rFonts w:hint="eastAsia"/>
          <w:b/>
          <w:u w:val="single"/>
        </w:rPr>
        <w:t>莊靜宜案</w:t>
      </w:r>
      <w:r>
        <w:rPr>
          <w:rFonts w:hint="eastAsia"/>
        </w:rPr>
        <w:t>」中，認係機關具體管理措施，而最高行政法院似乎亦有相同的認知。例如在</w:t>
      </w:r>
      <w:r>
        <w:rPr>
          <w:rFonts w:hint="eastAsia"/>
          <w:b/>
          <w:u w:val="single"/>
        </w:rPr>
        <w:t>最高行政法院</w:t>
      </w:r>
      <w:r>
        <w:rPr>
          <w:rFonts w:hint="eastAsia"/>
          <w:b/>
          <w:u w:val="single"/>
        </w:rPr>
        <w:t>93</w:t>
      </w:r>
      <w:r>
        <w:rPr>
          <w:rFonts w:hint="eastAsia"/>
          <w:b/>
          <w:u w:val="single"/>
        </w:rPr>
        <w:t>年裁字第</w:t>
      </w:r>
      <w:r>
        <w:rPr>
          <w:rFonts w:hint="eastAsia"/>
          <w:b/>
          <w:u w:val="single"/>
        </w:rPr>
        <w:t>415</w:t>
      </w:r>
      <w:r>
        <w:rPr>
          <w:rFonts w:hint="eastAsia"/>
          <w:b/>
          <w:u w:val="single"/>
        </w:rPr>
        <w:t>號裁定（「</w:t>
      </w:r>
      <w:r>
        <w:rPr>
          <w:b/>
          <w:u w:val="single"/>
        </w:rPr>
        <w:t>林秀國</w:t>
      </w:r>
      <w:r>
        <w:rPr>
          <w:rFonts w:hint="eastAsia"/>
          <w:b/>
          <w:u w:val="single"/>
        </w:rPr>
        <w:t>案」）</w:t>
      </w:r>
      <w:r>
        <w:rPr>
          <w:rFonts w:hint="eastAsia"/>
        </w:rPr>
        <w:t>中，最高行政法院即明確指出：</w:t>
      </w:r>
      <w:r>
        <w:t>「</w:t>
      </w:r>
      <w:r>
        <w:rPr>
          <w:rFonts w:hint="eastAsia"/>
        </w:rPr>
        <w:t>『</w:t>
      </w:r>
      <w:r>
        <w:t>各機關辦理本機關人員之陞任，應注意其品德及對國家之忠誠，並依擬陞任職務所需知能，就考試、學歷、職務歷</w:t>
      </w:r>
      <w:r>
        <w:t>練、訓練、進修、年資、考績（成）、獎懲及發展潛能等項目，訂定標準，評定分數，</w:t>
      </w:r>
      <w:r>
        <w:rPr>
          <w:rFonts w:hint="eastAsia"/>
        </w:rPr>
        <w:t>...</w:t>
      </w:r>
      <w:r>
        <w:rPr>
          <w:rFonts w:hint="eastAsia"/>
        </w:rPr>
        <w:t>』</w:t>
      </w:r>
      <w:r>
        <w:t>為公務人員陞遷法第七條所明定。</w:t>
      </w:r>
      <w:r>
        <w:rPr>
          <w:b/>
          <w:u w:val="single"/>
        </w:rPr>
        <w:t>此種分數之評定，無非對於公務人員平時任職知能之考核，並不影響其任職之地位，無限制或剝奪其服公職之基本權利之法律上效果，性質上屬服務機關之管理措施</w:t>
      </w:r>
      <w:r>
        <w:t>。</w:t>
      </w:r>
      <w:r>
        <w:rPr>
          <w:rFonts w:hint="eastAsia"/>
        </w:rPr>
        <w:t>」</w:t>
      </w:r>
    </w:p>
    <w:p w:rsidR="00000000" w:rsidRDefault="000236BE">
      <w:pPr>
        <w:pStyle w:val="22"/>
        <w:spacing w:line="480" w:lineRule="auto"/>
        <w:rPr>
          <w:rStyle w:val="af3"/>
          <w:rFonts w:hint="eastAsia"/>
          <w:b/>
        </w:rPr>
      </w:pPr>
      <w:r>
        <w:rPr>
          <w:rStyle w:val="af3"/>
          <w:rFonts w:hint="eastAsia"/>
          <w:b/>
        </w:rPr>
        <w:t>（三）請求陞任主管職務等未獲陞遷案件</w:t>
      </w:r>
    </w:p>
    <w:p w:rsidR="00000000" w:rsidRDefault="000236BE">
      <w:pPr>
        <w:pStyle w:val="22"/>
        <w:spacing w:line="480" w:lineRule="auto"/>
        <w:rPr>
          <w:rStyle w:val="af3"/>
          <w:rFonts w:hint="eastAsia"/>
        </w:rPr>
      </w:pPr>
      <w:r>
        <w:rPr>
          <w:rStyle w:val="af3"/>
          <w:rFonts w:hint="eastAsia"/>
        </w:rPr>
        <w:t>最高行政法院認為公務人員請調組長職務被拒絕，並不影響現行職務與公務員身分，應屬內部管理措施，屬於再申訴事件（</w:t>
      </w:r>
      <w:r>
        <w:rPr>
          <w:rStyle w:val="af3"/>
          <w:rFonts w:ascii="Times New Roman" w:hAnsi="Times New Roman"/>
          <w:b/>
          <w:u w:val="single"/>
        </w:rPr>
        <w:t>最高行政法院</w:t>
      </w:r>
      <w:r>
        <w:rPr>
          <w:rStyle w:val="af3"/>
          <w:rFonts w:ascii="Times New Roman" w:hAnsi="Times New Roman"/>
          <w:b/>
          <w:u w:val="single"/>
        </w:rPr>
        <w:t>89</w:t>
      </w:r>
      <w:r>
        <w:rPr>
          <w:rStyle w:val="af3"/>
          <w:rFonts w:ascii="Times New Roman" w:hAnsi="Times New Roman"/>
          <w:b/>
          <w:u w:val="single"/>
        </w:rPr>
        <w:t>年度裁字第</w:t>
      </w:r>
      <w:r>
        <w:rPr>
          <w:rStyle w:val="af3"/>
          <w:rFonts w:ascii="Times New Roman" w:hAnsi="Times New Roman"/>
          <w:b/>
          <w:u w:val="single"/>
        </w:rPr>
        <w:t>1546</w:t>
      </w:r>
      <w:r>
        <w:rPr>
          <w:rStyle w:val="af3"/>
          <w:rFonts w:ascii="Times New Roman" w:hAnsi="Times New Roman"/>
          <w:b/>
          <w:u w:val="single"/>
        </w:rPr>
        <w:lastRenderedPageBreak/>
        <w:t>號裁定</w:t>
      </w:r>
      <w:r>
        <w:rPr>
          <w:rStyle w:val="af3"/>
          <w:rFonts w:ascii="Times New Roman" w:hAnsi="Times New Roman"/>
        </w:rPr>
        <w:t>）。</w:t>
      </w:r>
      <w:r>
        <w:rPr>
          <w:rStyle w:val="af3"/>
          <w:rFonts w:ascii="Times New Roman" w:hAnsi="Times New Roman" w:hint="eastAsia"/>
        </w:rPr>
        <w:t>類似見解，</w:t>
      </w:r>
      <w:r>
        <w:rPr>
          <w:rStyle w:val="af3"/>
          <w:rFonts w:ascii="Times New Roman" w:hAnsi="Times New Roman"/>
          <w:b/>
          <w:u w:val="single"/>
        </w:rPr>
        <w:t>最高行政法院</w:t>
      </w:r>
      <w:r>
        <w:rPr>
          <w:rStyle w:val="af3"/>
          <w:rFonts w:ascii="Times New Roman" w:hAnsi="Times New Roman"/>
          <w:b/>
          <w:u w:val="single"/>
        </w:rPr>
        <w:t>92</w:t>
      </w:r>
      <w:r>
        <w:rPr>
          <w:rStyle w:val="af3"/>
          <w:rFonts w:ascii="Times New Roman" w:hAnsi="Times New Roman"/>
          <w:b/>
          <w:u w:val="single"/>
        </w:rPr>
        <w:t>年度裁字第</w:t>
      </w:r>
      <w:r>
        <w:rPr>
          <w:rStyle w:val="af3"/>
          <w:rFonts w:ascii="Times New Roman" w:hAnsi="Times New Roman"/>
          <w:b/>
          <w:u w:val="single"/>
        </w:rPr>
        <w:t>341</w:t>
      </w:r>
      <w:r>
        <w:rPr>
          <w:rStyle w:val="af3"/>
          <w:rFonts w:ascii="Times New Roman" w:hAnsi="Times New Roman"/>
          <w:b/>
          <w:u w:val="single"/>
        </w:rPr>
        <w:t>號裁定</w:t>
      </w:r>
      <w:r>
        <w:rPr>
          <w:rStyle w:val="af3"/>
          <w:rFonts w:ascii="Times New Roman" w:hAnsi="Times New Roman" w:hint="eastAsia"/>
        </w:rPr>
        <w:t>更進一步指</w:t>
      </w:r>
      <w:r>
        <w:rPr>
          <w:rStyle w:val="af3"/>
          <w:rFonts w:ascii="Times New Roman" w:hAnsi="Times New Roman" w:hint="eastAsia"/>
        </w:rPr>
        <w:t>出，「</w:t>
      </w:r>
      <w:r>
        <w:t>相對人未調升抗告人擔任船舶交通管制中心航訊課課長乙職及八十八年年終非主管職務升遷未將之升任技正職務等項，</w:t>
      </w:r>
      <w:r>
        <w:rPr>
          <w:b/>
          <w:u w:val="single"/>
        </w:rPr>
        <w:t>係屬機關內部所為之管理措施事項，並未改變抗告人擔任公務員之身分關係，對其公務員之權利亦無重大影響，並非行政處分</w:t>
      </w:r>
      <w:r>
        <w:t>，自不得為撤銷訴訟之客體。</w:t>
      </w:r>
      <w:r>
        <w:rPr>
          <w:rFonts w:hint="eastAsia"/>
        </w:rPr>
        <w:t>」</w:t>
      </w:r>
    </w:p>
    <w:p w:rsidR="00000000" w:rsidRDefault="000236BE">
      <w:pPr>
        <w:pStyle w:val="22"/>
        <w:spacing w:line="480" w:lineRule="auto"/>
        <w:rPr>
          <w:rFonts w:ascii="新細明體" w:hAnsi="新細明體" w:hint="eastAsia"/>
          <w:b/>
        </w:rPr>
      </w:pPr>
      <w:r>
        <w:rPr>
          <w:rStyle w:val="af3"/>
          <w:rFonts w:hint="eastAsia"/>
          <w:b/>
        </w:rPr>
        <w:t>（四）請求陞遷之請求權</w:t>
      </w:r>
    </w:p>
    <w:p w:rsidR="00000000" w:rsidRDefault="000236BE">
      <w:pPr>
        <w:pStyle w:val="22"/>
        <w:spacing w:line="480" w:lineRule="auto"/>
        <w:rPr>
          <w:rFonts w:ascii="細明體" w:eastAsia="細明體" w:hAnsi="細明體" w:cs="細明體" w:hint="eastAsia"/>
          <w:kern w:val="0"/>
        </w:rPr>
      </w:pPr>
      <w:r>
        <w:rPr>
          <w:rFonts w:hint="eastAsia"/>
          <w:kern w:val="0"/>
        </w:rPr>
        <w:t>最高行政法院一貫地立場均認為公務人員經考試取得服公職之權利，並非指公務人員可以隨心所欲請求所欲任公職，特別是當其請求陞遷之職務若受有相關法律限制，而公務人員</w:t>
      </w:r>
      <w:r>
        <w:rPr>
          <w:kern w:val="0"/>
        </w:rPr>
        <w:t>所擬任之職務因與法律規定不合，主管機關未</w:t>
      </w:r>
      <w:r>
        <w:rPr>
          <w:rFonts w:hint="eastAsia"/>
          <w:kern w:val="0"/>
        </w:rPr>
        <w:t>與核</w:t>
      </w:r>
      <w:r>
        <w:rPr>
          <w:kern w:val="0"/>
        </w:rPr>
        <w:t>准，其工作權並非即受有不當之</w:t>
      </w:r>
      <w:r>
        <w:rPr>
          <w:rFonts w:ascii="細明體" w:eastAsia="細明體" w:hAnsi="細明體" w:cs="細明體"/>
          <w:kern w:val="0"/>
        </w:rPr>
        <w:t>限制</w:t>
      </w:r>
      <w:r>
        <w:rPr>
          <w:rFonts w:ascii="細明體" w:eastAsia="細明體" w:hAnsi="細明體" w:cs="細明體" w:hint="eastAsia"/>
          <w:kern w:val="0"/>
        </w:rPr>
        <w:t>（</w:t>
      </w:r>
      <w:r>
        <w:rPr>
          <w:rFonts w:ascii="細明體" w:eastAsia="細明體" w:hAnsi="細明體" w:cs="新細明體"/>
          <w:b/>
          <w:kern w:val="0"/>
          <w:u w:val="single"/>
        </w:rPr>
        <w:t>最高</w:t>
      </w:r>
      <w:r>
        <w:rPr>
          <w:rFonts w:ascii="細明體" w:eastAsia="細明體" w:hAnsi="細明體" w:cs="新細明體"/>
          <w:b/>
          <w:kern w:val="0"/>
          <w:u w:val="single"/>
        </w:rPr>
        <w:t>行政法院</w:t>
      </w:r>
      <w:r>
        <w:rPr>
          <w:rFonts w:ascii="細明體" w:eastAsia="細明體" w:hAnsi="細明體" w:cs="新細明體"/>
          <w:b/>
          <w:kern w:val="0"/>
          <w:u w:val="single"/>
        </w:rPr>
        <w:t>90</w:t>
      </w:r>
      <w:r>
        <w:rPr>
          <w:rFonts w:ascii="細明體" w:eastAsia="細明體" w:hAnsi="細明體" w:cs="新細明體"/>
          <w:b/>
          <w:kern w:val="0"/>
          <w:u w:val="single"/>
        </w:rPr>
        <w:t>年</w:t>
      </w:r>
      <w:r>
        <w:rPr>
          <w:rFonts w:ascii="細明體" w:eastAsia="細明體" w:hAnsi="細明體" w:cs="新細明體" w:hint="eastAsia"/>
          <w:b/>
          <w:kern w:val="0"/>
          <w:u w:val="single"/>
        </w:rPr>
        <w:t>度</w:t>
      </w:r>
      <w:r>
        <w:rPr>
          <w:rFonts w:ascii="細明體" w:eastAsia="細明體" w:hAnsi="細明體" w:cs="新細明體"/>
          <w:b/>
          <w:kern w:val="0"/>
          <w:u w:val="single"/>
        </w:rPr>
        <w:t>判字第</w:t>
      </w:r>
      <w:r>
        <w:rPr>
          <w:rFonts w:ascii="細明體" w:eastAsia="細明體" w:hAnsi="細明體" w:cs="新細明體"/>
          <w:b/>
          <w:kern w:val="0"/>
          <w:u w:val="single"/>
        </w:rPr>
        <w:t>441</w:t>
      </w:r>
      <w:r>
        <w:rPr>
          <w:rFonts w:ascii="細明體" w:eastAsia="細明體" w:hAnsi="細明體" w:cs="新細明體"/>
          <w:b/>
          <w:kern w:val="0"/>
          <w:u w:val="single"/>
        </w:rPr>
        <w:t>號</w:t>
      </w:r>
      <w:r>
        <w:rPr>
          <w:rFonts w:ascii="細明體" w:eastAsia="細明體" w:hAnsi="細明體" w:cs="新細明體" w:hint="eastAsia"/>
          <w:b/>
          <w:kern w:val="0"/>
          <w:u w:val="single"/>
        </w:rPr>
        <w:t>判決</w:t>
      </w:r>
      <w:r>
        <w:rPr>
          <w:rFonts w:ascii="細明體" w:eastAsia="細明體" w:hAnsi="細明體" w:cs="細明體" w:hint="eastAsia"/>
          <w:kern w:val="0"/>
        </w:rPr>
        <w:t>）。</w:t>
      </w:r>
      <w:r>
        <w:rPr>
          <w:rFonts w:ascii="細明體" w:eastAsia="細明體" w:hAnsi="細明體" w:cs="新細明體"/>
          <w:b/>
          <w:kern w:val="0"/>
          <w:u w:val="single"/>
        </w:rPr>
        <w:t>最高行政法院</w:t>
      </w:r>
      <w:r>
        <w:rPr>
          <w:rFonts w:ascii="細明體" w:eastAsia="細明體" w:hAnsi="細明體" w:cs="新細明體"/>
          <w:b/>
          <w:kern w:val="0"/>
          <w:u w:val="single"/>
        </w:rPr>
        <w:t>93</w:t>
      </w:r>
      <w:r>
        <w:rPr>
          <w:rFonts w:ascii="細明體" w:eastAsia="細明體" w:hAnsi="細明體" w:cs="新細明體"/>
          <w:b/>
          <w:kern w:val="0"/>
          <w:u w:val="single"/>
        </w:rPr>
        <w:t>年</w:t>
      </w:r>
      <w:r>
        <w:rPr>
          <w:rFonts w:ascii="細明體" w:eastAsia="細明體" w:hAnsi="細明體" w:cs="新細明體" w:hint="eastAsia"/>
          <w:b/>
          <w:kern w:val="0"/>
          <w:u w:val="single"/>
        </w:rPr>
        <w:t>度</w:t>
      </w:r>
      <w:r>
        <w:rPr>
          <w:rFonts w:ascii="細明體" w:eastAsia="細明體" w:hAnsi="細明體" w:cs="新細明體"/>
          <w:b/>
          <w:kern w:val="0"/>
          <w:u w:val="single"/>
        </w:rPr>
        <w:t>判字第</w:t>
      </w:r>
      <w:r>
        <w:rPr>
          <w:rFonts w:ascii="細明體" w:eastAsia="細明體" w:hAnsi="細明體" w:cs="新細明體"/>
          <w:b/>
          <w:kern w:val="0"/>
          <w:u w:val="single"/>
        </w:rPr>
        <w:t>903</w:t>
      </w:r>
      <w:r>
        <w:rPr>
          <w:rFonts w:ascii="細明體" w:eastAsia="細明體" w:hAnsi="細明體" w:cs="新細明體"/>
          <w:b/>
          <w:kern w:val="0"/>
          <w:u w:val="single"/>
        </w:rPr>
        <w:t>號</w:t>
      </w:r>
      <w:r>
        <w:rPr>
          <w:rFonts w:ascii="細明體" w:eastAsia="細明體" w:hAnsi="細明體" w:cs="新細明體" w:hint="eastAsia"/>
          <w:b/>
          <w:kern w:val="0"/>
          <w:u w:val="single"/>
        </w:rPr>
        <w:t>判決</w:t>
      </w:r>
      <w:r>
        <w:rPr>
          <w:rFonts w:ascii="細明體" w:eastAsia="細明體" w:hAnsi="細明體" w:cs="新細明體" w:hint="eastAsia"/>
          <w:kern w:val="0"/>
        </w:rPr>
        <w:t>則更具體指出：「</w:t>
      </w:r>
      <w:r>
        <w:rPr>
          <w:rFonts w:ascii="細明體" w:eastAsia="細明體" w:hAnsi="細明體" w:cs="細明體"/>
          <w:kern w:val="0"/>
        </w:rPr>
        <w:t>上訴人經國家考試及格，縱然具備法定之任用資格而得以擔任公務人員，然此不過為任公職之條件之一，</w:t>
      </w:r>
      <w:r>
        <w:rPr>
          <w:rFonts w:ascii="細明體" w:eastAsia="細明體" w:hAnsi="細明體" w:cs="細明體"/>
          <w:b/>
          <w:kern w:val="0"/>
        </w:rPr>
        <w:t>並非當然具備請求國家任用其為公務人員之公法上請求權</w:t>
      </w:r>
      <w:r>
        <w:rPr>
          <w:rFonts w:ascii="細明體" w:eastAsia="細明體" w:hAnsi="細明體" w:cs="細明體"/>
          <w:kern w:val="0"/>
        </w:rPr>
        <w:t>，從而被上訴人</w:t>
      </w:r>
      <w:r>
        <w:rPr>
          <w:rFonts w:ascii="細明體" w:eastAsia="細明體" w:hAnsi="細明體" w:cs="細明體"/>
          <w:b/>
          <w:kern w:val="0"/>
        </w:rPr>
        <w:t>及各機關首長自無因欠缺裁量權以致必須同意上訴人等予以任用之義務或情事存在</w:t>
      </w:r>
      <w:r>
        <w:rPr>
          <w:rFonts w:ascii="細明體" w:eastAsia="細明體" w:hAnsi="細明體" w:cs="細明體"/>
          <w:kern w:val="0"/>
        </w:rPr>
        <w:t>，原審因而認定上訴人等非公務人員，不得請求轉任或派職乙節，並無理由不備或矛盾之情事。</w:t>
      </w:r>
      <w:r>
        <w:rPr>
          <w:rFonts w:ascii="細明體" w:eastAsia="細明體" w:hAnsi="細明體" w:cs="細明體" w:hint="eastAsia"/>
          <w:kern w:val="0"/>
        </w:rPr>
        <w:t>」</w:t>
      </w:r>
    </w:p>
    <w:p w:rsidR="00000000" w:rsidRDefault="000236BE">
      <w:pPr>
        <w:pStyle w:val="22"/>
        <w:spacing w:line="480" w:lineRule="auto"/>
        <w:rPr>
          <w:rFonts w:ascii="新細明體" w:hAnsi="新細明體" w:hint="eastAsia"/>
          <w:b/>
        </w:rPr>
      </w:pPr>
      <w:r>
        <w:rPr>
          <w:rStyle w:val="af3"/>
          <w:rFonts w:hint="eastAsia"/>
          <w:b/>
        </w:rPr>
        <w:t>（五）情況判決</w:t>
      </w:r>
    </w:p>
    <w:p w:rsidR="000236BE" w:rsidRDefault="000236BE">
      <w:pPr>
        <w:pStyle w:val="22"/>
        <w:spacing w:line="480" w:lineRule="auto"/>
        <w:rPr>
          <w:rStyle w:val="af3"/>
          <w:rFonts w:hint="eastAsia"/>
          <w:lang w:val="en-US"/>
        </w:rPr>
      </w:pPr>
      <w:r>
        <w:rPr>
          <w:rFonts w:hint="eastAsia"/>
          <w:kern w:val="0"/>
        </w:rPr>
        <w:t>對於保訓會在若干案件中，對於陞遷程序完成，第三人已獲陞遷任命，因未獲陞遷而請求救濟之公務</w:t>
      </w:r>
      <w:r>
        <w:rPr>
          <w:rFonts w:hint="eastAsia"/>
          <w:kern w:val="0"/>
        </w:rPr>
        <w:t>人員，在事實上回復陞遷任命有困難時不得已所採用的情況決定，相較而言，行政法院的態度似乎比較保守。例如台北高等行政法院在「</w:t>
      </w:r>
      <w:r>
        <w:rPr>
          <w:rFonts w:hint="eastAsia"/>
          <w:b/>
          <w:kern w:val="0"/>
          <w:u w:val="single"/>
        </w:rPr>
        <w:t>劉慶蜀案</w:t>
      </w:r>
      <w:r>
        <w:rPr>
          <w:rFonts w:hint="eastAsia"/>
          <w:kern w:val="0"/>
        </w:rPr>
        <w:t>」中，即認定「</w:t>
      </w:r>
      <w:r>
        <w:rPr>
          <w:kern w:val="0"/>
        </w:rPr>
        <w:t>公務人員之身分應予保障，非依法律不得剝奪，基於</w:t>
      </w:r>
      <w:r>
        <w:rPr>
          <w:kern w:val="0"/>
        </w:rPr>
        <w:lastRenderedPageBreak/>
        <w:t>身分之請求，其保障亦同，行為時公務人員保障法第七條第二項定有明文，且公務人員對於服務機關或人事主管機關所為足以改變公務人員身分關，或於公務人員權利有重大影響之行政處分，或基於公務人員身分所產生之公法上財產上請求權，係依公務人員保障法所定復審、再復審之程序（公務人員保障法於九十二年五月二十八日修正公布後，已無再復審程序），保</w:t>
      </w:r>
      <w:r>
        <w:rPr>
          <w:kern w:val="0"/>
        </w:rPr>
        <w:t>障其權益，因此，</w:t>
      </w:r>
      <w:r>
        <w:rPr>
          <w:b/>
          <w:kern w:val="0"/>
          <w:u w:val="single"/>
        </w:rPr>
        <w:t>原告所受調任處分經撤銷結果所滋生第三人任用與銓敘之問題，乃行政救濟必然之結果，否則，有關公務人員人事保障案件，尤其直接或間接牽涉第三人權益之人事保障案件，縱經行政救濟結果亦無任何實益，當非公務人員保障法之立法旨趣所在。從而，系爭處分經撤銷之結果，第三人應僅生其受調任處分之信賴保護而毋須撤銷或廢止該第三人之調任處分及其銓敘審定之問題而已，一再復審決定倒果為因，徒以系爭處分之撤銷將與公益相違背為由而作成情況決定，於法尤難謂合</w:t>
      </w:r>
      <w:r>
        <w:rPr>
          <w:kern w:val="0"/>
        </w:rPr>
        <w:t>，應由本院將之一併撤銷</w:t>
      </w:r>
      <w:r>
        <w:rPr>
          <w:rFonts w:hint="eastAsia"/>
          <w:kern w:val="0"/>
        </w:rPr>
        <w:t>（</w:t>
      </w:r>
      <w:r>
        <w:rPr>
          <w:b/>
          <w:kern w:val="0"/>
          <w:u w:val="single"/>
        </w:rPr>
        <w:t>臺北高等行政法院</w:t>
      </w:r>
      <w:r>
        <w:rPr>
          <w:rFonts w:hint="eastAsia"/>
          <w:b/>
          <w:kern w:val="0"/>
          <w:u w:val="single"/>
        </w:rPr>
        <w:t>91</w:t>
      </w:r>
      <w:r>
        <w:rPr>
          <w:b/>
          <w:kern w:val="0"/>
          <w:u w:val="single"/>
        </w:rPr>
        <w:t>年訴字第</w:t>
      </w:r>
      <w:r>
        <w:rPr>
          <w:rFonts w:hint="eastAsia"/>
          <w:b/>
          <w:kern w:val="0"/>
          <w:u w:val="single"/>
        </w:rPr>
        <w:t>5284</w:t>
      </w:r>
      <w:r>
        <w:rPr>
          <w:b/>
          <w:kern w:val="0"/>
          <w:u w:val="single"/>
        </w:rPr>
        <w:t>號判決</w:t>
      </w:r>
      <w:r>
        <w:rPr>
          <w:rFonts w:hint="eastAsia"/>
          <w:kern w:val="0"/>
        </w:rPr>
        <w:t>）。」</w:t>
      </w:r>
    </w:p>
    <w:sectPr w:rsidR="000236BE">
      <w:footerReference w:type="even" r:id="rId7"/>
      <w:footerReference w:type="default" r:id="rId8"/>
      <w:pgSz w:w="11906" w:h="16838"/>
      <w:pgMar w:top="1418" w:right="1758" w:bottom="1418" w:left="175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6BE" w:rsidRDefault="000236BE">
      <w:r>
        <w:separator/>
      </w:r>
    </w:p>
  </w:endnote>
  <w:endnote w:type="continuationSeparator" w:id="0">
    <w:p w:rsidR="000236BE" w:rsidRDefault="0002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taipei">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36B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0000" w:rsidRDefault="000236B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36B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C164A">
      <w:rPr>
        <w:rStyle w:val="a7"/>
        <w:noProof/>
      </w:rPr>
      <w:t>22</w:t>
    </w:r>
    <w:r>
      <w:rPr>
        <w:rStyle w:val="a7"/>
      </w:rPr>
      <w:fldChar w:fldCharType="end"/>
    </w:r>
  </w:p>
  <w:p w:rsidR="00000000" w:rsidRDefault="000236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6BE" w:rsidRDefault="000236BE">
      <w:pPr>
        <w:snapToGrid w:val="0"/>
        <w:spacing w:beforeLines="50" w:before="120" w:afterLines="50" w:after="120" w:line="360" w:lineRule="auto"/>
      </w:pPr>
      <w:r>
        <w:separator/>
      </w:r>
    </w:p>
  </w:footnote>
  <w:footnote w:type="continuationSeparator" w:id="0">
    <w:p w:rsidR="000236BE" w:rsidRDefault="000236BE">
      <w:pPr>
        <w:snapToGrid w:val="0"/>
        <w:spacing w:beforeLines="50" w:before="120" w:afterLines="50" w:after="120" w:line="360" w:lineRule="auto"/>
      </w:pPr>
      <w:r>
        <w:continuationSeparator/>
      </w:r>
    </w:p>
  </w:footnote>
  <w:footnote w:id="1">
    <w:p w:rsidR="00000000" w:rsidRDefault="000236BE">
      <w:pPr>
        <w:pStyle w:val="ad"/>
        <w:spacing w:line="360" w:lineRule="auto"/>
        <w:jc w:val="both"/>
      </w:pPr>
      <w:r>
        <w:rPr>
          <w:rStyle w:val="ae"/>
        </w:rPr>
        <w:footnoteRef/>
      </w:r>
      <w:r>
        <w:t xml:space="preserve"> </w:t>
      </w:r>
      <w:r>
        <w:rPr>
          <w:rFonts w:hAnsi="新細明體"/>
        </w:rPr>
        <w:t>例如，吳庚，行政法理論與實用</w:t>
      </w:r>
      <w:r>
        <w:t xml:space="preserve"> </w:t>
      </w:r>
      <w:r>
        <w:rPr>
          <w:rFonts w:hAnsi="新細明體"/>
        </w:rPr>
        <w:t>第</w:t>
      </w:r>
      <w:r>
        <w:t>7</w:t>
      </w:r>
      <w:r>
        <w:rPr>
          <w:rFonts w:hAnsi="新細明體"/>
        </w:rPr>
        <w:t>版，頁</w:t>
      </w:r>
      <w:r>
        <w:t>214-218</w:t>
      </w:r>
      <w:r>
        <w:rPr>
          <w:rFonts w:hAnsi="新細明體"/>
        </w:rPr>
        <w:t>：「我國自釋字第一八七號解釋突破特別權力關係事項不得爭訟之藩籬後；至釋字第二四三號解釋，發展出以『是否改變公務員身分關係，直接影響其服公職之權利』為判斷尺度；又於釋字第二九八號解釋，放寬得爭訟之範圍至『對於公務員有重大影響之懲戒處分』；終至釋字第四八三號解釋，若調職發生降低官等或級俸之效果，即得循爭訟程序救濟。」</w:t>
      </w:r>
    </w:p>
  </w:footnote>
  <w:footnote w:id="2">
    <w:p w:rsidR="00000000" w:rsidRDefault="000236BE">
      <w:pPr>
        <w:pStyle w:val="ad"/>
        <w:spacing w:line="360" w:lineRule="auto"/>
        <w:jc w:val="both"/>
      </w:pPr>
      <w:r>
        <w:rPr>
          <w:rStyle w:val="ae"/>
        </w:rPr>
        <w:footnoteRef/>
      </w:r>
      <w:r>
        <w:t xml:space="preserve"> </w:t>
      </w:r>
      <w:r>
        <w:rPr>
          <w:rFonts w:hAnsi="新細明體"/>
        </w:rPr>
        <w:t>這項見解應為行政法院所確認，例如最高行政法院</w:t>
      </w:r>
      <w:r>
        <w:t>93</w:t>
      </w:r>
      <w:r>
        <w:rPr>
          <w:rFonts w:hAnsi="新細明體"/>
        </w:rPr>
        <w:t>年裁字第</w:t>
      </w:r>
      <w:r>
        <w:t>548</w:t>
      </w:r>
      <w:r>
        <w:rPr>
          <w:rFonts w:hAnsi="新細明體"/>
        </w:rPr>
        <w:t>號裁定（見下文）。</w:t>
      </w:r>
    </w:p>
  </w:footnote>
  <w:footnote w:id="3">
    <w:p w:rsidR="00000000" w:rsidRDefault="000236BE">
      <w:pPr>
        <w:pStyle w:val="ad"/>
        <w:spacing w:line="360" w:lineRule="auto"/>
        <w:jc w:val="both"/>
      </w:pPr>
      <w:r>
        <w:rPr>
          <w:rStyle w:val="ae"/>
        </w:rPr>
        <w:footnoteRef/>
      </w:r>
      <w:r>
        <w:t xml:space="preserve"> </w:t>
      </w:r>
      <w:r>
        <w:rPr>
          <w:rFonts w:hAnsi="新細明體"/>
        </w:rPr>
        <w:t>保訓會在此的見解似乎並未明確區分行政機關對於法</w:t>
      </w:r>
      <w:r>
        <w:rPr>
          <w:rFonts w:hAnsi="新細明體"/>
        </w:rPr>
        <w:t>律效果之裁量以及對於法律構成要件解釋之判斷餘地。</w:t>
      </w:r>
    </w:p>
  </w:footnote>
  <w:footnote w:id="4">
    <w:p w:rsidR="00000000" w:rsidRDefault="000236BE">
      <w:pPr>
        <w:pStyle w:val="ad"/>
        <w:spacing w:line="360" w:lineRule="auto"/>
        <w:jc w:val="both"/>
      </w:pPr>
      <w:r>
        <w:rPr>
          <w:rStyle w:val="ae"/>
        </w:rPr>
        <w:footnoteRef/>
      </w:r>
      <w:r>
        <w:t xml:space="preserve"> </w:t>
      </w:r>
      <w:r>
        <w:rPr>
          <w:rFonts w:hAnsi="新細明體"/>
        </w:rPr>
        <w:t>同內容參照，保訓會</w:t>
      </w:r>
      <w:r>
        <w:t>92</w:t>
      </w:r>
      <w:r>
        <w:rPr>
          <w:rFonts w:hAnsi="新細明體"/>
        </w:rPr>
        <w:t>年</w:t>
      </w:r>
      <w:r>
        <w:t>11</w:t>
      </w:r>
      <w:r>
        <w:rPr>
          <w:rFonts w:hAnsi="新細明體"/>
        </w:rPr>
        <w:t>月</w:t>
      </w:r>
      <w:r>
        <w:t>5</w:t>
      </w:r>
      <w:r>
        <w:rPr>
          <w:rFonts w:hAnsi="新細明體"/>
        </w:rPr>
        <w:t>日公保字第</w:t>
      </w:r>
      <w:r>
        <w:t>0920007861</w:t>
      </w:r>
      <w:r>
        <w:rPr>
          <w:rFonts w:hAnsi="新細明體"/>
        </w:rPr>
        <w:t>號函。</w:t>
      </w:r>
    </w:p>
  </w:footnote>
  <w:footnote w:id="5">
    <w:p w:rsidR="00000000" w:rsidRDefault="000236BE">
      <w:pPr>
        <w:pStyle w:val="ad"/>
        <w:spacing w:line="360" w:lineRule="auto"/>
      </w:pPr>
      <w:r>
        <w:rPr>
          <w:rStyle w:val="ae"/>
        </w:rPr>
        <w:footnoteRef/>
      </w:r>
      <w:r>
        <w:rPr>
          <w:szCs w:val="22"/>
          <w:lang w:val="de-DE"/>
        </w:rPr>
        <w:t xml:space="preserve"> </w:t>
      </w:r>
      <w:r>
        <w:rPr>
          <w:rFonts w:hAnsi="新細明體"/>
          <w:szCs w:val="22"/>
          <w:lang w:val="de-DE"/>
        </w:rPr>
        <w:t>學者認為「陞遷」已經屬於公務人員之權利事項，公務人員若認陞遷不公有違法損害其權益者屬於其權利受影響，應依復審程序，而有司法救濟的機會。參考，周世珍，公務人員保障制度之理論與實際，台北大學法律學研究所博士論文，</w:t>
      </w:r>
      <w:r>
        <w:rPr>
          <w:szCs w:val="22"/>
          <w:lang w:val="de-DE"/>
        </w:rPr>
        <w:t>2000</w:t>
      </w:r>
      <w:r>
        <w:rPr>
          <w:rFonts w:hAnsi="新細明體"/>
          <w:szCs w:val="22"/>
          <w:lang w:val="de-DE"/>
        </w:rPr>
        <w:t>，頁</w:t>
      </w:r>
      <w:r>
        <w:rPr>
          <w:szCs w:val="22"/>
          <w:lang w:val="de-DE"/>
        </w:rPr>
        <w:t>553</w:t>
      </w:r>
      <w:r>
        <w:rPr>
          <w:rFonts w:hAnsi="新細明體"/>
          <w:szCs w:val="22"/>
          <w:lang w:val="de-DE"/>
        </w:rPr>
        <w:t>。</w:t>
      </w:r>
    </w:p>
  </w:footnote>
  <w:footnote w:id="6">
    <w:p w:rsidR="00000000" w:rsidRDefault="000236BE">
      <w:pPr>
        <w:pStyle w:val="ad"/>
        <w:spacing w:line="360" w:lineRule="auto"/>
        <w:jc w:val="both"/>
      </w:pPr>
      <w:r>
        <w:rPr>
          <w:rStyle w:val="ae"/>
        </w:rPr>
        <w:footnoteRef/>
      </w:r>
      <w:r>
        <w:rPr>
          <w:rStyle w:val="stext"/>
        </w:rPr>
        <w:t xml:space="preserve"> </w:t>
      </w:r>
      <w:r>
        <w:rPr>
          <w:rStyle w:val="stext"/>
          <w:rFonts w:hAnsi="新細明體"/>
        </w:rPr>
        <w:t>保訓會</w:t>
      </w:r>
      <w:r>
        <w:rPr>
          <w:rStyle w:val="stext"/>
        </w:rPr>
        <w:t>93</w:t>
      </w:r>
      <w:r>
        <w:rPr>
          <w:rStyle w:val="stext"/>
          <w:rFonts w:hAnsi="新細明體"/>
        </w:rPr>
        <w:t>年</w:t>
      </w:r>
      <w:r>
        <w:rPr>
          <w:rStyle w:val="stext"/>
        </w:rPr>
        <w:t>7</w:t>
      </w:r>
      <w:r>
        <w:rPr>
          <w:rStyle w:val="stext"/>
          <w:rFonts w:hAnsi="新細明體"/>
        </w:rPr>
        <w:t>月</w:t>
      </w:r>
      <w:r>
        <w:rPr>
          <w:rStyle w:val="stext"/>
        </w:rPr>
        <w:t>13</w:t>
      </w:r>
      <w:r>
        <w:rPr>
          <w:rStyle w:val="stext"/>
          <w:rFonts w:hAnsi="新細明體"/>
        </w:rPr>
        <w:t>日公保字第</w:t>
      </w:r>
      <w:r>
        <w:rPr>
          <w:rStyle w:val="stext"/>
        </w:rPr>
        <w:t>0930005729</w:t>
      </w:r>
      <w:r>
        <w:rPr>
          <w:rStyle w:val="stext"/>
          <w:rFonts w:hAnsi="新細明體"/>
        </w:rPr>
        <w:t>號函</w:t>
      </w:r>
      <w:r>
        <w:rPr>
          <w:rStyle w:val="stext"/>
          <w:rFonts w:hAnsi="新細明體"/>
          <w:lang w:val="de-DE"/>
        </w:rPr>
        <w:t>覆當事人</w:t>
      </w:r>
      <w:r>
        <w:rPr>
          <w:rStyle w:val="stext"/>
          <w:rFonts w:hAnsi="新細明體"/>
        </w:rPr>
        <w:t>，以有關晉陞較高官等職務之爭執，應認對公務人員權利有重大影響，得依復審程序提起救濟。這種</w:t>
      </w:r>
      <w:r>
        <w:rPr>
          <w:rStyle w:val="stext"/>
          <w:rFonts w:hAnsi="新細明體"/>
        </w:rPr>
        <w:t>立場應與</w:t>
      </w:r>
      <w:r>
        <w:rPr>
          <w:rStyle w:val="af3"/>
          <w:rFonts w:ascii="Times New Roman"/>
          <w:sz w:val="20"/>
          <w:szCs w:val="20"/>
        </w:rPr>
        <w:t>保訓會於</w:t>
      </w:r>
      <w:r>
        <w:rPr>
          <w:rStyle w:val="af3"/>
          <w:rFonts w:ascii="Times New Roman" w:hAnsi="Times New Roman"/>
          <w:sz w:val="20"/>
          <w:szCs w:val="20"/>
        </w:rPr>
        <w:t>92</w:t>
      </w:r>
      <w:r>
        <w:rPr>
          <w:rStyle w:val="af3"/>
          <w:rFonts w:ascii="Times New Roman"/>
          <w:sz w:val="20"/>
          <w:szCs w:val="20"/>
        </w:rPr>
        <w:t>年</w:t>
      </w:r>
      <w:r>
        <w:rPr>
          <w:rStyle w:val="af3"/>
          <w:rFonts w:ascii="Times New Roman" w:hAnsi="Times New Roman"/>
          <w:sz w:val="20"/>
          <w:szCs w:val="20"/>
        </w:rPr>
        <w:t>10</w:t>
      </w:r>
      <w:r>
        <w:rPr>
          <w:rStyle w:val="af3"/>
          <w:rFonts w:ascii="Times New Roman"/>
          <w:sz w:val="20"/>
          <w:szCs w:val="20"/>
        </w:rPr>
        <w:t>月</w:t>
      </w:r>
      <w:r>
        <w:rPr>
          <w:rStyle w:val="af3"/>
          <w:rFonts w:ascii="Times New Roman" w:hAnsi="Times New Roman"/>
          <w:sz w:val="20"/>
          <w:szCs w:val="20"/>
        </w:rPr>
        <w:t>17</w:t>
      </w:r>
      <w:r>
        <w:rPr>
          <w:rStyle w:val="af3"/>
          <w:rFonts w:ascii="Times New Roman"/>
          <w:sz w:val="20"/>
          <w:szCs w:val="20"/>
        </w:rPr>
        <w:t>日會議決議所採標準吻合。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D005D0"/>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6D1E8D7E"/>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0A98C88E"/>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9E081258"/>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D1C8627E"/>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307E973E"/>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AF6AE13A"/>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C6565198"/>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3961E5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7C6EFFE6"/>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17F1579"/>
    <w:multiLevelType w:val="hybridMultilevel"/>
    <w:tmpl w:val="FF72784A"/>
    <w:lvl w:ilvl="0" w:tplc="784C5B5A">
      <w:start w:val="13"/>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42F1E3A"/>
    <w:multiLevelType w:val="hybridMultilevel"/>
    <w:tmpl w:val="956CD016"/>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08F006FE"/>
    <w:multiLevelType w:val="hybridMultilevel"/>
    <w:tmpl w:val="ECC4D3AE"/>
    <w:lvl w:ilvl="0" w:tplc="254E763A">
      <w:start w:val="26"/>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C0B4117"/>
    <w:multiLevelType w:val="hybridMultilevel"/>
    <w:tmpl w:val="A2644FFA"/>
    <w:lvl w:ilvl="0" w:tplc="FD56535E">
      <w:start w:val="1"/>
      <w:numFmt w:val="taiwaneseCountingThousand"/>
      <w:lvlText w:val="（%1）"/>
      <w:lvlJc w:val="left"/>
      <w:pPr>
        <w:tabs>
          <w:tab w:val="num" w:pos="1080"/>
        </w:tabs>
        <w:ind w:left="1080" w:hanging="1080"/>
      </w:pPr>
      <w:rPr>
        <w:rFonts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65620A5"/>
    <w:multiLevelType w:val="hybridMultilevel"/>
    <w:tmpl w:val="A14415D8"/>
    <w:lvl w:ilvl="0" w:tplc="F4B66D18">
      <w:start w:val="24"/>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868035B"/>
    <w:multiLevelType w:val="hybridMultilevel"/>
    <w:tmpl w:val="CE7AA770"/>
    <w:lvl w:ilvl="0" w:tplc="7E4A469A">
      <w:start w:val="26"/>
      <w:numFmt w:val="decimal"/>
      <w:lvlText w:val="%1."/>
      <w:lvlJc w:val="left"/>
      <w:pPr>
        <w:tabs>
          <w:tab w:val="num" w:pos="360"/>
        </w:tabs>
        <w:ind w:left="360" w:hanging="360"/>
      </w:pPr>
      <w:rPr>
        <w:rFonts w:eastAsia="新細明體" w:hint="eastAsia"/>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96F5E1C"/>
    <w:multiLevelType w:val="hybridMultilevel"/>
    <w:tmpl w:val="B524AE04"/>
    <w:lvl w:ilvl="0" w:tplc="FFFFFFFF">
      <w:start w:val="1"/>
      <w:numFmt w:val="taiwaneseCountingThousand"/>
      <w:lvlText w:val="%1、"/>
      <w:lvlJc w:val="left"/>
      <w:pPr>
        <w:tabs>
          <w:tab w:val="num" w:pos="720"/>
        </w:tabs>
        <w:ind w:left="720" w:hanging="720"/>
      </w:pPr>
      <w:rPr>
        <w:rFonts w:hint="eastAsia"/>
        <w:b w:val="0"/>
        <w:u w:val="none"/>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7" w15:restartNumberingAfterBreak="0">
    <w:nsid w:val="19C83BB9"/>
    <w:multiLevelType w:val="hybridMultilevel"/>
    <w:tmpl w:val="A6F0E03E"/>
    <w:lvl w:ilvl="0" w:tplc="18EA46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BEF43D9"/>
    <w:multiLevelType w:val="hybridMultilevel"/>
    <w:tmpl w:val="748828EC"/>
    <w:lvl w:ilvl="0" w:tplc="910C1978">
      <w:start w:val="1"/>
      <w:numFmt w:val="decimal"/>
      <w:lvlText w:val="%1."/>
      <w:lvlJc w:val="left"/>
      <w:pPr>
        <w:tabs>
          <w:tab w:val="num" w:pos="1140"/>
        </w:tabs>
        <w:ind w:left="1140" w:hanging="660"/>
      </w:pPr>
      <w:rPr>
        <w:rFonts w:hAnsi="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20D70612"/>
    <w:multiLevelType w:val="hybridMultilevel"/>
    <w:tmpl w:val="2E8C00EE"/>
    <w:lvl w:ilvl="0" w:tplc="80CA28D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DC1712A"/>
    <w:multiLevelType w:val="hybridMultilevel"/>
    <w:tmpl w:val="A690598E"/>
    <w:lvl w:ilvl="0" w:tplc="37BEE66E">
      <w:start w:val="1"/>
      <w:numFmt w:val="lowerLetter"/>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4A31304"/>
    <w:multiLevelType w:val="hybridMultilevel"/>
    <w:tmpl w:val="E8162A92"/>
    <w:lvl w:ilvl="0" w:tplc="4770E99E">
      <w:start w:val="3"/>
      <w:numFmt w:val="decimal"/>
      <w:lvlText w:val="%1."/>
      <w:lvlJc w:val="left"/>
      <w:pPr>
        <w:tabs>
          <w:tab w:val="num" w:pos="420"/>
        </w:tabs>
        <w:ind w:left="420" w:hanging="4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4FA2955"/>
    <w:multiLevelType w:val="hybridMultilevel"/>
    <w:tmpl w:val="F53A38A4"/>
    <w:lvl w:ilvl="0" w:tplc="63284FFC">
      <w:start w:val="4"/>
      <w:numFmt w:val="decimal"/>
      <w:lvlText w:val="%1."/>
      <w:lvlJc w:val="left"/>
      <w:pPr>
        <w:tabs>
          <w:tab w:val="num" w:pos="420"/>
        </w:tabs>
        <w:ind w:left="420" w:hanging="42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6A04CBD"/>
    <w:multiLevelType w:val="hybridMultilevel"/>
    <w:tmpl w:val="47283BE8"/>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7A42773"/>
    <w:multiLevelType w:val="hybridMultilevel"/>
    <w:tmpl w:val="C8446CE4"/>
    <w:lvl w:ilvl="0" w:tplc="4C641A72">
      <w:start w:val="24"/>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AB00B77"/>
    <w:multiLevelType w:val="hybridMultilevel"/>
    <w:tmpl w:val="CF2A3916"/>
    <w:lvl w:ilvl="0" w:tplc="1922738A">
      <w:start w:val="6"/>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B5B3826"/>
    <w:multiLevelType w:val="hybridMultilevel"/>
    <w:tmpl w:val="B1CA2E62"/>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4987200"/>
    <w:multiLevelType w:val="multilevel"/>
    <w:tmpl w:val="853CB26E"/>
    <w:lvl w:ilvl="0">
      <w:start w:val="1"/>
      <w:numFmt w:val="taiwaneseCountingThousand"/>
      <w:suff w:val="nothing"/>
      <w:lvlText w:val="%1、"/>
      <w:lvlJc w:val="left"/>
      <w:pPr>
        <w:ind w:left="833" w:hanging="555"/>
      </w:pPr>
    </w:lvl>
    <w:lvl w:ilvl="1">
      <w:start w:val="1"/>
      <w:numFmt w:val="taiwaneseCountingThousand"/>
      <w:suff w:val="nothing"/>
      <w:lvlText w:val="（%2）"/>
      <w:lvlJc w:val="left"/>
      <w:pPr>
        <w:ind w:left="1389" w:hanging="833"/>
      </w:pPr>
    </w:lvl>
    <w:lvl w:ilvl="2">
      <w:start w:val="1"/>
      <w:numFmt w:val="decimalFullWidth"/>
      <w:suff w:val="nothing"/>
      <w:lvlText w:val="%3、"/>
      <w:lvlJc w:val="left"/>
      <w:pPr>
        <w:ind w:left="1667" w:hanging="556"/>
      </w:pPr>
    </w:lvl>
    <w:lvl w:ilvl="3">
      <w:start w:val="1"/>
      <w:numFmt w:val="decimalFullWidth"/>
      <w:suff w:val="nothing"/>
      <w:lvlText w:val="（%4）"/>
      <w:lvlJc w:val="left"/>
      <w:pPr>
        <w:ind w:left="2222" w:hanging="833"/>
      </w:pPr>
    </w:lvl>
    <w:lvl w:ilvl="4">
      <w:start w:val="1"/>
      <w:numFmt w:val="ideographTraditional"/>
      <w:suff w:val="nothing"/>
      <w:lvlText w:val="%5、"/>
      <w:lvlJc w:val="left"/>
      <w:pPr>
        <w:ind w:left="2500" w:hanging="555"/>
      </w:pPr>
    </w:lvl>
    <w:lvl w:ilvl="5">
      <w:start w:val="1"/>
      <w:numFmt w:val="ideographTraditional"/>
      <w:suff w:val="nothing"/>
      <w:lvlText w:val="（%6）"/>
      <w:lvlJc w:val="left"/>
      <w:pPr>
        <w:ind w:left="3056" w:hanging="834"/>
      </w:pPr>
    </w:lvl>
    <w:lvl w:ilvl="6">
      <w:start w:val="1"/>
      <w:numFmt w:val="ideographZodiac"/>
      <w:suff w:val="nothing"/>
      <w:lvlText w:val="%7、"/>
      <w:lvlJc w:val="left"/>
      <w:pPr>
        <w:ind w:left="3334" w:hanging="556"/>
      </w:pPr>
    </w:lvl>
    <w:lvl w:ilvl="7">
      <w:start w:val="1"/>
      <w:numFmt w:val="ideographZodiac"/>
      <w:suff w:val="nothing"/>
      <w:lvlText w:val="（%8）"/>
      <w:lvlJc w:val="left"/>
      <w:pPr>
        <w:ind w:left="3889" w:hanging="833"/>
      </w:pPr>
    </w:lvl>
    <w:lvl w:ilvl="8">
      <w:start w:val="1"/>
      <w:numFmt w:val="decimalFullWidth"/>
      <w:suff w:val="nothing"/>
      <w:lvlText w:val="%9）"/>
      <w:lvlJc w:val="left"/>
      <w:pPr>
        <w:ind w:left="4167" w:hanging="556"/>
      </w:pPr>
    </w:lvl>
  </w:abstractNum>
  <w:abstractNum w:abstractNumId="28" w15:restartNumberingAfterBreak="0">
    <w:nsid w:val="64F1494D"/>
    <w:multiLevelType w:val="hybridMultilevel"/>
    <w:tmpl w:val="9DE6FE48"/>
    <w:lvl w:ilvl="0" w:tplc="A822CA98">
      <w:start w:val="1"/>
      <w:numFmt w:val="taiwaneseCountingThousand"/>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67F6BB2"/>
    <w:multiLevelType w:val="hybridMultilevel"/>
    <w:tmpl w:val="AE98ACD8"/>
    <w:lvl w:ilvl="0" w:tplc="275E8CCA">
      <w:start w:val="1"/>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B39317C"/>
    <w:multiLevelType w:val="multilevel"/>
    <w:tmpl w:val="D7FC8EB4"/>
    <w:lvl w:ilvl="0">
      <w:start w:val="1"/>
      <w:numFmt w:val="decimal"/>
      <w:lvlText w:val="%1."/>
      <w:lvlJc w:val="left"/>
      <w:pPr>
        <w:tabs>
          <w:tab w:val="num" w:pos="840"/>
        </w:tabs>
        <w:ind w:left="840" w:hanging="360"/>
      </w:pPr>
      <w:rPr>
        <w:rFonts w:hint="eastAsia"/>
      </w:rPr>
    </w:lvl>
    <w:lvl w:ilvl="1">
      <w:start w:val="1"/>
      <w:numFmt w:val="decimal"/>
      <w:isLgl/>
      <w:lvlText w:val="%1.%2."/>
      <w:lvlJc w:val="left"/>
      <w:pPr>
        <w:tabs>
          <w:tab w:val="num" w:pos="1260"/>
        </w:tabs>
        <w:ind w:left="1260" w:hanging="720"/>
      </w:pPr>
      <w:rPr>
        <w:rFonts w:hint="eastAsia"/>
        <w:sz w:val="26"/>
        <w:szCs w:val="26"/>
      </w:rPr>
    </w:lvl>
    <w:lvl w:ilvl="2">
      <w:start w:val="1"/>
      <w:numFmt w:val="decimal"/>
      <w:isLgl/>
      <w:lvlText w:val="%1.%2.%3."/>
      <w:lvlJc w:val="left"/>
      <w:pPr>
        <w:tabs>
          <w:tab w:val="num" w:pos="1204"/>
        </w:tabs>
        <w:ind w:left="1204" w:hanging="720"/>
      </w:pPr>
      <w:rPr>
        <w:rFonts w:hint="eastAsia"/>
      </w:rPr>
    </w:lvl>
    <w:lvl w:ilvl="3">
      <w:start w:val="1"/>
      <w:numFmt w:val="decimal"/>
      <w:isLgl/>
      <w:lvlText w:val="%1.%2.%3.%4."/>
      <w:lvlJc w:val="left"/>
      <w:pPr>
        <w:tabs>
          <w:tab w:val="num" w:pos="1566"/>
        </w:tabs>
        <w:ind w:left="1566" w:hanging="1080"/>
      </w:pPr>
      <w:rPr>
        <w:rFonts w:hint="eastAsia"/>
      </w:rPr>
    </w:lvl>
    <w:lvl w:ilvl="4">
      <w:start w:val="1"/>
      <w:numFmt w:val="decimal"/>
      <w:isLgl/>
      <w:lvlText w:val="%1.%2.%3.%4.%5."/>
      <w:lvlJc w:val="left"/>
      <w:pPr>
        <w:tabs>
          <w:tab w:val="num" w:pos="1928"/>
        </w:tabs>
        <w:ind w:left="1928" w:hanging="1440"/>
      </w:pPr>
      <w:rPr>
        <w:rFonts w:hint="eastAsia"/>
      </w:rPr>
    </w:lvl>
    <w:lvl w:ilvl="5">
      <w:start w:val="1"/>
      <w:numFmt w:val="decimal"/>
      <w:isLgl/>
      <w:lvlText w:val="%1.%2.%3.%4.%5.%6."/>
      <w:lvlJc w:val="left"/>
      <w:pPr>
        <w:tabs>
          <w:tab w:val="num" w:pos="1930"/>
        </w:tabs>
        <w:ind w:left="1930" w:hanging="1440"/>
      </w:pPr>
      <w:rPr>
        <w:rFonts w:hint="eastAsia"/>
      </w:rPr>
    </w:lvl>
    <w:lvl w:ilvl="6">
      <w:start w:val="1"/>
      <w:numFmt w:val="decimal"/>
      <w:isLgl/>
      <w:lvlText w:val="%1.%2.%3.%4.%5.%6.%7."/>
      <w:lvlJc w:val="left"/>
      <w:pPr>
        <w:tabs>
          <w:tab w:val="num" w:pos="2292"/>
        </w:tabs>
        <w:ind w:left="2292" w:hanging="1800"/>
      </w:pPr>
      <w:rPr>
        <w:rFonts w:hint="eastAsia"/>
      </w:rPr>
    </w:lvl>
    <w:lvl w:ilvl="7">
      <w:start w:val="1"/>
      <w:numFmt w:val="decimal"/>
      <w:isLgl/>
      <w:lvlText w:val="%1.%2.%3.%4.%5.%6.%7.%8."/>
      <w:lvlJc w:val="left"/>
      <w:pPr>
        <w:tabs>
          <w:tab w:val="num" w:pos="2654"/>
        </w:tabs>
        <w:ind w:left="2654" w:hanging="2160"/>
      </w:pPr>
      <w:rPr>
        <w:rFonts w:hint="eastAsia"/>
      </w:rPr>
    </w:lvl>
    <w:lvl w:ilvl="8">
      <w:start w:val="1"/>
      <w:numFmt w:val="decimal"/>
      <w:isLgl/>
      <w:lvlText w:val="%1.%2.%3.%4.%5.%6.%7.%8.%9."/>
      <w:lvlJc w:val="left"/>
      <w:pPr>
        <w:tabs>
          <w:tab w:val="num" w:pos="2656"/>
        </w:tabs>
        <w:ind w:left="2656" w:hanging="2160"/>
      </w:pPr>
      <w:rPr>
        <w:rFonts w:hint="eastAsia"/>
      </w:rPr>
    </w:lvl>
  </w:abstractNum>
  <w:abstractNum w:abstractNumId="31" w15:restartNumberingAfterBreak="0">
    <w:nsid w:val="6E812CB2"/>
    <w:multiLevelType w:val="hybridMultilevel"/>
    <w:tmpl w:val="8DA80082"/>
    <w:lvl w:ilvl="0" w:tplc="4E0C8E3E">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77652B20"/>
    <w:multiLevelType w:val="hybridMultilevel"/>
    <w:tmpl w:val="A4C2511A"/>
    <w:lvl w:ilvl="0" w:tplc="A6907088">
      <w:start w:val="1"/>
      <w:numFmt w:val="taiwaneseCountingThousand"/>
      <w:lvlText w:val="%1、"/>
      <w:lvlJc w:val="left"/>
      <w:pPr>
        <w:tabs>
          <w:tab w:val="num" w:pos="1587"/>
        </w:tabs>
        <w:ind w:left="1587" w:hanging="1035"/>
      </w:pPr>
    </w:lvl>
    <w:lvl w:ilvl="1" w:tplc="DBAA83BE">
      <w:start w:val="1"/>
      <w:numFmt w:val="taiwaneseCountingThousand"/>
      <w:lvlText w:val="（%2）"/>
      <w:lvlJc w:val="left"/>
      <w:pPr>
        <w:tabs>
          <w:tab w:val="num" w:pos="2307"/>
        </w:tabs>
        <w:ind w:left="2307" w:hanging="1275"/>
      </w:pPr>
    </w:lvl>
    <w:lvl w:ilvl="2" w:tplc="0409001B">
      <w:start w:val="1"/>
      <w:numFmt w:val="lowerRoman"/>
      <w:lvlText w:val="%3."/>
      <w:lvlJc w:val="right"/>
      <w:pPr>
        <w:tabs>
          <w:tab w:val="num" w:pos="1992"/>
        </w:tabs>
        <w:ind w:left="1992"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CBF6C43"/>
    <w:multiLevelType w:val="hybridMultilevel"/>
    <w:tmpl w:val="17F8F73A"/>
    <w:lvl w:ilvl="0" w:tplc="BD8C3338">
      <w:start w:val="19"/>
      <w:numFmt w:val="decimal"/>
      <w:lvlText w:val="%1."/>
      <w:lvlJc w:val="left"/>
      <w:pPr>
        <w:tabs>
          <w:tab w:val="num" w:pos="540"/>
        </w:tabs>
        <w:ind w:left="540" w:hanging="5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7"/>
  </w:num>
  <w:num w:numId="15">
    <w:abstractNumId w:val="11"/>
  </w:num>
  <w:num w:numId="16">
    <w:abstractNumId w:val="23"/>
  </w:num>
  <w:num w:numId="17">
    <w:abstractNumId w:val="26"/>
  </w:num>
  <w:num w:numId="18">
    <w:abstractNumId w:val="17"/>
  </w:num>
  <w:num w:numId="19">
    <w:abstractNumId w:val="19"/>
  </w:num>
  <w:num w:numId="20">
    <w:abstractNumId w:val="20"/>
  </w:num>
  <w:num w:numId="21">
    <w:abstractNumId w:val="13"/>
  </w:num>
  <w:num w:numId="22">
    <w:abstractNumId w:val="31"/>
  </w:num>
  <w:num w:numId="23">
    <w:abstractNumId w:val="18"/>
  </w:num>
  <w:num w:numId="24">
    <w:abstractNumId w:val="22"/>
  </w:num>
  <w:num w:numId="25">
    <w:abstractNumId w:val="29"/>
  </w:num>
  <w:num w:numId="26">
    <w:abstractNumId w:val="21"/>
  </w:num>
  <w:num w:numId="27">
    <w:abstractNumId w:val="25"/>
  </w:num>
  <w:num w:numId="28">
    <w:abstractNumId w:val="24"/>
  </w:num>
  <w:num w:numId="29">
    <w:abstractNumId w:val="12"/>
  </w:num>
  <w:num w:numId="30">
    <w:abstractNumId w:val="33"/>
  </w:num>
  <w:num w:numId="31">
    <w:abstractNumId w:val="15"/>
  </w:num>
  <w:num w:numId="32">
    <w:abstractNumId w:val="10"/>
  </w:num>
  <w:num w:numId="33">
    <w:abstractNumId w:val="1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4A"/>
    <w:rsid w:val="000236BE"/>
    <w:rsid w:val="005C16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47D0BF-BEC8-4FD5-9D14-D901B7B9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adjustRightInd w:val="0"/>
      <w:snapToGrid w:val="0"/>
      <w:spacing w:beforeLines="50" w:before="50" w:afterLines="50" w:after="50" w:line="360" w:lineRule="auto"/>
      <w:jc w:val="both"/>
      <w:outlineLvl w:val="0"/>
    </w:pPr>
    <w:rPr>
      <w:rFonts w:eastAsia="標楷體"/>
      <w:b/>
      <w:snapToGrid w:val="0"/>
      <w:kern w:val="0"/>
      <w:sz w:val="32"/>
      <w:szCs w:val="32"/>
    </w:rPr>
  </w:style>
  <w:style w:type="paragraph" w:styleId="2">
    <w:name w:val="heading 2"/>
    <w:basedOn w:val="a"/>
    <w:next w:val="a"/>
    <w:autoRedefine/>
    <w:qFormat/>
    <w:pPr>
      <w:keepNext/>
      <w:adjustRightInd w:val="0"/>
      <w:snapToGrid w:val="0"/>
      <w:spacing w:beforeLines="50" w:before="180" w:afterLines="50" w:after="180" w:line="360" w:lineRule="auto"/>
      <w:jc w:val="both"/>
      <w:outlineLvl w:val="1"/>
    </w:pPr>
    <w:rPr>
      <w:rFonts w:eastAsia="標楷體"/>
      <w:b/>
      <w:snapToGrid w:val="0"/>
      <w:kern w:val="0"/>
      <w:sz w:val="28"/>
      <w:szCs w:val="28"/>
    </w:rPr>
  </w:style>
  <w:style w:type="paragraph" w:styleId="3">
    <w:name w:val="heading 3"/>
    <w:basedOn w:val="a"/>
    <w:next w:val="a"/>
    <w:autoRedefine/>
    <w:qFormat/>
    <w:pPr>
      <w:keepNext/>
      <w:adjustRightInd w:val="0"/>
      <w:snapToGrid w:val="0"/>
      <w:spacing w:beforeLines="50" w:before="50" w:afterLines="50" w:after="50" w:line="360" w:lineRule="auto"/>
      <w:jc w:val="both"/>
      <w:outlineLvl w:val="2"/>
    </w:pPr>
    <w:rPr>
      <w:rFonts w:ascii="Arial" w:eastAsia="標楷體" w:hAnsi="Arial"/>
      <w:bCs/>
      <w:snapToGrid w:val="0"/>
      <w:kern w:val="0"/>
      <w:sz w:val="26"/>
      <w:szCs w:val="26"/>
    </w:rPr>
  </w:style>
  <w:style w:type="paragraph" w:styleId="4">
    <w:name w:val="heading 4"/>
    <w:basedOn w:val="a"/>
    <w:next w:val="a"/>
    <w:autoRedefine/>
    <w:qFormat/>
    <w:pPr>
      <w:keepNext/>
      <w:adjustRightInd w:val="0"/>
      <w:snapToGrid w:val="0"/>
      <w:spacing w:beforeLines="50" w:before="180" w:afterLines="50" w:after="180" w:line="360" w:lineRule="auto"/>
      <w:jc w:val="both"/>
      <w:outlineLvl w:val="3"/>
    </w:pPr>
    <w:rPr>
      <w:rFonts w:ascii="Arial" w:eastAsia="標楷體" w:hAnsi="Arial"/>
      <w:b/>
      <w:snapToGrid w:val="0"/>
      <w:kern w:val="0"/>
    </w:rPr>
  </w:style>
  <w:style w:type="paragraph" w:styleId="5">
    <w:name w:val="heading 5"/>
    <w:basedOn w:val="a"/>
    <w:next w:val="a0"/>
    <w:qFormat/>
    <w:pPr>
      <w:keepNext/>
      <w:spacing w:before="120" w:after="120"/>
      <w:ind w:left="425"/>
      <w:outlineLvl w:val="4"/>
    </w:pPr>
    <w:rPr>
      <w:rFonts w:ascii="Arial" w:eastAsia="標楷體" w:hAnsi="Arial"/>
      <w:b/>
      <w:spacing w:val="30"/>
      <w:sz w:val="28"/>
      <w:szCs w:val="2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rPr>
      <w:spacing w:val="30"/>
      <w:szCs w:val="20"/>
    </w:rPr>
  </w:style>
  <w:style w:type="paragraph" w:styleId="a4">
    <w:name w:val="Block Text"/>
    <w:basedOn w:val="a"/>
    <w:semiHidden/>
    <w:pPr>
      <w:widowControl/>
      <w:ind w:left="113" w:right="113"/>
    </w:pPr>
  </w:style>
  <w:style w:type="paragraph" w:styleId="a5">
    <w:name w:val="Body Text Indent"/>
    <w:basedOn w:val="a"/>
    <w:semiHidden/>
    <w:pPr>
      <w:ind w:left="560" w:hangingChars="200" w:hanging="560"/>
    </w:pPr>
    <w:rPr>
      <w:sz w:val="28"/>
    </w:rPr>
  </w:style>
  <w:style w:type="paragraph" w:styleId="a6">
    <w:name w:val="footer"/>
    <w:basedOn w:val="a"/>
    <w:semiHidden/>
    <w:pPr>
      <w:tabs>
        <w:tab w:val="center" w:pos="4153"/>
        <w:tab w:val="right" w:pos="8306"/>
      </w:tabs>
      <w:snapToGrid w:val="0"/>
    </w:pPr>
    <w:rPr>
      <w:sz w:val="20"/>
      <w:szCs w:val="20"/>
    </w:rPr>
  </w:style>
  <w:style w:type="character" w:styleId="a7">
    <w:name w:val="page number"/>
    <w:basedOn w:val="a1"/>
    <w:semiHidden/>
  </w:style>
  <w:style w:type="paragraph" w:customStyle="1" w:styleId="30">
    <w:name w:val="內文3"/>
    <w:basedOn w:val="a"/>
    <w:pPr>
      <w:widowControl/>
      <w:tabs>
        <w:tab w:val="left" w:pos="567"/>
      </w:tabs>
      <w:spacing w:before="120" w:after="120"/>
      <w:ind w:left="1644" w:hanging="1077"/>
    </w:pPr>
    <w:rPr>
      <w:rFonts w:eastAsia="標楷體"/>
      <w:noProof/>
      <w:spacing w:val="30"/>
      <w:kern w:val="0"/>
      <w:sz w:val="22"/>
      <w:szCs w:val="20"/>
    </w:rPr>
  </w:style>
  <w:style w:type="paragraph" w:customStyle="1" w:styleId="20">
    <w:name w:val="內文2"/>
    <w:pPr>
      <w:spacing w:before="120" w:after="120"/>
    </w:pPr>
    <w:rPr>
      <w:rFonts w:eastAsia="標楷體"/>
      <w:noProof/>
      <w:spacing w:val="20"/>
    </w:rPr>
  </w:style>
  <w:style w:type="character" w:styleId="a8">
    <w:name w:val="Hyperlink"/>
    <w:basedOn w:val="a1"/>
    <w:semiHidden/>
    <w:rPr>
      <w:color w:val="0000FF"/>
      <w:u w:val="single"/>
    </w:rPr>
  </w:style>
  <w:style w:type="character" w:styleId="a9">
    <w:name w:val="Strong"/>
    <w:basedOn w:val="a1"/>
    <w:qFormat/>
    <w:rPr>
      <w:b/>
      <w:bCs/>
    </w:rPr>
  </w:style>
  <w:style w:type="paragraph" w:styleId="aa">
    <w:name w:val="Date"/>
    <w:basedOn w:val="a"/>
    <w:next w:val="a"/>
    <w:semiHidden/>
    <w:pPr>
      <w:jc w:val="right"/>
    </w:pPr>
  </w:style>
  <w:style w:type="paragraph" w:styleId="ab">
    <w:name w:val="Body Text"/>
    <w:basedOn w:val="a"/>
    <w:semiHidden/>
    <w:pPr>
      <w:adjustRightInd w:val="0"/>
      <w:snapToGrid w:val="0"/>
      <w:spacing w:beforeLines="50" w:before="50" w:after="120" w:line="360" w:lineRule="auto"/>
      <w:ind w:firstLineChars="200" w:firstLine="200"/>
      <w:jc w:val="both"/>
    </w:pPr>
    <w:rPr>
      <w:lang w:val="de-DE"/>
    </w:rPr>
  </w:style>
  <w:style w:type="character" w:customStyle="1" w:styleId="ac">
    <w:name w:val=" 字元 字元"/>
    <w:basedOn w:val="a1"/>
    <w:rPr>
      <w:rFonts w:eastAsia="新細明體"/>
      <w:kern w:val="2"/>
      <w:sz w:val="24"/>
      <w:szCs w:val="24"/>
      <w:lang w:val="de-DE" w:eastAsia="zh-TW" w:bidi="ar-SA"/>
    </w:rPr>
  </w:style>
  <w:style w:type="paragraph" w:styleId="21">
    <w:name w:val="Body Text 2"/>
    <w:basedOn w:val="a"/>
    <w:semiHidden/>
    <w:pPr>
      <w:spacing w:after="120" w:line="480" w:lineRule="auto"/>
    </w:pPr>
  </w:style>
  <w:style w:type="paragraph" w:styleId="ad">
    <w:name w:val="footnote text"/>
    <w:basedOn w:val="a"/>
    <w:semiHidden/>
    <w:pPr>
      <w:snapToGrid w:val="0"/>
    </w:pPr>
    <w:rPr>
      <w:sz w:val="20"/>
      <w:szCs w:val="20"/>
    </w:rPr>
  </w:style>
  <w:style w:type="character" w:styleId="ae">
    <w:name w:val="footnote reference"/>
    <w:basedOn w:val="a1"/>
    <w:semiHidden/>
    <w:rPr>
      <w:vertAlign w:val="superscript"/>
    </w:rPr>
  </w:style>
  <w:style w:type="paragraph" w:styleId="31">
    <w:name w:val="Body Text 3"/>
    <w:basedOn w:val="a"/>
    <w:semiHidden/>
    <w:pPr>
      <w:spacing w:after="120"/>
    </w:pPr>
    <w:rPr>
      <w:sz w:val="16"/>
      <w:szCs w:val="16"/>
    </w:rPr>
  </w:style>
  <w:style w:type="paragraph" w:styleId="af">
    <w:name w:val="Note Heading"/>
    <w:basedOn w:val="a"/>
    <w:next w:val="a"/>
    <w:semiHidden/>
    <w:pPr>
      <w:jc w:val="center"/>
    </w:pPr>
  </w:style>
  <w:style w:type="paragraph" w:styleId="af0">
    <w:name w:val="Plain Text"/>
    <w:basedOn w:val="a"/>
    <w:semiHidden/>
    <w:rPr>
      <w:rFonts w:ascii="細明體" w:eastAsia="細明體" w:hAnsi="Courier New"/>
      <w:szCs w:val="20"/>
    </w:rPr>
  </w:style>
  <w:style w:type="paragraph" w:styleId="af1">
    <w:name w:val="Closing"/>
    <w:basedOn w:val="a"/>
    <w:semiHidden/>
    <w:pPr>
      <w:ind w:leftChars="1800" w:left="100"/>
    </w:pPr>
    <w:rPr>
      <w:lang w:val="de-DE"/>
    </w:rPr>
  </w:style>
  <w:style w:type="paragraph" w:styleId="32">
    <w:name w:val="Body Text Indent 3"/>
    <w:basedOn w:val="a"/>
    <w:semiHidden/>
    <w:pPr>
      <w:spacing w:after="120"/>
      <w:ind w:leftChars="200" w:left="480"/>
    </w:pPr>
    <w:rPr>
      <w:sz w:val="16"/>
      <w:szCs w:val="16"/>
    </w:rPr>
  </w:style>
  <w:style w:type="paragraph" w:styleId="Web">
    <w:name w:val="Normal (Web)"/>
    <w:basedOn w:val="a"/>
    <w:semiHidden/>
    <w:pPr>
      <w:widowControl/>
      <w:spacing w:before="100" w:beforeAutospacing="1" w:after="100" w:afterAutospacing="1"/>
    </w:pPr>
    <w:rPr>
      <w:rFonts w:ascii="新細明體" w:hAnsi="新細明體" w:cs="新細明體"/>
      <w:kern w:val="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stext1">
    <w:name w:val="stext1"/>
    <w:basedOn w:val="a1"/>
    <w:rPr>
      <w:sz w:val="19"/>
      <w:szCs w:val="19"/>
    </w:rPr>
  </w:style>
  <w:style w:type="character" w:customStyle="1" w:styleId="stext">
    <w:name w:val="stext"/>
    <w:basedOn w:val="a1"/>
  </w:style>
  <w:style w:type="paragraph" w:customStyle="1" w:styleId="af2">
    <w:name w:val="本文 + 新細明體"/>
    <w:basedOn w:val="ab"/>
    <w:pPr>
      <w:spacing w:before="180"/>
      <w:ind w:firstLine="480"/>
    </w:pPr>
    <w:rPr>
      <w:rFonts w:ascii="新細明體" w:hAnsi="新細明體"/>
    </w:rPr>
  </w:style>
  <w:style w:type="character" w:customStyle="1" w:styleId="af3">
    <w:name w:val="本文 + 新細明體 字元"/>
    <w:basedOn w:val="ac"/>
    <w:rPr>
      <w:rFonts w:ascii="新細明體" w:eastAsia="新細明體" w:hAnsi="新細明體"/>
      <w:kern w:val="2"/>
      <w:sz w:val="24"/>
      <w:szCs w:val="24"/>
      <w:lang w:val="de-DE" w:eastAsia="zh-TW" w:bidi="ar-SA"/>
    </w:rPr>
  </w:style>
  <w:style w:type="paragraph" w:customStyle="1" w:styleId="22">
    <w:name w:val="本文 + 第一行:  2 字元"/>
    <w:aliases w:val="套用前:  0.5 列"/>
    <w:basedOn w:val="ab"/>
    <w:pPr>
      <w:spacing w:before="180"/>
      <w:ind w:firstLine="480"/>
    </w:pPr>
  </w:style>
  <w:style w:type="character" w:customStyle="1" w:styleId="text">
    <w:name w:val="text"/>
    <w:basedOn w:val="a1"/>
  </w:style>
  <w:style w:type="paragraph" w:styleId="10">
    <w:name w:val="toc 1"/>
    <w:basedOn w:val="a"/>
    <w:next w:val="a"/>
    <w:autoRedefine/>
    <w:semiHidden/>
  </w:style>
  <w:style w:type="paragraph" w:customStyle="1" w:styleId="af4">
    <w:name w:val="(一)中黑"/>
    <w:basedOn w:val="a"/>
    <w:autoRedefine/>
    <w:pPr>
      <w:snapToGrid w:val="0"/>
      <w:spacing w:line="300" w:lineRule="auto"/>
      <w:ind w:left="1800" w:hanging="1800"/>
      <w:jc w:val="both"/>
    </w:pPr>
    <w:rPr>
      <w:rFonts w:ascii="標楷體" w:eastAsia="標楷體" w:hAnsi="標楷體"/>
      <w:b/>
      <w:bCs/>
      <w:spacing w:val="4"/>
      <w:sz w:val="40"/>
      <w:szCs w:val="40"/>
    </w:rPr>
  </w:style>
  <w:style w:type="paragraph" w:customStyle="1" w:styleId="11">
    <w:name w:val="(1)"/>
    <w:basedOn w:val="a"/>
    <w:autoRedefine/>
    <w:pPr>
      <w:snapToGrid w:val="0"/>
      <w:spacing w:line="300" w:lineRule="auto"/>
      <w:ind w:left="2160" w:hanging="1194"/>
      <w:jc w:val="both"/>
    </w:pPr>
    <w:rPr>
      <w:rFonts w:ascii="標楷體" w:eastAsia="標楷體" w:hAnsi="標楷體"/>
      <w:bCs/>
      <w:sz w:val="40"/>
      <w:szCs w:val="40"/>
    </w:rPr>
  </w:style>
  <w:style w:type="paragraph" w:customStyle="1" w:styleId="12">
    <w:name w:val="1.(本文)"/>
    <w:basedOn w:val="a"/>
    <w:autoRedefine/>
    <w:pPr>
      <w:kinsoku w:val="0"/>
      <w:overflowPunct w:val="0"/>
      <w:autoSpaceDE w:val="0"/>
      <w:autoSpaceDN w:val="0"/>
      <w:adjustRightInd w:val="0"/>
      <w:snapToGrid w:val="0"/>
      <w:spacing w:line="300" w:lineRule="auto"/>
      <w:ind w:left="1680" w:hanging="1680"/>
      <w:jc w:val="both"/>
    </w:pPr>
    <w:rPr>
      <w:rFonts w:ascii="標楷體" w:eastAsia="標楷體" w:hAnsi="標楷體"/>
      <w:sz w:val="22"/>
      <w:szCs w:val="40"/>
    </w:rPr>
  </w:style>
  <w:style w:type="paragraph" w:styleId="af5">
    <w:name w:val="header"/>
    <w:basedOn w:val="a"/>
    <w:semiHidden/>
    <w:pPr>
      <w:tabs>
        <w:tab w:val="center" w:pos="4153"/>
        <w:tab w:val="right" w:pos="8306"/>
      </w:tabs>
      <w:snapToGrid w:val="0"/>
    </w:pPr>
    <w:rPr>
      <w:sz w:val="20"/>
      <w:szCs w:val="20"/>
    </w:rPr>
  </w:style>
  <w:style w:type="paragraph" w:styleId="23">
    <w:name w:val="toc 2"/>
    <w:basedOn w:val="a"/>
    <w:next w:val="a"/>
    <w:autoRedefine/>
    <w:semiHidden/>
    <w:pPr>
      <w:ind w:leftChars="200" w:left="480"/>
    </w:pPr>
  </w:style>
  <w:style w:type="paragraph" w:styleId="33">
    <w:name w:val="toc 3"/>
    <w:basedOn w:val="a"/>
    <w:next w:val="a"/>
    <w:autoRedefine/>
    <w:semiHidden/>
    <w:pPr>
      <w:ind w:leftChars="400" w:left="960"/>
    </w:pPr>
  </w:style>
  <w:style w:type="paragraph" w:styleId="40">
    <w:name w:val="toc 4"/>
    <w:basedOn w:val="a"/>
    <w:next w:val="a"/>
    <w:autoRedefine/>
    <w:semiHidden/>
    <w:pPr>
      <w:ind w:leftChars="600" w:left="1440"/>
    </w:pPr>
  </w:style>
  <w:style w:type="paragraph" w:styleId="50">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paragraph" w:styleId="af6">
    <w:name w:val="table of figures"/>
    <w:basedOn w:val="a"/>
    <w:next w:val="a"/>
    <w:semiHidden/>
    <w:pPr>
      <w:ind w:leftChars="400" w:left="960" w:hangingChars="20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2178</Words>
  <Characters>12415</Characters>
  <Application>Microsoft Office Word</Application>
  <DocSecurity>0</DocSecurity>
  <Lines>103</Lines>
  <Paragraphs>29</Paragraphs>
  <ScaleCrop>false</ScaleCrop>
  <Company>CCU</Company>
  <LinksUpToDate>false</LinksUpToDate>
  <CharactersWithSpaces>14564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一、研究人員經費</dc:title>
  <dc:subject/>
  <dc:creator>CCU</dc:creator>
  <cp:keywords/>
  <dc:description/>
  <cp:lastModifiedBy>卓卿雲</cp:lastModifiedBy>
  <cp:revision>2</cp:revision>
  <cp:lastPrinted>2004-04-08T14:27:00Z</cp:lastPrinted>
  <dcterms:created xsi:type="dcterms:W3CDTF">2021-09-22T10:41:00Z</dcterms:created>
  <dcterms:modified xsi:type="dcterms:W3CDTF">2021-09-22T10:41:00Z</dcterms:modified>
</cp:coreProperties>
</file>