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6B2A">
      <w:pPr>
        <w:pStyle w:val="1"/>
        <w:spacing w:before="180" w:after="180" w:line="480" w:lineRule="auto"/>
        <w:rPr>
          <w:lang w:val="de-DE"/>
        </w:rPr>
      </w:pPr>
      <w:bookmarkStart w:id="0" w:name="_Toc121199226"/>
      <w:bookmarkStart w:id="1" w:name="_Toc121212698"/>
      <w:bookmarkStart w:id="2" w:name="_Toc121212961"/>
      <w:bookmarkStart w:id="3" w:name="_GoBack"/>
      <w:bookmarkEnd w:id="3"/>
      <w:r>
        <w:rPr>
          <w:rFonts w:hint="eastAsia"/>
          <w:lang w:val="de-DE"/>
        </w:rPr>
        <w:t>5.</w:t>
      </w:r>
      <w:r>
        <w:rPr>
          <w:lang w:val="de-DE"/>
        </w:rPr>
        <w:t>陞遷程序行為之法律性質</w:t>
      </w:r>
      <w:bookmarkEnd w:id="0"/>
      <w:bookmarkEnd w:id="1"/>
      <w:bookmarkEnd w:id="2"/>
    </w:p>
    <w:p w:rsidR="00000000" w:rsidRDefault="00E36B2A">
      <w:pPr>
        <w:pStyle w:val="2"/>
        <w:spacing w:line="480" w:lineRule="auto"/>
        <w:rPr>
          <w:lang w:val="de-DE"/>
        </w:rPr>
      </w:pPr>
      <w:bookmarkStart w:id="4" w:name="_Toc121199227"/>
      <w:bookmarkStart w:id="5" w:name="_Toc121212699"/>
      <w:bookmarkStart w:id="6" w:name="_Toc121212962"/>
      <w:r>
        <w:rPr>
          <w:rFonts w:hint="eastAsia"/>
          <w:lang w:val="de-DE"/>
        </w:rPr>
        <w:t>5.1.</w:t>
      </w:r>
      <w:r>
        <w:rPr>
          <w:lang w:val="de-DE"/>
        </w:rPr>
        <w:t>陞遷程序中不利益之決定</w:t>
      </w:r>
      <w:bookmarkEnd w:id="4"/>
      <w:bookmarkEnd w:id="5"/>
      <w:bookmarkEnd w:id="6"/>
    </w:p>
    <w:p w:rsidR="00000000" w:rsidRDefault="00E36B2A">
      <w:pPr>
        <w:pStyle w:val="22"/>
        <w:spacing w:line="480" w:lineRule="auto"/>
        <w:rPr>
          <w:rFonts w:ascii="Arial" w:hAnsi="Arial" w:cs="Arial"/>
        </w:rPr>
      </w:pPr>
      <w:r>
        <w:rPr>
          <w:rFonts w:hint="eastAsia"/>
        </w:rPr>
        <w:t>由前述陞遷程序觀之，行政機關辦理公務人員陞遷程序，除於最終做成陞遷之決定外，於陞遷程序中或多或少地會依職權或依申請作成若干程序中之決定。這些程序中之決定有時亦可能對於參與陞遷之人員產生權益之影響。例如訂定陞遷序列表、內陞或外補之決定、甄審名冊之造列、甄審會之評分、參加他機關甄審之通知</w:t>
      </w:r>
      <w:r>
        <w:rPr>
          <w:lang w:val="en-US"/>
        </w:rPr>
        <w:t>、</w:t>
      </w:r>
      <w:r>
        <w:rPr>
          <w:rFonts w:hint="eastAsia"/>
          <w:lang w:val="en-US"/>
        </w:rPr>
        <w:t>本機關之同意商調</w:t>
      </w:r>
      <w:r>
        <w:rPr>
          <w:rFonts w:hint="eastAsia"/>
        </w:rPr>
        <w:t>等等。參與陞遷程序之公務人員往往也會針對其中特定之程序上決定提起救濟。保訓會對於此類程序決定行為容許其適用（再）申訴程序或復審程序，亦有不同之認知。此</w:t>
      </w:r>
      <w:r>
        <w:rPr>
          <w:rFonts w:hint="eastAsia"/>
        </w:rPr>
        <w:t>類陞遷程序中的決定類似行政程序法上所謂的「程序行為（</w:t>
      </w:r>
      <w:r>
        <w:rPr>
          <w:bCs/>
          <w:kern w:val="0"/>
        </w:rPr>
        <w:t>Verfahrenshandlungen</w:t>
      </w:r>
      <w:r>
        <w:rPr>
          <w:rFonts w:hint="eastAsia"/>
        </w:rPr>
        <w:t>）」。對於行政程序行為的法律性質判斷以及救濟方式，均有其特殊性。倘陞遷過程中之決定亦屬行政程序法上之程序行為，在公務人員的權利救濟上將具有特殊意義。</w:t>
      </w:r>
    </w:p>
    <w:p w:rsidR="00000000" w:rsidRDefault="00E36B2A">
      <w:pPr>
        <w:pStyle w:val="2"/>
        <w:spacing w:line="480" w:lineRule="auto"/>
        <w:rPr>
          <w:lang w:val="de-DE"/>
        </w:rPr>
      </w:pPr>
      <w:bookmarkStart w:id="7" w:name="_Toc121199228"/>
      <w:bookmarkStart w:id="8" w:name="_Toc121212700"/>
      <w:bookmarkStart w:id="9" w:name="_Toc121212963"/>
      <w:r>
        <w:rPr>
          <w:rFonts w:hint="eastAsia"/>
          <w:lang w:val="de-DE"/>
        </w:rPr>
        <w:t>5.2.</w:t>
      </w:r>
      <w:r>
        <w:rPr>
          <w:lang w:val="de-DE"/>
        </w:rPr>
        <w:t>陞遷程序</w:t>
      </w:r>
      <w:r>
        <w:rPr>
          <w:lang w:val="de-DE"/>
        </w:rPr>
        <w:t>v.s.</w:t>
      </w:r>
      <w:r>
        <w:rPr>
          <w:lang w:val="de-DE"/>
        </w:rPr>
        <w:t>行政程序</w:t>
      </w:r>
      <w:bookmarkEnd w:id="7"/>
      <w:bookmarkEnd w:id="8"/>
      <w:bookmarkEnd w:id="9"/>
    </w:p>
    <w:p w:rsidR="00000000" w:rsidRDefault="00E36B2A">
      <w:pPr>
        <w:pStyle w:val="22"/>
        <w:spacing w:line="480" w:lineRule="auto"/>
        <w:rPr>
          <w:rFonts w:hint="eastAsia"/>
        </w:rPr>
      </w:pPr>
      <w:r>
        <w:rPr>
          <w:rFonts w:hint="eastAsia"/>
        </w:rPr>
        <w:t>行政程序行為一般即指行政程序法第</w:t>
      </w:r>
      <w:r>
        <w:rPr>
          <w:rFonts w:hint="eastAsia"/>
        </w:rPr>
        <w:t>174</w:t>
      </w:r>
      <w:r>
        <w:rPr>
          <w:rFonts w:hint="eastAsia"/>
        </w:rPr>
        <w:t>條所稱「行政機關於行政程序中所為之決定或處置」。根據行政機關的觀點，往往這些決定或處置是適合由機關作成，但卻非絕對必然</w:t>
      </w:r>
      <w:r>
        <w:rPr>
          <w:rStyle w:val="ae"/>
        </w:rPr>
        <w:footnoteReference w:id="1"/>
      </w:r>
      <w:r>
        <w:rPr>
          <w:rFonts w:hint="eastAsia"/>
        </w:rPr>
        <w:t>。如果這些程序行為是在作成最終行政處分之程序中所為，學說上稱之為「行政處分之先</w:t>
      </w:r>
      <w:r>
        <w:rPr>
          <w:rFonts w:hint="eastAsia"/>
        </w:rPr>
        <w:t>行行為（</w:t>
      </w:r>
      <w:r>
        <w:rPr>
          <w:bCs/>
          <w:kern w:val="0"/>
        </w:rPr>
        <w:t>„Verwaltungsvorakt“</w:t>
      </w:r>
      <w:r>
        <w:rPr>
          <w:rFonts w:hint="eastAsia"/>
        </w:rPr>
        <w:t>）」</w:t>
      </w:r>
      <w:r>
        <w:rPr>
          <w:rStyle w:val="ae"/>
        </w:rPr>
        <w:footnoteReference w:id="2"/>
      </w:r>
      <w:r>
        <w:rPr>
          <w:rFonts w:hint="eastAsia"/>
        </w:rPr>
        <w:t>。通常是一些資訊的提供或拒絕、拒絕提出證據、要求或拒絕代理、其他機關的協力行為等等。人</w:t>
      </w:r>
      <w:r>
        <w:rPr>
          <w:rFonts w:hint="eastAsia"/>
        </w:rPr>
        <w:lastRenderedPageBreak/>
        <w:t>民針對這類程序行為往往不能獨立以之作為程序標的而提起行政救濟，因為我國行政程序法第</w:t>
      </w:r>
      <w:r>
        <w:rPr>
          <w:rFonts w:hint="eastAsia"/>
        </w:rPr>
        <w:t>174</w:t>
      </w:r>
      <w:r>
        <w:rPr>
          <w:rFonts w:hint="eastAsia"/>
        </w:rPr>
        <w:t>條規定，「當</w:t>
      </w:r>
      <w:r>
        <w:rPr>
          <w:rFonts w:hint="eastAsia"/>
          <w:b/>
          <w:u w:val="single"/>
        </w:rPr>
        <w:t>事人或利害關係人不服行政機關於行政程序中所為之決定或處置，僅得於對實體決定聲明不服時一併聲明之</w:t>
      </w:r>
      <w:r>
        <w:rPr>
          <w:rFonts w:hint="eastAsia"/>
        </w:rPr>
        <w:t>。但行政機關之決定或處置得強制執行或本法或其他法規另有規定者，不在此限。」這是一種基於程序經濟原則（</w:t>
      </w:r>
      <w:r>
        <w:rPr>
          <w:kern w:val="0"/>
        </w:rPr>
        <w:t>allgemeiner Grundsatz der Verfahrensökon</w:t>
      </w:r>
      <w:r>
        <w:rPr>
          <w:kern w:val="0"/>
        </w:rPr>
        <w:t>omie</w:t>
      </w:r>
      <w:r>
        <w:t>）的立法思考。法院或者提供救濟之機關基於救濟資源有限的考量，不宜單獨針對程序中的行為提供獨立的救濟，而從請求救濟者的立場來看，此時他並不具備有權利保護之必要性（</w:t>
      </w:r>
      <w:r>
        <w:rPr>
          <w:kern w:val="0"/>
        </w:rPr>
        <w:t>Rechtsschutzbedürfnis</w:t>
      </w:r>
      <w:r>
        <w:rPr>
          <w:rFonts w:hint="eastAsia"/>
        </w:rPr>
        <w:t>）</w:t>
      </w:r>
      <w:r>
        <w:rPr>
          <w:rStyle w:val="ae"/>
        </w:rPr>
        <w:footnoteReference w:id="3"/>
      </w:r>
      <w:r>
        <w:rPr>
          <w:rFonts w:hint="eastAsia"/>
        </w:rPr>
        <w:t>。但是一些得強制執行的程序行為則未必不能單獨救濟。因為這類程序行為直到最終與終局實體決定一併救濟時，往往會因執行結果已產生，其救濟為時已晚而對人民的權益產生重大的影響。基於這種權利救濟的想法，即使條文未明定，但是經由目的性的限縮適用解釋，其他那些雖非得執行，但同樣會產生類似不利益的程序行為亦應排除</w:t>
      </w:r>
      <w:r>
        <w:rPr>
          <w:rFonts w:hint="eastAsia"/>
        </w:rPr>
        <w:t>本法之適用，而令之得有隔離單獨救濟的可能</w:t>
      </w:r>
      <w:r>
        <w:rPr>
          <w:rStyle w:val="ae"/>
        </w:rPr>
        <w:footnoteReference w:id="4"/>
      </w:r>
      <w:r>
        <w:rPr>
          <w:rFonts w:hint="eastAsia"/>
        </w:rPr>
        <w:t>。</w:t>
      </w:r>
    </w:p>
    <w:p w:rsidR="00000000" w:rsidRDefault="00E36B2A">
      <w:pPr>
        <w:pStyle w:val="22"/>
        <w:spacing w:line="480" w:lineRule="auto"/>
        <w:rPr>
          <w:rFonts w:hint="eastAsia"/>
        </w:rPr>
      </w:pPr>
      <w:r>
        <w:rPr>
          <w:rFonts w:hint="eastAsia"/>
        </w:rPr>
        <w:t>而究竟公務人員陞遷的程序是否有行政程序法之適用？又該如何處理程序中處置的救濟問題呢？</w:t>
      </w:r>
    </w:p>
    <w:p w:rsidR="00000000" w:rsidRDefault="00E36B2A">
      <w:pPr>
        <w:pStyle w:val="22"/>
        <w:spacing w:line="480" w:lineRule="auto"/>
        <w:rPr>
          <w:rFonts w:eastAsia="MS Mincho" w:hint="eastAsia"/>
          <w:lang w:eastAsia="ja-JP"/>
        </w:rPr>
      </w:pPr>
      <w:r>
        <w:rPr>
          <w:rFonts w:hint="eastAsia"/>
        </w:rPr>
        <w:t>根據行政程序法第</w:t>
      </w:r>
      <w:r>
        <w:rPr>
          <w:rFonts w:hint="eastAsia"/>
        </w:rPr>
        <w:t>3</w:t>
      </w:r>
      <w:r>
        <w:rPr>
          <w:rFonts w:hint="eastAsia"/>
        </w:rPr>
        <w:t>條第</w:t>
      </w:r>
      <w:r>
        <w:rPr>
          <w:rFonts w:hint="eastAsia"/>
        </w:rPr>
        <w:t>3</w:t>
      </w:r>
      <w:r>
        <w:rPr>
          <w:rFonts w:hint="eastAsia"/>
        </w:rPr>
        <w:t>項規定，「對公務員所為之人事行政行為」，不適用行政程序法之程序規定。依性質而論，對於公務人員陞遷之決定亦屬對公務員所為之人事行政行為。</w:t>
      </w:r>
      <w:r>
        <w:rPr>
          <w:rFonts w:hint="eastAsia"/>
          <w:b/>
        </w:rPr>
        <w:t>所以陞遷程序並不需要適用行政程序法之程序規定</w:t>
      </w:r>
      <w:r>
        <w:rPr>
          <w:rFonts w:hint="eastAsia"/>
        </w:rPr>
        <w:t>。惟根</w:t>
      </w:r>
      <w:r>
        <w:rPr>
          <w:rFonts w:hint="eastAsia"/>
        </w:rPr>
        <w:lastRenderedPageBreak/>
        <w:t>據法務部</w:t>
      </w:r>
      <w:r>
        <w:rPr>
          <w:rFonts w:hint="eastAsia"/>
        </w:rPr>
        <w:t>89</w:t>
      </w:r>
      <w:r>
        <w:rPr>
          <w:rFonts w:hint="eastAsia"/>
        </w:rPr>
        <w:t>年</w:t>
      </w:r>
      <w:r>
        <w:rPr>
          <w:rFonts w:hint="eastAsia"/>
        </w:rPr>
        <w:t>4</w:t>
      </w:r>
      <w:r>
        <w:rPr>
          <w:rFonts w:hint="eastAsia"/>
        </w:rPr>
        <w:t>月</w:t>
      </w:r>
      <w:r>
        <w:rPr>
          <w:rFonts w:hint="eastAsia"/>
        </w:rPr>
        <w:t>12</w:t>
      </w:r>
      <w:r>
        <w:rPr>
          <w:rFonts w:hint="eastAsia"/>
        </w:rPr>
        <w:t>日法</w:t>
      </w:r>
      <w:r>
        <w:rPr>
          <w:rFonts w:hint="eastAsia"/>
        </w:rPr>
        <w:t>89</w:t>
      </w:r>
      <w:r>
        <w:rPr>
          <w:rFonts w:hint="eastAsia"/>
        </w:rPr>
        <w:t>律字第</w:t>
      </w:r>
      <w:r>
        <w:rPr>
          <w:rFonts w:hint="eastAsia"/>
        </w:rPr>
        <w:t>008393</w:t>
      </w:r>
      <w:r>
        <w:rPr>
          <w:rFonts w:hint="eastAsia"/>
        </w:rPr>
        <w:t>號函</w:t>
      </w:r>
      <w:r>
        <w:rPr>
          <w:rStyle w:val="ae"/>
        </w:rPr>
        <w:footnoteReference w:id="5"/>
      </w:r>
      <w:r>
        <w:rPr>
          <w:rFonts w:hint="eastAsia"/>
        </w:rPr>
        <w:t>，「對公務員所為之人事行政行為」，是否適用行政程序法之規定，仍應分別情形判斷。「（一）凡構成行政處分之人事行政行為，因</w:t>
      </w:r>
      <w:r>
        <w:rPr>
          <w:rFonts w:hint="eastAsia"/>
        </w:rPr>
        <w:t>於事後當事人仍可依訴願</w:t>
      </w:r>
      <w:r>
        <w:rPr>
          <w:rFonts w:ascii="新細明體" w:hAnsi="新細明體" w:hint="eastAsia"/>
        </w:rPr>
        <w:t>、</w:t>
      </w:r>
      <w:r>
        <w:rPr>
          <w:rFonts w:hint="eastAsia"/>
        </w:rPr>
        <w:t>行政訴訟程序或其相當之程序請求救濟，故行政機關於為此類行政處分時，即應依行政程序法之規定為之。至於非屬行政處分之其他人事行政行為則是個案情形，由主管機關自行斟酌。（二）改變公務員之身分或對公務員權利或法律上利益有重大影響之人事行政行為或基於公務員身分所產生之公法上財產請求權遭受侵害者，仍應依行政程序法之規定為之。（三）退休</w:t>
      </w:r>
      <w:r>
        <w:rPr>
          <w:rFonts w:ascii="新細明體" w:hAnsi="新細明體" w:hint="eastAsia"/>
        </w:rPr>
        <w:t>、</w:t>
      </w:r>
      <w:r>
        <w:rPr>
          <w:rFonts w:hint="eastAsia"/>
        </w:rPr>
        <w:t>離職公務員對於行政機關於其具有公務員身分時所為之人事行政行為提出陳情者，仍依前述（一）之結論處理。」似乎將「對公務員所為之人事行政行為」區分成「性質屬於行政處分之</w:t>
      </w:r>
      <w:r>
        <w:rPr>
          <w:rFonts w:hint="eastAsia"/>
        </w:rPr>
        <w:t>對公務員所為之人事行政行為」與「性質非屬於行政處分之對公務員所為之人事行政行為」。其是否適用行政程序法，還是取決於該人事行政行為的屬性。所以很難直接說公務員之陞遷決定究竟應否適用行政程序法，還是得進一步認定陞遷決定（或陞遷程序決定）的法律性質。法務部的該決議對於本文的爭議判斷，其實並無直接的助益。</w:t>
      </w:r>
    </w:p>
    <w:p w:rsidR="00000000" w:rsidRDefault="00E36B2A">
      <w:pPr>
        <w:pStyle w:val="22"/>
        <w:spacing w:line="480" w:lineRule="auto"/>
        <w:rPr>
          <w:rFonts w:hint="eastAsia"/>
        </w:rPr>
      </w:pPr>
      <w:r>
        <w:rPr>
          <w:rFonts w:hint="eastAsia"/>
        </w:rPr>
        <w:t>再者需注意的是，此一行政程序法的排除適用條款是排除試用本法之「程序規定」，至於其他在行政程序法中也具有的實體規定，仍未必排除。行政程序法第</w:t>
      </w:r>
      <w:r>
        <w:rPr>
          <w:rFonts w:hint="eastAsia"/>
        </w:rPr>
        <w:t>174</w:t>
      </w:r>
      <w:r>
        <w:rPr>
          <w:rFonts w:hint="eastAsia"/>
        </w:rPr>
        <w:t>條有關程序行為的特殊救濟規定，並非單純作成行政行為的程序規範事項，而</w:t>
      </w:r>
      <w:r>
        <w:rPr>
          <w:rFonts w:hint="eastAsia"/>
        </w:rPr>
        <w:t>是有關實體權益的救濟規定。再加上本法第</w:t>
      </w:r>
      <w:r>
        <w:rPr>
          <w:rFonts w:hint="eastAsia"/>
        </w:rPr>
        <w:t>2</w:t>
      </w:r>
      <w:r>
        <w:rPr>
          <w:rFonts w:hint="eastAsia"/>
        </w:rPr>
        <w:t>條規定，「本法所稱行政程序，係指行政機關作成行政處分、締結行政契約、訂定法規命令與行政規則、確定行政計畫、實施行政指導及處理陳情『等』行為之程序。」陞遷的決定可能是</w:t>
      </w:r>
      <w:r>
        <w:rPr>
          <w:rFonts w:hint="eastAsia"/>
        </w:rPr>
        <w:lastRenderedPageBreak/>
        <w:t>影響公務員地位之行政處分或者只是內部遷調的決定。即使非行政處分，仍得適用行政程序法，而不以第</w:t>
      </w:r>
      <w:r>
        <w:rPr>
          <w:rFonts w:hint="eastAsia"/>
        </w:rPr>
        <w:t>2</w:t>
      </w:r>
      <w:r>
        <w:rPr>
          <w:rFonts w:hint="eastAsia"/>
        </w:rPr>
        <w:t>條列舉之行政行為為限。</w:t>
      </w:r>
      <w:r>
        <w:rPr>
          <w:rFonts w:hint="eastAsia"/>
          <w:b/>
        </w:rPr>
        <w:t>因此本文認為行政程序法第</w:t>
      </w:r>
      <w:r>
        <w:rPr>
          <w:rFonts w:hint="eastAsia"/>
          <w:b/>
        </w:rPr>
        <w:t>174</w:t>
      </w:r>
      <w:r>
        <w:rPr>
          <w:rFonts w:hint="eastAsia"/>
          <w:b/>
        </w:rPr>
        <w:t>條之規定，在陞遷過程中行政機關所為之處置亦有適用</w:t>
      </w:r>
      <w:r>
        <w:rPr>
          <w:rFonts w:hint="eastAsia"/>
        </w:rPr>
        <w:t>。但是公務人員欲對其中單獨一項程序中的決定不服，是否應容許其單獨救濟，應同樣採取同上之限縮適用解釋，考量對公務人員</w:t>
      </w:r>
      <w:r>
        <w:rPr>
          <w:rFonts w:hint="eastAsia"/>
        </w:rPr>
        <w:t>而言是否會造成過遲救濟的危險而定。換言之，假如不讓公務人員即時針對程序行為救濟，會發生無可回復的危害或者過遲救濟的危險時，應該排除本法的限制。亦即得適用行政程序法之程序規定，以及得針對程序決定獨立進行救濟。</w:t>
      </w:r>
    </w:p>
    <w:p w:rsidR="00000000" w:rsidRDefault="00E36B2A">
      <w:pPr>
        <w:pStyle w:val="2"/>
        <w:spacing w:line="480" w:lineRule="auto"/>
        <w:rPr>
          <w:rFonts w:hint="eastAsia"/>
          <w:lang w:val="de-DE"/>
        </w:rPr>
      </w:pPr>
      <w:bookmarkStart w:id="10" w:name="_Toc121199229"/>
      <w:bookmarkStart w:id="11" w:name="_Toc121212701"/>
      <w:bookmarkStart w:id="12" w:name="_Toc121212964"/>
      <w:r>
        <w:rPr>
          <w:rFonts w:hint="eastAsia"/>
          <w:lang w:val="de-DE"/>
        </w:rPr>
        <w:t>5.3.</w:t>
      </w:r>
      <w:r>
        <w:rPr>
          <w:lang w:val="de-DE"/>
        </w:rPr>
        <w:t>程序行為之法律性質</w:t>
      </w:r>
      <w:bookmarkEnd w:id="10"/>
      <w:bookmarkEnd w:id="11"/>
      <w:bookmarkEnd w:id="12"/>
    </w:p>
    <w:p w:rsidR="00000000" w:rsidRDefault="00E36B2A">
      <w:pPr>
        <w:pStyle w:val="22"/>
        <w:spacing w:line="480" w:lineRule="auto"/>
        <w:rPr>
          <w:rFonts w:hint="eastAsia"/>
        </w:rPr>
      </w:pPr>
      <w:r>
        <w:rPr>
          <w:rFonts w:hint="eastAsia"/>
        </w:rPr>
        <w:t>一般行政程序上的程序行為，在法律性質的認定上並非毫無爭議。這必須個案中判斷行政機關的決定是否具有對外直接規制的效力而定。例如證人或鑑定人的任命</w:t>
      </w:r>
      <w:r>
        <w:rPr>
          <w:rStyle w:val="ae"/>
        </w:rPr>
        <w:footnoteReference w:id="6"/>
      </w:r>
      <w:r>
        <w:rPr>
          <w:rFonts w:hint="eastAsia"/>
        </w:rPr>
        <w:t>、確定當事人資訊請求權的決定</w:t>
      </w:r>
      <w:r>
        <w:rPr>
          <w:rStyle w:val="ae"/>
        </w:rPr>
        <w:footnoteReference w:id="7"/>
      </w:r>
      <w:r>
        <w:rPr>
          <w:rFonts w:hint="eastAsia"/>
        </w:rPr>
        <w:t>、對於當事人請求提供資訊的行為</w:t>
      </w:r>
      <w:r>
        <w:rPr>
          <w:rStyle w:val="ae"/>
        </w:rPr>
        <w:footnoteReference w:id="8"/>
      </w:r>
      <w:r>
        <w:rPr>
          <w:rFonts w:hint="eastAsia"/>
        </w:rPr>
        <w:t>等等均被視為具有行政處分的特徵。但是也有一些程序行為可能只是一些準備行</w:t>
      </w:r>
      <w:r>
        <w:rPr>
          <w:rFonts w:hint="eastAsia"/>
        </w:rPr>
        <w:t>為而不具備課予義務的特徵，當事人受到的影響也可能只是增加程序上的負擔，尚未必可以被認定為行政處分。</w:t>
      </w:r>
    </w:p>
    <w:p w:rsidR="00000000" w:rsidRDefault="00E36B2A">
      <w:pPr>
        <w:pStyle w:val="22"/>
        <w:spacing w:line="480" w:lineRule="auto"/>
        <w:rPr>
          <w:rFonts w:hint="eastAsia"/>
        </w:rPr>
      </w:pPr>
      <w:r>
        <w:rPr>
          <w:rFonts w:hint="eastAsia"/>
        </w:rPr>
        <w:t>至於陞遷程序中，行政機關在程序中所為之處置是否為行政處分，同樣必須在個案中逐一檢視。如本文前述，行政處分之判斷應回歸行政程序法第</w:t>
      </w:r>
      <w:r>
        <w:rPr>
          <w:rFonts w:hint="eastAsia"/>
        </w:rPr>
        <w:t>92</w:t>
      </w:r>
      <w:r>
        <w:rPr>
          <w:rFonts w:hint="eastAsia"/>
        </w:rPr>
        <w:t>條第</w:t>
      </w:r>
      <w:r>
        <w:rPr>
          <w:rFonts w:hint="eastAsia"/>
        </w:rPr>
        <w:t>1</w:t>
      </w:r>
      <w:r>
        <w:rPr>
          <w:rFonts w:hint="eastAsia"/>
        </w:rPr>
        <w:t>項規定。本法規定「行政處分，係指行政機關就公法上具體事件所為之決定或其他公權力措施而對外『直接發生法律效果』之單方行政行為」。在行政程序法立</w:t>
      </w:r>
      <w:r>
        <w:rPr>
          <w:rFonts w:hint="eastAsia"/>
        </w:rPr>
        <w:lastRenderedPageBreak/>
        <w:t>法程序中，於立法院所討論的各種版本中，均類如現行法之規定，認定行政處分必須對外『直接』發生法律效果。從經建會委託研究的行政程序法草案以</w:t>
      </w:r>
      <w:r>
        <w:rPr>
          <w:rFonts w:hint="eastAsia"/>
        </w:rPr>
        <w:t>及研議資料中，由翁岳生教授所撰「論行政處分」一文提及，根據草案（如現行法）的定義，行政處分是「行政機關對外直接發生法律效果之行為。行政處分不包括行政機關之單純事實行為（</w:t>
      </w:r>
      <w:r>
        <w:rPr>
          <w:rFonts w:hint="eastAsia"/>
        </w:rPr>
        <w:t>Realakte</w:t>
      </w:r>
      <w:r>
        <w:rPr>
          <w:rFonts w:hint="eastAsia"/>
        </w:rPr>
        <w:t>），如告知經辦事件進度或緩辦原因等單純之通知、告知、報導、理由之說明等既不發生具體法律效果，不直接對人民之權利義務發生影響，自不屬於行政法學上行政處分之概念</w:t>
      </w:r>
      <w:r>
        <w:rPr>
          <w:rStyle w:val="ae"/>
          <w:rFonts w:ascii="Arial" w:hAnsi="Arial" w:cs="Arial"/>
          <w:szCs w:val="23"/>
        </w:rPr>
        <w:footnoteReference w:id="9"/>
      </w:r>
      <w:r>
        <w:rPr>
          <w:rFonts w:hint="eastAsia"/>
        </w:rPr>
        <w:t>。」翁教授認為行政行為中「不發生具體法律效果，不直接對人民之權利義務發生影響」者，不足以認定為行政處分。其結論雖可資贊同，並已修正了早期其對於行政處分的詮釋，但是我們仍然</w:t>
      </w:r>
      <w:r>
        <w:rPr>
          <w:rFonts w:hint="eastAsia"/>
        </w:rPr>
        <w:t>想要知道，假如行政行為「發生法律效果，但不直接對人民權利義務發生影響」者（這也是過去可能被指為「法的行為」的類型），行政程序法的立場為何？雖然立法資料並無法詳細地反應，但是我們從事後條文的確立，應該可以推測僅以發生法效果與否，並不足以精確地描繪行政處分的輪廓，否則立法者沒有必要限縮於必須對外「直接發生法律效果」之要素之上。換言之，僅僅是間接或者甚至於只是輻射造成權利義務影響的單方行為，尚不足已被認定為行政處分。前述的說明，讓我們發現，如果我們對於行政處分應該具備的「對外直接法效性」要素不予以堅持，僅憑是否發</w:t>
      </w:r>
      <w:r>
        <w:rPr>
          <w:rFonts w:hint="eastAsia"/>
        </w:rPr>
        <w:t>生法律效果作為行政處分的判準，將使得行政處分、事實行為與觀念通知之間的界限更形模糊。吳庚教授於其行政法教科書中指出，行政行為理論中，如從官署的主觀層次觀察，可分為意思表示與認知表示（</w:t>
      </w:r>
      <w:r>
        <w:t>Wissenserklärung</w:t>
      </w:r>
      <w:r>
        <w:rPr>
          <w:rFonts w:hint="eastAsia"/>
        </w:rPr>
        <w:t>）。觀念通知故應歸類為認知表示，但是在公法領域中認知表</w:t>
      </w:r>
      <w:r>
        <w:rPr>
          <w:rFonts w:hint="eastAsia"/>
        </w:rPr>
        <w:lastRenderedPageBreak/>
        <w:t>示亦可能發生意思表示相同之法律效果</w:t>
      </w:r>
      <w:r>
        <w:rPr>
          <w:rStyle w:val="ae"/>
          <w:rFonts w:ascii="Arial" w:hAnsi="Arial" w:cs="Arial"/>
          <w:szCs w:val="23"/>
        </w:rPr>
        <w:footnoteReference w:id="10"/>
      </w:r>
      <w:r>
        <w:rPr>
          <w:rFonts w:hint="eastAsia"/>
        </w:rPr>
        <w:t>。但是我們卻不會將之認定為行政處分，因為這個法律效果發生的原因不同。</w:t>
      </w:r>
    </w:p>
    <w:p w:rsidR="00000000" w:rsidRDefault="00E36B2A">
      <w:pPr>
        <w:pStyle w:val="22"/>
        <w:spacing w:line="480" w:lineRule="auto"/>
        <w:rPr>
          <w:rFonts w:hint="eastAsia"/>
        </w:rPr>
      </w:pPr>
      <w:r>
        <w:rPr>
          <w:rFonts w:hint="eastAsia"/>
        </w:rPr>
        <w:t>我國行政程序法規定雖繼受自德國，但卻未必掌握到其規範細微之處。德國聯邦行政法第</w:t>
      </w:r>
      <w:r>
        <w:t>35</w:t>
      </w:r>
      <w:r>
        <w:t>條第</w:t>
      </w:r>
      <w:r>
        <w:t>1</w:t>
      </w:r>
      <w:r>
        <w:t>句</w:t>
      </w:r>
      <w:r>
        <w:rPr>
          <w:rFonts w:hint="eastAsia"/>
        </w:rPr>
        <w:t>規定，「行政處分係官署</w:t>
      </w:r>
      <w:r>
        <w:rPr>
          <w:rFonts w:hint="eastAsia"/>
          <w:b/>
          <w:bCs/>
          <w:i/>
          <w:iCs/>
          <w:u w:val="single"/>
        </w:rPr>
        <w:t>為了規制</w:t>
      </w:r>
      <w:r>
        <w:rPr>
          <w:rFonts w:hint="eastAsia"/>
        </w:rPr>
        <w:t>個案，而於公法領域</w:t>
      </w:r>
      <w:r>
        <w:rPr>
          <w:rFonts w:hint="eastAsia"/>
        </w:rPr>
        <w:t>中以直接發生對外法律效果</w:t>
      </w:r>
      <w:r>
        <w:rPr>
          <w:rFonts w:hint="eastAsia"/>
          <w:b/>
          <w:bCs/>
          <w:i/>
          <w:iCs/>
          <w:u w:val="single"/>
        </w:rPr>
        <w:t>作為目的</w:t>
      </w:r>
      <w:r>
        <w:rPr>
          <w:rFonts w:hint="eastAsia"/>
        </w:rPr>
        <w:t>，所為之任何的處分、決定或其他公權力措施（</w:t>
      </w:r>
      <w:r>
        <w:t xml:space="preserve">Verwaltungsakt ist jede Verfügung, Entscheidung oder andere hoheitliche Maßnahme, die eine Behörde </w:t>
      </w:r>
      <w:r>
        <w:rPr>
          <w:b/>
          <w:bCs/>
          <w:i/>
          <w:iCs/>
          <w:u w:val="single"/>
        </w:rPr>
        <w:t>zur</w:t>
      </w:r>
      <w:r>
        <w:rPr>
          <w:u w:val="single"/>
        </w:rPr>
        <w:t xml:space="preserve"> </w:t>
      </w:r>
      <w:r>
        <w:rPr>
          <w:b/>
          <w:bCs/>
          <w:i/>
          <w:iCs/>
          <w:u w:val="single"/>
        </w:rPr>
        <w:t>Regelung</w:t>
      </w:r>
      <w:r>
        <w:rPr>
          <w:i/>
          <w:iCs/>
          <w:u w:val="single"/>
        </w:rPr>
        <w:t xml:space="preserve"> </w:t>
      </w:r>
      <w:r>
        <w:t>eines Einzelfalles auf dem Gebiet des öffentlichen Rechts trifft und die auf unmittelbare Rechtswirkung nac</w:t>
      </w:r>
      <w:r>
        <w:t xml:space="preserve">h außen </w:t>
      </w:r>
      <w:r>
        <w:rPr>
          <w:b/>
          <w:bCs/>
          <w:i/>
          <w:iCs/>
          <w:u w:val="single"/>
        </w:rPr>
        <w:t>gerichtet</w:t>
      </w:r>
      <w:r>
        <w:t xml:space="preserve"> ist.</w:t>
      </w:r>
      <w:r>
        <w:rPr>
          <w:rFonts w:hint="eastAsia"/>
        </w:rPr>
        <w:t>）。」這個德文的句法充斥著行政處分規制的目的性與直接性，但是被翻譯成漢文之後，力道盡失。</w:t>
      </w:r>
    </w:p>
    <w:p w:rsidR="00000000" w:rsidRDefault="00E36B2A">
      <w:pPr>
        <w:pStyle w:val="22"/>
        <w:spacing w:line="480" w:lineRule="auto"/>
      </w:pPr>
      <w:r>
        <w:t>首先我們可以發現，行政處分是一個具有目的性的行為，而其「目的」在於「規制」個案（</w:t>
      </w:r>
      <w:r>
        <w:t>„zur“ „Regelung“</w:t>
      </w:r>
      <w:r>
        <w:rPr>
          <w:i/>
          <w:iCs/>
        </w:rPr>
        <w:t xml:space="preserve"> </w:t>
      </w:r>
      <w:r>
        <w:t>eines Einzelfalles</w:t>
      </w:r>
      <w:r>
        <w:t>），這在我國行政程序法中只剩下不痛不癢「『就』公法上具體事件」的描述性文字。</w:t>
      </w:r>
    </w:p>
    <w:p w:rsidR="00000000" w:rsidRDefault="00E36B2A">
      <w:pPr>
        <w:pStyle w:val="22"/>
        <w:spacing w:line="480" w:lineRule="auto"/>
      </w:pPr>
      <w:r>
        <w:t>行政處分具有的「規制目的（</w:t>
      </w:r>
      <w:r>
        <w:t>...zur Regelung...</w:t>
      </w:r>
      <w:r>
        <w:t>）」，在法治國中僅能意指「法律上規制」之目的</w:t>
      </w:r>
      <w:r>
        <w:rPr>
          <w:rStyle w:val="ae"/>
          <w:szCs w:val="23"/>
        </w:rPr>
        <w:footnoteReference w:id="11"/>
      </w:r>
      <w:r>
        <w:t>。「規制」的要素是少包含以下幾個層次的內容</w:t>
      </w:r>
      <w:r>
        <w:rPr>
          <w:rStyle w:val="ae"/>
          <w:szCs w:val="23"/>
        </w:rPr>
        <w:footnoteReference w:id="12"/>
      </w:r>
      <w:r>
        <w:t>。第一、公權力的措施必須是官署根據其意思，意欲所為之行為（</w:t>
      </w:r>
      <w:r>
        <w:t xml:space="preserve">nach dem </w:t>
      </w:r>
      <w:r>
        <w:rPr>
          <w:i/>
          <w:iCs/>
        </w:rPr>
        <w:t>Willen der Behöre</w:t>
      </w:r>
      <w:r>
        <w:t xml:space="preserve"> darauf </w:t>
      </w:r>
      <w:r>
        <w:rPr>
          <w:i/>
          <w:iCs/>
        </w:rPr>
        <w:t>gerichtet</w:t>
      </w:r>
      <w:r>
        <w:t xml:space="preserve"> ist</w:t>
      </w:r>
      <w:r>
        <w:t>）；第二、官署意欲發生一個單方，同時要求對方受其拘束的效</w:t>
      </w:r>
      <w:r>
        <w:lastRenderedPageBreak/>
        <w:t>力（</w:t>
      </w:r>
      <w:r>
        <w:t xml:space="preserve">Anspruch auf </w:t>
      </w:r>
      <w:r>
        <w:rPr>
          <w:i/>
          <w:iCs/>
        </w:rPr>
        <w:t>Verbindlichkeit</w:t>
      </w:r>
      <w:r>
        <w:t xml:space="preserve">; mit </w:t>
      </w:r>
      <w:r>
        <w:rPr>
          <w:i/>
          <w:iCs/>
        </w:rPr>
        <w:t>verbindlicher Wirkung</w:t>
      </w:r>
      <w:r>
        <w:t>）；第三、官署意欲發生一個直接的效力（</w:t>
      </w:r>
      <w:r>
        <w:t xml:space="preserve">eine </w:t>
      </w:r>
      <w:r>
        <w:rPr>
          <w:i/>
          <w:iCs/>
        </w:rPr>
        <w:t>unmittelbare Wirkung</w:t>
      </w:r>
      <w:r>
        <w:t>），亦即發生一個法律上的效果（</w:t>
      </w:r>
      <w:r>
        <w:rPr>
          <w:i/>
          <w:iCs/>
        </w:rPr>
        <w:t>Rechtsfolge</w:t>
      </w:r>
      <w:r>
        <w:t>）。所以規制的概念其實已經跟透過法律上的拘束力去</w:t>
      </w:r>
      <w:r>
        <w:t>形塑行政法法律關係（</w:t>
      </w:r>
      <w:r>
        <w:t xml:space="preserve">Ein Verwaltungsrechtsverhältnis wird mit rechtlicher Verbindlichkeit </w:t>
      </w:r>
      <w:r>
        <w:rPr>
          <w:bCs/>
        </w:rPr>
        <w:t>gestaltet</w:t>
      </w:r>
      <w:r>
        <w:t>）的意義無差。這與事實行為（</w:t>
      </w:r>
      <w:r>
        <w:t>Realakt</w:t>
      </w:r>
      <w:r>
        <w:t>）不同，它雖可產生事實上之效力，並且具有法律上之重要性（例如引發公法上的損害賠償請求權，並且形成一個公法上之法定債的關係），但是行政處分是一個法的行為（</w:t>
      </w:r>
      <w:r>
        <w:t>Rechtsakt</w:t>
      </w:r>
      <w:r>
        <w:t>），直接可以透過官署意思形塑一個法律狀態</w:t>
      </w:r>
      <w:r>
        <w:rPr>
          <w:rStyle w:val="ae"/>
          <w:szCs w:val="23"/>
        </w:rPr>
        <w:footnoteReference w:id="13"/>
      </w:r>
      <w:r>
        <w:t>。規制概念的內含其實是集中在於行政「目的（</w:t>
      </w:r>
      <w:r>
        <w:t>abzielen</w:t>
      </w:r>
      <w:r>
        <w:t>）」造成一個有拘束力的法</w:t>
      </w:r>
      <w:r>
        <w:t>律效果之上</w:t>
      </w:r>
      <w:r>
        <w:rPr>
          <w:rStyle w:val="ae"/>
          <w:szCs w:val="23"/>
        </w:rPr>
        <w:footnoteReference w:id="14"/>
      </w:r>
      <w:r>
        <w:t>。</w:t>
      </w:r>
    </w:p>
    <w:p w:rsidR="00000000" w:rsidRDefault="00E36B2A">
      <w:pPr>
        <w:pStyle w:val="22"/>
        <w:spacing w:line="480" w:lineRule="auto"/>
      </w:pPr>
      <w:r>
        <w:t>針對前述分析之第一點而言，規制的特徵首在於法律效果的發生正是基於所謂的「官署意思（</w:t>
      </w:r>
      <w:r>
        <w:t>Behördenwillen</w:t>
      </w:r>
      <w:r>
        <w:t>）」。換句話說，法律效果的發生正因為官署希望它能發生，而非單純地根據法律規定</w:t>
      </w:r>
      <w:r>
        <w:rPr>
          <w:rStyle w:val="ae"/>
          <w:sz w:val="23"/>
          <w:szCs w:val="23"/>
        </w:rPr>
        <w:footnoteReference w:id="15"/>
      </w:r>
      <w:r>
        <w:t>。針對第二點，並非所有的單方法律行為的表示均屬行政處分，因為有些表示之所以發生法律上的效果，僅是因為所有的法律要件滿足的結果。如果法律要件仍有欠缺，即使有官署之意思，該行為仍然還是不生效力（</w:t>
      </w:r>
      <w:r>
        <w:t>unwirksam</w:t>
      </w:r>
      <w:r>
        <w:t>）</w:t>
      </w:r>
      <w:r>
        <w:rPr>
          <w:rStyle w:val="ae"/>
          <w:sz w:val="23"/>
          <w:szCs w:val="23"/>
        </w:rPr>
        <w:footnoteReference w:id="16"/>
      </w:r>
      <w:r>
        <w:t>。例如公法上的抵銷（</w:t>
      </w:r>
      <w:r>
        <w:t>Aufrechnung</w:t>
      </w:r>
      <w:r>
        <w:t>），它雖然是官署的單方意思表示，但是卻並非行政處分。因</w:t>
      </w:r>
      <w:r>
        <w:t>為抵銷是指二人互負債務而其給付之種類相同，並已屆清償期，為使雙方所負相當額之債務同歸消滅之單方意思表</w:t>
      </w:r>
      <w:r>
        <w:lastRenderedPageBreak/>
        <w:t>示。但是官署為抵銷之意思表示時卻無法透過他的表示就發生彼此請求權消滅的效果，因為還有其他法律要件須要滿足。倘若有所欠缺，抵銷還是不生效力</w:t>
      </w:r>
      <w:r>
        <w:rPr>
          <w:rStyle w:val="ae"/>
          <w:sz w:val="23"/>
          <w:szCs w:val="23"/>
        </w:rPr>
        <w:footnoteReference w:id="17"/>
      </w:r>
      <w:r>
        <w:t>。但是行政處分卻不然，即使作成處分之法律要件欠缺，官署作成之行政處分依然還是發生法律效果。第三，假如官署措施的目的本身並非「直接」發生法律效果時，它更無法該當「規制」的意涵</w:t>
      </w:r>
      <w:r>
        <w:rPr>
          <w:rStyle w:val="ae"/>
          <w:sz w:val="23"/>
          <w:szCs w:val="23"/>
        </w:rPr>
        <w:footnoteReference w:id="18"/>
      </w:r>
      <w:r>
        <w:t>。</w:t>
      </w:r>
    </w:p>
    <w:p w:rsidR="00000000" w:rsidRDefault="00E36B2A">
      <w:pPr>
        <w:pStyle w:val="22"/>
        <w:spacing w:line="480" w:lineRule="auto"/>
      </w:pPr>
      <w:r>
        <w:t>行政處分必須具備直接性（</w:t>
      </w:r>
      <w:r>
        <w:t>Unmittelbarkeit</w:t>
      </w:r>
      <w:r>
        <w:t>）的規制特徵是指，根據公權力措施的客觀意義</w:t>
      </w:r>
      <w:r>
        <w:t>內涵，行政處分必須「直接涉及到」拘束關係人權利或（與）義務或法律地位之規範。至於所謂的直接性只有當公權力措施在主要內容中針對自然人或法人表示</w:t>
      </w:r>
      <w:r>
        <w:t xml:space="preserve"> – </w:t>
      </w:r>
      <w:r>
        <w:t>不論已明確表示出或者必須自其意思表示內容推導出</w:t>
      </w:r>
      <w:r>
        <w:t xml:space="preserve"> – </w:t>
      </w:r>
      <w:r>
        <w:t>其所「意欲（</w:t>
      </w:r>
      <w:r>
        <w:t>gerichtet</w:t>
      </w:r>
      <w:r>
        <w:t>）」的法律效果時才存在</w:t>
      </w:r>
      <w:r>
        <w:rPr>
          <w:rStyle w:val="ae"/>
        </w:rPr>
        <w:footnoteReference w:id="19"/>
      </w:r>
      <w:r>
        <w:t>。德國聯邦行政程序法上「規制」的意義因此再進一步地與條文中的行政機關的「意欲性」相結合，強化官署主觀意思表示或者法效目的的要求。這些層層疊疊的目的取向要求以及官署法效意思的堅持，落實在我國行政程序法上，有意義之處僅剩「直接發生法律效果」一語。不過聊勝於無，我國</w:t>
      </w:r>
      <w:r>
        <w:t>行政程序法上仍然要求行政處分發生法律效果的「直接性」。就這點而言，也應該包含以上有關官署意思、目的性、意欲性等相關內涵。透過以上說明，我們可以如此判斷，即使行政的措施缺乏針對此法律效果的「主要內</w:t>
      </w:r>
      <w:r>
        <w:lastRenderedPageBreak/>
        <w:t>容」，但是卻還是發生法律效果時，此一非主要內容所引發的法律效果還是不能作為認定該措施具有行政處分特徵的理由</w:t>
      </w:r>
      <w:r>
        <w:rPr>
          <w:vertAlign w:val="superscript"/>
        </w:rPr>
        <w:footnoteReference w:id="20"/>
      </w:r>
      <w:r>
        <w:t>。換言之，德國聯邦行政程序法有關行政處分定義中「意欲」發生外部效果的要件仍應滿足</w:t>
      </w:r>
      <w:r>
        <w:rPr>
          <w:vertAlign w:val="superscript"/>
        </w:rPr>
        <w:footnoteReference w:id="21"/>
      </w:r>
      <w:r>
        <w:t>。具體而言，行政處分作為一個行政法上的意思表示，當然必須進一步探求作成處分機關究竟意欲藉此行為達到何種法律效果的真意。</w:t>
      </w:r>
    </w:p>
    <w:p w:rsidR="00000000" w:rsidRDefault="00E36B2A">
      <w:pPr>
        <w:pStyle w:val="22"/>
        <w:spacing w:line="480" w:lineRule="auto"/>
      </w:pPr>
      <w:r>
        <w:t>就這點而</w:t>
      </w:r>
      <w:r>
        <w:t>言，陳愛娥教授正確與忠實地反應行政處分應該具備的規制目的性特徵。她認為行政處分之所以能夠與行政法上之事實行為，包括行政法上之準法律行為相區分，並不在於它是否對外發生法律效果，毋寧在於它包含了行政法上意思表示。換句話說，作成行政處分者藉由行政處分「擬（</w:t>
      </w:r>
      <w:r>
        <w:t>gerichtet</w:t>
      </w:r>
      <w:r>
        <w:t>）</w:t>
      </w:r>
      <w:r>
        <w:rPr>
          <w:rStyle w:val="ae"/>
        </w:rPr>
        <w:footnoteReference w:id="22"/>
      </w:r>
      <w:r>
        <w:t>」規定一定的法律效果，且法秩序即相應承認其得以發生此等法律效果。行政程序法第</w:t>
      </w:r>
      <w:r>
        <w:t>92</w:t>
      </w:r>
      <w:r>
        <w:t>條關於行政處分之定義，也表現出這項要求</w:t>
      </w:r>
      <w:r>
        <w:rPr>
          <w:rStyle w:val="ae"/>
        </w:rPr>
        <w:footnoteReference w:id="23"/>
      </w:r>
      <w:r>
        <w:t>。行政上之事實行為，乃至於行政法上的準法律行為</w:t>
      </w:r>
      <w:r>
        <w:rPr>
          <w:b/>
        </w:rPr>
        <w:t>無妨直接依據法律規定而發生法律效果</w:t>
      </w:r>
      <w:r>
        <w:t>，但並不因其「直接影響人民權利義務關係，</w:t>
      </w:r>
      <w:r>
        <w:t>且實際上已對外發生效力」，即認其為行政處分。至於行政機關是否擬作成行政處分，其透過行政處分究竟要規定什麼法律效果，其取決於行政處分之意思表示的內容。具體而言，必須探求作成行政處分機關究竟想藉</w:t>
      </w:r>
      <w:r>
        <w:lastRenderedPageBreak/>
        <w:t>此規定什麼法律效果。行政機關意思表示的內容為何，首先應從行政處分決定的主文去探求，在決定主文不清晰的情況下，也不排除從決定的理由說明中進行解釋</w:t>
      </w:r>
      <w:r>
        <w:rPr>
          <w:rStyle w:val="ae"/>
        </w:rPr>
        <w:footnoteReference w:id="24"/>
      </w:r>
      <w:r>
        <w:t>。本文之基本立場與陳教授的詳實說明幾無差別，但是對於陳教授在此未能進一步將「直接性」的重要性點出，本文認為還有補充說明之必要。特別是行政處分發生之效果如果是基於行政機關之意思而生</w:t>
      </w:r>
      <w:r>
        <w:t>，那麼行政處分之「直接性」要素就必須跟意思表示（法效意思）緊緊相扣。像是準法律行為之類的行政行為，應該不會再因為它也能「直接影響人民權利義務關係」而發生與行政處分混淆之處（這與所謂的事實行為直接造成權利損害的問題不同）。換句話說，「目的性」與「直接性」的要素應是重合的概念</w:t>
      </w:r>
      <w:r>
        <w:rPr>
          <w:rStyle w:val="ae"/>
        </w:rPr>
        <w:footnoteReference w:id="25"/>
      </w:r>
      <w:r>
        <w:t>。準法律行為無法效意思支持，即會欠缺發生對外法律效果的目的性與直接性。除非說，這個直接的影響是因為「直接根據法律規定」的關係，而不同於行政處分效力是直接根據官署意思。就這點而言，陳教授在新作之中比較陳敏教授、許宗力與廖義男兩位大法官對於行</w:t>
      </w:r>
      <w:r>
        <w:t>政處分要素之判斷差異時指出，陳敏教授以「規制」的概念突顯行政處分係「以發生法律效果之意思所為」，不同於兩位大法官以「（對外）直接發生法律效果」作為主要標準。陳愛娥教授採取了如同陳敏教授的立場，重申行政處分之所以能夠與行政法上之事實行為、準法律行為相區分，不在於它是否「對外發生法律效果」，毋寧在於它包含行政法上之意思表示。換句話說，作成行政處分者擬藉由行政處分規定一定的法律效果，且法秩序相應承認其得以發生此等法律效果。至於行政法上</w:t>
      </w:r>
      <w:r>
        <w:lastRenderedPageBreak/>
        <w:t>之事實行為或者準法律行為無妨「直接依法發生法律效果」，但不因其「直接影響人民權利</w:t>
      </w:r>
      <w:r>
        <w:t>義務關係，且實際上已對外發生效力」，即認其為行政處分</w:t>
      </w:r>
      <w:r>
        <w:rPr>
          <w:rStyle w:val="ae"/>
        </w:rPr>
        <w:footnoteReference w:id="26"/>
      </w:r>
      <w:r>
        <w:t>。我們可以比較清楚地看出陳愛娥教授並不將規制的目的性與直接性等同視之之立場。並據以主張前述兩種說法有異。但是如果我們將直接性的概念與目的性的概念視為結合的概念，這兩說間的距離其實應該不會那麼遙遠。</w:t>
      </w:r>
    </w:p>
    <w:p w:rsidR="00000000" w:rsidRDefault="00E36B2A">
      <w:pPr>
        <w:pStyle w:val="22"/>
        <w:spacing w:line="480" w:lineRule="auto"/>
      </w:pPr>
      <w:r>
        <w:t>不過如果將直接性的概念作「直接根據法律規定」解釋，舊訴願法的規定，顯然就這一部份也沒有進一步調整成行政程序法般規定的必要。因為加上「直接性」的要素還是無法跟其他準法律行為精確區分（或者說直接根據法規範而發生法律效果的準法律行為也會是行政處分），特別是我國法上沒</w:t>
      </w:r>
      <w:r>
        <w:t>能精確表達出「規制目的」的情況下，還得要藉助比較法的解釋，以目的性的要素進行判斷，這恐怕不是修法對於行政處分重新定義的原意。過去或許我們因為訴訟類型的狹隘，要擴大人民救濟的可能性，而將若干準法律行為判定具有行政處分特徵的作法應該可以放棄。德國實務界過去以權利救濟有無必要，作為行政處分是否存在的主要根據，而忽略了行政程序法當中，行政處分規定本應著重的「目的性（</w:t>
      </w:r>
      <w:r>
        <w:t>Finalität</w:t>
      </w:r>
      <w:r>
        <w:t>）」要素的作法，漸漸有反省的聲浪發出</w:t>
      </w:r>
      <w:r>
        <w:rPr>
          <w:vertAlign w:val="superscript"/>
        </w:rPr>
        <w:footnoteReference w:id="27"/>
      </w:r>
      <w:r>
        <w:t>。學者也認為我們不能因為救濟的需求而放棄以規制的特徵作為評價一個行政措施是否具備行政處分特性的操</w:t>
      </w:r>
      <w:r>
        <w:t>作。相反地，我們也可能因此錯誤認定是否有「規制效果」。我們應該謹記，行政救濟門戶的開啟與否，其實跟一個行政措施是否具有規制特徵，換句話說跟它是不是行</w:t>
      </w:r>
      <w:r>
        <w:lastRenderedPageBreak/>
        <w:t>政處分無關</w:t>
      </w:r>
      <w:r>
        <w:rPr>
          <w:rStyle w:val="ae"/>
        </w:rPr>
        <w:footnoteReference w:id="28"/>
      </w:r>
      <w:r>
        <w:t>。</w:t>
      </w:r>
    </w:p>
    <w:p w:rsidR="00000000" w:rsidRDefault="00E36B2A">
      <w:pPr>
        <w:pStyle w:val="22"/>
        <w:spacing w:line="480" w:lineRule="auto"/>
        <w:ind w:firstLine="460"/>
        <w:rPr>
          <w:rFonts w:hint="eastAsia"/>
          <w:sz w:val="23"/>
        </w:rPr>
      </w:pPr>
      <w:r>
        <w:rPr>
          <w:sz w:val="23"/>
        </w:rPr>
        <w:t>由於行政程序法中有關行政處分的定義明確，行政處分的規制特徵讓行政處分成為一種以發生法律效果作為目的之行政法上意思表示，幾無疑義</w:t>
      </w:r>
      <w:r>
        <w:rPr>
          <w:rStyle w:val="ae"/>
        </w:rPr>
        <w:footnoteReference w:id="29"/>
      </w:r>
      <w:r>
        <w:rPr>
          <w:sz w:val="23"/>
        </w:rPr>
        <w:t>。陳敏教授就毫不掩飾地指出，行政處分乃行政機關單方所為之規制措施。在此所謂之「規制（</w:t>
      </w:r>
      <w:r>
        <w:rPr>
          <w:sz w:val="23"/>
        </w:rPr>
        <w:t>Regelung</w:t>
      </w:r>
      <w:r>
        <w:rPr>
          <w:sz w:val="23"/>
        </w:rPr>
        <w:t>）」，係以設定法律效果為目的，具有法律拘束力之</w:t>
      </w:r>
      <w:r>
        <w:rPr>
          <w:b/>
          <w:bCs/>
          <w:sz w:val="23"/>
        </w:rPr>
        <w:t>意思表示</w:t>
      </w:r>
      <w:r>
        <w:rPr>
          <w:rStyle w:val="ae"/>
        </w:rPr>
        <w:footnoteReference w:id="30"/>
      </w:r>
      <w:r>
        <w:rPr>
          <w:sz w:val="23"/>
        </w:rPr>
        <w:t>。不論德國或我國行政程序法之規定，不僅沒有擺脫意思表示概念的束縛</w:t>
      </w:r>
      <w:r>
        <w:rPr>
          <w:sz w:val="23"/>
        </w:rPr>
        <w:t>，毋寧將行政處分僅限定於法律行為形式的行政行為之上。意思表示的概念早已內化在行政程序法第</w:t>
      </w:r>
      <w:r>
        <w:rPr>
          <w:sz w:val="23"/>
        </w:rPr>
        <w:t>92</w:t>
      </w:r>
      <w:r>
        <w:rPr>
          <w:sz w:val="23"/>
        </w:rPr>
        <w:t>條第</w:t>
      </w:r>
      <w:r>
        <w:rPr>
          <w:sz w:val="23"/>
        </w:rPr>
        <w:t>1</w:t>
      </w:r>
      <w:r>
        <w:rPr>
          <w:sz w:val="23"/>
        </w:rPr>
        <w:t>項（或德國聯邦行政程序法第</w:t>
      </w:r>
      <w:r>
        <w:rPr>
          <w:sz w:val="23"/>
        </w:rPr>
        <w:t>35</w:t>
      </w:r>
      <w:r>
        <w:rPr>
          <w:sz w:val="23"/>
        </w:rPr>
        <w:t>條第</w:t>
      </w:r>
      <w:r>
        <w:rPr>
          <w:sz w:val="23"/>
        </w:rPr>
        <w:t>1</w:t>
      </w:r>
      <w:r>
        <w:rPr>
          <w:sz w:val="23"/>
        </w:rPr>
        <w:t>句）的定義之中。目前學說上較少以意思表示的概念進行討論，並非揚棄意思表示作為行政處分的內涵，而應當是視其為法條定義下的當然解釋。因此，像是公法上的事實行為或者準法律行為，即使它們可以根據法律規定發生一定的法律效果，但是因為它們不是意思表示，也就不可能成為行政處分了</w:t>
      </w:r>
      <w:r>
        <w:rPr>
          <w:rStyle w:val="ae"/>
        </w:rPr>
        <w:footnoteReference w:id="31"/>
      </w:r>
      <w:r>
        <w:rPr>
          <w:sz w:val="23"/>
        </w:rPr>
        <w:t>。</w:t>
      </w:r>
    </w:p>
    <w:p w:rsidR="00E36B2A" w:rsidRDefault="00E36B2A">
      <w:pPr>
        <w:pStyle w:val="22"/>
        <w:spacing w:line="480" w:lineRule="auto"/>
        <w:ind w:firstLine="460"/>
        <w:rPr>
          <w:rFonts w:ascii="Arial" w:hAnsi="Arial" w:cs="Arial"/>
          <w:vanish/>
          <w:kern w:val="0"/>
          <w:sz w:val="19"/>
          <w:szCs w:val="19"/>
        </w:rPr>
      </w:pPr>
      <w:r>
        <w:rPr>
          <w:rFonts w:hint="eastAsia"/>
          <w:sz w:val="23"/>
        </w:rPr>
        <w:t>經由以上的說明，我們可以知道行政處分認定的核心要素在於其是否具備對外直接法效性之上。</w:t>
      </w:r>
      <w:r>
        <w:rPr>
          <w:rFonts w:hint="eastAsia"/>
        </w:rPr>
        <w:t>在陞遷流程中，行政機關訂</w:t>
      </w:r>
      <w:r>
        <w:rPr>
          <w:rFonts w:hint="eastAsia"/>
        </w:rPr>
        <w:t>定陞遷序列表、內陞或外補之決定、列入甄審名冊</w:t>
      </w:r>
      <w:r>
        <w:rPr>
          <w:lang w:val="en-US"/>
        </w:rPr>
        <w:t>、</w:t>
      </w:r>
      <w:r>
        <w:rPr>
          <w:rFonts w:hint="eastAsia"/>
        </w:rPr>
        <w:t>甄審會評分、參加他機關甄審之通知、商調時原服務機關不同意均因其不具有此一對外直接法效性的特徵而非行政處分。保訓會一貫的立場亦採之。</w:t>
      </w:r>
    </w:p>
    <w:sectPr w:rsidR="00E36B2A">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2A" w:rsidRDefault="00E36B2A">
      <w:r>
        <w:separator/>
      </w:r>
    </w:p>
  </w:endnote>
  <w:endnote w:type="continuationSeparator" w:id="0">
    <w:p w:rsidR="00E36B2A" w:rsidRDefault="00E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6B2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E36B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6B2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54A3B">
      <w:rPr>
        <w:rStyle w:val="a7"/>
        <w:noProof/>
      </w:rPr>
      <w:t>12</w:t>
    </w:r>
    <w:r>
      <w:rPr>
        <w:rStyle w:val="a7"/>
      </w:rPr>
      <w:fldChar w:fldCharType="end"/>
    </w:r>
  </w:p>
  <w:p w:rsidR="00000000" w:rsidRDefault="00E36B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2A" w:rsidRDefault="00E36B2A">
      <w:pPr>
        <w:snapToGrid w:val="0"/>
        <w:spacing w:beforeLines="50" w:before="120" w:afterLines="50" w:after="120" w:line="360" w:lineRule="auto"/>
      </w:pPr>
      <w:r>
        <w:separator/>
      </w:r>
    </w:p>
  </w:footnote>
  <w:footnote w:type="continuationSeparator" w:id="0">
    <w:p w:rsidR="00E36B2A" w:rsidRDefault="00E36B2A">
      <w:pPr>
        <w:snapToGrid w:val="0"/>
        <w:spacing w:beforeLines="50" w:before="120" w:afterLines="50" w:after="120" w:line="360" w:lineRule="auto"/>
      </w:pPr>
      <w:r>
        <w:continuationSeparator/>
      </w:r>
    </w:p>
  </w:footnote>
  <w:footnote w:id="1">
    <w:p w:rsidR="00000000" w:rsidRDefault="00E36B2A">
      <w:pPr>
        <w:pStyle w:val="ad"/>
        <w:spacing w:line="360" w:lineRule="auto"/>
        <w:jc w:val="both"/>
        <w:rPr>
          <w:lang w:val="de-DE"/>
        </w:rPr>
      </w:pPr>
      <w:r>
        <w:rPr>
          <w:rStyle w:val="ae"/>
        </w:rPr>
        <w:footnoteRef/>
      </w:r>
      <w:r>
        <w:rPr>
          <w:lang w:val="de-DE"/>
        </w:rPr>
        <w:t xml:space="preserve"> Vgl. </w:t>
      </w:r>
      <w:r>
        <w:rPr>
          <w:kern w:val="0"/>
          <w:lang w:val="de-DE"/>
        </w:rPr>
        <w:t xml:space="preserve">BVerwG NVwZ 1993, </w:t>
      </w:r>
      <w:hyperlink r:id="rId1" w:history="1">
        <w:r>
          <w:rPr>
            <w:kern w:val="0"/>
            <w:lang w:val="de-DE"/>
          </w:rPr>
          <w:t>678</w:t>
        </w:r>
      </w:hyperlink>
      <w:r>
        <w:rPr>
          <w:kern w:val="0"/>
          <w:lang w:val="de-DE"/>
        </w:rPr>
        <w:t xml:space="preserve"> (</w:t>
      </w:r>
      <w:hyperlink r:id="rId2" w:history="1">
        <w:r>
          <w:rPr>
            <w:kern w:val="0"/>
            <w:lang w:val="de-DE"/>
          </w:rPr>
          <w:t>681</w:t>
        </w:r>
      </w:hyperlink>
      <w:r>
        <w:rPr>
          <w:kern w:val="0"/>
          <w:lang w:val="de-DE"/>
        </w:rPr>
        <w:t>).</w:t>
      </w:r>
    </w:p>
  </w:footnote>
  <w:footnote w:id="2">
    <w:p w:rsidR="00000000" w:rsidRDefault="00E36B2A">
      <w:pPr>
        <w:pStyle w:val="ad"/>
        <w:spacing w:line="360" w:lineRule="auto"/>
        <w:jc w:val="both"/>
        <w:rPr>
          <w:lang w:val="de-DE"/>
        </w:rPr>
      </w:pPr>
      <w:r>
        <w:rPr>
          <w:rStyle w:val="ae"/>
        </w:rPr>
        <w:footnoteRef/>
      </w:r>
      <w:r>
        <w:rPr>
          <w:lang w:val="de-DE"/>
        </w:rPr>
        <w:t xml:space="preserve"> Vgl. </w:t>
      </w:r>
      <w:r>
        <w:rPr>
          <w:rFonts w:hint="eastAsia"/>
          <w:color w:val="0000FF"/>
          <w:lang w:val="de-DE"/>
        </w:rPr>
        <w:t>Norbert</w:t>
      </w:r>
      <w:r>
        <w:rPr>
          <w:iCs/>
          <w:kern w:val="0"/>
          <w:lang w:val="de-DE"/>
        </w:rPr>
        <w:t xml:space="preserve"> Achterberg,</w:t>
      </w:r>
      <w:r>
        <w:rPr>
          <w:kern w:val="0"/>
          <w:lang w:val="de-DE"/>
        </w:rPr>
        <w:t xml:space="preserve"> DÖV 1971, </w:t>
      </w:r>
      <w:hyperlink r:id="rId3" w:history="1">
        <w:r>
          <w:rPr>
            <w:kern w:val="0"/>
            <w:lang w:val="de-DE"/>
          </w:rPr>
          <w:t>397</w:t>
        </w:r>
      </w:hyperlink>
      <w:r>
        <w:rPr>
          <w:kern w:val="0"/>
          <w:lang w:val="de-DE"/>
        </w:rPr>
        <w:t xml:space="preserve"> ff.; Begründung zu § 9 Entwurf 73 zum BVwVfG.</w:t>
      </w:r>
    </w:p>
  </w:footnote>
  <w:footnote w:id="3">
    <w:p w:rsidR="00000000" w:rsidRDefault="00E36B2A">
      <w:pPr>
        <w:pStyle w:val="ad"/>
        <w:spacing w:line="360" w:lineRule="auto"/>
        <w:jc w:val="both"/>
        <w:rPr>
          <w:lang w:val="de-DE"/>
        </w:rPr>
      </w:pPr>
      <w:r>
        <w:rPr>
          <w:rStyle w:val="ae"/>
        </w:rPr>
        <w:footnoteRef/>
      </w:r>
      <w:r>
        <w:rPr>
          <w:lang w:val="de-DE"/>
        </w:rPr>
        <w:t xml:space="preserve"> Vgl. </w:t>
      </w:r>
      <w:r>
        <w:rPr>
          <w:kern w:val="0"/>
          <w:lang w:val="de-DE"/>
        </w:rPr>
        <w:t>BV</w:t>
      </w:r>
      <w:r>
        <w:rPr>
          <w:kern w:val="0"/>
          <w:lang w:val="de-DE"/>
        </w:rPr>
        <w:t xml:space="preserve">erwGE 115, </w:t>
      </w:r>
      <w:hyperlink r:id="rId4" w:history="1">
        <w:r>
          <w:rPr>
            <w:kern w:val="0"/>
            <w:lang w:val="de-DE"/>
          </w:rPr>
          <w:t>373</w:t>
        </w:r>
      </w:hyperlink>
      <w:r>
        <w:rPr>
          <w:kern w:val="0"/>
          <w:lang w:val="de-DE"/>
        </w:rPr>
        <w:t xml:space="preserve"> (</w:t>
      </w:r>
      <w:hyperlink r:id="rId5" w:history="1">
        <w:r>
          <w:rPr>
            <w:kern w:val="0"/>
            <w:lang w:val="de-DE"/>
          </w:rPr>
          <w:t>379</w:t>
        </w:r>
      </w:hyperlink>
      <w:r>
        <w:rPr>
          <w:kern w:val="0"/>
          <w:lang w:val="de-DE"/>
        </w:rPr>
        <w:t xml:space="preserve">) = NVwZ 2002, </w:t>
      </w:r>
      <w:hyperlink r:id="rId6" w:history="1">
        <w:r>
          <w:rPr>
            <w:kern w:val="0"/>
            <w:lang w:val="de-DE"/>
          </w:rPr>
          <w:t>984</w:t>
        </w:r>
      </w:hyperlink>
      <w:r>
        <w:rPr>
          <w:kern w:val="0"/>
          <w:lang w:val="de-DE"/>
        </w:rPr>
        <w:t>.</w:t>
      </w:r>
    </w:p>
  </w:footnote>
  <w:footnote w:id="4">
    <w:p w:rsidR="00000000" w:rsidRDefault="00E36B2A">
      <w:pPr>
        <w:pStyle w:val="ad"/>
        <w:spacing w:line="360" w:lineRule="auto"/>
        <w:jc w:val="both"/>
        <w:rPr>
          <w:lang w:val="de-DE"/>
        </w:rPr>
      </w:pPr>
      <w:r>
        <w:rPr>
          <w:rStyle w:val="ae"/>
        </w:rPr>
        <w:footnoteRef/>
      </w:r>
      <w:r>
        <w:rPr>
          <w:lang w:val="de-DE"/>
        </w:rPr>
        <w:t xml:space="preserve"> Vgl. </w:t>
      </w:r>
      <w:r>
        <w:rPr>
          <w:iCs/>
          <w:kern w:val="0"/>
          <w:lang w:val="de-DE"/>
        </w:rPr>
        <w:t xml:space="preserve">Hill, </w:t>
      </w:r>
      <w:r>
        <w:rPr>
          <w:kern w:val="0"/>
          <w:lang w:val="de-DE"/>
        </w:rPr>
        <w:t xml:space="preserve">Verfahren, S. 54; </w:t>
      </w:r>
      <w:r>
        <w:rPr>
          <w:iCs/>
          <w:kern w:val="0"/>
          <w:lang w:val="de-DE"/>
        </w:rPr>
        <w:t xml:space="preserve">ders., </w:t>
      </w:r>
      <w:r>
        <w:rPr>
          <w:kern w:val="0"/>
          <w:lang w:val="de-DE"/>
        </w:rPr>
        <w:t xml:space="preserve">Jura 1985, </w:t>
      </w:r>
      <w:hyperlink r:id="rId7" w:history="1">
        <w:r>
          <w:rPr>
            <w:kern w:val="0"/>
            <w:lang w:val="de-DE"/>
          </w:rPr>
          <w:t>61</w:t>
        </w:r>
      </w:hyperlink>
      <w:r>
        <w:rPr>
          <w:kern w:val="0"/>
          <w:lang w:val="de-DE"/>
        </w:rPr>
        <w:t xml:space="preserve"> (</w:t>
      </w:r>
      <w:hyperlink r:id="rId8" w:history="1">
        <w:r>
          <w:rPr>
            <w:kern w:val="0"/>
            <w:lang w:val="de-DE"/>
          </w:rPr>
          <w:t>63</w:t>
        </w:r>
      </w:hyperlink>
      <w:r>
        <w:rPr>
          <w:kern w:val="0"/>
          <w:lang w:val="de-DE"/>
        </w:rPr>
        <w:t xml:space="preserve">); </w:t>
      </w:r>
      <w:r>
        <w:rPr>
          <w:iCs/>
          <w:kern w:val="0"/>
          <w:lang w:val="de-DE"/>
        </w:rPr>
        <w:t xml:space="preserve">Stelkens </w:t>
      </w:r>
      <w:r>
        <w:rPr>
          <w:kern w:val="0"/>
          <w:lang w:val="de-DE"/>
        </w:rPr>
        <w:t xml:space="preserve">NJW 1982, </w:t>
      </w:r>
      <w:hyperlink r:id="rId9" w:history="1">
        <w:r>
          <w:rPr>
            <w:kern w:val="0"/>
            <w:lang w:val="de-DE"/>
          </w:rPr>
          <w:t>1137</w:t>
        </w:r>
      </w:hyperlink>
      <w:r>
        <w:rPr>
          <w:kern w:val="0"/>
          <w:lang w:val="de-DE"/>
        </w:rPr>
        <w:t xml:space="preserve">; </w:t>
      </w:r>
      <w:r>
        <w:rPr>
          <w:iCs/>
          <w:kern w:val="0"/>
          <w:lang w:val="de-DE"/>
        </w:rPr>
        <w:t xml:space="preserve">Pagenkopf, </w:t>
      </w:r>
      <w:r>
        <w:rPr>
          <w:kern w:val="0"/>
          <w:lang w:val="de-DE"/>
        </w:rPr>
        <w:t xml:space="preserve">NJW 1979, </w:t>
      </w:r>
      <w:hyperlink r:id="rId10" w:history="1">
        <w:r>
          <w:rPr>
            <w:kern w:val="0"/>
            <w:lang w:val="de-DE"/>
          </w:rPr>
          <w:t>2382</w:t>
        </w:r>
      </w:hyperlink>
      <w:r>
        <w:rPr>
          <w:kern w:val="0"/>
          <w:lang w:val="de-DE"/>
        </w:rPr>
        <w:t xml:space="preserve">; </w:t>
      </w:r>
      <w:r>
        <w:rPr>
          <w:iCs/>
          <w:kern w:val="0"/>
          <w:lang w:val="de-DE"/>
        </w:rPr>
        <w:t xml:space="preserve">Redeker/von Oertzen, </w:t>
      </w:r>
      <w:r>
        <w:rPr>
          <w:kern w:val="0"/>
          <w:lang w:val="de-DE"/>
        </w:rPr>
        <w:t xml:space="preserve">Rn. 3a; </w:t>
      </w:r>
      <w:r>
        <w:rPr>
          <w:iCs/>
          <w:kern w:val="0"/>
          <w:lang w:val="de-DE"/>
        </w:rPr>
        <w:t xml:space="preserve">Hufen, </w:t>
      </w:r>
      <w:r>
        <w:rPr>
          <w:kern w:val="0"/>
          <w:lang w:val="de-DE"/>
        </w:rPr>
        <w:t>Fehler, Rn. 637.</w:t>
      </w:r>
    </w:p>
  </w:footnote>
  <w:footnote w:id="5">
    <w:p w:rsidR="00000000" w:rsidRDefault="00E36B2A">
      <w:pPr>
        <w:pStyle w:val="ad"/>
        <w:spacing w:line="360" w:lineRule="auto"/>
        <w:jc w:val="both"/>
        <w:rPr>
          <w:lang w:val="de-DE"/>
        </w:rPr>
      </w:pPr>
      <w:r>
        <w:rPr>
          <w:rStyle w:val="ae"/>
        </w:rPr>
        <w:footnoteRef/>
      </w:r>
      <w:r>
        <w:rPr>
          <w:lang w:val="de-DE"/>
        </w:rPr>
        <w:t xml:space="preserve"> </w:t>
      </w:r>
      <w:r>
        <w:rPr>
          <w:rFonts w:hAnsi="新細明體"/>
          <w:lang w:val="de-DE"/>
        </w:rPr>
        <w:t>參考，法務部，行政程序法解釋及諮詢小組會議記錄彙編，</w:t>
      </w:r>
      <w:r>
        <w:rPr>
          <w:lang w:val="de-DE"/>
        </w:rPr>
        <w:t>2001</w:t>
      </w:r>
      <w:r>
        <w:rPr>
          <w:rFonts w:hAnsi="新細明體"/>
          <w:lang w:val="de-DE"/>
        </w:rPr>
        <w:t>年</w:t>
      </w:r>
      <w:r>
        <w:rPr>
          <w:lang w:val="de-DE"/>
        </w:rPr>
        <w:t>12</w:t>
      </w:r>
      <w:r>
        <w:rPr>
          <w:rFonts w:hAnsi="新細明體"/>
          <w:lang w:val="de-DE"/>
        </w:rPr>
        <w:t>月，頁</w:t>
      </w:r>
      <w:r>
        <w:rPr>
          <w:lang w:val="de-DE"/>
        </w:rPr>
        <w:t>7</w:t>
      </w:r>
      <w:r>
        <w:rPr>
          <w:rFonts w:hAnsi="新細明體"/>
          <w:lang w:val="de-DE"/>
        </w:rPr>
        <w:t>以下。</w:t>
      </w:r>
    </w:p>
  </w:footnote>
  <w:footnote w:id="6">
    <w:p w:rsidR="00000000" w:rsidRDefault="00E36B2A">
      <w:pPr>
        <w:widowControl/>
        <w:snapToGrid w:val="0"/>
        <w:spacing w:line="360" w:lineRule="auto"/>
        <w:jc w:val="both"/>
        <w:rPr>
          <w:sz w:val="20"/>
          <w:szCs w:val="20"/>
          <w:lang w:val="de-DE"/>
        </w:rPr>
      </w:pPr>
      <w:r>
        <w:rPr>
          <w:rStyle w:val="ae"/>
          <w:sz w:val="20"/>
          <w:szCs w:val="20"/>
        </w:rPr>
        <w:footnoteRef/>
      </w:r>
      <w:r>
        <w:rPr>
          <w:sz w:val="20"/>
          <w:szCs w:val="20"/>
          <w:lang w:val="de-DE"/>
        </w:rPr>
        <w:t xml:space="preserve"> Vgl. </w:t>
      </w:r>
      <w:r>
        <w:rPr>
          <w:iCs/>
          <w:kern w:val="0"/>
          <w:sz w:val="20"/>
          <w:szCs w:val="20"/>
          <w:lang w:val="de-DE"/>
        </w:rPr>
        <w:t>Riedl</w:t>
      </w:r>
      <w:r>
        <w:rPr>
          <w:kern w:val="0"/>
          <w:sz w:val="20"/>
          <w:szCs w:val="20"/>
          <w:lang w:val="de-DE"/>
        </w:rPr>
        <w:t xml:space="preserve"> in Obermayer § 65 Rn. 7.</w:t>
      </w:r>
    </w:p>
  </w:footnote>
  <w:footnote w:id="7">
    <w:p w:rsidR="00000000" w:rsidRDefault="00E36B2A">
      <w:pPr>
        <w:pStyle w:val="ad"/>
        <w:spacing w:line="360" w:lineRule="auto"/>
        <w:jc w:val="both"/>
        <w:rPr>
          <w:lang w:val="de-DE"/>
        </w:rPr>
      </w:pPr>
      <w:r>
        <w:rPr>
          <w:rStyle w:val="ae"/>
        </w:rPr>
        <w:footnoteRef/>
      </w:r>
      <w:r>
        <w:rPr>
          <w:lang w:val="de-DE"/>
        </w:rPr>
        <w:t xml:space="preserve"> Vgl. </w:t>
      </w:r>
      <w:r>
        <w:rPr>
          <w:iCs/>
          <w:kern w:val="0"/>
          <w:lang w:val="de-DE"/>
        </w:rPr>
        <w:t>VGH München</w:t>
      </w:r>
      <w:r>
        <w:rPr>
          <w:kern w:val="0"/>
          <w:lang w:val="de-DE"/>
        </w:rPr>
        <w:t xml:space="preserve"> BayVBl 2000, </w:t>
      </w:r>
      <w:hyperlink r:id="rId11" w:history="1">
        <w:r>
          <w:rPr>
            <w:kern w:val="0"/>
            <w:lang w:val="de-DE"/>
          </w:rPr>
          <w:t>59</w:t>
        </w:r>
        <w:r>
          <w:rPr>
            <w:kern w:val="0"/>
            <w:lang w:val="de-DE"/>
          </w:rPr>
          <w:t>4</w:t>
        </w:r>
      </w:hyperlink>
      <w:r>
        <w:rPr>
          <w:kern w:val="0"/>
          <w:lang w:val="de-DE"/>
        </w:rPr>
        <w:t xml:space="preserve">, </w:t>
      </w:r>
      <w:hyperlink r:id="rId12" w:history="1">
        <w:r>
          <w:rPr>
            <w:kern w:val="0"/>
            <w:lang w:val="de-DE"/>
          </w:rPr>
          <w:t>595</w:t>
        </w:r>
      </w:hyperlink>
      <w:r>
        <w:rPr>
          <w:kern w:val="0"/>
          <w:lang w:val="de-DE"/>
        </w:rPr>
        <w:t>.</w:t>
      </w:r>
    </w:p>
  </w:footnote>
  <w:footnote w:id="8">
    <w:p w:rsidR="00000000" w:rsidRDefault="00E36B2A">
      <w:pPr>
        <w:pStyle w:val="ad"/>
        <w:spacing w:line="360" w:lineRule="auto"/>
        <w:jc w:val="both"/>
        <w:rPr>
          <w:lang w:val="de-DE"/>
        </w:rPr>
      </w:pPr>
      <w:r>
        <w:rPr>
          <w:rStyle w:val="ae"/>
        </w:rPr>
        <w:footnoteRef/>
      </w:r>
      <w:r>
        <w:rPr>
          <w:lang w:val="de-DE"/>
        </w:rPr>
        <w:t xml:space="preserve"> Vgl. </w:t>
      </w:r>
      <w:r>
        <w:rPr>
          <w:iCs/>
          <w:kern w:val="0"/>
          <w:lang w:val="de-DE"/>
        </w:rPr>
        <w:t>OVG Lüneburg</w:t>
      </w:r>
      <w:r>
        <w:rPr>
          <w:kern w:val="0"/>
          <w:lang w:val="de-DE"/>
        </w:rPr>
        <w:t xml:space="preserve"> NJW 1984, </w:t>
      </w:r>
      <w:hyperlink r:id="rId13" w:history="1">
        <w:r>
          <w:rPr>
            <w:kern w:val="0"/>
            <w:lang w:val="de-DE"/>
          </w:rPr>
          <w:t>2652</w:t>
        </w:r>
      </w:hyperlink>
      <w:r>
        <w:rPr>
          <w:kern w:val="0"/>
          <w:lang w:val="de-DE"/>
        </w:rPr>
        <w:t>.</w:t>
      </w:r>
    </w:p>
  </w:footnote>
  <w:footnote w:id="9">
    <w:p w:rsidR="00000000" w:rsidRDefault="00E36B2A">
      <w:pPr>
        <w:pStyle w:val="ad"/>
        <w:spacing w:line="360" w:lineRule="auto"/>
        <w:jc w:val="both"/>
      </w:pPr>
      <w:r>
        <w:rPr>
          <w:rStyle w:val="ae"/>
        </w:rPr>
        <w:footnoteRef/>
      </w:r>
      <w:r>
        <w:t xml:space="preserve"> </w:t>
      </w:r>
      <w:r>
        <w:rPr>
          <w:rFonts w:hAnsi="新細明體"/>
        </w:rPr>
        <w:t>本文已收於，翁岳生，法治國家之行政法與司法，</w:t>
      </w:r>
      <w:r>
        <w:t>1994</w:t>
      </w:r>
      <w:r>
        <w:rPr>
          <w:rFonts w:hAnsi="新細明體"/>
        </w:rPr>
        <w:t>，頁</w:t>
      </w:r>
      <w:r>
        <w:t>13</w:t>
      </w:r>
      <w:r>
        <w:rPr>
          <w:rFonts w:hAnsi="新細明體"/>
        </w:rPr>
        <w:t>。</w:t>
      </w:r>
    </w:p>
  </w:footnote>
  <w:footnote w:id="10">
    <w:p w:rsidR="00000000" w:rsidRDefault="00E36B2A">
      <w:pPr>
        <w:pStyle w:val="ad"/>
        <w:spacing w:line="360" w:lineRule="auto"/>
        <w:jc w:val="both"/>
      </w:pPr>
      <w:r>
        <w:rPr>
          <w:rStyle w:val="ae"/>
        </w:rPr>
        <w:footnoteRef/>
      </w:r>
      <w:r>
        <w:t xml:space="preserve"> </w:t>
      </w:r>
      <w:r>
        <w:rPr>
          <w:rFonts w:hAnsi="新細明體"/>
        </w:rPr>
        <w:t>參考，吳庚，行政法之理論與實務，</w:t>
      </w:r>
      <w:r>
        <w:t>2003</w:t>
      </w:r>
      <w:r>
        <w:rPr>
          <w:rFonts w:hAnsi="新細明體"/>
        </w:rPr>
        <w:t>，</w:t>
      </w:r>
      <w:r>
        <w:t>8</w:t>
      </w:r>
      <w:r>
        <w:rPr>
          <w:rFonts w:hAnsi="新細明體"/>
        </w:rPr>
        <w:t>版，頁</w:t>
      </w:r>
      <w:r>
        <w:t>332</w:t>
      </w:r>
      <w:r>
        <w:rPr>
          <w:rFonts w:hAnsi="新細明體"/>
        </w:rPr>
        <w:t>以下。</w:t>
      </w:r>
    </w:p>
  </w:footnote>
  <w:footnote w:id="11">
    <w:p w:rsidR="00000000" w:rsidRDefault="00E36B2A">
      <w:pPr>
        <w:pStyle w:val="ad"/>
        <w:spacing w:line="360" w:lineRule="auto"/>
        <w:jc w:val="both"/>
      </w:pPr>
      <w:r>
        <w:rPr>
          <w:rStyle w:val="ae"/>
        </w:rPr>
        <w:footnoteRef/>
      </w:r>
      <w:r>
        <w:rPr>
          <w:lang w:val="de-DE"/>
        </w:rPr>
        <w:t xml:space="preserve"> Vgl. Hans-Uwe Erichsen, Das Verwaltungshandeln, in: ders./ Dirk Ehlers (Hrsg.), Allgemeines Verwaltungsrecht, 12. </w:t>
      </w:r>
      <w:r>
        <w:t>Aufl., 2002, § 12 Rn. 25.</w:t>
      </w:r>
    </w:p>
  </w:footnote>
  <w:footnote w:id="12">
    <w:p w:rsidR="00000000" w:rsidRDefault="00E36B2A">
      <w:pPr>
        <w:pStyle w:val="ad"/>
        <w:spacing w:line="360" w:lineRule="auto"/>
        <w:jc w:val="both"/>
      </w:pPr>
      <w:r>
        <w:rPr>
          <w:rStyle w:val="ae"/>
        </w:rPr>
        <w:footnoteRef/>
      </w:r>
      <w:r>
        <w:rPr>
          <w:lang w:val="de-DE"/>
        </w:rPr>
        <w:t xml:space="preserve"> Vgl. Eugen Brandel in: Rudolf Schweickhardt (H</w:t>
      </w:r>
      <w:r>
        <w:rPr>
          <w:lang w:val="de-DE"/>
        </w:rPr>
        <w:t xml:space="preserve">rsg.), Allgemeines Verwaltungsrecht, 7. Aufl., 1995, Rn. 342 ff.; Elmar </w:t>
      </w:r>
      <w:r>
        <w:rPr>
          <w:bCs/>
          <w:iCs/>
          <w:lang w:val="de-DE"/>
        </w:rPr>
        <w:t xml:space="preserve">Giemulla/ Nikolaus Jaworsky / Rolf Müller-Uri, Verwaltungsrecht, 6. </w:t>
      </w:r>
      <w:r>
        <w:rPr>
          <w:bCs/>
          <w:iCs/>
        </w:rPr>
        <w:t>Aufl., 1998, Rn</w:t>
      </w:r>
      <w:r>
        <w:t>. 192 ff.</w:t>
      </w:r>
    </w:p>
  </w:footnote>
  <w:footnote w:id="13">
    <w:p w:rsidR="00000000" w:rsidRDefault="00E36B2A">
      <w:pPr>
        <w:pStyle w:val="ad"/>
        <w:spacing w:line="360" w:lineRule="auto"/>
        <w:jc w:val="both"/>
        <w:rPr>
          <w:lang w:val="de-DE"/>
        </w:rPr>
      </w:pPr>
      <w:r>
        <w:rPr>
          <w:rStyle w:val="ae"/>
        </w:rPr>
        <w:footnoteRef/>
      </w:r>
      <w:r>
        <w:rPr>
          <w:lang w:val="de-DE"/>
        </w:rPr>
        <w:t xml:space="preserve"> Vgl. Hans-Uwe Erichsen, Das Verwaltungshandeln, in: ders./ Dirk Ehlers (Hrsg.),</w:t>
      </w:r>
      <w:r>
        <w:rPr>
          <w:color w:val="0000FF"/>
          <w:lang w:val="de-DE"/>
        </w:rPr>
        <w:t xml:space="preserve"> </w:t>
      </w:r>
      <w:r>
        <w:rPr>
          <w:rFonts w:hint="eastAsia"/>
          <w:color w:val="0000FF"/>
          <w:lang w:val="de-DE"/>
        </w:rPr>
        <w:t>a.a.O.(An</w:t>
      </w:r>
      <w:r>
        <w:rPr>
          <w:rFonts w:hint="eastAsia"/>
          <w:color w:val="0000FF"/>
          <w:lang w:val="de-DE"/>
        </w:rPr>
        <w:t>m. 58)</w:t>
      </w:r>
      <w:r>
        <w:rPr>
          <w:rFonts w:hint="eastAsia"/>
          <w:lang w:val="de-DE"/>
        </w:rPr>
        <w:t>,</w:t>
      </w:r>
      <w:r>
        <w:rPr>
          <w:lang w:val="de-DE"/>
        </w:rPr>
        <w:t xml:space="preserve"> § 12 Rn. 21.</w:t>
      </w:r>
    </w:p>
  </w:footnote>
  <w:footnote w:id="14">
    <w:p w:rsidR="00000000" w:rsidRDefault="00E36B2A">
      <w:pPr>
        <w:pStyle w:val="ad"/>
        <w:spacing w:line="360" w:lineRule="auto"/>
        <w:jc w:val="both"/>
        <w:rPr>
          <w:lang w:val="de-DE"/>
        </w:rPr>
      </w:pPr>
      <w:r>
        <w:rPr>
          <w:rStyle w:val="ae"/>
        </w:rPr>
        <w:footnoteRef/>
      </w:r>
      <w:r>
        <w:rPr>
          <w:lang w:val="de-DE"/>
        </w:rPr>
        <w:t xml:space="preserve"> Vgl. Jörn Ipsen, Allgemeines Verwaltungsrecht, 2000, Rn. 336.</w:t>
      </w:r>
    </w:p>
  </w:footnote>
  <w:footnote w:id="15">
    <w:p w:rsidR="00000000" w:rsidRDefault="00E36B2A">
      <w:pPr>
        <w:pStyle w:val="ad"/>
        <w:spacing w:line="360" w:lineRule="auto"/>
        <w:jc w:val="both"/>
      </w:pPr>
      <w:r>
        <w:rPr>
          <w:rStyle w:val="ae"/>
        </w:rPr>
        <w:footnoteRef/>
      </w:r>
      <w:r>
        <w:rPr>
          <w:lang w:val="de-DE"/>
        </w:rPr>
        <w:t xml:space="preserve"> Vgl. Elmar </w:t>
      </w:r>
      <w:r>
        <w:rPr>
          <w:bCs/>
          <w:iCs/>
          <w:lang w:val="de-DE"/>
        </w:rPr>
        <w:t xml:space="preserve">Giemulla/ Nikolaus Jaworsky / Rolf Müller-Uri, </w:t>
      </w:r>
      <w:r>
        <w:rPr>
          <w:rFonts w:hint="eastAsia"/>
          <w:bCs/>
          <w:iCs/>
          <w:color w:val="0000FF"/>
          <w:lang w:val="de-DE"/>
        </w:rPr>
        <w:t>a.a.O.(Anm. 59)</w:t>
      </w:r>
      <w:r>
        <w:rPr>
          <w:bCs/>
          <w:iCs/>
          <w:lang w:val="de-DE"/>
        </w:rPr>
        <w:t>,</w:t>
      </w:r>
      <w:r>
        <w:rPr>
          <w:lang w:val="de-DE"/>
        </w:rPr>
        <w:t xml:space="preserve"> Rn. 193. </w:t>
      </w:r>
      <w:r>
        <w:rPr>
          <w:rFonts w:hAnsi="新細明體"/>
        </w:rPr>
        <w:t>學者陳秀美認為</w:t>
      </w:r>
      <w:r>
        <w:rPr>
          <w:rFonts w:hAnsi="新細明體"/>
          <w:lang w:val="de-DE"/>
        </w:rPr>
        <w:t>，</w:t>
      </w:r>
      <w:r>
        <w:rPr>
          <w:rFonts w:hAnsi="新細明體"/>
        </w:rPr>
        <w:t>「行政機關之行為</w:t>
      </w:r>
      <w:r>
        <w:rPr>
          <w:rFonts w:hAnsi="新細明體"/>
          <w:lang w:val="de-DE"/>
        </w:rPr>
        <w:t>，</w:t>
      </w:r>
      <w:r>
        <w:rPr>
          <w:rFonts w:hAnsi="新細明體"/>
        </w:rPr>
        <w:t>是否發生法律效果</w:t>
      </w:r>
      <w:r>
        <w:rPr>
          <w:rFonts w:hAnsi="新細明體"/>
          <w:lang w:val="de-DE"/>
        </w:rPr>
        <w:t>，</w:t>
      </w:r>
      <w:r>
        <w:rPr>
          <w:rFonts w:hAnsi="新細明體"/>
        </w:rPr>
        <w:t>應於個別行為中</w:t>
      </w:r>
      <w:r>
        <w:rPr>
          <w:rFonts w:hAnsi="新細明體"/>
          <w:lang w:val="de-DE"/>
        </w:rPr>
        <w:t>，</w:t>
      </w:r>
      <w:r>
        <w:rPr>
          <w:rFonts w:hAnsi="新細明體"/>
        </w:rPr>
        <w:t>依其表示於外部之『客觀意思』與法令分別認定。」參考，作者，行政訴訟上有關行政處分之研究，</w:t>
      </w:r>
      <w:r>
        <w:t>1991</w:t>
      </w:r>
      <w:r>
        <w:rPr>
          <w:rFonts w:hAnsi="新細明體"/>
        </w:rPr>
        <w:t>，再版，頁</w:t>
      </w:r>
      <w:r>
        <w:t>65</w:t>
      </w:r>
      <w:r>
        <w:rPr>
          <w:rFonts w:hAnsi="新細明體"/>
        </w:rPr>
        <w:t>。</w:t>
      </w:r>
    </w:p>
  </w:footnote>
  <w:footnote w:id="16">
    <w:p w:rsidR="00000000" w:rsidRDefault="00E36B2A">
      <w:pPr>
        <w:pStyle w:val="ad"/>
        <w:spacing w:line="360" w:lineRule="auto"/>
        <w:jc w:val="both"/>
        <w:rPr>
          <w:lang w:val="de-DE"/>
        </w:rPr>
      </w:pPr>
      <w:r>
        <w:rPr>
          <w:rStyle w:val="ae"/>
        </w:rPr>
        <w:footnoteRef/>
      </w:r>
      <w:r>
        <w:rPr>
          <w:lang w:val="de-DE"/>
        </w:rPr>
        <w:t xml:space="preserve"> Ebenda, </w:t>
      </w:r>
      <w:r>
        <w:rPr>
          <w:bCs/>
          <w:iCs/>
          <w:lang w:val="de-DE"/>
        </w:rPr>
        <w:t>Rn</w:t>
      </w:r>
      <w:r>
        <w:rPr>
          <w:lang w:val="de-DE"/>
        </w:rPr>
        <w:t>. 195.</w:t>
      </w:r>
    </w:p>
  </w:footnote>
  <w:footnote w:id="17">
    <w:p w:rsidR="00000000" w:rsidRDefault="00E36B2A">
      <w:pPr>
        <w:pStyle w:val="ad"/>
        <w:spacing w:line="360" w:lineRule="auto"/>
        <w:jc w:val="both"/>
        <w:rPr>
          <w:lang w:val="de-DE"/>
        </w:rPr>
      </w:pPr>
      <w:r>
        <w:rPr>
          <w:rStyle w:val="ae"/>
        </w:rPr>
        <w:footnoteRef/>
      </w:r>
      <w:r>
        <w:rPr>
          <w:lang w:val="de-DE"/>
        </w:rPr>
        <w:t xml:space="preserve"> Vgl. Dirk Ehlers, Die Aufrechnung im öffentlichen Recht, JuS 1990, 777 ff.</w:t>
      </w:r>
    </w:p>
  </w:footnote>
  <w:footnote w:id="18">
    <w:p w:rsidR="00000000" w:rsidRDefault="00E36B2A">
      <w:pPr>
        <w:pStyle w:val="ad"/>
        <w:spacing w:line="360" w:lineRule="auto"/>
        <w:jc w:val="both"/>
        <w:rPr>
          <w:lang w:val="de-DE"/>
        </w:rPr>
      </w:pPr>
      <w:r>
        <w:rPr>
          <w:rStyle w:val="ae"/>
        </w:rPr>
        <w:footnoteRef/>
      </w:r>
      <w:r>
        <w:rPr>
          <w:lang w:val="de-DE"/>
        </w:rPr>
        <w:t xml:space="preserve"> Vgl. Elmar </w:t>
      </w:r>
      <w:r>
        <w:rPr>
          <w:bCs/>
          <w:iCs/>
          <w:lang w:val="de-DE"/>
        </w:rPr>
        <w:t>Giemulla/ Nikolaus Jaworsky / Rolf Müller-Uri,</w:t>
      </w:r>
      <w:r>
        <w:rPr>
          <w:bCs/>
          <w:iCs/>
          <w:color w:val="0000FF"/>
          <w:lang w:val="de-DE"/>
        </w:rPr>
        <w:t xml:space="preserve"> </w:t>
      </w:r>
      <w:r>
        <w:rPr>
          <w:rFonts w:hint="eastAsia"/>
          <w:bCs/>
          <w:iCs/>
          <w:color w:val="0000FF"/>
          <w:lang w:val="de-DE"/>
        </w:rPr>
        <w:t>a.a.O.(An</w:t>
      </w:r>
      <w:r>
        <w:rPr>
          <w:rFonts w:hint="eastAsia"/>
          <w:bCs/>
          <w:iCs/>
          <w:color w:val="0000FF"/>
          <w:lang w:val="de-DE"/>
        </w:rPr>
        <w:t>m. 59)</w:t>
      </w:r>
      <w:r>
        <w:rPr>
          <w:bCs/>
          <w:iCs/>
          <w:lang w:val="de-DE"/>
        </w:rPr>
        <w:t xml:space="preserve">, </w:t>
      </w:r>
      <w:r>
        <w:rPr>
          <w:lang w:val="de-DE"/>
        </w:rPr>
        <w:t>Rn. 193.</w:t>
      </w:r>
    </w:p>
    <w:p w:rsidR="00000000" w:rsidRDefault="00E36B2A">
      <w:pPr>
        <w:pStyle w:val="ad"/>
        <w:spacing w:line="360" w:lineRule="auto"/>
        <w:jc w:val="both"/>
        <w:rPr>
          <w:lang w:val="de-DE"/>
        </w:rPr>
      </w:pPr>
      <w:r>
        <w:rPr>
          <w:rStyle w:val="ae"/>
        </w:rPr>
        <w:footnoteRef/>
      </w:r>
      <w:r>
        <w:rPr>
          <w:lang w:val="de-DE"/>
        </w:rPr>
        <w:t xml:space="preserve"> Ebenda, </w:t>
      </w:r>
      <w:r>
        <w:rPr>
          <w:bCs/>
          <w:iCs/>
          <w:lang w:val="de-DE"/>
        </w:rPr>
        <w:t>Rn</w:t>
      </w:r>
      <w:r>
        <w:rPr>
          <w:lang w:val="de-DE"/>
        </w:rPr>
        <w:t xml:space="preserve">. 197. </w:t>
      </w:r>
      <w:r>
        <w:rPr>
          <w:rFonts w:hAnsi="新細明體"/>
        </w:rPr>
        <w:t>這裡的說明對於行政處分與行政契約中的意思表示</w:t>
      </w:r>
      <w:r>
        <w:rPr>
          <w:rFonts w:hAnsi="新細明體"/>
          <w:lang w:val="de-DE"/>
        </w:rPr>
        <w:t>（</w:t>
      </w:r>
      <w:r>
        <w:rPr>
          <w:rFonts w:hAnsi="新細明體"/>
        </w:rPr>
        <w:t>要約或承諾</w:t>
      </w:r>
      <w:r>
        <w:rPr>
          <w:rFonts w:hAnsi="新細明體"/>
          <w:lang w:val="de-DE"/>
        </w:rPr>
        <w:t>）</w:t>
      </w:r>
      <w:r>
        <w:rPr>
          <w:rFonts w:hAnsi="新細明體"/>
        </w:rPr>
        <w:t>區分亦有啟發</w:t>
      </w:r>
      <w:r>
        <w:rPr>
          <w:rFonts w:hAnsi="新細明體"/>
          <w:lang w:val="de-DE"/>
        </w:rPr>
        <w:t>，</w:t>
      </w:r>
      <w:r>
        <w:rPr>
          <w:rFonts w:hAnsi="新細明體"/>
        </w:rPr>
        <w:t>後者不會變成是一個行政處分</w:t>
      </w:r>
      <w:r>
        <w:rPr>
          <w:rFonts w:hAnsi="新細明體"/>
          <w:lang w:val="de-DE"/>
        </w:rPr>
        <w:t>，</w:t>
      </w:r>
      <w:r>
        <w:rPr>
          <w:rFonts w:hAnsi="新細明體"/>
        </w:rPr>
        <w:t>因為它欠缺「規制」的可能。</w:t>
      </w:r>
    </w:p>
  </w:footnote>
  <w:footnote w:id="19">
    <w:p w:rsidR="00000000" w:rsidRDefault="00E36B2A">
      <w:pPr>
        <w:pStyle w:val="ad"/>
        <w:spacing w:line="360" w:lineRule="auto"/>
        <w:jc w:val="both"/>
      </w:pPr>
      <w:r>
        <w:rPr>
          <w:rStyle w:val="ae"/>
        </w:rPr>
        <w:footnoteRef/>
      </w:r>
      <w:r>
        <w:rPr>
          <w:lang w:val="de-DE"/>
        </w:rPr>
        <w:t xml:space="preserve"> </w:t>
      </w:r>
      <w:r>
        <w:rPr>
          <w:rFonts w:hAnsi="新細明體"/>
        </w:rPr>
        <w:t>台北高等行政法院</w:t>
      </w:r>
      <w:r>
        <w:rPr>
          <w:lang w:val="de-DE"/>
        </w:rPr>
        <w:t>91</w:t>
      </w:r>
      <w:r>
        <w:rPr>
          <w:rFonts w:hAnsi="新細明體"/>
        </w:rPr>
        <w:t>年訴字第</w:t>
      </w:r>
      <w:r>
        <w:rPr>
          <w:lang w:val="de-DE"/>
        </w:rPr>
        <w:t>108</w:t>
      </w:r>
      <w:r>
        <w:rPr>
          <w:rFonts w:hAnsi="新細明體"/>
        </w:rPr>
        <w:t>號判決</w:t>
      </w:r>
      <w:r>
        <w:rPr>
          <w:rFonts w:hAnsi="新細明體"/>
          <w:lang w:val="de-DE"/>
        </w:rPr>
        <w:t>，</w:t>
      </w:r>
      <w:r>
        <w:rPr>
          <w:rFonts w:hAnsi="新細明體"/>
        </w:rPr>
        <w:t>相當正確地指出</w:t>
      </w:r>
      <w:r>
        <w:rPr>
          <w:rFonts w:hAnsi="新細明體"/>
          <w:lang w:val="de-DE"/>
        </w:rPr>
        <w:t>，</w:t>
      </w:r>
      <w:r>
        <w:rPr>
          <w:rFonts w:hAnsi="新細明體"/>
        </w:rPr>
        <w:t>「『直接』、『對外』法律效果之涵義，係指該處分直接對人民指出所欲發生之法律效果，因此在當事人間產生拘束力，並且因該行政機關之意思表示，擴充、限制或終局確認處分機關外部之自然人或法人的權利義務。」為相當精準的裁判。見，法務部，行政程序法裁判要旨彙編，</w:t>
      </w:r>
      <w:r>
        <w:t>2</w:t>
      </w:r>
      <w:r>
        <w:t>004.7</w:t>
      </w:r>
      <w:r>
        <w:rPr>
          <w:rFonts w:hAnsi="新細明體"/>
        </w:rPr>
        <w:t>，頁</w:t>
      </w:r>
      <w:r>
        <w:t>247</w:t>
      </w:r>
      <w:r>
        <w:rPr>
          <w:rFonts w:hAnsi="新細明體"/>
        </w:rPr>
        <w:t>以下（</w:t>
      </w:r>
      <w:r>
        <w:t>249</w:t>
      </w:r>
      <w:r>
        <w:rPr>
          <w:rFonts w:hAnsi="新細明體"/>
        </w:rPr>
        <w:t>）。</w:t>
      </w:r>
    </w:p>
  </w:footnote>
  <w:footnote w:id="20">
    <w:p w:rsidR="00000000" w:rsidRDefault="00E36B2A">
      <w:pPr>
        <w:pStyle w:val="ad"/>
        <w:spacing w:line="360" w:lineRule="auto"/>
        <w:jc w:val="both"/>
      </w:pPr>
      <w:r>
        <w:rPr>
          <w:rStyle w:val="ae"/>
        </w:rPr>
        <w:footnoteRef/>
      </w:r>
      <w:r>
        <w:t xml:space="preserve"> </w:t>
      </w:r>
      <w:r>
        <w:rPr>
          <w:lang w:val="de-DE"/>
        </w:rPr>
        <w:t>Vgl.</w:t>
      </w:r>
      <w:r>
        <w:rPr>
          <w:rFonts w:hint="eastAsia"/>
          <w:lang w:val="de-DE"/>
        </w:rPr>
        <w:t xml:space="preserve"> </w:t>
      </w:r>
      <w:r>
        <w:t xml:space="preserve">BVerwGE 60, 144 (145, 147); </w:t>
      </w:r>
      <w:r>
        <w:rPr>
          <w:bCs/>
          <w:iCs/>
        </w:rPr>
        <w:t>Hans-Uwe Erichsen</w:t>
      </w:r>
      <w:r>
        <w:t>, Die Umsetzung von Beamten, DVBl. 1982, 99</w:t>
      </w:r>
      <w:r>
        <w:rPr>
          <w:lang w:eastAsia="ja-JP"/>
        </w:rPr>
        <w:t>;</w:t>
      </w:r>
      <w:r>
        <w:t xml:space="preserve"> </w:t>
      </w:r>
      <w:r>
        <w:rPr>
          <w:rFonts w:hAnsi="新細明體"/>
        </w:rPr>
        <w:t>廖義男，「行政程序法草案之重要內容（一）</w:t>
      </w:r>
      <w:r>
        <w:t xml:space="preserve"> - </w:t>
      </w:r>
      <w:r>
        <w:rPr>
          <w:rFonts w:hAnsi="新細明體"/>
        </w:rPr>
        <w:t>適用範圍、行政處分與法規命令」，行政程序法草案研討會會議資料，</w:t>
      </w:r>
      <w:r>
        <w:t>1998.12.19</w:t>
      </w:r>
      <w:r>
        <w:rPr>
          <w:rFonts w:hAnsi="新細明體"/>
        </w:rPr>
        <w:t>，頁</w:t>
      </w:r>
      <w:r>
        <w:t>22</w:t>
      </w:r>
      <w:r>
        <w:rPr>
          <w:rFonts w:hAnsi="新細明體"/>
        </w:rPr>
        <w:t>以下。</w:t>
      </w:r>
    </w:p>
  </w:footnote>
  <w:footnote w:id="21">
    <w:p w:rsidR="00000000" w:rsidRDefault="00E36B2A">
      <w:pPr>
        <w:pStyle w:val="ad"/>
        <w:spacing w:line="360" w:lineRule="auto"/>
        <w:jc w:val="both"/>
      </w:pPr>
      <w:r>
        <w:rPr>
          <w:rStyle w:val="ae"/>
        </w:rPr>
        <w:footnoteRef/>
      </w:r>
      <w:r>
        <w:rPr>
          <w:lang w:val="de-DE"/>
        </w:rPr>
        <w:t xml:space="preserve"> Vgl. </w:t>
      </w:r>
      <w:r>
        <w:rPr>
          <w:bCs/>
          <w:iCs/>
          <w:lang w:val="de-DE"/>
        </w:rPr>
        <w:t>Hans-Uwe Erichsen</w:t>
      </w:r>
      <w:r>
        <w:rPr>
          <w:lang w:val="de-DE"/>
        </w:rPr>
        <w:t>, Kommunalaufsicht, DVBl. 1985, 948; Dirk Eh</w:t>
      </w:r>
      <w:r>
        <w:rPr>
          <w:lang w:val="de-DE"/>
        </w:rPr>
        <w:t xml:space="preserve">lers, Die Rechtsprechung zum nordrhein-westfälischen Kommunalrecht der Jahre 1984-1989, NWVBl. </w:t>
      </w:r>
      <w:r>
        <w:t>1990, 86 (Fn. 138).</w:t>
      </w:r>
    </w:p>
  </w:footnote>
  <w:footnote w:id="22">
    <w:p w:rsidR="00000000" w:rsidRDefault="00E36B2A">
      <w:pPr>
        <w:pStyle w:val="ad"/>
        <w:spacing w:line="360" w:lineRule="auto"/>
        <w:jc w:val="both"/>
      </w:pPr>
      <w:r>
        <w:rPr>
          <w:rStyle w:val="ae"/>
        </w:rPr>
        <w:footnoteRef/>
      </w:r>
      <w:r>
        <w:t xml:space="preserve"> </w:t>
      </w:r>
      <w:r>
        <w:rPr>
          <w:rFonts w:hAnsi="新細明體"/>
        </w:rPr>
        <w:t>這個目的性特徵，雖一字之別，卻影響深遠！</w:t>
      </w:r>
    </w:p>
  </w:footnote>
  <w:footnote w:id="23">
    <w:p w:rsidR="00000000" w:rsidRDefault="00E36B2A">
      <w:pPr>
        <w:pStyle w:val="ad"/>
        <w:spacing w:line="360" w:lineRule="auto"/>
        <w:jc w:val="both"/>
      </w:pPr>
      <w:r>
        <w:rPr>
          <w:rStyle w:val="ae"/>
        </w:rPr>
        <w:footnoteRef/>
      </w:r>
      <w:r>
        <w:t xml:space="preserve"> </w:t>
      </w:r>
      <w:r>
        <w:rPr>
          <w:rFonts w:hAnsi="新細明體"/>
        </w:rPr>
        <w:t>不過陳教授似乎沒有特別強調我國法上「直接性」的意義，此見後述。氏並於另文中說明「直接法律效果」的要件要求：行政行為本身應該指出其所欲達成的法律效果為何。參見，陳愛娥，「行政處分」，訴願程序與行政程序相關專論暨法令選輯，台北市政府訴願</w:t>
      </w:r>
      <w:r>
        <w:rPr>
          <w:rFonts w:hAnsi="新細明體"/>
        </w:rPr>
        <w:t>審議委員會，</w:t>
      </w:r>
      <w:r>
        <w:t>2000.7</w:t>
      </w:r>
      <w:r>
        <w:rPr>
          <w:rFonts w:hAnsi="新細明體"/>
        </w:rPr>
        <w:t>，增訂版，頁</w:t>
      </w:r>
      <w:r>
        <w:t>178</w:t>
      </w:r>
      <w:r>
        <w:rPr>
          <w:rFonts w:hAnsi="新細明體"/>
        </w:rPr>
        <w:t>。</w:t>
      </w:r>
    </w:p>
  </w:footnote>
  <w:footnote w:id="24">
    <w:p w:rsidR="00000000" w:rsidRDefault="00E36B2A">
      <w:pPr>
        <w:pStyle w:val="ad"/>
        <w:spacing w:line="360" w:lineRule="auto"/>
        <w:jc w:val="both"/>
      </w:pPr>
      <w:r>
        <w:rPr>
          <w:rStyle w:val="ae"/>
        </w:rPr>
        <w:footnoteRef/>
      </w:r>
      <w:r>
        <w:t xml:space="preserve"> </w:t>
      </w:r>
      <w:r>
        <w:rPr>
          <w:rFonts w:hAnsi="新細明體"/>
        </w:rPr>
        <w:t>以上參考，陳愛娥，「行政處分存否的認定標準與行政法院『適用』大法官解釋的方法</w:t>
      </w:r>
      <w:r>
        <w:t xml:space="preserve"> - </w:t>
      </w:r>
      <w:r>
        <w:rPr>
          <w:rFonts w:hAnsi="新細明體"/>
        </w:rPr>
        <w:t>行政法院八十九年度判字第一六五八號判決評釋</w:t>
      </w:r>
      <w:r>
        <w:t xml:space="preserve"> -</w:t>
      </w:r>
      <w:r>
        <w:rPr>
          <w:rFonts w:hAnsi="新細明體"/>
        </w:rPr>
        <w:t>」，法令月刊第</w:t>
      </w:r>
      <w:r>
        <w:t>51</w:t>
      </w:r>
      <w:r>
        <w:rPr>
          <w:rFonts w:hAnsi="新細明體"/>
        </w:rPr>
        <w:t>卷</w:t>
      </w:r>
      <w:r>
        <w:t>10</w:t>
      </w:r>
      <w:r>
        <w:rPr>
          <w:rFonts w:hAnsi="新細明體"/>
        </w:rPr>
        <w:t>期，頁</w:t>
      </w:r>
      <w:r>
        <w:t>227</w:t>
      </w:r>
      <w:r>
        <w:rPr>
          <w:rFonts w:hAnsi="新細明體"/>
        </w:rPr>
        <w:t>以下。</w:t>
      </w:r>
    </w:p>
  </w:footnote>
  <w:footnote w:id="25">
    <w:p w:rsidR="00000000" w:rsidRDefault="00E36B2A">
      <w:pPr>
        <w:pStyle w:val="ad"/>
        <w:spacing w:line="360" w:lineRule="auto"/>
        <w:jc w:val="both"/>
        <w:rPr>
          <w:lang w:val="de-DE"/>
        </w:rPr>
      </w:pPr>
      <w:r>
        <w:rPr>
          <w:rStyle w:val="ae"/>
        </w:rPr>
        <w:footnoteRef/>
      </w:r>
      <w:r>
        <w:t xml:space="preserve"> </w:t>
      </w:r>
      <w:r>
        <w:rPr>
          <w:rFonts w:hAnsi="新細明體"/>
        </w:rPr>
        <w:t>德國學者將行政處分所應該具備「直接法律效力（</w:t>
      </w:r>
      <w:r>
        <w:t>unmittelbate Rechtswirkung</w:t>
      </w:r>
      <w:r>
        <w:rPr>
          <w:rFonts w:hAnsi="新細明體"/>
        </w:rPr>
        <w:t>）」與「規制效力（</w:t>
      </w:r>
      <w:r>
        <w:t>Regelungswirkung</w:t>
      </w:r>
      <w:r>
        <w:rPr>
          <w:rFonts w:hAnsi="新細明體"/>
        </w:rPr>
        <w:t>）」等同視之。</w:t>
      </w:r>
      <w:r>
        <w:t>Vgl. Ferdinand O.</w:t>
      </w:r>
      <w:r>
        <w:rPr>
          <w:b/>
          <w:i/>
        </w:rPr>
        <w:t xml:space="preserve"> </w:t>
      </w:r>
      <w:r>
        <w:rPr>
          <w:bCs/>
          <w:iCs/>
        </w:rPr>
        <w:t>Kopp/ Ulrich</w:t>
      </w:r>
      <w:r>
        <w:t xml:space="preserve"> </w:t>
      </w:r>
      <w:r>
        <w:rPr>
          <w:bCs/>
          <w:iCs/>
        </w:rPr>
        <w:t xml:space="preserve">Ramsauer, </w:t>
      </w:r>
      <w:r>
        <w:rPr>
          <w:rFonts w:hint="eastAsia"/>
          <w:color w:val="0000FF"/>
        </w:rPr>
        <w:t>a.a.O.(Anm. 42)</w:t>
      </w:r>
      <w:r>
        <w:t>., 2000</w:t>
      </w:r>
      <w:r>
        <w:t xml:space="preserve">, § 35 Rn. 32 ff. </w:t>
      </w:r>
      <w:r>
        <w:rPr>
          <w:rFonts w:hAnsi="新細明體"/>
        </w:rPr>
        <w:t>另有學者認為「直接法律效果」與「規制」兩者屬於緊密連結的要素。</w:t>
      </w:r>
      <w:r>
        <w:rPr>
          <w:lang w:val="de-DE"/>
        </w:rPr>
        <w:t>Vgl. Judith Schwarplys,</w:t>
      </w:r>
      <w:r>
        <w:rPr>
          <w:color w:val="0000FF"/>
          <w:lang w:val="de-DE"/>
        </w:rPr>
        <w:t xml:space="preserve"> </w:t>
      </w:r>
      <w:r>
        <w:rPr>
          <w:rFonts w:hint="eastAsia"/>
          <w:color w:val="0000FF"/>
          <w:lang w:val="de-DE"/>
        </w:rPr>
        <w:t>a.a.O.(Anm. 33)</w:t>
      </w:r>
      <w:r>
        <w:rPr>
          <w:lang w:val="de-DE"/>
        </w:rPr>
        <w:t>, S. 32.</w:t>
      </w:r>
    </w:p>
  </w:footnote>
  <w:footnote w:id="26">
    <w:p w:rsidR="00000000" w:rsidRDefault="00E36B2A">
      <w:pPr>
        <w:pStyle w:val="ad"/>
        <w:spacing w:line="360" w:lineRule="auto"/>
        <w:jc w:val="both"/>
      </w:pPr>
      <w:r>
        <w:rPr>
          <w:rStyle w:val="ae"/>
        </w:rPr>
        <w:footnoteRef/>
      </w:r>
      <w:r>
        <w:t xml:space="preserve"> </w:t>
      </w:r>
      <w:r>
        <w:rPr>
          <w:rFonts w:hAnsi="新細明體"/>
        </w:rPr>
        <w:t>陳愛娥，「古蹟指定、『召開古蹟指定公聽會』之程序要求的性質」，台灣本土法學雜誌第</w:t>
      </w:r>
      <w:r>
        <w:t>66</w:t>
      </w:r>
      <w:r>
        <w:rPr>
          <w:rFonts w:hAnsi="新細明體"/>
        </w:rPr>
        <w:t>期，</w:t>
      </w:r>
      <w:r>
        <w:t>2005.1</w:t>
      </w:r>
      <w:r>
        <w:rPr>
          <w:rFonts w:hAnsi="新細明體"/>
        </w:rPr>
        <w:t>，頁</w:t>
      </w:r>
      <w:r>
        <w:t>157</w:t>
      </w:r>
      <w:r>
        <w:rPr>
          <w:rFonts w:hAnsi="新細明體"/>
        </w:rPr>
        <w:t>註</w:t>
      </w:r>
      <w:r>
        <w:t>9</w:t>
      </w:r>
      <w:r>
        <w:rPr>
          <w:rFonts w:hAnsi="新細明體"/>
        </w:rPr>
        <w:t>。</w:t>
      </w:r>
    </w:p>
  </w:footnote>
  <w:footnote w:id="27">
    <w:p w:rsidR="00000000" w:rsidRDefault="00E36B2A">
      <w:pPr>
        <w:pStyle w:val="ad"/>
        <w:spacing w:line="360" w:lineRule="auto"/>
        <w:jc w:val="both"/>
        <w:rPr>
          <w:lang w:val="de-DE"/>
        </w:rPr>
      </w:pPr>
      <w:r>
        <w:rPr>
          <w:rStyle w:val="ae"/>
        </w:rPr>
        <w:footnoteRef/>
      </w:r>
      <w:r>
        <w:rPr>
          <w:lang w:val="de-DE"/>
        </w:rPr>
        <w:t xml:space="preserve"> Vgl. VGH BW DVBl. 1994, 348.</w:t>
      </w:r>
    </w:p>
  </w:footnote>
  <w:footnote w:id="28">
    <w:p w:rsidR="00000000" w:rsidRDefault="00E36B2A">
      <w:pPr>
        <w:pStyle w:val="ad"/>
        <w:spacing w:line="360" w:lineRule="auto"/>
        <w:jc w:val="both"/>
        <w:rPr>
          <w:lang w:val="de-DE"/>
        </w:rPr>
      </w:pPr>
      <w:r>
        <w:rPr>
          <w:rStyle w:val="ae"/>
        </w:rPr>
        <w:footnoteRef/>
      </w:r>
      <w:r>
        <w:rPr>
          <w:lang w:val="de-DE"/>
        </w:rPr>
        <w:t xml:space="preserve"> Vgl. Jörn Ipsen,</w:t>
      </w:r>
      <w:r>
        <w:rPr>
          <w:color w:val="0000FF"/>
          <w:lang w:val="de-DE"/>
        </w:rPr>
        <w:t xml:space="preserve"> </w:t>
      </w:r>
      <w:r>
        <w:rPr>
          <w:rFonts w:hint="eastAsia"/>
          <w:color w:val="0000FF"/>
          <w:lang w:val="de-DE"/>
        </w:rPr>
        <w:t>a.a.O.(Anm. 61)</w:t>
      </w:r>
      <w:r>
        <w:rPr>
          <w:lang w:val="de-DE"/>
        </w:rPr>
        <w:t>, Rn. 338.</w:t>
      </w:r>
    </w:p>
  </w:footnote>
  <w:footnote w:id="29">
    <w:p w:rsidR="00000000" w:rsidRDefault="00E36B2A">
      <w:pPr>
        <w:pStyle w:val="ad"/>
        <w:spacing w:line="360" w:lineRule="auto"/>
        <w:jc w:val="both"/>
        <w:rPr>
          <w:lang w:val="de-DE"/>
        </w:rPr>
      </w:pPr>
      <w:r>
        <w:rPr>
          <w:rStyle w:val="ae"/>
        </w:rPr>
        <w:footnoteRef/>
      </w:r>
      <w:r>
        <w:rPr>
          <w:lang w:val="de-DE"/>
        </w:rPr>
        <w:t xml:space="preserve"> Vgl. Hartmut</w:t>
      </w:r>
      <w:r>
        <w:rPr>
          <w:b/>
          <w:i/>
          <w:lang w:val="de-DE"/>
        </w:rPr>
        <w:t xml:space="preserve"> </w:t>
      </w:r>
      <w:r>
        <w:rPr>
          <w:bCs/>
          <w:iCs/>
          <w:lang w:val="de-DE"/>
        </w:rPr>
        <w:t>Maurer</w:t>
      </w:r>
      <w:r>
        <w:rPr>
          <w:lang w:val="de-DE"/>
        </w:rPr>
        <w:t>,</w:t>
      </w:r>
      <w:r>
        <w:rPr>
          <w:lang w:val="de-DE"/>
        </w:rPr>
        <w:t xml:space="preserve"> Allgemeines Verwaltungsrecht, 14. Aufl., 2002, § 9 Rn. 6; Hans-Uwe Erichsen, Das Verwaltungshandeln, in: ders./ Dirk Ehlers (Hrsg.),</w:t>
      </w:r>
      <w:r>
        <w:rPr>
          <w:rFonts w:hint="eastAsia"/>
          <w:color w:val="0000FF"/>
          <w:lang w:val="de-DE"/>
        </w:rPr>
        <w:t>a.a.O.(Anm. 36)</w:t>
      </w:r>
      <w:r>
        <w:rPr>
          <w:lang w:val="de-DE"/>
        </w:rPr>
        <w:t>, 2002, § 12 Rn. 26.</w:t>
      </w:r>
    </w:p>
  </w:footnote>
  <w:footnote w:id="30">
    <w:p w:rsidR="00000000" w:rsidRDefault="00E36B2A">
      <w:pPr>
        <w:pStyle w:val="ad"/>
        <w:spacing w:line="360" w:lineRule="auto"/>
        <w:jc w:val="both"/>
      </w:pPr>
      <w:r>
        <w:rPr>
          <w:rStyle w:val="ae"/>
        </w:rPr>
        <w:footnoteRef/>
      </w:r>
      <w:r>
        <w:rPr>
          <w:lang w:val="de-DE"/>
        </w:rPr>
        <w:t xml:space="preserve"> </w:t>
      </w:r>
      <w:r>
        <w:rPr>
          <w:rFonts w:hAnsi="新細明體"/>
        </w:rPr>
        <w:t>參考</w:t>
      </w:r>
      <w:r>
        <w:rPr>
          <w:rFonts w:hAnsi="新細明體"/>
          <w:lang w:val="de-DE"/>
        </w:rPr>
        <w:t>，</w:t>
      </w:r>
      <w:r>
        <w:rPr>
          <w:rFonts w:hAnsi="新細明體"/>
        </w:rPr>
        <w:t>陳敏</w:t>
      </w:r>
      <w:r>
        <w:rPr>
          <w:rFonts w:hAnsi="新細明體"/>
          <w:lang w:val="de-DE"/>
        </w:rPr>
        <w:t>，</w:t>
      </w:r>
      <w:r>
        <w:rPr>
          <w:rFonts w:hAnsi="新細明體"/>
        </w:rPr>
        <w:t>行政法總論</w:t>
      </w:r>
      <w:r>
        <w:rPr>
          <w:rFonts w:hAnsi="新細明體"/>
          <w:lang w:val="de-DE"/>
        </w:rPr>
        <w:t>，</w:t>
      </w:r>
      <w:r>
        <w:rPr>
          <w:lang w:val="de-DE"/>
        </w:rPr>
        <w:t>2004</w:t>
      </w:r>
      <w:r>
        <w:rPr>
          <w:rFonts w:hAnsi="新細明體"/>
          <w:lang w:val="de-DE"/>
        </w:rPr>
        <w:t>，</w:t>
      </w:r>
      <w:r>
        <w:rPr>
          <w:lang w:val="de-DE"/>
        </w:rPr>
        <w:t>4</w:t>
      </w:r>
      <w:r>
        <w:rPr>
          <w:rFonts w:hAnsi="新細明體"/>
        </w:rPr>
        <w:t>版</w:t>
      </w:r>
      <w:r>
        <w:rPr>
          <w:rFonts w:hAnsi="新細明體"/>
          <w:lang w:val="de-DE"/>
        </w:rPr>
        <w:t>，</w:t>
      </w:r>
      <w:r>
        <w:rPr>
          <w:rFonts w:hAnsi="新細明體"/>
        </w:rPr>
        <w:t>頁</w:t>
      </w:r>
      <w:r>
        <w:rPr>
          <w:lang w:val="de-DE"/>
        </w:rPr>
        <w:t>305</w:t>
      </w:r>
      <w:r>
        <w:rPr>
          <w:rFonts w:hAnsi="新細明體"/>
        </w:rPr>
        <w:t>。最高行政法院</w:t>
      </w:r>
      <w:r>
        <w:t>90</w:t>
      </w:r>
      <w:r>
        <w:rPr>
          <w:rFonts w:hAnsi="新細明體"/>
        </w:rPr>
        <w:t>年裁字第</w:t>
      </w:r>
      <w:r>
        <w:t>646</w:t>
      </w:r>
      <w:r>
        <w:rPr>
          <w:rFonts w:hAnsi="新細明體"/>
        </w:rPr>
        <w:t>號裁定謂：「行政處分內容本身須係對人民之權利或義務產生規制作用，而具有一定之法效性者，始為</w:t>
      </w:r>
      <w:r>
        <w:rPr>
          <w:rFonts w:hAnsi="新細明體"/>
        </w:rPr>
        <w:t>相當。」應係相同理解。見，法務部，</w:t>
      </w:r>
      <w:r>
        <w:rPr>
          <w:rFonts w:hAnsi="新細明體" w:hint="eastAsia"/>
          <w:color w:val="0000FF"/>
        </w:rPr>
        <w:t>前揭書</w:t>
      </w:r>
      <w:r>
        <w:rPr>
          <w:rFonts w:hAnsi="新細明體" w:hint="eastAsia"/>
          <w:color w:val="0000FF"/>
        </w:rPr>
        <w:t>(</w:t>
      </w:r>
      <w:r>
        <w:rPr>
          <w:rFonts w:hAnsi="新細明體" w:hint="eastAsia"/>
          <w:color w:val="0000FF"/>
        </w:rPr>
        <w:t>註</w:t>
      </w:r>
      <w:r>
        <w:rPr>
          <w:rFonts w:hAnsi="新細明體" w:hint="eastAsia"/>
          <w:color w:val="0000FF"/>
        </w:rPr>
        <w:t>66)</w:t>
      </w:r>
      <w:r>
        <w:rPr>
          <w:rFonts w:hAnsi="新細明體"/>
        </w:rPr>
        <w:t>，頁</w:t>
      </w:r>
      <w:r>
        <w:t>240</w:t>
      </w:r>
      <w:r>
        <w:rPr>
          <w:rFonts w:hAnsi="新細明體"/>
        </w:rPr>
        <w:t>。</w:t>
      </w:r>
    </w:p>
  </w:footnote>
  <w:footnote w:id="31">
    <w:p w:rsidR="00000000" w:rsidRDefault="00E36B2A">
      <w:pPr>
        <w:pStyle w:val="ad"/>
        <w:spacing w:line="360" w:lineRule="auto"/>
        <w:jc w:val="both"/>
      </w:pPr>
      <w:r>
        <w:rPr>
          <w:rStyle w:val="ae"/>
        </w:rPr>
        <w:footnoteRef/>
      </w:r>
      <w:r>
        <w:rPr>
          <w:lang w:val="de-DE"/>
        </w:rPr>
        <w:t xml:space="preserve"> Vgl. Paul</w:t>
      </w:r>
      <w:r>
        <w:rPr>
          <w:b/>
          <w:i/>
          <w:lang w:val="de-DE"/>
        </w:rPr>
        <w:t xml:space="preserve"> </w:t>
      </w:r>
      <w:r>
        <w:rPr>
          <w:bCs/>
          <w:iCs/>
          <w:lang w:val="de-DE"/>
        </w:rPr>
        <w:t>Stelkens/</w:t>
      </w:r>
      <w:r>
        <w:rPr>
          <w:lang w:val="de-DE"/>
        </w:rPr>
        <w:t xml:space="preserve"> Ulrich </w:t>
      </w:r>
      <w:r>
        <w:rPr>
          <w:bCs/>
          <w:iCs/>
          <w:lang w:val="de-DE"/>
        </w:rPr>
        <w:t>Stelkens, in:</w:t>
      </w:r>
      <w:r>
        <w:rPr>
          <w:lang w:val="de-DE"/>
        </w:rPr>
        <w:t xml:space="preserve"> Paul</w:t>
      </w:r>
      <w:r>
        <w:rPr>
          <w:b/>
          <w:i/>
          <w:lang w:val="de-DE"/>
        </w:rPr>
        <w:t xml:space="preserve"> </w:t>
      </w:r>
      <w:r>
        <w:rPr>
          <w:bCs/>
          <w:iCs/>
          <w:lang w:val="de-DE"/>
        </w:rPr>
        <w:t>Stelkens</w:t>
      </w:r>
      <w:r>
        <w:rPr>
          <w:lang w:val="de-DE"/>
        </w:rPr>
        <w:t>/ Heinz</w:t>
      </w:r>
      <w:r>
        <w:rPr>
          <w:b/>
          <w:i/>
          <w:lang w:val="de-DE"/>
        </w:rPr>
        <w:t xml:space="preserve"> </w:t>
      </w:r>
      <w:r>
        <w:rPr>
          <w:lang w:val="de-DE"/>
        </w:rPr>
        <w:t>Joachim</w:t>
      </w:r>
      <w:r>
        <w:rPr>
          <w:bCs/>
          <w:iCs/>
          <w:lang w:val="de-DE"/>
        </w:rPr>
        <w:t xml:space="preserve"> Bonk</w:t>
      </w:r>
      <w:r>
        <w:rPr>
          <w:lang w:val="de-DE"/>
        </w:rPr>
        <w:t xml:space="preserve">/ Michael </w:t>
      </w:r>
      <w:r>
        <w:rPr>
          <w:bCs/>
          <w:iCs/>
          <w:lang w:val="de-DE"/>
        </w:rPr>
        <w:t>Sachs</w:t>
      </w:r>
      <w:r>
        <w:rPr>
          <w:lang w:val="de-DE"/>
        </w:rPr>
        <w:t xml:space="preserve">, Verwaltungsverfahrensgesetz, 6. </w:t>
      </w:r>
      <w:r>
        <w:t>Aufl., 2001, § 35 Rn.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786C5F0C"/>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3B"/>
    <w:rsid w:val="00854A3B"/>
    <w:rsid w:val="00E36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C07023-A4B0-4CE7-BEBF-6B379994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eck2-gross.digibib.net/bib/bin/reference.asp?Y=300&amp;Z=Jura&amp;B=1985&amp;S=61&amp;I=63" TargetMode="External"/><Relationship Id="rId13" Type="http://schemas.openxmlformats.org/officeDocument/2006/relationships/hyperlink" Target="http://beck2-gross.digibib.net/bib/bin/reference.asp?Y=300&amp;Z=NJW&amp;B=1984&amp;S=2652" TargetMode="External"/><Relationship Id="rId3" Type="http://schemas.openxmlformats.org/officeDocument/2006/relationships/hyperlink" Target="http://beck2-gross.digibib.net/bib/bin/reference.asp?Y=300&amp;Z=DOeV&amp;B=1971&amp;S=397" TargetMode="External"/><Relationship Id="rId7" Type="http://schemas.openxmlformats.org/officeDocument/2006/relationships/hyperlink" Target="http://beck2-gross.digibib.net/bib/bin/reference.asp?Y=300&amp;Z=Jura&amp;B=1985&amp;S=61" TargetMode="External"/><Relationship Id="rId12" Type="http://schemas.openxmlformats.org/officeDocument/2006/relationships/hyperlink" Target="http://beck2-gross.digibib.net/bib/bin/reference.asp?Y=300&amp;Z=BayVBl&amp;B=2000&amp;S=594&amp;I=595" TargetMode="External"/><Relationship Id="rId2" Type="http://schemas.openxmlformats.org/officeDocument/2006/relationships/hyperlink" Target="http://beck2-gross.digibib.net/bib/bin/reference.asp?Y=300&amp;Z=NVwZ&amp;B=1993&amp;S=678&amp;I=681" TargetMode="External"/><Relationship Id="rId1" Type="http://schemas.openxmlformats.org/officeDocument/2006/relationships/hyperlink" Target="http://beck2-gross.digibib.net/bib/bin/reference.asp?Y=300&amp;Z=NVwZ&amp;B=1993&amp;S=678" TargetMode="External"/><Relationship Id="rId6" Type="http://schemas.openxmlformats.org/officeDocument/2006/relationships/hyperlink" Target="http://beck2-gross.digibib.net/bib/bin/reference.asp?Y=300&amp;Z=NVwZ&amp;B=2002&amp;S=984" TargetMode="External"/><Relationship Id="rId11" Type="http://schemas.openxmlformats.org/officeDocument/2006/relationships/hyperlink" Target="http://beck2-gross.digibib.net/bib/bin/reference.asp?Y=300&amp;Z=BayVBl&amp;B=2000&amp;S=594" TargetMode="External"/><Relationship Id="rId5" Type="http://schemas.openxmlformats.org/officeDocument/2006/relationships/hyperlink" Target="http://beck2-gross.digibib.net/bib/bin/reference.asp?Y=300&amp;Z=BVerwGE&amp;B=115&amp;S=373&amp;I=379" TargetMode="External"/><Relationship Id="rId10" Type="http://schemas.openxmlformats.org/officeDocument/2006/relationships/hyperlink" Target="http://beck2-gross.digibib.net/bib/bin/reference.asp?Y=300&amp;Z=NJW&amp;B=1979&amp;S=2382" TargetMode="External"/><Relationship Id="rId4" Type="http://schemas.openxmlformats.org/officeDocument/2006/relationships/hyperlink" Target="http://beck2-gross.digibib.net/bib/bin/reference.asp?Y=300&amp;Z=BVerwGE&amp;B=115&amp;S=373" TargetMode="External"/><Relationship Id="rId9" Type="http://schemas.openxmlformats.org/officeDocument/2006/relationships/hyperlink" Target="http://beck2-gross.digibib.net/bib/bin/reference.asp?Y=300&amp;Z=NJW&amp;B=1982&amp;S=113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1121</Words>
  <Characters>6392</Characters>
  <Application>Microsoft Office Word</Application>
  <DocSecurity>0</DocSecurity>
  <Lines>53</Lines>
  <Paragraphs>14</Paragraphs>
  <ScaleCrop>false</ScaleCrop>
  <Company>CCU</Company>
  <LinksUpToDate>false</LinksUpToDate>
  <CharactersWithSpaces>7499</CharactersWithSpaces>
  <SharedDoc>false</SharedDoc>
  <HLinks>
    <vt:vector size="78" baseType="variant">
      <vt:variant>
        <vt:i4>6750322</vt:i4>
      </vt:variant>
      <vt:variant>
        <vt:i4>36</vt:i4>
      </vt:variant>
      <vt:variant>
        <vt:i4>0</vt:i4>
      </vt:variant>
      <vt:variant>
        <vt:i4>5</vt:i4>
      </vt:variant>
      <vt:variant>
        <vt:lpwstr>http://beck2-gross.digibib.net/bib/bin/reference.asp?Y=300&amp;Z=NJW&amp;B=1984&amp;S=2652</vt:lpwstr>
      </vt:variant>
      <vt:variant>
        <vt:lpwstr/>
      </vt:variant>
      <vt:variant>
        <vt:i4>7536737</vt:i4>
      </vt:variant>
      <vt:variant>
        <vt:i4>33</vt:i4>
      </vt:variant>
      <vt:variant>
        <vt:i4>0</vt:i4>
      </vt:variant>
      <vt:variant>
        <vt:i4>5</vt:i4>
      </vt:variant>
      <vt:variant>
        <vt:lpwstr>http://beck2-gross.digibib.net/bib/bin/reference.asp?Y=300&amp;Z=BayVBl&amp;B=2000&amp;S=594&amp;I=595</vt:lpwstr>
      </vt:variant>
      <vt:variant>
        <vt:lpwstr/>
      </vt:variant>
      <vt:variant>
        <vt:i4>1704003</vt:i4>
      </vt:variant>
      <vt:variant>
        <vt:i4>30</vt:i4>
      </vt:variant>
      <vt:variant>
        <vt:i4>0</vt:i4>
      </vt:variant>
      <vt:variant>
        <vt:i4>5</vt:i4>
      </vt:variant>
      <vt:variant>
        <vt:lpwstr>http://beck2-gross.digibib.net/bib/bin/reference.asp?Y=300&amp;Z=BayVBl&amp;B=2000&amp;S=594</vt:lpwstr>
      </vt:variant>
      <vt:variant>
        <vt:lpwstr/>
      </vt:variant>
      <vt:variant>
        <vt:i4>7143538</vt:i4>
      </vt:variant>
      <vt:variant>
        <vt:i4>27</vt:i4>
      </vt:variant>
      <vt:variant>
        <vt:i4>0</vt:i4>
      </vt:variant>
      <vt:variant>
        <vt:i4>5</vt:i4>
      </vt:variant>
      <vt:variant>
        <vt:lpwstr>http://beck2-gross.digibib.net/bib/bin/reference.asp?Y=300&amp;Z=NJW&amp;B=1979&amp;S=2382</vt:lpwstr>
      </vt:variant>
      <vt:variant>
        <vt:lpwstr/>
      </vt:variant>
      <vt:variant>
        <vt:i4>6619249</vt:i4>
      </vt:variant>
      <vt:variant>
        <vt:i4>24</vt:i4>
      </vt:variant>
      <vt:variant>
        <vt:i4>0</vt:i4>
      </vt:variant>
      <vt:variant>
        <vt:i4>5</vt:i4>
      </vt:variant>
      <vt:variant>
        <vt:lpwstr>http://beck2-gross.digibib.net/bib/bin/reference.asp?Y=300&amp;Z=NJW&amp;B=1982&amp;S=1137</vt:lpwstr>
      </vt:variant>
      <vt:variant>
        <vt:lpwstr/>
      </vt:variant>
      <vt:variant>
        <vt:i4>6815856</vt:i4>
      </vt:variant>
      <vt:variant>
        <vt:i4>21</vt:i4>
      </vt:variant>
      <vt:variant>
        <vt:i4>0</vt:i4>
      </vt:variant>
      <vt:variant>
        <vt:i4>5</vt:i4>
      </vt:variant>
      <vt:variant>
        <vt:lpwstr>http://beck2-gross.digibib.net/bib/bin/reference.asp?Y=300&amp;Z=Jura&amp;B=1985&amp;S=61&amp;I=63</vt:lpwstr>
      </vt:variant>
      <vt:variant>
        <vt:lpwstr/>
      </vt:variant>
      <vt:variant>
        <vt:i4>4194334</vt:i4>
      </vt:variant>
      <vt:variant>
        <vt:i4>18</vt:i4>
      </vt:variant>
      <vt:variant>
        <vt:i4>0</vt:i4>
      </vt:variant>
      <vt:variant>
        <vt:i4>5</vt:i4>
      </vt:variant>
      <vt:variant>
        <vt:lpwstr>http://beck2-gross.digibib.net/bib/bin/reference.asp?Y=300&amp;Z=Jura&amp;B=1985&amp;S=61</vt:lpwstr>
      </vt:variant>
      <vt:variant>
        <vt:lpwstr/>
      </vt:variant>
      <vt:variant>
        <vt:i4>7602229</vt:i4>
      </vt:variant>
      <vt:variant>
        <vt:i4>15</vt:i4>
      </vt:variant>
      <vt:variant>
        <vt:i4>0</vt:i4>
      </vt:variant>
      <vt:variant>
        <vt:i4>5</vt:i4>
      </vt:variant>
      <vt:variant>
        <vt:lpwstr>http://beck2-gross.digibib.net/bib/bin/reference.asp?Y=300&amp;Z=NVwZ&amp;B=2002&amp;S=984</vt:lpwstr>
      </vt:variant>
      <vt:variant>
        <vt:lpwstr/>
      </vt:variant>
      <vt:variant>
        <vt:i4>6881331</vt:i4>
      </vt:variant>
      <vt:variant>
        <vt:i4>12</vt:i4>
      </vt:variant>
      <vt:variant>
        <vt:i4>0</vt:i4>
      </vt:variant>
      <vt:variant>
        <vt:i4>5</vt:i4>
      </vt:variant>
      <vt:variant>
        <vt:lpwstr>http://beck2-gross.digibib.net/bib/bin/reference.asp?Y=300&amp;Z=BVerwGE&amp;B=115&amp;S=373&amp;I=379</vt:lpwstr>
      </vt:variant>
      <vt:variant>
        <vt:lpwstr/>
      </vt:variant>
      <vt:variant>
        <vt:i4>655391</vt:i4>
      </vt:variant>
      <vt:variant>
        <vt:i4>9</vt:i4>
      </vt:variant>
      <vt:variant>
        <vt:i4>0</vt:i4>
      </vt:variant>
      <vt:variant>
        <vt:i4>5</vt:i4>
      </vt:variant>
      <vt:variant>
        <vt:lpwstr>http://beck2-gross.digibib.net/bib/bin/reference.asp?Y=300&amp;Z=BVerwGE&amp;B=115&amp;S=373</vt:lpwstr>
      </vt:variant>
      <vt:variant>
        <vt:lpwstr/>
      </vt:variant>
      <vt:variant>
        <vt:i4>7274533</vt:i4>
      </vt:variant>
      <vt:variant>
        <vt:i4>6</vt:i4>
      </vt:variant>
      <vt:variant>
        <vt:i4>0</vt:i4>
      </vt:variant>
      <vt:variant>
        <vt:i4>5</vt:i4>
      </vt:variant>
      <vt:variant>
        <vt:lpwstr>http://beck2-gross.digibib.net/bib/bin/reference.asp?Y=300&amp;Z=DOeV&amp;B=1971&amp;S=397</vt:lpwstr>
      </vt:variant>
      <vt:variant>
        <vt:lpwstr/>
      </vt:variant>
      <vt:variant>
        <vt:i4>1114131</vt:i4>
      </vt:variant>
      <vt:variant>
        <vt:i4>3</vt:i4>
      </vt:variant>
      <vt:variant>
        <vt:i4>0</vt:i4>
      </vt:variant>
      <vt:variant>
        <vt:i4>5</vt:i4>
      </vt:variant>
      <vt:variant>
        <vt:lpwstr>http://beck2-gross.digibib.net/bib/bin/reference.asp?Y=300&amp;Z=NVwZ&amp;B=1993&amp;S=678&amp;I=681</vt:lpwstr>
      </vt:variant>
      <vt:variant>
        <vt:lpwstr/>
      </vt:variant>
      <vt:variant>
        <vt:i4>8323120</vt:i4>
      </vt:variant>
      <vt:variant>
        <vt:i4>0</vt:i4>
      </vt:variant>
      <vt:variant>
        <vt:i4>0</vt:i4>
      </vt:variant>
      <vt:variant>
        <vt:i4>5</vt:i4>
      </vt:variant>
      <vt:variant>
        <vt:lpwstr>http://beck2-gross.digibib.net/bib/bin/reference.asp?Y=300&amp;Z=NVwZ&amp;B=1993&amp;S=678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2021-09-22T10:40:00Z</dcterms:created>
  <dcterms:modified xsi:type="dcterms:W3CDTF">2021-09-22T10:40:00Z</dcterms:modified>
</cp:coreProperties>
</file>