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2645">
      <w:pPr>
        <w:pStyle w:val="22"/>
        <w:spacing w:line="480" w:lineRule="auto"/>
        <w:ind w:firstLine="380"/>
        <w:rPr>
          <w:rFonts w:ascii="Arial" w:hAnsi="Arial" w:cs="Arial"/>
          <w:vanish/>
          <w:kern w:val="0"/>
          <w:sz w:val="19"/>
          <w:szCs w:val="19"/>
        </w:rPr>
      </w:pPr>
      <w:bookmarkStart w:id="0" w:name="_GoBack"/>
      <w:bookmarkEnd w:id="0"/>
    </w:p>
    <w:p w:rsidR="00000000" w:rsidRDefault="00B12645">
      <w:pPr>
        <w:rPr>
          <w:rFonts w:eastAsia="標楷體"/>
          <w:sz w:val="32"/>
          <w:lang w:val="de-DE"/>
        </w:rPr>
      </w:pPr>
      <w:bookmarkStart w:id="1" w:name="_Toc121199247"/>
      <w:r>
        <w:rPr>
          <w:rFonts w:eastAsia="標楷體" w:hint="eastAsia"/>
          <w:sz w:val="32"/>
          <w:lang w:val="de-DE"/>
        </w:rPr>
        <w:t>附論（一）</w:t>
      </w:r>
      <w:bookmarkEnd w:id="1"/>
    </w:p>
    <w:p w:rsidR="00000000" w:rsidRDefault="00B12645">
      <w:pPr>
        <w:spacing w:line="480" w:lineRule="auto"/>
        <w:jc w:val="center"/>
        <w:rPr>
          <w:sz w:val="36"/>
          <w:szCs w:val="36"/>
        </w:rPr>
      </w:pPr>
      <w:r>
        <w:rPr>
          <w:sz w:val="36"/>
          <w:szCs w:val="36"/>
        </w:rPr>
        <w:t>德國公務員法上之競爭訴訟</w:t>
      </w:r>
      <w:r>
        <w:rPr>
          <w:sz w:val="36"/>
          <w:szCs w:val="36"/>
        </w:rPr>
        <w:t xml:space="preserve"> </w:t>
      </w:r>
    </w:p>
    <w:p w:rsidR="00000000" w:rsidRDefault="00B12645">
      <w:pPr>
        <w:spacing w:line="480" w:lineRule="auto"/>
        <w:jc w:val="center"/>
        <w:rPr>
          <w:rFonts w:hint="eastAsia"/>
          <w:sz w:val="32"/>
          <w:szCs w:val="32"/>
        </w:rPr>
      </w:pPr>
      <w:r>
        <w:rPr>
          <w:sz w:val="32"/>
          <w:szCs w:val="32"/>
        </w:rPr>
        <w:t xml:space="preserve">– </w:t>
      </w:r>
      <w:r>
        <w:rPr>
          <w:sz w:val="32"/>
          <w:szCs w:val="32"/>
        </w:rPr>
        <w:t>職務安定原則與有效權利救濟間之權衡</w:t>
      </w:r>
    </w:p>
    <w:p w:rsidR="00000000" w:rsidRDefault="00B12645">
      <w:pPr>
        <w:spacing w:line="480" w:lineRule="auto"/>
        <w:jc w:val="center"/>
        <w:rPr>
          <w:rFonts w:hint="eastAsia"/>
        </w:rPr>
      </w:pPr>
      <w:r>
        <w:rPr>
          <w:rFonts w:hint="eastAsia"/>
        </w:rPr>
        <w:t>（程明修</w:t>
      </w:r>
      <w:r>
        <w:rPr>
          <w:rFonts w:hint="eastAsia"/>
        </w:rPr>
        <w:t xml:space="preserve"> </w:t>
      </w:r>
      <w:r>
        <w:rPr>
          <w:rFonts w:hint="eastAsia"/>
        </w:rPr>
        <w:t>執筆）</w:t>
      </w:r>
    </w:p>
    <w:p w:rsidR="00000000" w:rsidRDefault="00B12645">
      <w:pPr>
        <w:snapToGrid w:val="0"/>
        <w:spacing w:beforeLines="50" w:before="180" w:afterLines="50" w:after="180" w:line="480" w:lineRule="auto"/>
        <w:jc w:val="both"/>
        <w:outlineLvl w:val="0"/>
        <w:rPr>
          <w:b/>
          <w:sz w:val="28"/>
          <w:szCs w:val="28"/>
        </w:rPr>
      </w:pPr>
      <w:r>
        <w:rPr>
          <w:b/>
          <w:sz w:val="28"/>
          <w:szCs w:val="28"/>
        </w:rPr>
        <w:t>一、前言</w:t>
      </w:r>
    </w:p>
    <w:p w:rsidR="00000000" w:rsidRDefault="00B12645">
      <w:pPr>
        <w:snapToGrid w:val="0"/>
        <w:spacing w:beforeLines="50" w:before="180" w:afterLines="50" w:after="180" w:line="480" w:lineRule="auto"/>
        <w:ind w:firstLineChars="225" w:firstLine="540"/>
        <w:jc w:val="both"/>
        <w:rPr>
          <w:kern w:val="0"/>
        </w:rPr>
      </w:pPr>
      <w:r>
        <w:t>德國聯邦行政法院對於公務員法上之競爭訴訟之裁判其實相當盤根錯節。早期的見解多認為，如果陞遷任命決定已經完成，未獲任命者所提起的權利救濟往往是會被拒絕的。因為這個申請的職位已經不再是空缺的職位，同時也不可能再透過競爭者所提起的撤銷訴訟，讓這個已經任命其他公務員在上的職缺再空出來</w:t>
      </w:r>
      <w:r>
        <w:rPr>
          <w:rStyle w:val="ae"/>
        </w:rPr>
        <w:footnoteReference w:id="1"/>
      </w:r>
      <w:r>
        <w:t>。不過</w:t>
      </w:r>
      <w:r>
        <w:rPr>
          <w:kern w:val="0"/>
        </w:rPr>
        <w:t>德國聯邦行政法院在</w:t>
      </w:r>
      <w:r>
        <w:rPr>
          <w:kern w:val="0"/>
        </w:rPr>
        <w:t>2001</w:t>
      </w:r>
      <w:r>
        <w:rPr>
          <w:kern w:val="0"/>
        </w:rPr>
        <w:t>年</w:t>
      </w:r>
      <w:r>
        <w:rPr>
          <w:kern w:val="0"/>
        </w:rPr>
        <w:t>9</w:t>
      </w:r>
      <w:r>
        <w:rPr>
          <w:kern w:val="0"/>
        </w:rPr>
        <w:t>月</w:t>
      </w:r>
      <w:r>
        <w:rPr>
          <w:kern w:val="0"/>
        </w:rPr>
        <w:t>13</w:t>
      </w:r>
      <w:r>
        <w:rPr>
          <w:kern w:val="0"/>
        </w:rPr>
        <w:t>日判決傍論（</w:t>
      </w:r>
      <w:r>
        <w:rPr>
          <w:kern w:val="0"/>
        </w:rPr>
        <w:t>obiter dictum</w:t>
      </w:r>
      <w:r>
        <w:rPr>
          <w:kern w:val="0"/>
        </w:rPr>
        <w:t>）中則自己提出質疑，這種傳統排除競爭者提起撤</w:t>
      </w:r>
      <w:r>
        <w:rPr>
          <w:kern w:val="0"/>
        </w:rPr>
        <w:t>銷訴訟的見解似乎很難跟憲法（基本法）第</w:t>
      </w:r>
      <w:r>
        <w:rPr>
          <w:kern w:val="0"/>
        </w:rPr>
        <w:t>19</w:t>
      </w:r>
      <w:r>
        <w:rPr>
          <w:kern w:val="0"/>
        </w:rPr>
        <w:t>條第</w:t>
      </w:r>
      <w:r>
        <w:rPr>
          <w:kern w:val="0"/>
        </w:rPr>
        <w:t>4</w:t>
      </w:r>
      <w:r>
        <w:rPr>
          <w:kern w:val="0"/>
        </w:rPr>
        <w:t>項「實效性權利保障之要求（</w:t>
      </w:r>
      <w:r>
        <w:rPr>
          <w:kern w:val="0"/>
        </w:rPr>
        <w:t>Gebot effektiven rectsschutzes</w:t>
      </w:r>
      <w:r>
        <w:rPr>
          <w:kern w:val="0"/>
        </w:rPr>
        <w:t>）」彼此相容</w:t>
      </w:r>
      <w:r>
        <w:rPr>
          <w:rStyle w:val="ae"/>
          <w:kern w:val="0"/>
        </w:rPr>
        <w:footnoteReference w:id="2"/>
      </w:r>
      <w:r>
        <w:rPr>
          <w:kern w:val="0"/>
        </w:rPr>
        <w:t>。到了</w:t>
      </w:r>
      <w:r>
        <w:rPr>
          <w:kern w:val="0"/>
        </w:rPr>
        <w:t>2003</w:t>
      </w:r>
      <w:r>
        <w:rPr>
          <w:kern w:val="0"/>
        </w:rPr>
        <w:t>年，聯邦行政法院則於判決中指出，競爭者主張撤銷任命，重新空出職缺的撤銷訴訟，在一些特定的情況中其實並無必要。但是當機關首長「不法（</w:t>
      </w:r>
      <w:r>
        <w:rPr>
          <w:kern w:val="0"/>
        </w:rPr>
        <w:t>zu Unrecht</w:t>
      </w:r>
      <w:r>
        <w:rPr>
          <w:kern w:val="0"/>
        </w:rPr>
        <w:t>）」忽視原告公務人員之權益時，機關首長在必要的情況下則可能需要另外提供新的職缺出來</w:t>
      </w:r>
      <w:r>
        <w:rPr>
          <w:rStyle w:val="ae"/>
          <w:kern w:val="0"/>
        </w:rPr>
        <w:footnoteReference w:id="3"/>
      </w:r>
      <w:r>
        <w:rPr>
          <w:kern w:val="0"/>
        </w:rPr>
        <w:t>。</w:t>
      </w:r>
    </w:p>
    <w:p w:rsidR="00000000" w:rsidRDefault="00B12645">
      <w:pPr>
        <w:snapToGrid w:val="0"/>
        <w:spacing w:beforeLines="50" w:before="180" w:afterLines="50" w:after="180" w:line="480" w:lineRule="auto"/>
        <w:ind w:firstLineChars="225" w:firstLine="540"/>
        <w:jc w:val="both"/>
        <w:rPr>
          <w:kern w:val="0"/>
        </w:rPr>
      </w:pPr>
      <w:r>
        <w:rPr>
          <w:kern w:val="0"/>
        </w:rPr>
        <w:t>行政法院的傳統立場認為競爭者於任命完成後所提出的競爭訴訟（課予義務訴訟）均屬已經終結（</w:t>
      </w:r>
      <w:r>
        <w:rPr>
          <w:kern w:val="0"/>
        </w:rPr>
        <w:t>erledigt</w:t>
      </w:r>
      <w:r>
        <w:rPr>
          <w:kern w:val="0"/>
        </w:rPr>
        <w:t>）的案件。</w:t>
      </w:r>
      <w:r>
        <w:rPr>
          <w:kern w:val="0"/>
        </w:rPr>
        <w:t>裁判的理由大多基於所謂「職務安定原</w:t>
      </w:r>
      <w:r>
        <w:rPr>
          <w:kern w:val="0"/>
        </w:rPr>
        <w:lastRenderedPageBreak/>
        <w:t>則（</w:t>
      </w:r>
      <w:r>
        <w:rPr>
          <w:kern w:val="0"/>
        </w:rPr>
        <w:t>Prinzip der Ämterstabilität</w:t>
      </w:r>
      <w:r>
        <w:rPr>
          <w:kern w:val="0"/>
        </w:rPr>
        <w:t>）」或者信賴保護原則。因為已經完成的任命往往無法再加以回溯撤銷。未獲任命的原告即因欠缺訴訟權能而無法請求撤銷對他人之任命。欠缺撤銷訴訟這個權利救濟的開路先鋒，之後的課予義務訴訟也就不會有結果。</w:t>
      </w:r>
    </w:p>
    <w:p w:rsidR="00000000" w:rsidRDefault="00B12645">
      <w:pPr>
        <w:snapToGrid w:val="0"/>
        <w:spacing w:beforeLines="50" w:before="180" w:afterLines="50" w:after="180" w:line="480" w:lineRule="auto"/>
        <w:ind w:firstLineChars="225" w:firstLine="540"/>
        <w:jc w:val="both"/>
        <w:rPr>
          <w:kern w:val="0"/>
        </w:rPr>
      </w:pPr>
      <w:r>
        <w:rPr>
          <w:kern w:val="0"/>
        </w:rPr>
        <w:t>德國聯邦行政法院在</w:t>
      </w:r>
      <w:r>
        <w:rPr>
          <w:kern w:val="0"/>
        </w:rPr>
        <w:t>2001</w:t>
      </w:r>
      <w:r>
        <w:rPr>
          <w:kern w:val="0"/>
        </w:rPr>
        <w:t>年</w:t>
      </w:r>
      <w:r>
        <w:rPr>
          <w:kern w:val="0"/>
        </w:rPr>
        <w:t>9</w:t>
      </w:r>
      <w:r>
        <w:rPr>
          <w:kern w:val="0"/>
        </w:rPr>
        <w:t>月</w:t>
      </w:r>
      <w:r>
        <w:rPr>
          <w:kern w:val="0"/>
        </w:rPr>
        <w:t>13</w:t>
      </w:r>
      <w:r>
        <w:rPr>
          <w:kern w:val="0"/>
        </w:rPr>
        <w:t>日判決傍論中所提出的質疑，被學界譽為是對於「職務安定優於競爭者權利保護」學理（</w:t>
      </w:r>
      <w:r>
        <w:rPr>
          <w:kern w:val="0"/>
        </w:rPr>
        <w:t>Dogmas vom Vorrang der Ämterstabilität vor dem Rechtssch</w:t>
      </w:r>
      <w:r>
        <w:rPr>
          <w:kern w:val="0"/>
        </w:rPr>
        <w:t>utz des Konkurrenten</w:t>
      </w:r>
      <w:r>
        <w:rPr>
          <w:kern w:val="0"/>
        </w:rPr>
        <w:t>）的重大突破</w:t>
      </w:r>
      <w:r>
        <w:rPr>
          <w:rStyle w:val="ae"/>
          <w:kern w:val="0"/>
        </w:rPr>
        <w:footnoteReference w:id="4"/>
      </w:r>
      <w:r>
        <w:rPr>
          <w:kern w:val="0"/>
        </w:rPr>
        <w:t>。聯邦行政法院可說撼動了公務員法與行政訴訟法上傳統一慣的見解。即使這只在判決傍論中提及，我們也可以視為學理上的一大轉變。同時也可能導致行政法院不再走回「職務安定絕對優於競爭者權利保護」的老路</w:t>
      </w:r>
      <w:r>
        <w:rPr>
          <w:rStyle w:val="ae"/>
          <w:kern w:val="0"/>
        </w:rPr>
        <w:footnoteReference w:id="5"/>
      </w:r>
      <w:r>
        <w:rPr>
          <w:kern w:val="0"/>
        </w:rPr>
        <w:t>。不過這還值得進一步觀察。因為除了行政法院這個特殊的見解外，下級審法院似乎毫無所動。而聯邦憲法法院也還持觀望的態度。</w:t>
      </w:r>
    </w:p>
    <w:p w:rsidR="00000000" w:rsidRDefault="00B12645">
      <w:pPr>
        <w:snapToGrid w:val="0"/>
        <w:spacing w:beforeLines="50" w:before="180" w:afterLines="50" w:after="180" w:line="480" w:lineRule="auto"/>
        <w:ind w:firstLineChars="225" w:firstLine="540"/>
        <w:jc w:val="both"/>
        <w:rPr>
          <w:kern w:val="0"/>
        </w:rPr>
      </w:pPr>
      <w:r>
        <w:rPr>
          <w:kern w:val="0"/>
        </w:rPr>
        <w:t>聯邦行政法院</w:t>
      </w:r>
      <w:r>
        <w:rPr>
          <w:kern w:val="0"/>
        </w:rPr>
        <w:t>2001</w:t>
      </w:r>
      <w:r>
        <w:rPr>
          <w:kern w:val="0"/>
        </w:rPr>
        <w:t>年</w:t>
      </w:r>
      <w:r>
        <w:rPr>
          <w:kern w:val="0"/>
        </w:rPr>
        <w:t>9</w:t>
      </w:r>
      <w:r>
        <w:rPr>
          <w:kern w:val="0"/>
        </w:rPr>
        <w:t>月</w:t>
      </w:r>
      <w:r>
        <w:rPr>
          <w:kern w:val="0"/>
        </w:rPr>
        <w:t>13</w:t>
      </w:r>
      <w:r>
        <w:rPr>
          <w:kern w:val="0"/>
        </w:rPr>
        <w:t>日判決中原告乃是終生職公務員。最後是任職於布萊梅邦議會，而薪資職級屬於</w:t>
      </w:r>
      <w:r>
        <w:rPr>
          <w:kern w:val="0"/>
        </w:rPr>
        <w:t>B7</w:t>
      </w:r>
      <w:r>
        <w:rPr>
          <w:kern w:val="0"/>
        </w:rPr>
        <w:t>級。</w:t>
      </w:r>
      <w:r>
        <w:rPr>
          <w:kern w:val="0"/>
        </w:rPr>
        <w:t>1995</w:t>
      </w:r>
      <w:r>
        <w:rPr>
          <w:kern w:val="0"/>
        </w:rPr>
        <w:t>年</w:t>
      </w:r>
      <w:r>
        <w:rPr>
          <w:kern w:val="0"/>
        </w:rPr>
        <w:t>10</w:t>
      </w:r>
      <w:r>
        <w:rPr>
          <w:kern w:val="0"/>
        </w:rPr>
        <w:t>月</w:t>
      </w:r>
      <w:r>
        <w:rPr>
          <w:kern w:val="0"/>
        </w:rPr>
        <w:t>31</w:t>
      </w:r>
      <w:r>
        <w:rPr>
          <w:kern w:val="0"/>
        </w:rPr>
        <w:t>日他被調為暫時退休狀</w:t>
      </w:r>
      <w:r>
        <w:rPr>
          <w:kern w:val="0"/>
        </w:rPr>
        <w:t>態的政務官。而其原先職位則於</w:t>
      </w:r>
      <w:r>
        <w:rPr>
          <w:kern w:val="0"/>
        </w:rPr>
        <w:t>1995</w:t>
      </w:r>
      <w:r>
        <w:rPr>
          <w:kern w:val="0"/>
        </w:rPr>
        <w:t>年</w:t>
      </w:r>
      <w:r>
        <w:rPr>
          <w:kern w:val="0"/>
        </w:rPr>
        <w:t>11</w:t>
      </w:r>
      <w:r>
        <w:rPr>
          <w:kern w:val="0"/>
        </w:rPr>
        <w:t>月</w:t>
      </w:r>
      <w:r>
        <w:rPr>
          <w:kern w:val="0"/>
        </w:rPr>
        <w:t>1</w:t>
      </w:r>
      <w:r>
        <w:rPr>
          <w:kern w:val="0"/>
        </w:rPr>
        <w:t>日已經新任命其他公務員擔任。原告不服調任決定而提起行政訴訟。初等與高等行政法院均已訴訟無理由駁回原告之訴。因為在職位從新派任後，原告訴訟希望這個職位從新騰出而提出的訴訟目的已經不可能再加以實現。不過最高行政法院並不同意這個理由。反而進一步審查調職決定的合法性。不過最終還是判定此一調職決定並不違法。判決原告之訴無理由。</w:t>
      </w:r>
    </w:p>
    <w:p w:rsidR="00000000" w:rsidRDefault="00B12645">
      <w:pPr>
        <w:snapToGrid w:val="0"/>
        <w:spacing w:beforeLines="50" w:before="180" w:afterLines="50" w:after="180" w:line="480" w:lineRule="auto"/>
        <w:jc w:val="both"/>
        <w:outlineLvl w:val="0"/>
        <w:rPr>
          <w:b/>
          <w:sz w:val="28"/>
          <w:szCs w:val="28"/>
        </w:rPr>
      </w:pPr>
      <w:r>
        <w:rPr>
          <w:b/>
          <w:sz w:val="28"/>
          <w:szCs w:val="28"/>
        </w:rPr>
        <w:lastRenderedPageBreak/>
        <w:t>二、本案訴訟的主要救濟目的</w:t>
      </w:r>
    </w:p>
    <w:p w:rsidR="00000000" w:rsidRDefault="00B12645">
      <w:pPr>
        <w:snapToGrid w:val="0"/>
        <w:spacing w:beforeLines="50" w:before="180" w:afterLines="50" w:after="180" w:line="480" w:lineRule="auto"/>
        <w:jc w:val="both"/>
        <w:rPr>
          <w:b/>
        </w:rPr>
      </w:pPr>
      <w:r>
        <w:rPr>
          <w:b/>
        </w:rPr>
        <w:t>（一）要求勿任命他人以及要求任命競爭者自己</w:t>
      </w:r>
    </w:p>
    <w:p w:rsidR="00000000" w:rsidRDefault="00B12645">
      <w:pPr>
        <w:snapToGrid w:val="0"/>
        <w:spacing w:beforeLines="50" w:before="180" w:afterLines="50" w:after="180" w:line="480" w:lineRule="auto"/>
        <w:ind w:firstLineChars="225" w:firstLine="540"/>
        <w:jc w:val="both"/>
      </w:pPr>
      <w:r>
        <w:t>未獲陞遷任命之公務人員提起行政訴訟的目的首先在於透過課予義務之訴（或重新決</w:t>
      </w:r>
      <w:r>
        <w:t>定之訴（</w:t>
      </w:r>
      <w:r>
        <w:t>Neubescheidungsklage</w:t>
      </w:r>
      <w:r>
        <w:t>）），要求行政法院命行政機關作出對自己的陞遷決定。但是這個訴訟要有結果的前提是他希望陞遷的職位仍屬空缺。假如行政機關已經任命其他競爭關係下的第三人時，此時原告必須先考慮提起撤銷訴訟或不作為之訴，讓這個職位重新騰空出來。這在競爭關係訴訟中，被稱為所謂的排除或排擠競爭者之訴（</w:t>
      </w:r>
      <w:r>
        <w:t>sog. Ausschließemde od. verdrängende Konkurrentenklage</w:t>
      </w:r>
      <w:r>
        <w:t>），因為原告希望獲得第三人不能獲得的利益</w:t>
      </w:r>
      <w:r>
        <w:rPr>
          <w:rStyle w:val="ae"/>
        </w:rPr>
        <w:footnoteReference w:id="6"/>
      </w:r>
      <w:r>
        <w:t>。所以訴訟的目的不是只為自己能獲得陞遷，同</w:t>
      </w:r>
      <w:r>
        <w:t>時也希望已經任命第三人的陞遷被撤銷，職位重新騰出。</w:t>
      </w:r>
    </w:p>
    <w:p w:rsidR="00000000" w:rsidRDefault="00B12645">
      <w:pPr>
        <w:snapToGrid w:val="0"/>
        <w:spacing w:beforeLines="50" w:before="180" w:afterLines="50" w:after="180" w:line="480" w:lineRule="auto"/>
        <w:jc w:val="both"/>
        <w:rPr>
          <w:b/>
        </w:rPr>
      </w:pPr>
      <w:r>
        <w:rPr>
          <w:b/>
        </w:rPr>
        <w:t>（二）自己地位的提升（陞遷任命）</w:t>
      </w:r>
    </w:p>
    <w:p w:rsidR="00000000" w:rsidRDefault="00B12645">
      <w:pPr>
        <w:snapToGrid w:val="0"/>
        <w:spacing w:beforeLines="50" w:before="180" w:afterLines="50" w:after="180" w:line="480" w:lineRule="auto"/>
        <w:ind w:firstLineChars="225" w:firstLine="540"/>
        <w:jc w:val="both"/>
      </w:pPr>
      <w:r>
        <w:t>原告提起課予義務訴訟的主要理由在於，行政機關在最後選擇陞遷人員時違反了「最佳選擇原則（</w:t>
      </w:r>
      <w:r>
        <w:t>Grundsatz der Bestenauslese, Art. 33. Abs. 2 GG</w:t>
      </w:r>
      <w:r>
        <w:t>）」。同時原告有應該具有訴訟權能，因為競爭關係下競爭者源自於基本法第</w:t>
      </w:r>
      <w:r>
        <w:t>33</w:t>
      </w:r>
      <w:r>
        <w:t>條第</w:t>
      </w:r>
      <w:r>
        <w:t>2</w:t>
      </w:r>
      <w:r>
        <w:t>項的（主觀）公法上權利</w:t>
      </w:r>
      <w:r>
        <w:rPr>
          <w:rStyle w:val="ae"/>
        </w:rPr>
        <w:footnoteReference w:id="7"/>
      </w:r>
      <w:r>
        <w:t>可能因此受侵害。</w:t>
      </w:r>
    </w:p>
    <w:p w:rsidR="00000000" w:rsidRDefault="00B12645">
      <w:pPr>
        <w:snapToGrid w:val="0"/>
        <w:spacing w:beforeLines="50" w:before="180" w:afterLines="50" w:after="180" w:line="480" w:lineRule="auto"/>
        <w:ind w:firstLineChars="225" w:firstLine="540"/>
        <w:jc w:val="both"/>
      </w:pPr>
      <w:r>
        <w:t>不過通說的見解認為，因為原本空缺的職位因為已經完成陞遷任命，所以這</w:t>
      </w:r>
      <w:r>
        <w:lastRenderedPageBreak/>
        <w:t>個陞遷任命程序已經「終結（</w:t>
      </w:r>
      <w:r>
        <w:t>Erledigung</w:t>
      </w:r>
      <w:r>
        <w:t>）」</w:t>
      </w:r>
      <w:r>
        <w:rPr>
          <w:rStyle w:val="ae"/>
        </w:rPr>
        <w:footnoteReference w:id="8"/>
      </w:r>
      <w:r>
        <w:t>。因此若</w:t>
      </w:r>
      <w:r>
        <w:t>是陞遷任命已經完畢，此時提起的課予義務訴訟應屬不合法</w:t>
      </w:r>
      <w:r>
        <w:rPr>
          <w:rStyle w:val="ae"/>
        </w:rPr>
        <w:footnoteReference w:id="9"/>
      </w:r>
      <w:r>
        <w:t>。適當的訴訟類型應該是所謂的「續行確認訴訟（</w:t>
      </w:r>
      <w:r>
        <w:t>Fortsetzungsfeststellungsklage</w:t>
      </w:r>
      <w:r>
        <w:t>）」。競爭者要求提供其所欲陞遷的職位事實上已經不可能，即使在先前的陞遷程序中，他的權利未受到適當的重視</w:t>
      </w:r>
      <w:r>
        <w:rPr>
          <w:rStyle w:val="ae"/>
        </w:rPr>
        <w:footnoteReference w:id="10"/>
      </w:r>
      <w:r>
        <w:t>。通常的情況下，已經完成的陞遷任命並無法加以回溯撤銷，除非有公務員法上相關嚴格限制的例外條件發生（</w:t>
      </w:r>
      <w:r>
        <w:t>§§ 9 BRRG, 12 BBG</w:t>
      </w:r>
      <w:r>
        <w:t>）</w:t>
      </w:r>
      <w:r>
        <w:rPr>
          <w:rStyle w:val="ae"/>
        </w:rPr>
        <w:footnoteReference w:id="11"/>
      </w:r>
      <w:r>
        <w:t>。至於未獲陞遷任命者自己的陞遷要求則更不可能。</w:t>
      </w:r>
    </w:p>
    <w:p w:rsidR="00000000" w:rsidRDefault="00B12645">
      <w:pPr>
        <w:snapToGrid w:val="0"/>
        <w:spacing w:beforeLines="50" w:before="180" w:afterLines="50" w:after="180" w:line="480" w:lineRule="auto"/>
        <w:jc w:val="both"/>
        <w:rPr>
          <w:b/>
        </w:rPr>
      </w:pPr>
      <w:r>
        <w:rPr>
          <w:b/>
        </w:rPr>
        <w:t>（三）阻止競爭者地位的提升</w:t>
      </w:r>
    </w:p>
    <w:p w:rsidR="00000000" w:rsidRDefault="00B12645">
      <w:pPr>
        <w:snapToGrid w:val="0"/>
        <w:spacing w:beforeLines="50" w:before="180" w:afterLines="50" w:after="180" w:line="480" w:lineRule="auto"/>
        <w:ind w:firstLineChars="225" w:firstLine="540"/>
        <w:jc w:val="both"/>
      </w:pPr>
      <w:r>
        <w:t>由於通說認為課予義務訴訟已經終結，原本</w:t>
      </w:r>
      <w:r>
        <w:t>的職缺已經陞遷完成而有其他公務人員佔用，未獲陞遷任命者唯一可能的權利救濟應該只剩下去阻止競爭者已經完成的陞遷任用。我們可以想像的方式是以提起撤銷訴訟來實現這個目的。甚至於是提起一般給付訴訟下，所謂的「預防性的不作為之訴（</w:t>
      </w:r>
      <w:r>
        <w:t>die vorbeugende Unterlassungsklage</w:t>
      </w:r>
      <w:r>
        <w:t>）」，事前去阻止行政機關對於競爭者的陞遷任命。</w:t>
      </w:r>
    </w:p>
    <w:p w:rsidR="00000000" w:rsidRDefault="00B12645">
      <w:pPr>
        <w:snapToGrid w:val="0"/>
        <w:spacing w:beforeLines="50" w:before="180" w:afterLines="50" w:after="180" w:line="480" w:lineRule="auto"/>
        <w:ind w:firstLineChars="225" w:firstLine="540"/>
        <w:jc w:val="both"/>
      </w:pPr>
      <w:r>
        <w:t>不過學者指出，預防性的不作為之訴因為仍屬一般給付訴訟的一種子類型，所以相較於撤銷訴訟仍具有所謂的補充性或備位性（</w:t>
      </w:r>
      <w:r>
        <w:t>subsidär</w:t>
      </w:r>
      <w:r>
        <w:t>）。同時提起此類訴訟所要具備的「權利保護必要性（</w:t>
      </w:r>
      <w:r>
        <w:t>Rechtsschutzbedürfnis</w:t>
      </w:r>
      <w:r>
        <w:t>）」也比較高</w:t>
      </w:r>
      <w:r>
        <w:rPr>
          <w:rStyle w:val="ae"/>
        </w:rPr>
        <w:footnoteReference w:id="12"/>
      </w:r>
      <w:r>
        <w:t>。因為人民</w:t>
      </w:r>
      <w:r>
        <w:lastRenderedPageBreak/>
        <w:t>對於行政機關的決定有所質疑時，可以針對這個已經存在的決定提起撤銷訴訟。而且原則上不能在這個決定尚未作出之前，即提起（預防性）不作為之訴來阻止行政機關作成該決定。這不僅在雙邊法律關係，同時也在多邊法律關係（例如本案中的競爭關係）中有其適用。</w:t>
      </w:r>
    </w:p>
    <w:p w:rsidR="00000000" w:rsidRDefault="00B12645">
      <w:pPr>
        <w:snapToGrid w:val="0"/>
        <w:spacing w:beforeLines="50" w:before="180" w:afterLines="50" w:after="180" w:line="480" w:lineRule="auto"/>
        <w:jc w:val="both"/>
        <w:rPr>
          <w:b/>
        </w:rPr>
      </w:pPr>
      <w:r>
        <w:rPr>
          <w:b/>
        </w:rPr>
        <w:t>（</w:t>
      </w:r>
      <w:r>
        <w:rPr>
          <w:b/>
        </w:rPr>
        <w:t>1</w:t>
      </w:r>
      <w:r>
        <w:rPr>
          <w:b/>
        </w:rPr>
        <w:t>）提起撤銷訴訟請求撤銷競爭者之陞遷任命</w:t>
      </w:r>
    </w:p>
    <w:p w:rsidR="00000000" w:rsidRDefault="00B12645">
      <w:pPr>
        <w:snapToGrid w:val="0"/>
        <w:spacing w:beforeLines="50" w:before="180" w:afterLines="50" w:after="180" w:line="480" w:lineRule="auto"/>
        <w:ind w:firstLineChars="225" w:firstLine="540"/>
        <w:jc w:val="both"/>
        <w:rPr>
          <w:rFonts w:hint="eastAsia"/>
        </w:rPr>
      </w:pPr>
      <w:r>
        <w:t>目前實務上對於公務員法上之競爭訴訟所持之見解大體上是認為，若是從欲陞遷的競爭者間選出特定之公務人員加以陞遷完成，通常想再提起撤銷訴訟即屬不可能。雖然未獲陞遷的公務</w:t>
      </w:r>
      <w:r>
        <w:t>員針對他人的陞遷提起撤銷訴訟，理論上其提起的訴訟是合法的。但是最後卻還是無法將已經任用的陞遷加以撤銷，因為撤銷與否與未獲陞遷者的權利救濟有和相關，並不明確。聯邦行政法院對於競爭者已經執行完畢的任命而提起的撤銷訴訟並不同意此時具備行政法院法第</w:t>
      </w:r>
      <w:r>
        <w:t>42</w:t>
      </w:r>
      <w:r>
        <w:t>條第</w:t>
      </w:r>
      <w:r>
        <w:t>2</w:t>
      </w:r>
      <w:r>
        <w:t>項撤銷訴訟所應必備的訴訟權能（</w:t>
      </w:r>
      <w:r>
        <w:t>Klagebefugnis</w:t>
      </w:r>
      <w:r>
        <w:t>）。</w:t>
      </w:r>
      <w:r>
        <w:rPr>
          <w:rFonts w:hint="eastAsia"/>
        </w:rPr>
        <w:t>因為聯邦行政法院並不同意這種任命是一種對特定人有利，但卻對第三人不利之「附第三人效力之行政處分」，而應該是一個與未獲陞遷任命者無關的單純行政處分</w:t>
      </w:r>
      <w:r>
        <w:rPr>
          <w:rStyle w:val="ae"/>
        </w:rPr>
        <w:footnoteReference w:id="13"/>
      </w:r>
      <w:r>
        <w:rPr>
          <w:rFonts w:hint="eastAsia"/>
        </w:rPr>
        <w:t>。</w:t>
      </w:r>
    </w:p>
    <w:p w:rsidR="00000000" w:rsidRDefault="00B12645">
      <w:pPr>
        <w:snapToGrid w:val="0"/>
        <w:spacing w:beforeLines="50" w:before="180" w:afterLines="50" w:after="180" w:line="480" w:lineRule="auto"/>
        <w:ind w:firstLineChars="225" w:firstLine="540"/>
        <w:jc w:val="both"/>
        <w:rPr>
          <w:rFonts w:hint="eastAsia"/>
        </w:rPr>
      </w:pPr>
      <w:r>
        <w:rPr>
          <w:rFonts w:hint="eastAsia"/>
        </w:rPr>
        <w:t>在這裡必須先確定，究竟提起撤銷訴訟到底是否合法？如果</w:t>
      </w:r>
      <w:r>
        <w:rPr>
          <w:rFonts w:hint="eastAsia"/>
        </w:rPr>
        <w:t>不合法，我們其實也不用再討論訴訟是否有理由（即行政處分違法侵害原告權利）。反之，如果未獲任命之競爭者提起的撤銷訴訟合法，行政法院原則上就必須進一步審查究竟這個任命是否違法，同時侵害原告之權利。有學者即認為這項陞遷任命違反了憲法上「</w:t>
      </w:r>
      <w:r>
        <w:t>最佳選擇原則</w:t>
      </w:r>
      <w:r>
        <w:rPr>
          <w:rFonts w:hint="eastAsia"/>
        </w:rPr>
        <w:t>」，這項陞遷任命即屬違法並侵害原告的權利。行政機關是否可以將已經完成的陞遷任命加以撤銷，不應該是訴訟有無理由的主因。重要的</w:t>
      </w:r>
      <w:r>
        <w:rPr>
          <w:rFonts w:hint="eastAsia"/>
        </w:rPr>
        <w:lastRenderedPageBreak/>
        <w:t>是「行政法院」可否將這項陞遷任命加以撤銷，同時也僅根據行政法院法第</w:t>
      </w:r>
      <w:r>
        <w:rPr>
          <w:rFonts w:hint="eastAsia"/>
        </w:rPr>
        <w:t>113</w:t>
      </w:r>
      <w:r>
        <w:rPr>
          <w:rFonts w:hint="eastAsia"/>
        </w:rPr>
        <w:t>條第</w:t>
      </w:r>
      <w:r>
        <w:rPr>
          <w:rFonts w:hint="eastAsia"/>
        </w:rPr>
        <w:t>1</w:t>
      </w:r>
      <w:r>
        <w:rPr>
          <w:rFonts w:hint="eastAsia"/>
        </w:rPr>
        <w:t>項（即行政處分有無違法，並侵害原告權利）加以判斷</w:t>
      </w:r>
      <w:r>
        <w:rPr>
          <w:rStyle w:val="ae"/>
        </w:rPr>
        <w:footnoteReference w:id="14"/>
      </w:r>
      <w:r>
        <w:rPr>
          <w:rFonts w:hint="eastAsia"/>
        </w:rPr>
        <w:t>。</w:t>
      </w:r>
    </w:p>
    <w:p w:rsidR="00000000" w:rsidRDefault="00B12645">
      <w:pPr>
        <w:snapToGrid w:val="0"/>
        <w:spacing w:beforeLines="50" w:before="180" w:afterLines="50" w:after="180" w:line="480" w:lineRule="auto"/>
        <w:ind w:firstLineChars="225" w:firstLine="540"/>
        <w:jc w:val="both"/>
        <w:rPr>
          <w:rFonts w:hint="eastAsia"/>
        </w:rPr>
      </w:pPr>
      <w:r>
        <w:rPr>
          <w:rFonts w:hint="eastAsia"/>
        </w:rPr>
        <w:t>相反地，聯邦行政</w:t>
      </w:r>
      <w:r>
        <w:rPr>
          <w:rFonts w:hint="eastAsia"/>
        </w:rPr>
        <w:t>法院則認為此時提起撤銷訴訟應屬不合法。法院無法再進一步審查此一任命是否違法並侵害原告之權利。所以未獲陞遷任命之競爭者的請求權如何實現，乃取決於已任命的職位是否可以例外地重新空出（因為該陞遷任命自始無效！）或者「行政機關」可以重新騰出該職缺（行政機關依職權將原先的陞遷任命撤銷）。</w:t>
      </w:r>
    </w:p>
    <w:p w:rsidR="00000000" w:rsidRDefault="00B12645">
      <w:pPr>
        <w:snapToGrid w:val="0"/>
        <w:spacing w:beforeLines="50" w:before="180" w:afterLines="50" w:after="180" w:line="480" w:lineRule="auto"/>
        <w:jc w:val="both"/>
        <w:rPr>
          <w:b/>
        </w:rPr>
      </w:pPr>
      <w:r>
        <w:rPr>
          <w:b/>
        </w:rPr>
        <w:t>（</w:t>
      </w:r>
      <w:r>
        <w:rPr>
          <w:rFonts w:hint="eastAsia"/>
          <w:b/>
        </w:rPr>
        <w:t>2</w:t>
      </w:r>
      <w:r>
        <w:rPr>
          <w:b/>
        </w:rPr>
        <w:t>）提起</w:t>
      </w:r>
      <w:r>
        <w:rPr>
          <w:rFonts w:hint="eastAsia"/>
          <w:b/>
        </w:rPr>
        <w:t>預防性之不作為</w:t>
      </w:r>
      <w:r>
        <w:rPr>
          <w:b/>
        </w:rPr>
        <w:t>訴訟請求</w:t>
      </w:r>
      <w:r>
        <w:rPr>
          <w:rFonts w:hint="eastAsia"/>
          <w:b/>
        </w:rPr>
        <w:t>勿對</w:t>
      </w:r>
      <w:r>
        <w:rPr>
          <w:b/>
        </w:rPr>
        <w:t>競爭者</w:t>
      </w:r>
      <w:r>
        <w:rPr>
          <w:rFonts w:hint="eastAsia"/>
          <w:b/>
        </w:rPr>
        <w:t>加以</w:t>
      </w:r>
      <w:r>
        <w:rPr>
          <w:b/>
        </w:rPr>
        <w:t>陞遷任命</w:t>
      </w:r>
    </w:p>
    <w:p w:rsidR="00000000" w:rsidRDefault="00B12645">
      <w:pPr>
        <w:snapToGrid w:val="0"/>
        <w:spacing w:beforeLines="50" w:before="180" w:afterLines="50" w:after="180" w:line="480" w:lineRule="auto"/>
        <w:ind w:firstLineChars="225" w:firstLine="540"/>
        <w:jc w:val="both"/>
        <w:rPr>
          <w:rFonts w:hint="eastAsia"/>
        </w:rPr>
      </w:pPr>
      <w:r>
        <w:rPr>
          <w:rFonts w:hint="eastAsia"/>
        </w:rPr>
        <w:t>由於一般認為，提起課予義務訴訟要求法院命行政機關重新作成陞遷任命之決定已不可能（本案屬於已終結之案件！）。而撤銷訴訟是否合法，聯邦行政法院的態度又傾向消極認定，行政機關依職權撤</w:t>
      </w:r>
      <w:r>
        <w:rPr>
          <w:rFonts w:hint="eastAsia"/>
        </w:rPr>
        <w:t>銷先前陞遷任命的機會，因公務員法上嚴苛的條件限制亦屬少數。所以此時未獲陞遷任命者所能考慮的本案訴訟類型可能僅剩下一般給付訴訟下的預防性不作為之訴。原告此時可以要求法院暫時禁止行政機關陞遷任命其他的公務人員。不過值得注意的是，本案訴訟往往耗日費時，即使是預防性的不作為之訴亦然。往往本案勝訴也已經為時已晚，所以還不如考慮在暫時性權利救濟制度中尋求保障。</w:t>
      </w:r>
    </w:p>
    <w:p w:rsidR="00000000" w:rsidRDefault="00B12645">
      <w:pPr>
        <w:snapToGrid w:val="0"/>
        <w:spacing w:beforeLines="50" w:before="180" w:afterLines="50" w:after="180" w:line="480" w:lineRule="auto"/>
        <w:jc w:val="both"/>
        <w:rPr>
          <w:rFonts w:hint="eastAsia"/>
          <w:b/>
        </w:rPr>
      </w:pPr>
      <w:r>
        <w:rPr>
          <w:b/>
        </w:rPr>
        <w:t>（</w:t>
      </w:r>
      <w:r>
        <w:rPr>
          <w:rFonts w:hint="eastAsia"/>
          <w:b/>
        </w:rPr>
        <w:t>3</w:t>
      </w:r>
      <w:r>
        <w:rPr>
          <w:b/>
        </w:rPr>
        <w:t>）</w:t>
      </w:r>
      <w:r>
        <w:rPr>
          <w:rFonts w:hint="eastAsia"/>
          <w:b/>
        </w:rPr>
        <w:t>尋求暫時性權利救濟</w:t>
      </w:r>
    </w:p>
    <w:p w:rsidR="00000000" w:rsidRDefault="00B12645">
      <w:pPr>
        <w:snapToGrid w:val="0"/>
        <w:spacing w:beforeLines="50" w:before="180" w:afterLines="50" w:after="180" w:line="480" w:lineRule="auto"/>
        <w:ind w:firstLineChars="225" w:firstLine="540"/>
        <w:jc w:val="both"/>
        <w:rPr>
          <w:kern w:val="0"/>
        </w:rPr>
      </w:pPr>
      <w:r>
        <w:rPr>
          <w:rFonts w:hAnsi="Arial"/>
          <w:kern w:val="0"/>
        </w:rPr>
        <w:t>暫時權利保護作為訴訟法上傳統的制度，依傳統的見解，其主要只是具有「保全功能（</w:t>
      </w:r>
      <w:r>
        <w:rPr>
          <w:kern w:val="0"/>
        </w:rPr>
        <w:t>Sicherungsfunktion</w:t>
      </w:r>
      <w:r>
        <w:rPr>
          <w:rFonts w:hAnsi="Arial"/>
          <w:kern w:val="0"/>
        </w:rPr>
        <w:t>）」，以保障訴訟原告之</w:t>
      </w:r>
      <w:r>
        <w:rPr>
          <w:rFonts w:hAnsi="Arial"/>
          <w:kern w:val="0"/>
        </w:rPr>
        <w:t>權利在勝訴後不因無從執行</w:t>
      </w:r>
      <w:r>
        <w:rPr>
          <w:rFonts w:hAnsi="Arial"/>
          <w:kern w:val="0"/>
        </w:rPr>
        <w:lastRenderedPageBreak/>
        <w:t>而終局落空</w:t>
      </w:r>
      <w:r>
        <w:rPr>
          <w:rStyle w:val="ae"/>
          <w:kern w:val="0"/>
        </w:rPr>
        <w:footnoteReference w:id="15"/>
      </w:r>
      <w:r>
        <w:rPr>
          <w:rFonts w:hAnsi="Arial"/>
          <w:kern w:val="0"/>
        </w:rPr>
        <w:t>。但是隨著訴訟程序在實務上往往曠日廢時，目前在訴訟實務上，當事人多習於在本案訴訟外，另行聲請暫時權利保護，以避免權利不因過長的訴訟程序而致嗣後無法實際獲得所需救濟。一般的本案訴訟程序，為了追求終局正義，往往適用各種傳統的程序原則以及複雜的訴訟制度。但是相對地在程序上會造成延宕。而暫時權利保護程序，適用所謂略式審查（</w:t>
      </w:r>
      <w:r>
        <w:rPr>
          <w:kern w:val="0"/>
        </w:rPr>
        <w:t>summarische Prüfung</w:t>
      </w:r>
      <w:r>
        <w:rPr>
          <w:rFonts w:hAnsi="Arial"/>
          <w:kern w:val="0"/>
        </w:rPr>
        <w:t>），可以謀求訴訟上之本案爭議，至少在終局裁判前迅速暫時獲得解決。所以暫時權利保護程序，亦常被稱為「快速程序（</w:t>
      </w:r>
      <w:r>
        <w:rPr>
          <w:kern w:val="0"/>
        </w:rPr>
        <w:t>Eilverf</w:t>
      </w:r>
      <w:r>
        <w:rPr>
          <w:kern w:val="0"/>
        </w:rPr>
        <w:t>ahren</w:t>
      </w:r>
      <w:r>
        <w:rPr>
          <w:rFonts w:hAnsi="Arial"/>
          <w:kern w:val="0"/>
        </w:rPr>
        <w:t>）」，其更具有所謂「暫時滿足之功能（</w:t>
      </w:r>
      <w:r>
        <w:rPr>
          <w:kern w:val="0"/>
        </w:rPr>
        <w:t>interimistische Befriedungsfunktion</w:t>
      </w:r>
      <w:r>
        <w:rPr>
          <w:rFonts w:hAnsi="Arial"/>
          <w:kern w:val="0"/>
        </w:rPr>
        <w:t>）」</w:t>
      </w:r>
      <w:r>
        <w:rPr>
          <w:rStyle w:val="ae"/>
          <w:kern w:val="0"/>
        </w:rPr>
        <w:footnoteReference w:id="16"/>
      </w:r>
      <w:r>
        <w:rPr>
          <w:rFonts w:hAnsi="Arial"/>
          <w:kern w:val="0"/>
        </w:rPr>
        <w:t>。</w:t>
      </w:r>
    </w:p>
    <w:p w:rsidR="00000000" w:rsidRDefault="00B12645">
      <w:pPr>
        <w:snapToGrid w:val="0"/>
        <w:spacing w:beforeLines="50" w:before="180" w:afterLines="50" w:after="180" w:line="480" w:lineRule="auto"/>
        <w:ind w:firstLineChars="225" w:firstLine="540"/>
        <w:jc w:val="both"/>
      </w:pPr>
      <w:r>
        <w:rPr>
          <w:rFonts w:hint="eastAsia"/>
        </w:rPr>
        <w:t>如果原告提起的本案訴訟是撤銷訴訟時，此時可以考慮的暫時性權利保護制度乃是請求「暫時停止執行」（德國行政法院法第</w:t>
      </w:r>
      <w:r>
        <w:rPr>
          <w:rFonts w:hint="eastAsia"/>
        </w:rPr>
        <w:t>80</w:t>
      </w:r>
      <w:r>
        <w:rPr>
          <w:rFonts w:hint="eastAsia"/>
        </w:rPr>
        <w:t>條與第</w:t>
      </w:r>
      <w:r>
        <w:rPr>
          <w:rFonts w:hint="eastAsia"/>
        </w:rPr>
        <w:t>80a</w:t>
      </w:r>
      <w:r>
        <w:rPr>
          <w:rFonts w:hint="eastAsia"/>
        </w:rPr>
        <w:t>條，我國行政訴訟法第</w:t>
      </w:r>
      <w:r>
        <w:t>116</w:t>
      </w:r>
      <w:r>
        <w:rPr>
          <w:rFonts w:hint="eastAsia"/>
        </w:rPr>
        <w:t>與</w:t>
      </w:r>
      <w:r>
        <w:rPr>
          <w:rFonts w:hint="eastAsia"/>
        </w:rPr>
        <w:t>117</w:t>
      </w:r>
      <w:r>
        <w:rPr>
          <w:rFonts w:hint="eastAsia"/>
        </w:rPr>
        <w:t>條）。但是如前所述，德國實務的見解一貫地認為此時撤銷訴訟並不合法，因此暫時停止執行的要求亦不可能。我們可以考慮的應該是行政法院法第</w:t>
      </w:r>
      <w:r>
        <w:rPr>
          <w:rFonts w:hint="eastAsia"/>
        </w:rPr>
        <w:t>123</w:t>
      </w:r>
      <w:r>
        <w:rPr>
          <w:rFonts w:hint="eastAsia"/>
        </w:rPr>
        <w:t>條以下規定的假處分制度。在我國則為第</w:t>
      </w:r>
      <w:r>
        <w:t>298</w:t>
      </w:r>
      <w:r>
        <w:rPr>
          <w:rFonts w:hint="eastAsia"/>
        </w:rPr>
        <w:t>條第</w:t>
      </w:r>
      <w:r>
        <w:rPr>
          <w:rFonts w:hint="eastAsia"/>
        </w:rPr>
        <w:t>1</w:t>
      </w:r>
      <w:r>
        <w:rPr>
          <w:rFonts w:hint="eastAsia"/>
        </w:rPr>
        <w:t>項，要求法院發保全命令（</w:t>
      </w:r>
      <w:r>
        <w:t>Sicherung</w:t>
      </w:r>
      <w:r>
        <w:t>sordnung</w:t>
      </w:r>
      <w:r>
        <w:rPr>
          <w:rFonts w:hint="eastAsia"/>
        </w:rPr>
        <w:t>）以保全日後實施強制執行，以及第</w:t>
      </w:r>
      <w:r>
        <w:t>298</w:t>
      </w:r>
      <w:r>
        <w:rPr>
          <w:rFonts w:hint="eastAsia"/>
        </w:rPr>
        <w:t>條第</w:t>
      </w:r>
      <w:r>
        <w:rPr>
          <w:rFonts w:hint="eastAsia"/>
        </w:rPr>
        <w:t>2</w:t>
      </w:r>
      <w:r>
        <w:rPr>
          <w:rFonts w:hint="eastAsia"/>
        </w:rPr>
        <w:t>項要求法院發定暫時狀態命令（</w:t>
      </w:r>
      <w:r>
        <w:t>Regelungsordnung</w:t>
      </w:r>
      <w:r>
        <w:rPr>
          <w:rFonts w:hint="eastAsia"/>
        </w:rPr>
        <w:t>）以採取必要措施，維護暫時狀態之制度。</w:t>
      </w:r>
    </w:p>
    <w:p w:rsidR="00000000" w:rsidRDefault="00B12645">
      <w:pPr>
        <w:snapToGrid w:val="0"/>
        <w:spacing w:beforeLines="50" w:before="180" w:afterLines="50" w:after="180" w:line="480" w:lineRule="auto"/>
        <w:ind w:firstLineChars="225" w:firstLine="540"/>
        <w:jc w:val="both"/>
        <w:rPr>
          <w:rFonts w:ascii="MS Mincho" w:hAnsi="MS Mincho" w:cs="MS Mincho" w:hint="eastAsia"/>
        </w:rPr>
      </w:pPr>
      <w:r>
        <w:t>未獲陞遷任命者提起訴訟的目的無非是希望原本空缺出來的職位能夠保持，甚至於由自己來獲得。由於原告可以主張基本法第</w:t>
      </w:r>
      <w:r>
        <w:t>33</w:t>
      </w:r>
      <w:r>
        <w:rPr>
          <w:rFonts w:hAnsi="MS Mincho"/>
        </w:rPr>
        <w:t>條第</w:t>
      </w:r>
      <w:r>
        <w:t>2</w:t>
      </w:r>
      <w:r>
        <w:rPr>
          <w:rFonts w:hAnsi="MS Mincho"/>
        </w:rPr>
        <w:t>項保障他於陞遷時有應被尊重的（主觀）公法權利（至少有應徵的程序請求權！），所以他有</w:t>
      </w:r>
      <w:r>
        <w:rPr>
          <w:rFonts w:hAnsi="MS Mincho"/>
        </w:rPr>
        <w:lastRenderedPageBreak/>
        <w:t>請求受暫時性權利保護的資格。假如原告對於暫時命令的請求以及請求暫時命令的原因顯而可信（</w:t>
      </w:r>
      <w:r>
        <w:t>glaubhaft</w:t>
      </w:r>
      <w:r>
        <w:rPr>
          <w:rFonts w:hAnsi="MS Mincho"/>
        </w:rPr>
        <w:t>）</w:t>
      </w:r>
      <w:r>
        <w:rPr>
          <w:rFonts w:hAnsi="MS Mincho" w:hint="eastAsia"/>
        </w:rPr>
        <w:t>，其請求</w:t>
      </w:r>
      <w:r>
        <w:rPr>
          <w:rFonts w:hint="eastAsia"/>
        </w:rPr>
        <w:t>發保全命令或定暫時狀態即屬有理由。</w:t>
      </w:r>
      <w:r>
        <w:rPr>
          <w:rFonts w:hAnsi="MS Mincho"/>
        </w:rPr>
        <w:t>原</w:t>
      </w:r>
      <w:r>
        <w:rPr>
          <w:rFonts w:hAnsi="MS Mincho"/>
        </w:rPr>
        <w:t>告對於暫時命令的請求</w:t>
      </w:r>
      <w:r>
        <w:rPr>
          <w:rFonts w:hAnsi="MS Mincho" w:hint="eastAsia"/>
        </w:rPr>
        <w:t>權</w:t>
      </w:r>
      <w:r>
        <w:rPr>
          <w:rFonts w:hAnsi="MS Mincho"/>
        </w:rPr>
        <w:t>顯而可信</w:t>
      </w:r>
      <w:r>
        <w:rPr>
          <w:rFonts w:hAnsi="MS Mincho" w:hint="eastAsia"/>
        </w:rPr>
        <w:t>，</w:t>
      </w:r>
      <w:r>
        <w:rPr>
          <w:rFonts w:hint="eastAsia"/>
        </w:rPr>
        <w:t>是指原告所提供的事實足堪證明其所主張「極具可能性（</w:t>
      </w:r>
      <w:r>
        <w:t>überwiegend wahrscheinlich</w:t>
      </w:r>
      <w:r>
        <w:rPr>
          <w:rFonts w:hint="eastAsia"/>
        </w:rPr>
        <w:t>）」</w:t>
      </w:r>
      <w:r>
        <w:rPr>
          <w:rStyle w:val="ae"/>
        </w:rPr>
        <w:footnoteReference w:id="17"/>
      </w:r>
      <w:r>
        <w:rPr>
          <w:rFonts w:hint="eastAsia"/>
        </w:rPr>
        <w:t>。而並不需要真的確定原告是根據基本法第</w:t>
      </w:r>
      <w:r>
        <w:t>33</w:t>
      </w:r>
      <w:r>
        <w:rPr>
          <w:rFonts w:hAnsi="MS Mincho"/>
        </w:rPr>
        <w:t>條第</w:t>
      </w:r>
      <w:r>
        <w:t>2</w:t>
      </w:r>
      <w:r>
        <w:rPr>
          <w:rFonts w:ascii="MS Mincho" w:hAnsi="MS Mincho" w:cs="MS Mincho" w:hint="eastAsia"/>
        </w:rPr>
        <w:t>項事實上最適於被陞遷任命者</w:t>
      </w:r>
      <w:r>
        <w:rPr>
          <w:rStyle w:val="ae"/>
          <w:rFonts w:ascii="MS Mincho" w:hAnsi="MS Mincho" w:cs="MS Mincho"/>
        </w:rPr>
        <w:footnoteReference w:id="18"/>
      </w:r>
      <w:r>
        <w:rPr>
          <w:rFonts w:ascii="MS Mincho" w:hAnsi="MS Mincho" w:cs="MS Mincho" w:hint="eastAsia"/>
        </w:rPr>
        <w:t>。</w:t>
      </w:r>
    </w:p>
    <w:p w:rsidR="00000000" w:rsidRDefault="00B12645">
      <w:pPr>
        <w:snapToGrid w:val="0"/>
        <w:spacing w:beforeLines="50" w:before="180" w:afterLines="50" w:after="180" w:line="480" w:lineRule="auto"/>
        <w:ind w:firstLineChars="225" w:firstLine="540"/>
        <w:jc w:val="both"/>
        <w:rPr>
          <w:rFonts w:hAnsi="Batang" w:hint="eastAsia"/>
        </w:rPr>
      </w:pPr>
      <w:r>
        <w:t>原告請求暫時命令的原因顯而可信則是指，若是既有狀態已經改變，存有權利的實現會被嚴重削弱或阻礙的危險。例如原本空缺之職位已經有其他人被任命後，原告的權利之實現即有嚴重弱化的危險。基本法第</w:t>
      </w:r>
      <w:r>
        <w:t>19</w:t>
      </w:r>
      <w:r>
        <w:rPr>
          <w:rFonts w:hAnsi="Batang"/>
        </w:rPr>
        <w:t>條第</w:t>
      </w:r>
      <w:r>
        <w:t>4</w:t>
      </w:r>
      <w:r>
        <w:rPr>
          <w:rFonts w:hAnsi="Batang"/>
        </w:rPr>
        <w:t>項所保障的有效權利救濟體系</w:t>
      </w:r>
      <w:r>
        <w:rPr>
          <w:rFonts w:hAnsi="Batang" w:hint="eastAsia"/>
        </w:rPr>
        <w:t>無論如何都應該包括暫時性的權利救濟。而自</w:t>
      </w:r>
      <w:r>
        <w:t>基本法第</w:t>
      </w:r>
      <w:r>
        <w:t>19</w:t>
      </w:r>
      <w:r>
        <w:rPr>
          <w:rFonts w:hAnsi="Batang"/>
        </w:rPr>
        <w:t>條第</w:t>
      </w:r>
      <w:r>
        <w:t>4</w:t>
      </w:r>
      <w:r>
        <w:rPr>
          <w:rFonts w:hAnsi="Batang"/>
        </w:rPr>
        <w:t>項</w:t>
      </w:r>
      <w:r>
        <w:rPr>
          <w:rFonts w:hAnsi="Batang" w:hint="eastAsia"/>
        </w:rPr>
        <w:t>可以導出，未</w:t>
      </w:r>
      <w:r>
        <w:rPr>
          <w:rFonts w:hAnsi="Batang" w:hint="eastAsia"/>
        </w:rPr>
        <w:t>獲陞遷任命之原告至少擁有程序上的請求權。因此機關首長在陞遷任命決定前，應該有通知其他競爭者進行選拔程序的義務，這些競爭者也才有透過行政法院法第</w:t>
      </w:r>
      <w:r>
        <w:rPr>
          <w:rFonts w:hAnsi="Batang" w:hint="eastAsia"/>
        </w:rPr>
        <w:t>123</w:t>
      </w:r>
      <w:r>
        <w:rPr>
          <w:rFonts w:hAnsi="Batang" w:hint="eastAsia"/>
        </w:rPr>
        <w:t>條暫時權利保護的途徑保護自己權利的機會。</w:t>
      </w:r>
    </w:p>
    <w:p w:rsidR="00000000" w:rsidRDefault="00B12645">
      <w:pPr>
        <w:snapToGrid w:val="0"/>
        <w:spacing w:beforeLines="50" w:before="180" w:afterLines="50" w:after="180" w:line="480" w:lineRule="auto"/>
        <w:jc w:val="both"/>
        <w:outlineLvl w:val="0"/>
        <w:rPr>
          <w:rFonts w:hint="eastAsia"/>
          <w:b/>
          <w:sz w:val="28"/>
          <w:szCs w:val="28"/>
        </w:rPr>
      </w:pPr>
      <w:r>
        <w:rPr>
          <w:rFonts w:hint="eastAsia"/>
          <w:b/>
          <w:sz w:val="28"/>
          <w:szCs w:val="28"/>
        </w:rPr>
        <w:t>三</w:t>
      </w:r>
      <w:r>
        <w:rPr>
          <w:b/>
          <w:sz w:val="28"/>
          <w:szCs w:val="28"/>
        </w:rPr>
        <w:t>、</w:t>
      </w:r>
      <w:r>
        <w:rPr>
          <w:rFonts w:hint="eastAsia"/>
          <w:b/>
          <w:sz w:val="28"/>
          <w:szCs w:val="28"/>
        </w:rPr>
        <w:t>告別職務安定原則？</w:t>
      </w:r>
    </w:p>
    <w:p w:rsidR="00000000" w:rsidRDefault="00B12645">
      <w:pPr>
        <w:snapToGrid w:val="0"/>
        <w:spacing w:beforeLines="50" w:before="180" w:afterLines="50" w:after="180" w:line="480" w:lineRule="auto"/>
        <w:ind w:firstLineChars="225" w:firstLine="540"/>
        <w:jc w:val="both"/>
        <w:rPr>
          <w:rFonts w:hint="eastAsia"/>
        </w:rPr>
      </w:pPr>
      <w:r>
        <w:rPr>
          <w:rFonts w:hint="eastAsia"/>
        </w:rPr>
        <w:t>於前述訴訟問題爭點中，仍有待釐清的是，是否在競爭關係下，機關首長完成陞遷任命其中一人之後本案爭訟即屬已經「終結（</w:t>
      </w:r>
      <w:r>
        <w:t>Erledigung</w:t>
      </w:r>
      <w:r>
        <w:rPr>
          <w:rFonts w:hint="eastAsia"/>
        </w:rPr>
        <w:t>）」？特別是在課予義務訴訟中，原告的請求是否已經無法或者仍有可能加以實現？其前提當然是，原告所希望被陞遷任命的職位仍有空缺出來的可能性？這也是撤銷訴訟關注的重點。</w:t>
      </w:r>
    </w:p>
    <w:p w:rsidR="00000000" w:rsidRDefault="00B12645">
      <w:pPr>
        <w:snapToGrid w:val="0"/>
        <w:spacing w:beforeLines="50" w:before="180" w:afterLines="50" w:after="180" w:line="480" w:lineRule="auto"/>
        <w:jc w:val="both"/>
        <w:rPr>
          <w:b/>
        </w:rPr>
      </w:pPr>
      <w:r>
        <w:rPr>
          <w:b/>
        </w:rPr>
        <w:t>（</w:t>
      </w:r>
      <w:r>
        <w:rPr>
          <w:rFonts w:hint="eastAsia"/>
          <w:b/>
        </w:rPr>
        <w:t>一</w:t>
      </w:r>
      <w:r>
        <w:rPr>
          <w:b/>
        </w:rPr>
        <w:t>）</w:t>
      </w:r>
      <w:r>
        <w:rPr>
          <w:rFonts w:hint="eastAsia"/>
          <w:b/>
        </w:rPr>
        <w:t>提起撤銷訴訟之訴訟權能</w:t>
      </w:r>
    </w:p>
    <w:p w:rsidR="00000000" w:rsidRDefault="00B12645">
      <w:pPr>
        <w:snapToGrid w:val="0"/>
        <w:spacing w:beforeLines="50" w:before="180" w:afterLines="50" w:after="180" w:line="480" w:lineRule="auto"/>
        <w:ind w:firstLineChars="225" w:firstLine="540"/>
        <w:jc w:val="both"/>
        <w:rPr>
          <w:rFonts w:hint="eastAsia"/>
        </w:rPr>
      </w:pPr>
      <w:r>
        <w:rPr>
          <w:rFonts w:hint="eastAsia"/>
        </w:rPr>
        <w:lastRenderedPageBreak/>
        <w:t>聯邦行政法院雖然認為此時因為其他競爭者之任命與自己無關，所以原告之訴訟權能不具備。不過仍有許多學者持反對見解</w:t>
      </w:r>
      <w:r>
        <w:rPr>
          <w:rStyle w:val="ae"/>
        </w:rPr>
        <w:footnoteReference w:id="19"/>
      </w:r>
      <w:r>
        <w:rPr>
          <w:rFonts w:hint="eastAsia"/>
        </w:rPr>
        <w:t>。由於預算以及人事法規之限制，每一個空缺的職位由誰陞遷或被任命，並非僅僅是一種雙邊法律關係。對於每一個競爭者而言，他人獲得陞遷任命，也就等於自己源自於基本法第</w:t>
      </w:r>
      <w:r>
        <w:rPr>
          <w:rFonts w:hint="eastAsia"/>
        </w:rPr>
        <w:t>33</w:t>
      </w:r>
      <w:r>
        <w:rPr>
          <w:rFonts w:hint="eastAsia"/>
        </w:rPr>
        <w:t>條第</w:t>
      </w:r>
      <w:r>
        <w:rPr>
          <w:rFonts w:hint="eastAsia"/>
        </w:rPr>
        <w:t>2</w:t>
      </w:r>
      <w:r>
        <w:rPr>
          <w:rFonts w:hint="eastAsia"/>
        </w:rPr>
        <w:t>項之請求權（是一種主觀公法權利！）已經無法實現。如果競爭者主張陞遷違反憲法上最佳選擇的要求，自己的權益受侵害之外，他人的任命也應屬違法。雖然聯邦行政法院反對，但這個陞遷任命卻是一種不折不扣的附第三人效力之行</w:t>
      </w:r>
      <w:r>
        <w:rPr>
          <w:rFonts w:hint="eastAsia"/>
        </w:rPr>
        <w:t>政處分，亦即對獲陞遷者有利，但對未獲陞遷者卻是侵益的行政處分。未獲陞遷者得提起撤銷訴訟也就因此是順理成章之事</w:t>
      </w:r>
      <w:r>
        <w:rPr>
          <w:rStyle w:val="ae"/>
        </w:rPr>
        <w:footnoteReference w:id="20"/>
      </w:r>
      <w:r>
        <w:rPr>
          <w:rFonts w:hint="eastAsia"/>
        </w:rPr>
        <w:t>。德國聯邦憲法法院在</w:t>
      </w:r>
      <w:r>
        <w:rPr>
          <w:rFonts w:hint="eastAsia"/>
        </w:rPr>
        <w:t>2004</w:t>
      </w:r>
      <w:r>
        <w:rPr>
          <w:rFonts w:hint="eastAsia"/>
        </w:rPr>
        <w:t>年</w:t>
      </w:r>
      <w:r>
        <w:rPr>
          <w:rFonts w:hint="eastAsia"/>
        </w:rPr>
        <w:t>1</w:t>
      </w:r>
      <w:r>
        <w:rPr>
          <w:rFonts w:hint="eastAsia"/>
        </w:rPr>
        <w:t>月</w:t>
      </w:r>
      <w:r>
        <w:rPr>
          <w:rFonts w:hint="eastAsia"/>
        </w:rPr>
        <w:t>14</w:t>
      </w:r>
      <w:r>
        <w:rPr>
          <w:rFonts w:hint="eastAsia"/>
        </w:rPr>
        <w:t>日的裁定中也支持這種主張</w:t>
      </w:r>
      <w:r>
        <w:rPr>
          <w:rStyle w:val="ae"/>
        </w:rPr>
        <w:footnoteReference w:id="21"/>
      </w:r>
      <w:r>
        <w:rPr>
          <w:rFonts w:hint="eastAsia"/>
        </w:rPr>
        <w:t>。如果不能承認第三人提起撤銷訴訟之可能性，那麼一經陞遷任命完成，未獲陞遷任命者即因事實上不可回逆的權利狀態改變，而毫無救濟可能，與基本法第</w:t>
      </w:r>
      <w:r>
        <w:rPr>
          <w:rFonts w:hint="eastAsia"/>
        </w:rPr>
        <w:t>19</w:t>
      </w:r>
      <w:r>
        <w:rPr>
          <w:rFonts w:hint="eastAsia"/>
        </w:rPr>
        <w:t>條第</w:t>
      </w:r>
      <w:r>
        <w:rPr>
          <w:rFonts w:hint="eastAsia"/>
        </w:rPr>
        <w:t>4</w:t>
      </w:r>
      <w:r>
        <w:rPr>
          <w:rFonts w:hint="eastAsia"/>
        </w:rPr>
        <w:t>項所保障的實效性權利救濟的要求並不相符。</w:t>
      </w:r>
    </w:p>
    <w:p w:rsidR="00000000" w:rsidRDefault="00B12645">
      <w:pPr>
        <w:snapToGrid w:val="0"/>
        <w:spacing w:beforeLines="50" w:before="180" w:afterLines="50" w:after="180" w:line="480" w:lineRule="auto"/>
        <w:jc w:val="both"/>
        <w:rPr>
          <w:rFonts w:hint="eastAsia"/>
        </w:rPr>
      </w:pPr>
      <w:r>
        <w:rPr>
          <w:b/>
        </w:rPr>
        <w:t>（</w:t>
      </w:r>
      <w:r>
        <w:rPr>
          <w:rFonts w:hint="eastAsia"/>
          <w:b/>
        </w:rPr>
        <w:t>二</w:t>
      </w:r>
      <w:r>
        <w:rPr>
          <w:b/>
        </w:rPr>
        <w:t>）</w:t>
      </w:r>
      <w:r>
        <w:rPr>
          <w:rFonts w:hint="eastAsia"/>
          <w:b/>
        </w:rPr>
        <w:t>行政法院撤銷對於第三人之陞遷任命之可能性</w:t>
      </w:r>
    </w:p>
    <w:p w:rsidR="00000000" w:rsidRDefault="00B12645">
      <w:pPr>
        <w:snapToGrid w:val="0"/>
        <w:spacing w:beforeLines="50" w:before="180" w:afterLines="50" w:after="180" w:line="480" w:lineRule="auto"/>
        <w:ind w:firstLineChars="225" w:firstLine="540"/>
        <w:jc w:val="both"/>
        <w:rPr>
          <w:rFonts w:hint="eastAsia"/>
        </w:rPr>
      </w:pPr>
      <w:r>
        <w:rPr>
          <w:rFonts w:hint="eastAsia"/>
        </w:rPr>
        <w:t>必須確認的是，如果承認提起撤銷訴訟的訴訟權能，在訴之合法性外，緊接者要探討訴訟有無理由。根據行政法院</w:t>
      </w:r>
      <w:r>
        <w:rPr>
          <w:rFonts w:hint="eastAsia"/>
        </w:rPr>
        <w:t>法第</w:t>
      </w:r>
      <w:r>
        <w:rPr>
          <w:rFonts w:hint="eastAsia"/>
        </w:rPr>
        <w:t>113</w:t>
      </w:r>
      <w:r>
        <w:rPr>
          <w:rFonts w:hint="eastAsia"/>
        </w:rPr>
        <w:t>條第</w:t>
      </w:r>
      <w:r>
        <w:rPr>
          <w:rFonts w:hint="eastAsia"/>
        </w:rPr>
        <w:t>1</w:t>
      </w:r>
      <w:r>
        <w:rPr>
          <w:rFonts w:hint="eastAsia"/>
        </w:rPr>
        <w:t>項，訴訟有無理由要判斷的只有兩個要素，其一是行政處分確定違法，其二則是原告權利受侵害。從前面的論證，如果該任命違反基本法第</w:t>
      </w:r>
      <w:r>
        <w:rPr>
          <w:rFonts w:hint="eastAsia"/>
        </w:rPr>
        <w:t>33</w:t>
      </w:r>
      <w:r>
        <w:rPr>
          <w:rFonts w:hint="eastAsia"/>
        </w:rPr>
        <w:t>條第</w:t>
      </w:r>
      <w:r>
        <w:rPr>
          <w:rFonts w:hint="eastAsia"/>
        </w:rPr>
        <w:t>2</w:t>
      </w:r>
      <w:r>
        <w:rPr>
          <w:rFonts w:hint="eastAsia"/>
        </w:rPr>
        <w:t>項，即屬一違法行政處分。同時這個違法的陞遷任命也侵害了憲法保障第三人的公權利。此刻理論上行政法院即應</w:t>
      </w:r>
      <w:r>
        <w:rPr>
          <w:rFonts w:hint="eastAsia"/>
        </w:rPr>
        <w:lastRenderedPageBreak/>
        <w:t>該將行政處分撤銷。公務員法或行政程序法上有關授益行政處分撤銷的衡量因素在此並不需要考慮，因為這是法院透過一個形成判決直接撤銷違法行政處分，而非透過給付判決命令行政機關去撤銷違法行政處分</w:t>
      </w:r>
      <w:r>
        <w:rPr>
          <w:rStyle w:val="ae"/>
        </w:rPr>
        <w:footnoteReference w:id="22"/>
      </w:r>
      <w:r>
        <w:rPr>
          <w:rFonts w:hint="eastAsia"/>
        </w:rPr>
        <w:t>。</w:t>
      </w:r>
    </w:p>
    <w:p w:rsidR="00000000" w:rsidRDefault="00B12645">
      <w:pPr>
        <w:snapToGrid w:val="0"/>
        <w:spacing w:beforeLines="50" w:before="180" w:afterLines="50" w:after="180" w:line="480" w:lineRule="auto"/>
        <w:ind w:firstLineChars="225" w:firstLine="540"/>
        <w:jc w:val="both"/>
        <w:rPr>
          <w:rFonts w:hint="eastAsia"/>
        </w:rPr>
      </w:pPr>
      <w:r>
        <w:rPr>
          <w:rFonts w:hint="eastAsia"/>
        </w:rPr>
        <w:t>不過有學者從整體體系觀察，認為此時應該要限縮行政法院法第</w:t>
      </w:r>
      <w:r>
        <w:rPr>
          <w:rFonts w:hint="eastAsia"/>
        </w:rPr>
        <w:t>113</w:t>
      </w:r>
      <w:r>
        <w:rPr>
          <w:rFonts w:hint="eastAsia"/>
        </w:rPr>
        <w:t>條第</w:t>
      </w:r>
      <w:r>
        <w:rPr>
          <w:rFonts w:hint="eastAsia"/>
        </w:rPr>
        <w:t>1</w:t>
      </w:r>
      <w:r>
        <w:rPr>
          <w:rFonts w:hint="eastAsia"/>
        </w:rPr>
        <w:t>項之適</w:t>
      </w:r>
      <w:r>
        <w:rPr>
          <w:rFonts w:hint="eastAsia"/>
        </w:rPr>
        <w:t>用。因為程序法理論上是在輔助實體法上權利之實現。如果在實體法上基於權利存續性（</w:t>
      </w:r>
      <w:r>
        <w:t>Rechtbeständigkeit</w:t>
      </w:r>
      <w:r>
        <w:rPr>
          <w:rFonts w:hint="eastAsia"/>
        </w:rPr>
        <w:t>）之保障都可以支持讓一個違法行政處分存在（例如行政程序法上都有給違法行政處分補正的機會，而不必然加以撤銷），程序法（訴訟法）上便沒有必要如此過於寬泛地加以適用</w:t>
      </w:r>
      <w:r>
        <w:rPr>
          <w:rStyle w:val="ae"/>
        </w:rPr>
        <w:footnoteReference w:id="23"/>
      </w:r>
      <w:r>
        <w:rPr>
          <w:rFonts w:hint="eastAsia"/>
        </w:rPr>
        <w:t>。換言之，即使陞遷任命的行政處分確實違法且侵害人民權利，行政法院也不必然要將該行政處分加以撤銷</w:t>
      </w:r>
      <w:r>
        <w:rPr>
          <w:rStyle w:val="ae"/>
        </w:rPr>
        <w:footnoteReference w:id="24"/>
      </w:r>
      <w:r>
        <w:rPr>
          <w:rFonts w:hint="eastAsia"/>
        </w:rPr>
        <w:t>。</w:t>
      </w:r>
    </w:p>
    <w:p w:rsidR="00000000" w:rsidRDefault="00B12645">
      <w:pPr>
        <w:snapToGrid w:val="0"/>
        <w:spacing w:beforeLines="50" w:before="180" w:afterLines="50" w:after="180" w:line="480" w:lineRule="auto"/>
        <w:jc w:val="both"/>
        <w:rPr>
          <w:rFonts w:hint="eastAsia"/>
          <w:b/>
        </w:rPr>
      </w:pPr>
      <w:r>
        <w:rPr>
          <w:b/>
        </w:rPr>
        <w:t>（</w:t>
      </w:r>
      <w:r>
        <w:rPr>
          <w:rFonts w:hint="eastAsia"/>
          <w:b/>
        </w:rPr>
        <w:t>1</w:t>
      </w:r>
      <w:r>
        <w:rPr>
          <w:b/>
        </w:rPr>
        <w:t>）</w:t>
      </w:r>
      <w:r>
        <w:rPr>
          <w:rFonts w:hint="eastAsia"/>
          <w:b/>
        </w:rPr>
        <w:t>職務安定原則與有效權利保護的影響</w:t>
      </w:r>
    </w:p>
    <w:p w:rsidR="00000000" w:rsidRDefault="00B12645">
      <w:pPr>
        <w:snapToGrid w:val="0"/>
        <w:spacing w:beforeLines="50" w:before="180" w:afterLines="50" w:after="180" w:line="480" w:lineRule="auto"/>
        <w:ind w:firstLineChars="225" w:firstLine="540"/>
        <w:jc w:val="both"/>
        <w:rPr>
          <w:kern w:val="0"/>
        </w:rPr>
      </w:pPr>
      <w:r>
        <w:rPr>
          <w:rFonts w:hAnsi="Arial"/>
          <w:kern w:val="0"/>
        </w:rPr>
        <w:t>德國基本法第</w:t>
      </w:r>
      <w:r>
        <w:rPr>
          <w:kern w:val="0"/>
        </w:rPr>
        <w:t>33</w:t>
      </w:r>
      <w:r>
        <w:rPr>
          <w:rFonts w:hAnsi="Arial"/>
          <w:kern w:val="0"/>
        </w:rPr>
        <w:t>條第</w:t>
      </w:r>
      <w:r>
        <w:rPr>
          <w:kern w:val="0"/>
        </w:rPr>
        <w:t>5</w:t>
      </w:r>
      <w:r>
        <w:rPr>
          <w:rFonts w:hAnsi="Arial"/>
          <w:kern w:val="0"/>
        </w:rPr>
        <w:t>項規定「有關公務員的法律必須顧及公務員制度的傳統基本原則加以制訂」。一般也將</w:t>
      </w:r>
      <w:r>
        <w:rPr>
          <w:rFonts w:hAnsi="Arial"/>
          <w:kern w:val="0"/>
        </w:rPr>
        <w:t>職務安定原則理解成為公務員制度的傳統基本原則</w:t>
      </w:r>
      <w:r>
        <w:rPr>
          <w:rStyle w:val="ae"/>
          <w:kern w:val="0"/>
        </w:rPr>
        <w:footnoteReference w:id="25"/>
      </w:r>
      <w:r>
        <w:rPr>
          <w:rFonts w:hAnsi="Arial"/>
          <w:kern w:val="0"/>
        </w:rPr>
        <w:t>之一。承認職務安定原則的理由無非是基於法律安定性原則（</w:t>
      </w:r>
      <w:r>
        <w:rPr>
          <w:kern w:val="0"/>
        </w:rPr>
        <w:t>Grundsatz der Rechtssicherheit</w:t>
      </w:r>
      <w:r>
        <w:rPr>
          <w:rFonts w:hAnsi="Arial"/>
          <w:kern w:val="0"/>
        </w:rPr>
        <w:t>）、公眾對於公務員特質的信賴（</w:t>
      </w:r>
      <w:r>
        <w:rPr>
          <w:kern w:val="0"/>
        </w:rPr>
        <w:t>Vertrauen der Öffentlichkeit auf die Beamteneigenschaft</w:t>
      </w:r>
      <w:r>
        <w:rPr>
          <w:rFonts w:hAnsi="Arial"/>
          <w:kern w:val="0"/>
        </w:rPr>
        <w:t>）以及受任命公務員值得保障的信賴。假如公務員的任命存在有撤銷的危險時，受任命公務員自己的個人利益將與先前未受任命競爭者的</w:t>
      </w:r>
      <w:r>
        <w:rPr>
          <w:rFonts w:hAnsi="Arial"/>
          <w:kern w:val="0"/>
        </w:rPr>
        <w:lastRenderedPageBreak/>
        <w:t>權利保護利益處於無法解決的衝突。因此它保障已經完成的陞遷任命在一定的條件下可以維持其存續效力</w:t>
      </w:r>
      <w:r>
        <w:rPr>
          <w:rFonts w:hAnsi="Arial"/>
          <w:kern w:val="0"/>
        </w:rPr>
        <w:t>。特別是針對一些終身職的公務員。聯邦憲法法院因此演繹出「身分法上職務</w:t>
      </w:r>
      <w:r>
        <w:rPr>
          <w:rStyle w:val="ae"/>
          <w:kern w:val="0"/>
        </w:rPr>
        <w:footnoteReference w:id="26"/>
      </w:r>
      <w:r>
        <w:rPr>
          <w:rFonts w:hAnsi="Arial"/>
          <w:kern w:val="0"/>
        </w:rPr>
        <w:t>不可剝奪原則（</w:t>
      </w:r>
      <w:r>
        <w:rPr>
          <w:kern w:val="0"/>
        </w:rPr>
        <w:t>Grundsatz der Unentziehbarkeit des statusrechtkichen Amtes</w:t>
      </w:r>
      <w:r>
        <w:rPr>
          <w:rFonts w:hAnsi="Arial"/>
          <w:kern w:val="0"/>
        </w:rPr>
        <w:t>）</w:t>
      </w:r>
      <w:r>
        <w:rPr>
          <w:rStyle w:val="ae"/>
          <w:kern w:val="0"/>
        </w:rPr>
        <w:footnoteReference w:id="27"/>
      </w:r>
      <w:r>
        <w:rPr>
          <w:rFonts w:hAnsi="Arial"/>
          <w:kern w:val="0"/>
        </w:rPr>
        <w:t>。」這項原則甚至可以對抗已經任命數年之後的法院裁判</w:t>
      </w:r>
      <w:r>
        <w:rPr>
          <w:rStyle w:val="ae"/>
          <w:kern w:val="0"/>
        </w:rPr>
        <w:footnoteReference w:id="28"/>
      </w:r>
      <w:r>
        <w:rPr>
          <w:rFonts w:hAnsi="Arial"/>
          <w:kern w:val="0"/>
        </w:rPr>
        <w:t>。因為若是於陞遷任命之後數年仍容許藉由訴訟使得公務員的職位發生變動，或者讓已經發生陞遷連鎖效應的公務員法律關係再一次受到質疑，恐怕會嚴重影響到行政的運作能力以及公務員地位的穩定保障（</w:t>
      </w:r>
      <w:r>
        <w:rPr>
          <w:rFonts w:eastAsia="MS Mincho"/>
          <w:kern w:val="0"/>
        </w:rPr>
        <w:t>Stabilitätsgarantie</w:t>
      </w:r>
      <w:r>
        <w:rPr>
          <w:rFonts w:hAnsi="Arial"/>
          <w:kern w:val="0"/>
        </w:rPr>
        <w:t>）。所以基於職務安定原則與有效權利保</w:t>
      </w:r>
      <w:r>
        <w:rPr>
          <w:rFonts w:hAnsi="Arial"/>
          <w:kern w:val="0"/>
        </w:rPr>
        <w:t>障之折衷，我們所承認的陞遷任命救濟，應該將重心放在陞遷任命前的階段。換言之，應該考量的是行政救濟中的暫時性權利保護制度。</w:t>
      </w:r>
    </w:p>
    <w:p w:rsidR="00000000" w:rsidRDefault="00B12645">
      <w:pPr>
        <w:snapToGrid w:val="0"/>
        <w:spacing w:beforeLines="50" w:before="180" w:afterLines="50" w:after="180" w:line="480" w:lineRule="auto"/>
        <w:jc w:val="both"/>
        <w:rPr>
          <w:rFonts w:hint="eastAsia"/>
          <w:b/>
        </w:rPr>
      </w:pPr>
      <w:r>
        <w:rPr>
          <w:b/>
        </w:rPr>
        <w:t>（</w:t>
      </w:r>
      <w:r>
        <w:rPr>
          <w:rFonts w:hint="eastAsia"/>
          <w:b/>
        </w:rPr>
        <w:t>2</w:t>
      </w:r>
      <w:r>
        <w:rPr>
          <w:b/>
        </w:rPr>
        <w:t>）</w:t>
      </w:r>
      <w:r>
        <w:rPr>
          <w:rFonts w:hint="eastAsia"/>
          <w:b/>
        </w:rPr>
        <w:t>職務安定原則與有效權利保護原則的衝突（原則與原則之衝突！）</w:t>
      </w:r>
    </w:p>
    <w:p w:rsidR="00000000" w:rsidRDefault="00B12645">
      <w:pPr>
        <w:snapToGrid w:val="0"/>
        <w:spacing w:beforeLines="50" w:before="180" w:afterLines="50" w:after="180" w:line="480" w:lineRule="auto"/>
        <w:ind w:firstLineChars="225" w:firstLine="540"/>
        <w:jc w:val="both"/>
        <w:rPr>
          <w:rFonts w:hint="eastAsia"/>
        </w:rPr>
      </w:pPr>
      <w:r>
        <w:rPr>
          <w:rFonts w:hint="eastAsia"/>
        </w:rPr>
        <w:t>在公務人員的陞遷任命救濟上，憲法所保障的職務安定原則與有效權利保護原則往往會發生衝突，這是一種典型的原則與原則之間的衝突！</w:t>
      </w:r>
    </w:p>
    <w:p w:rsidR="00000000" w:rsidRDefault="00B12645">
      <w:pPr>
        <w:snapToGrid w:val="0"/>
        <w:spacing w:beforeLines="50" w:before="180" w:afterLines="50" w:after="180" w:line="480" w:lineRule="auto"/>
        <w:ind w:firstLineChars="225" w:firstLine="540"/>
        <w:jc w:val="both"/>
        <w:rPr>
          <w:rFonts w:hint="eastAsia"/>
        </w:rPr>
      </w:pPr>
      <w:r>
        <w:rPr>
          <w:rFonts w:hint="eastAsia"/>
        </w:rPr>
        <w:t>根據阿雷西（</w:t>
      </w:r>
      <w:r>
        <w:rPr>
          <w:rFonts w:hint="eastAsia"/>
        </w:rPr>
        <w:t>R. Alexy</w:t>
      </w:r>
      <w:r>
        <w:rPr>
          <w:rFonts w:hint="eastAsia"/>
        </w:rPr>
        <w:t>）所提出關於規則（</w:t>
      </w:r>
      <w:r>
        <w:rPr>
          <w:rFonts w:hint="eastAsia"/>
        </w:rPr>
        <w:t>Regeln</w:t>
      </w:r>
      <w:r>
        <w:rPr>
          <w:rFonts w:hint="eastAsia"/>
        </w:rPr>
        <w:t>）與原則（</w:t>
      </w:r>
      <w:r>
        <w:t>Prinzipien</w:t>
      </w:r>
      <w:r>
        <w:rPr>
          <w:rFonts w:hint="eastAsia"/>
        </w:rPr>
        <w:t>）之區別說法，原則是一種</w:t>
      </w:r>
      <w:r>
        <w:rPr>
          <w:rFonts w:hint="eastAsia"/>
          <w:b/>
        </w:rPr>
        <w:t>最適當化的要求</w:t>
      </w:r>
      <w:r>
        <w:rPr>
          <w:rFonts w:hint="eastAsia"/>
        </w:rPr>
        <w:t>（</w:t>
      </w:r>
      <w:r>
        <w:t>Optimierungsgebote</w:t>
      </w:r>
      <w:r>
        <w:rPr>
          <w:rFonts w:hint="eastAsia"/>
        </w:rPr>
        <w:t>）。「也就是</w:t>
      </w:r>
      <w:r>
        <w:rPr>
          <w:rFonts w:hint="eastAsia"/>
          <w:b/>
        </w:rPr>
        <w:t>要求在事</w:t>
      </w:r>
      <w:r>
        <w:rPr>
          <w:rFonts w:hint="eastAsia"/>
          <w:b/>
        </w:rPr>
        <w:lastRenderedPageBreak/>
        <w:t>實與法律上可能性</w:t>
      </w:r>
      <w:r>
        <w:rPr>
          <w:rFonts w:hint="eastAsia"/>
          <w:b/>
        </w:rPr>
        <w:t>的範圍內盡可能被實現的規範</w:t>
      </w:r>
      <w:r>
        <w:rPr>
          <w:rStyle w:val="ae"/>
        </w:rPr>
        <w:footnoteReference w:id="29"/>
      </w:r>
      <w:r>
        <w:rPr>
          <w:rFonts w:hint="eastAsia"/>
        </w:rPr>
        <w:t>。」因此，原則具有在不同程度上被滿足的特徵</w:t>
      </w:r>
      <w:r>
        <w:rPr>
          <w:rStyle w:val="ae"/>
        </w:rPr>
        <w:footnoteReference w:id="30"/>
      </w:r>
      <w:r>
        <w:rPr>
          <w:rFonts w:hint="eastAsia"/>
        </w:rPr>
        <w:t>。透過彼此對立的規則與原則，滿足原則的法律上可能性範圍便被決定下來</w:t>
      </w:r>
      <w:r>
        <w:rPr>
          <w:rStyle w:val="ae"/>
        </w:rPr>
        <w:footnoteReference w:id="31"/>
      </w:r>
      <w:r>
        <w:rPr>
          <w:rFonts w:hint="eastAsia"/>
        </w:rPr>
        <w:t>。相反地，規則</w:t>
      </w:r>
      <w:r>
        <w:t>「</w:t>
      </w:r>
      <w:r>
        <w:rPr>
          <w:rFonts w:hint="eastAsia"/>
        </w:rPr>
        <w:t>則總是一種要不就是被滿足，要不就是不被滿足的規範」，它包含了基於事實與法律上可能性的確定（</w:t>
      </w:r>
      <w:r>
        <w:t>Fesetsetzungen</w:t>
      </w:r>
      <w:r>
        <w:rPr>
          <w:rFonts w:hint="eastAsia"/>
        </w:rPr>
        <w:t>）</w:t>
      </w:r>
      <w:r>
        <w:rPr>
          <w:rStyle w:val="ae"/>
        </w:rPr>
        <w:footnoteReference w:id="32"/>
      </w:r>
      <w:r>
        <w:rPr>
          <w:rFonts w:hint="eastAsia"/>
        </w:rPr>
        <w:t>。因此規則與原則之間的區別是一種「質」上的形式區別，因此：每一種規範不是規則就是原則</w:t>
      </w:r>
      <w:r>
        <w:rPr>
          <w:rStyle w:val="ae"/>
        </w:rPr>
        <w:footnoteReference w:id="33"/>
      </w:r>
      <w:r>
        <w:rPr>
          <w:rFonts w:hint="eastAsia"/>
        </w:rPr>
        <w:t>。</w:t>
      </w:r>
    </w:p>
    <w:p w:rsidR="00000000" w:rsidRDefault="00B12645">
      <w:pPr>
        <w:snapToGrid w:val="0"/>
        <w:spacing w:beforeLines="50" w:before="180" w:afterLines="50" w:after="180" w:line="480" w:lineRule="auto"/>
        <w:ind w:firstLineChars="225" w:firstLine="540"/>
        <w:jc w:val="both"/>
        <w:rPr>
          <w:rFonts w:hint="eastAsia"/>
        </w:rPr>
      </w:pPr>
      <w:r>
        <w:rPr>
          <w:rFonts w:hint="eastAsia"/>
        </w:rPr>
        <w:t>當原則與原則發生衝突時，阿雷西發展出衝突法則（</w:t>
      </w:r>
      <w:r>
        <w:t>Kollisionsgesetz</w:t>
      </w:r>
      <w:r>
        <w:rPr>
          <w:rFonts w:hint="eastAsia"/>
        </w:rPr>
        <w:t>）</w:t>
      </w:r>
      <w:r>
        <w:rPr>
          <w:rStyle w:val="ae"/>
        </w:rPr>
        <w:footnoteReference w:id="34"/>
      </w:r>
      <w:r>
        <w:rPr>
          <w:rFonts w:hint="eastAsia"/>
        </w:rPr>
        <w:t>加以解決。阿雷西透過衝突法則認識了解決原則衝突的結構</w:t>
      </w:r>
      <w:r>
        <w:rPr>
          <w:rStyle w:val="ae"/>
        </w:rPr>
        <w:footnoteReference w:id="35"/>
      </w:r>
      <w:r>
        <w:rPr>
          <w:rFonts w:hint="eastAsia"/>
        </w:rPr>
        <w:t>。當兩種</w:t>
      </w:r>
      <w:r>
        <w:rPr>
          <w:rFonts w:hint="eastAsia"/>
        </w:rPr>
        <w:t>同位階的抽象利益在具體案例中發生衝突時，所涉及的問題是如何透過衡量去確定那一種抽象利益在具體案例中具較高的位階</w:t>
      </w:r>
      <w:r>
        <w:rPr>
          <w:rStyle w:val="ae"/>
        </w:rPr>
        <w:footnoteReference w:id="36"/>
      </w:r>
      <w:r>
        <w:rPr>
          <w:rFonts w:hint="eastAsia"/>
        </w:rPr>
        <w:t>。即「根據案例情況，確定一個諸原則間附條件的高階關係」</w:t>
      </w:r>
      <w:r>
        <w:rPr>
          <w:rStyle w:val="ae"/>
        </w:rPr>
        <w:footnoteReference w:id="37"/>
      </w:r>
      <w:r>
        <w:rPr>
          <w:rFonts w:hint="eastAsia"/>
        </w:rPr>
        <w:t>，而衝突最後也透過它而獲得解決。所謂附條件的高階關係是指，一個原則在滿足具體個案中的條件時，優於其他的原則。這種優先性必須被充分說理</w:t>
      </w:r>
      <w:r>
        <w:rPr>
          <w:rStyle w:val="ae"/>
        </w:rPr>
        <w:footnoteReference w:id="38"/>
      </w:r>
      <w:r>
        <w:rPr>
          <w:rFonts w:hint="eastAsia"/>
        </w:rPr>
        <w:t>。此一優先條件在衡量的案例中應該由法院加以闡述</w:t>
      </w:r>
      <w:r>
        <w:rPr>
          <w:rStyle w:val="ae"/>
        </w:rPr>
        <w:footnoteReference w:id="39"/>
      </w:r>
      <w:r>
        <w:rPr>
          <w:rFonts w:hint="eastAsia"/>
        </w:rPr>
        <w:t>。</w:t>
      </w:r>
    </w:p>
    <w:p w:rsidR="00000000" w:rsidRDefault="00B12645">
      <w:pPr>
        <w:snapToGrid w:val="0"/>
        <w:spacing w:beforeLines="50" w:before="180" w:afterLines="50" w:after="180" w:line="480" w:lineRule="auto"/>
        <w:ind w:firstLineChars="225" w:firstLine="540"/>
        <w:jc w:val="both"/>
        <w:rPr>
          <w:rFonts w:hint="eastAsia"/>
        </w:rPr>
      </w:pPr>
      <w:r>
        <w:rPr>
          <w:rFonts w:hint="eastAsia"/>
        </w:rPr>
        <w:t xml:space="preserve"> </w:t>
      </w:r>
      <w:r>
        <w:rPr>
          <w:rFonts w:hint="eastAsia"/>
        </w:rPr>
        <w:t>在具體的案件中，我們可能找出的優先條件是，當未獲陞遷的公務員仍有根據行政法院法第</w:t>
      </w:r>
      <w:r>
        <w:rPr>
          <w:rFonts w:hint="eastAsia"/>
        </w:rPr>
        <w:t>123</w:t>
      </w:r>
      <w:r>
        <w:rPr>
          <w:rFonts w:hint="eastAsia"/>
        </w:rPr>
        <w:t>條第</w:t>
      </w:r>
      <w:r>
        <w:rPr>
          <w:rFonts w:hint="eastAsia"/>
        </w:rPr>
        <w:t>1</w:t>
      </w:r>
      <w:r>
        <w:rPr>
          <w:rFonts w:hint="eastAsia"/>
        </w:rPr>
        <w:t>項要求假處分時，他就沒有撤銷他人陞遷任命處分</w:t>
      </w:r>
      <w:r>
        <w:rPr>
          <w:rFonts w:hint="eastAsia"/>
        </w:rPr>
        <w:lastRenderedPageBreak/>
        <w:t>之請求權。在這種情況</w:t>
      </w:r>
      <w:r>
        <w:rPr>
          <w:rFonts w:hint="eastAsia"/>
        </w:rPr>
        <w:t>下，職務安定原則在充分說理的前提下，優先有效權利救濟原則。若是已陞遷任命完畢，暫時性權利救濟未即時提出，此時單獨提起的撤銷訴訟並無理由（無撤銷對於競爭者有利處分之請求權）。</w:t>
      </w:r>
    </w:p>
    <w:p w:rsidR="00000000" w:rsidRDefault="00B12645">
      <w:pPr>
        <w:snapToGrid w:val="0"/>
        <w:spacing w:beforeLines="50" w:before="180" w:afterLines="50" w:after="180" w:line="480" w:lineRule="auto"/>
        <w:ind w:firstLineChars="225" w:firstLine="540"/>
        <w:jc w:val="both"/>
      </w:pPr>
      <w:r>
        <w:rPr>
          <w:rFonts w:hint="eastAsia"/>
        </w:rPr>
        <w:t>相對地，在陞遷任命決定作成後，但仍未完成任命程序之前，為了防止終局結果發生，仍有要求法院作成假處分的可能（注意，假處分非附隨在撤銷訴訟的制度）。此時若反而還是提起撤銷訴訟，則屬欠缺權利保護之必要性（</w:t>
      </w:r>
      <w:r>
        <w:rPr>
          <w:rFonts w:eastAsia="MS Mincho"/>
        </w:rPr>
        <w:t>Rechtsschutzbedürfnis</w:t>
      </w:r>
      <w:r>
        <w:rPr>
          <w:rFonts w:hint="eastAsia"/>
        </w:rPr>
        <w:t>）。因為當提起訴訟者原本可以透過其他更簡便</w:t>
      </w:r>
      <w:r>
        <w:rPr>
          <w:rFonts w:ascii="新細明體" w:hAnsi="新細明體" w:hint="eastAsia"/>
        </w:rPr>
        <w:t>、</w:t>
      </w:r>
      <w:r>
        <w:rPr>
          <w:rFonts w:hint="eastAsia"/>
        </w:rPr>
        <w:t>更廣泛</w:t>
      </w:r>
      <w:r>
        <w:rPr>
          <w:rFonts w:ascii="新細明體" w:hAnsi="新細明體" w:hint="eastAsia"/>
        </w:rPr>
        <w:t>、</w:t>
      </w:r>
      <w:r>
        <w:rPr>
          <w:rFonts w:hint="eastAsia"/>
        </w:rPr>
        <w:t>更快速及更適當的救濟途徑以實現他的救濟目的，但</w:t>
      </w:r>
      <w:r>
        <w:rPr>
          <w:rFonts w:hint="eastAsia"/>
        </w:rPr>
        <w:t>卻捨此不為時，即欠缺權利保護之必要性</w:t>
      </w:r>
      <w:r>
        <w:rPr>
          <w:rStyle w:val="ae"/>
        </w:rPr>
        <w:footnoteReference w:id="40"/>
      </w:r>
      <w:r>
        <w:rPr>
          <w:rFonts w:hint="eastAsia"/>
        </w:rPr>
        <w:t>。</w:t>
      </w:r>
    </w:p>
    <w:p w:rsidR="00000000" w:rsidRDefault="00B12645">
      <w:pPr>
        <w:snapToGrid w:val="0"/>
        <w:spacing w:beforeLines="50" w:before="180" w:afterLines="50" w:after="180" w:line="480" w:lineRule="auto"/>
        <w:jc w:val="both"/>
        <w:rPr>
          <w:rFonts w:hint="eastAsia"/>
          <w:b/>
        </w:rPr>
      </w:pPr>
      <w:r>
        <w:rPr>
          <w:b/>
        </w:rPr>
        <w:t>（</w:t>
      </w:r>
      <w:r>
        <w:rPr>
          <w:b/>
        </w:rPr>
        <w:t>3</w:t>
      </w:r>
      <w:r>
        <w:rPr>
          <w:b/>
        </w:rPr>
        <w:t>）</w:t>
      </w:r>
      <w:r>
        <w:rPr>
          <w:rFonts w:hint="eastAsia"/>
          <w:b/>
        </w:rPr>
        <w:t>在暫時性權利保護程序中撤銷陞遷任命</w:t>
      </w:r>
    </w:p>
    <w:p w:rsidR="00000000" w:rsidRDefault="00B12645">
      <w:pPr>
        <w:snapToGrid w:val="0"/>
        <w:spacing w:beforeLines="50" w:before="180" w:afterLines="50" w:after="180" w:line="480" w:lineRule="auto"/>
        <w:ind w:firstLineChars="225" w:firstLine="540"/>
        <w:jc w:val="both"/>
        <w:rPr>
          <w:rFonts w:hint="eastAsia"/>
        </w:rPr>
      </w:pPr>
      <w:r>
        <w:rPr>
          <w:rFonts w:hint="eastAsia"/>
        </w:rPr>
        <w:t>假如在整個陞遷任命程序中，主管機關完全沒有通知競爭者，致使他連尋求暫時性權利保護之機會均喪失時，或者在暫時性救濟程序中，主管機關逕自完成陞遷任命程序時，又該如何處理？德國過去實務通說原本也都認為此時無救濟可能</w:t>
      </w:r>
      <w:r>
        <w:rPr>
          <w:rStyle w:val="ae"/>
        </w:rPr>
        <w:footnoteReference w:id="41"/>
      </w:r>
      <w:r>
        <w:rPr>
          <w:rFonts w:hint="eastAsia"/>
        </w:rPr>
        <w:t>。</w:t>
      </w:r>
    </w:p>
    <w:p w:rsidR="00000000" w:rsidRDefault="00B12645">
      <w:pPr>
        <w:snapToGrid w:val="0"/>
        <w:spacing w:beforeLines="50" w:before="180" w:afterLines="50" w:after="180" w:line="480" w:lineRule="auto"/>
        <w:ind w:firstLineChars="225" w:firstLine="540"/>
        <w:jc w:val="both"/>
      </w:pPr>
      <w:r>
        <w:rPr>
          <w:rFonts w:hint="eastAsia"/>
        </w:rPr>
        <w:t>在這種情形下，學者認為暫時性權利保護完全未獲尊重，所以必須採取「有效權利救濟保障優先職務安定原則」的立場。否則的話，權利救濟的可能性將被行政機關的恣意完全削弱甚至封閉，同時也可以自己取巧地規避法院對行政行為的控制</w:t>
      </w:r>
      <w:r>
        <w:rPr>
          <w:rStyle w:val="ae"/>
        </w:rPr>
        <w:footnoteReference w:id="42"/>
      </w:r>
      <w:r>
        <w:rPr>
          <w:rFonts w:hint="eastAsia"/>
        </w:rPr>
        <w:t>。此時只是單純地確認陞遷任命行為違法，或者同意損害賠償之請求並</w:t>
      </w:r>
      <w:r>
        <w:rPr>
          <w:rFonts w:hint="eastAsia"/>
        </w:rPr>
        <w:lastRenderedPageBreak/>
        <w:t>不足為訓</w:t>
      </w:r>
      <w:r>
        <w:rPr>
          <w:rStyle w:val="ae"/>
        </w:rPr>
        <w:footnoteReference w:id="43"/>
      </w:r>
      <w:r>
        <w:rPr>
          <w:rFonts w:hint="eastAsia"/>
        </w:rPr>
        <w:t>。</w:t>
      </w:r>
    </w:p>
    <w:p w:rsidR="00B12645" w:rsidRDefault="00B12645">
      <w:pPr>
        <w:snapToGrid w:val="0"/>
        <w:spacing w:beforeLines="50" w:before="180" w:afterLines="50" w:after="180" w:line="480" w:lineRule="auto"/>
        <w:ind w:firstLineChars="225" w:firstLine="540"/>
        <w:jc w:val="both"/>
        <w:rPr>
          <w:rFonts w:hint="eastAsia"/>
        </w:rPr>
      </w:pPr>
      <w:r>
        <w:rPr>
          <w:rFonts w:hint="eastAsia"/>
        </w:rPr>
        <w:t>在這種情形下，針對競爭者的陞遷任命所提起的訴願或行政訴訟（撤銷訴訟）即具有權利保護之必要性。因為提起訴訟者已經無法再透過其他更簡便</w:t>
      </w:r>
      <w:r>
        <w:rPr>
          <w:rFonts w:ascii="新細明體" w:hAnsi="新細明體" w:hint="eastAsia"/>
        </w:rPr>
        <w:t>、</w:t>
      </w:r>
      <w:r>
        <w:rPr>
          <w:rFonts w:hint="eastAsia"/>
        </w:rPr>
        <w:t>更廣泛</w:t>
      </w:r>
      <w:r>
        <w:rPr>
          <w:rFonts w:ascii="新細明體" w:hAnsi="新細明體" w:hint="eastAsia"/>
        </w:rPr>
        <w:t>、</w:t>
      </w:r>
      <w:r>
        <w:rPr>
          <w:rFonts w:hint="eastAsia"/>
        </w:rPr>
        <w:t>更快速及更適當的救濟途徑以實現他的救濟目的。所以他的撤銷請求權應該予以承認。同時行政法院法第</w:t>
      </w:r>
      <w:r>
        <w:rPr>
          <w:rFonts w:hint="eastAsia"/>
        </w:rPr>
        <w:t>113</w:t>
      </w:r>
      <w:r>
        <w:rPr>
          <w:rFonts w:hint="eastAsia"/>
        </w:rPr>
        <w:t>條第</w:t>
      </w:r>
      <w:r>
        <w:rPr>
          <w:rFonts w:hint="eastAsia"/>
        </w:rPr>
        <w:t>1</w:t>
      </w:r>
      <w:r>
        <w:rPr>
          <w:rFonts w:hint="eastAsia"/>
        </w:rPr>
        <w:t>項的限縮解釋在此也不適用。我們更應該重視的是基本法第</w:t>
      </w:r>
      <w:r>
        <w:rPr>
          <w:rFonts w:hint="eastAsia"/>
        </w:rPr>
        <w:t>19</w:t>
      </w:r>
      <w:r>
        <w:rPr>
          <w:rFonts w:hint="eastAsia"/>
        </w:rPr>
        <w:t>條第</w:t>
      </w:r>
      <w:r>
        <w:rPr>
          <w:rFonts w:hint="eastAsia"/>
        </w:rPr>
        <w:t>4</w:t>
      </w:r>
      <w:r>
        <w:rPr>
          <w:rFonts w:hint="eastAsia"/>
        </w:rPr>
        <w:t>項的權利保障</w:t>
      </w:r>
      <w:r>
        <w:rPr>
          <w:rStyle w:val="ae"/>
        </w:rPr>
        <w:footnoteReference w:id="44"/>
      </w:r>
      <w:r>
        <w:rPr>
          <w:rFonts w:hint="eastAsia"/>
        </w:rPr>
        <w:t>。</w:t>
      </w:r>
      <w:r>
        <w:rPr>
          <w:rFonts w:hint="eastAsia"/>
        </w:rPr>
        <w:t xml:space="preserve"> </w:t>
      </w:r>
    </w:p>
    <w:sectPr w:rsidR="00B12645">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45" w:rsidRDefault="00B12645">
      <w:r>
        <w:separator/>
      </w:r>
    </w:p>
  </w:endnote>
  <w:endnote w:type="continuationSeparator" w:id="0">
    <w:p w:rsidR="00B12645" w:rsidRDefault="00B1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264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B126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264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33A7">
      <w:rPr>
        <w:rStyle w:val="a7"/>
        <w:noProof/>
      </w:rPr>
      <w:t>14</w:t>
    </w:r>
    <w:r>
      <w:rPr>
        <w:rStyle w:val="a7"/>
      </w:rPr>
      <w:fldChar w:fldCharType="end"/>
    </w:r>
  </w:p>
  <w:p w:rsidR="00000000" w:rsidRDefault="00B126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45" w:rsidRDefault="00B12645">
      <w:pPr>
        <w:snapToGrid w:val="0"/>
        <w:spacing w:beforeLines="50" w:before="120" w:afterLines="50" w:after="120" w:line="360" w:lineRule="auto"/>
      </w:pPr>
      <w:r>
        <w:separator/>
      </w:r>
    </w:p>
  </w:footnote>
  <w:footnote w:type="continuationSeparator" w:id="0">
    <w:p w:rsidR="00B12645" w:rsidRDefault="00B12645">
      <w:pPr>
        <w:snapToGrid w:val="0"/>
        <w:spacing w:beforeLines="50" w:before="120" w:afterLines="50" w:after="120" w:line="360" w:lineRule="auto"/>
      </w:pPr>
      <w:r>
        <w:continuationSeparator/>
      </w:r>
    </w:p>
  </w:footnote>
  <w:footnote w:id="1">
    <w:p w:rsidR="00000000" w:rsidRDefault="00B12645">
      <w:pPr>
        <w:pStyle w:val="ad"/>
        <w:spacing w:line="360" w:lineRule="auto"/>
        <w:ind w:left="200" w:hanging="200"/>
        <w:jc w:val="both"/>
        <w:rPr>
          <w:lang w:val="de-DE"/>
        </w:rPr>
      </w:pPr>
      <w:r>
        <w:rPr>
          <w:rStyle w:val="ae"/>
        </w:rPr>
        <w:footnoteRef/>
      </w:r>
      <w:r>
        <w:rPr>
          <w:lang w:val="de-DE"/>
        </w:rPr>
        <w:t xml:space="preserve"> </w:t>
      </w:r>
      <w:r>
        <w:rPr>
          <w:rFonts w:hAnsi="新細明體"/>
        </w:rPr>
        <w:t>例如</w:t>
      </w:r>
      <w:r>
        <w:rPr>
          <w:lang w:val="de-DE"/>
        </w:rPr>
        <w:t>BVerwG vom 25.8.1988 – 2 C 62.85 –, BverwGE 80, 127</w:t>
      </w:r>
      <w:r>
        <w:rPr>
          <w:lang w:val="de-DE"/>
        </w:rPr>
        <w:t xml:space="preserve"> ff.</w:t>
      </w:r>
    </w:p>
  </w:footnote>
  <w:footnote w:id="2">
    <w:p w:rsidR="00000000" w:rsidRDefault="00B12645">
      <w:pPr>
        <w:pStyle w:val="ad"/>
        <w:spacing w:line="360" w:lineRule="auto"/>
        <w:ind w:left="200" w:hanging="200"/>
        <w:jc w:val="both"/>
        <w:rPr>
          <w:lang w:val="de-DE"/>
        </w:rPr>
      </w:pPr>
      <w:r>
        <w:rPr>
          <w:rStyle w:val="ae"/>
        </w:rPr>
        <w:footnoteRef/>
      </w:r>
      <w:r>
        <w:rPr>
          <w:lang w:val="de-DE"/>
        </w:rPr>
        <w:t xml:space="preserve"> BVerwG vom 13.9.2001 – 2 C 39.00 – , </w:t>
      </w:r>
      <w:r>
        <w:rPr>
          <w:kern w:val="0"/>
          <w:lang w:val="de-DE"/>
        </w:rPr>
        <w:t>BVerwGE 115, 89 ff.; DVBl. 2002, S. 203 ff.</w:t>
      </w:r>
    </w:p>
  </w:footnote>
  <w:footnote w:id="3">
    <w:p w:rsidR="00000000" w:rsidRDefault="00B12645">
      <w:pPr>
        <w:pStyle w:val="ad"/>
        <w:spacing w:line="360" w:lineRule="auto"/>
        <w:ind w:left="200" w:hanging="200"/>
        <w:jc w:val="both"/>
        <w:rPr>
          <w:lang w:val="de-DE"/>
        </w:rPr>
      </w:pPr>
      <w:r>
        <w:rPr>
          <w:rStyle w:val="ae"/>
        </w:rPr>
        <w:footnoteRef/>
      </w:r>
      <w:r>
        <w:rPr>
          <w:lang w:val="de-DE"/>
        </w:rPr>
        <w:t xml:space="preserve"> BVerwG vom 21.8.2003 – 2 C 14.01 – , DVBl. 2004, 317 ff.</w:t>
      </w:r>
    </w:p>
  </w:footnote>
  <w:footnote w:id="4">
    <w:p w:rsidR="00000000" w:rsidRDefault="00B12645">
      <w:pPr>
        <w:pStyle w:val="ad"/>
        <w:spacing w:line="360" w:lineRule="auto"/>
        <w:ind w:left="200" w:hanging="200"/>
        <w:jc w:val="both"/>
        <w:rPr>
          <w:lang w:val="de-DE"/>
        </w:rPr>
      </w:pPr>
      <w:r>
        <w:rPr>
          <w:rStyle w:val="ae"/>
        </w:rPr>
        <w:footnoteRef/>
      </w:r>
      <w:r>
        <w:rPr>
          <w:lang w:val="de-DE"/>
        </w:rPr>
        <w:t xml:space="preserve"> Vgl. </w:t>
      </w:r>
      <w:r>
        <w:rPr>
          <w:iCs/>
          <w:kern w:val="0"/>
          <w:lang w:val="de-DE"/>
        </w:rPr>
        <w:t>Ulrich Battis,</w:t>
      </w:r>
      <w:r>
        <w:rPr>
          <w:bCs/>
          <w:kern w:val="36"/>
          <w:lang w:val="de-DE"/>
        </w:rPr>
        <w:t xml:space="preserve"> Entwicklung des Beamtenrechts im Jahre 2001, </w:t>
      </w:r>
      <w:r>
        <w:rPr>
          <w:kern w:val="0"/>
          <w:lang w:val="de-DE"/>
        </w:rPr>
        <w:t>NJW 2002, 1089.</w:t>
      </w:r>
    </w:p>
  </w:footnote>
  <w:footnote w:id="5">
    <w:p w:rsidR="00000000" w:rsidRDefault="00B12645">
      <w:pPr>
        <w:pStyle w:val="ad"/>
        <w:spacing w:line="360" w:lineRule="auto"/>
        <w:ind w:left="200" w:hanging="200"/>
        <w:jc w:val="both"/>
        <w:rPr>
          <w:lang w:val="de-DE"/>
        </w:rPr>
      </w:pPr>
      <w:r>
        <w:rPr>
          <w:rStyle w:val="ae"/>
        </w:rPr>
        <w:footnoteRef/>
      </w:r>
      <w:r>
        <w:rPr>
          <w:lang w:val="de-DE"/>
        </w:rPr>
        <w:t xml:space="preserve"> Vgl. Hufen, JuS 2002, 12</w:t>
      </w:r>
      <w:r>
        <w:rPr>
          <w:lang w:val="de-DE"/>
        </w:rPr>
        <w:t>37 f.</w:t>
      </w:r>
    </w:p>
  </w:footnote>
  <w:footnote w:id="6">
    <w:p w:rsidR="00000000" w:rsidRDefault="00B12645">
      <w:pPr>
        <w:pStyle w:val="ad"/>
        <w:spacing w:line="360" w:lineRule="auto"/>
        <w:ind w:left="200" w:hanging="200"/>
        <w:jc w:val="both"/>
        <w:rPr>
          <w:lang w:val="de-DE"/>
        </w:rPr>
      </w:pPr>
      <w:r>
        <w:rPr>
          <w:rStyle w:val="ae"/>
        </w:rPr>
        <w:footnoteRef/>
      </w:r>
      <w:r>
        <w:rPr>
          <w:lang w:val="de-DE"/>
        </w:rPr>
        <w:t xml:space="preserve"> Vgl. </w:t>
      </w:r>
      <w:r>
        <w:rPr>
          <w:rFonts w:hint="eastAsia"/>
          <w:color w:val="0000FF"/>
        </w:rPr>
        <w:t>Rainer</w:t>
      </w:r>
      <w:r>
        <w:rPr>
          <w:lang w:val="de-DE"/>
        </w:rPr>
        <w:t xml:space="preserve"> Wernsmann, Die Verwaltung, 2003, 68 ff.</w:t>
      </w:r>
    </w:p>
  </w:footnote>
  <w:footnote w:id="7">
    <w:p w:rsidR="00000000" w:rsidRDefault="00B12645">
      <w:pPr>
        <w:pStyle w:val="ad"/>
        <w:spacing w:line="360" w:lineRule="auto"/>
        <w:ind w:left="200" w:hanging="200"/>
        <w:jc w:val="both"/>
      </w:pPr>
      <w:r>
        <w:rPr>
          <w:rStyle w:val="ae"/>
        </w:rPr>
        <w:footnoteRef/>
      </w:r>
      <w:r>
        <w:rPr>
          <w:kern w:val="0"/>
        </w:rPr>
        <w:t xml:space="preserve"> </w:t>
      </w:r>
      <w:r>
        <w:rPr>
          <w:rFonts w:hAnsi="新細明體"/>
          <w:kern w:val="0"/>
        </w:rPr>
        <w:t>根據基本法第</w:t>
      </w:r>
      <w:r>
        <w:rPr>
          <w:kern w:val="0"/>
        </w:rPr>
        <w:t>33</w:t>
      </w:r>
      <w:r>
        <w:rPr>
          <w:rFonts w:hAnsi="新細明體"/>
          <w:kern w:val="0"/>
        </w:rPr>
        <w:t>條第</w:t>
      </w:r>
      <w:r>
        <w:rPr>
          <w:kern w:val="0"/>
        </w:rPr>
        <w:t>2</w:t>
      </w:r>
      <w:r>
        <w:rPr>
          <w:rFonts w:hAnsi="新細明體"/>
          <w:kern w:val="0"/>
        </w:rPr>
        <w:t>項之規定，任何德國人根據他的資格、能力以及專業，有從事公職的同等機會。</w:t>
      </w:r>
    </w:p>
  </w:footnote>
  <w:footnote w:id="8">
    <w:p w:rsidR="00000000" w:rsidRDefault="00B12645">
      <w:pPr>
        <w:pStyle w:val="ad"/>
        <w:spacing w:line="360" w:lineRule="auto"/>
        <w:ind w:left="200" w:hanging="200"/>
        <w:jc w:val="both"/>
        <w:rPr>
          <w:lang w:val="de-DE"/>
        </w:rPr>
      </w:pPr>
      <w:r>
        <w:rPr>
          <w:rStyle w:val="ae"/>
        </w:rPr>
        <w:footnoteRef/>
      </w:r>
      <w:r>
        <w:rPr>
          <w:lang w:val="de-DE"/>
        </w:rPr>
        <w:t xml:space="preserve"> BVerwGE 80, 127, 129 f.; Kunig, in: Schmidt-Aßmann, Besonderes Verwaltungsrecht, 12. Aufl., 2003, 6. Kap, Rn. 91; </w:t>
      </w:r>
      <w:r>
        <w:rPr>
          <w:rFonts w:hAnsi="新細明體"/>
        </w:rPr>
        <w:t>反對說</w:t>
      </w:r>
      <w:r>
        <w:rPr>
          <w:rFonts w:hAnsi="新細明體"/>
          <w:lang w:val="de-DE"/>
        </w:rPr>
        <w:t>，</w:t>
      </w:r>
      <w:r>
        <w:rPr>
          <w:color w:val="0000FF"/>
          <w:lang w:val="de-DE"/>
        </w:rPr>
        <w:t>vgl.</w:t>
      </w:r>
      <w:r>
        <w:rPr>
          <w:rFonts w:hint="eastAsia"/>
          <w:lang w:val="de-DE"/>
        </w:rPr>
        <w:t xml:space="preserve"> </w:t>
      </w:r>
      <w:r>
        <w:rPr>
          <w:lang w:val="de-DE"/>
        </w:rPr>
        <w:t>Schoch, Jura. 2002, 320</w:t>
      </w:r>
      <w:r>
        <w:rPr>
          <w:rFonts w:hAnsi="新細明體"/>
          <w:kern w:val="0"/>
          <w:lang w:val="de-DE"/>
        </w:rPr>
        <w:t xml:space="preserve">; </w:t>
      </w:r>
      <w:r>
        <w:rPr>
          <w:color w:val="0000FF"/>
          <w:szCs w:val="24"/>
          <w:lang w:val="de-DE"/>
        </w:rPr>
        <w:t>Dirk</w:t>
      </w:r>
      <w:r>
        <w:rPr>
          <w:lang w:val="de-DE"/>
        </w:rPr>
        <w:t xml:space="preserve"> Ehlers, in: </w:t>
      </w:r>
      <w:r>
        <w:rPr>
          <w:bCs/>
          <w:iCs/>
          <w:color w:val="000000"/>
          <w:lang w:val="de-DE"/>
        </w:rPr>
        <w:t>F</w:t>
      </w:r>
      <w:r>
        <w:rPr>
          <w:rFonts w:hint="eastAsia"/>
          <w:bCs/>
          <w:iCs/>
          <w:color w:val="000000"/>
          <w:lang w:val="de-DE"/>
        </w:rPr>
        <w:t>riedrich</w:t>
      </w:r>
      <w:r>
        <w:rPr>
          <w:bCs/>
          <w:iCs/>
          <w:color w:val="000000"/>
          <w:lang w:val="de-DE"/>
        </w:rPr>
        <w:t xml:space="preserve"> K. Schoch/ E</w:t>
      </w:r>
      <w:r>
        <w:rPr>
          <w:rFonts w:hint="eastAsia"/>
          <w:bCs/>
          <w:iCs/>
          <w:color w:val="000000"/>
          <w:lang w:val="de-DE"/>
        </w:rPr>
        <w:t>berhard</w:t>
      </w:r>
      <w:r>
        <w:rPr>
          <w:bCs/>
          <w:iCs/>
          <w:color w:val="000000"/>
          <w:lang w:val="de-DE"/>
        </w:rPr>
        <w:t xml:space="preserve"> Schmidt-Aßma</w:t>
      </w:r>
      <w:r>
        <w:rPr>
          <w:bCs/>
          <w:iCs/>
          <w:color w:val="000000"/>
          <w:lang w:val="de-DE"/>
        </w:rPr>
        <w:t>nn/ R</w:t>
      </w:r>
      <w:r>
        <w:rPr>
          <w:rFonts w:hint="eastAsia"/>
          <w:bCs/>
          <w:iCs/>
          <w:color w:val="000000"/>
          <w:lang w:val="de-DE"/>
        </w:rPr>
        <w:t>ainer</w:t>
      </w:r>
      <w:r>
        <w:rPr>
          <w:bCs/>
          <w:iCs/>
          <w:color w:val="000000"/>
          <w:lang w:val="de-DE"/>
        </w:rPr>
        <w:t xml:space="preserve"> Pietzner</w:t>
      </w:r>
      <w:r>
        <w:rPr>
          <w:rFonts w:hint="eastAsia"/>
          <w:bCs/>
          <w:iCs/>
          <w:color w:val="000000"/>
          <w:lang w:val="de-DE"/>
        </w:rPr>
        <w:t xml:space="preserve"> </w:t>
      </w:r>
      <w:r>
        <w:rPr>
          <w:bCs/>
          <w:iCs/>
          <w:color w:val="000000"/>
          <w:lang w:val="de-DE"/>
        </w:rPr>
        <w:t>(Hrsg.), VwGO</w:t>
      </w:r>
      <w:r>
        <w:rPr>
          <w:color w:val="000000"/>
          <w:lang w:val="de-DE"/>
        </w:rPr>
        <w:t>,</w:t>
      </w:r>
      <w:r>
        <w:rPr>
          <w:rFonts w:hint="eastAsia"/>
          <w:color w:val="000000"/>
          <w:lang w:val="de-DE"/>
        </w:rPr>
        <w:t xml:space="preserve"> </w:t>
      </w:r>
      <w:r>
        <w:rPr>
          <w:color w:val="FF0000"/>
          <w:lang w:val="de-DE"/>
        </w:rPr>
        <w:t>Vorb</w:t>
      </w:r>
      <w:r>
        <w:rPr>
          <w:lang w:val="de-DE"/>
        </w:rPr>
        <w:t xml:space="preserve">. § 40 Rn. 92; </w:t>
      </w:r>
      <w:r>
        <w:rPr>
          <w:color w:val="000000"/>
          <w:lang w:val="de-DE"/>
        </w:rPr>
        <w:t>Friedhelm</w:t>
      </w:r>
      <w:r>
        <w:rPr>
          <w:lang w:val="de-DE"/>
        </w:rPr>
        <w:t xml:space="preserve"> Hufen,</w:t>
      </w:r>
      <w:r>
        <w:rPr>
          <w:color w:val="0000FF"/>
          <w:lang w:val="de-DE"/>
        </w:rPr>
        <w:t xml:space="preserve"> </w:t>
      </w:r>
      <w:r>
        <w:rPr>
          <w:rFonts w:hint="eastAsia"/>
          <w:color w:val="0000FF"/>
          <w:lang w:val="de-DE"/>
        </w:rPr>
        <w:t>a.a.O.(Anm. 117)</w:t>
      </w:r>
      <w:r>
        <w:rPr>
          <w:lang w:val="de-DE"/>
        </w:rPr>
        <w:t>, 2003, § 15 Rn. 7, 26.</w:t>
      </w:r>
      <w:r>
        <w:rPr>
          <w:rFonts w:hAnsi="新細明體"/>
        </w:rPr>
        <w:t>反對此時有課予義務訴訟的訴訟權能</w:t>
      </w:r>
      <w:r>
        <w:rPr>
          <w:rFonts w:hAnsi="新細明體"/>
          <w:kern w:val="0"/>
        </w:rPr>
        <w:t>。</w:t>
      </w:r>
    </w:p>
  </w:footnote>
  <w:footnote w:id="9">
    <w:p w:rsidR="00000000" w:rsidRDefault="00B12645">
      <w:pPr>
        <w:pStyle w:val="ad"/>
        <w:spacing w:line="360" w:lineRule="auto"/>
        <w:ind w:left="200" w:hanging="200"/>
        <w:jc w:val="both"/>
        <w:rPr>
          <w:lang w:val="de-DE"/>
        </w:rPr>
      </w:pPr>
      <w:r>
        <w:rPr>
          <w:rStyle w:val="ae"/>
        </w:rPr>
        <w:footnoteRef/>
      </w:r>
      <w:r>
        <w:rPr>
          <w:lang w:val="de-DE"/>
        </w:rPr>
        <w:t xml:space="preserve"> Vgl. Hufen, </w:t>
      </w:r>
      <w:r>
        <w:rPr>
          <w:rFonts w:hint="eastAsia"/>
          <w:color w:val="0000FF"/>
          <w:lang w:val="de-DE"/>
        </w:rPr>
        <w:t>a.a.O.(Anm. 117)</w:t>
      </w:r>
      <w:r>
        <w:rPr>
          <w:lang w:val="de-DE"/>
        </w:rPr>
        <w:t>, § 14 Rn. 12.</w:t>
      </w:r>
    </w:p>
  </w:footnote>
  <w:footnote w:id="10">
    <w:p w:rsidR="00000000" w:rsidRDefault="00B12645">
      <w:pPr>
        <w:pStyle w:val="ad"/>
        <w:spacing w:line="360" w:lineRule="auto"/>
        <w:ind w:left="200" w:hanging="200"/>
        <w:jc w:val="both"/>
        <w:rPr>
          <w:lang w:val="de-DE"/>
        </w:rPr>
      </w:pPr>
      <w:r>
        <w:rPr>
          <w:rStyle w:val="ae"/>
        </w:rPr>
        <w:footnoteRef/>
      </w:r>
      <w:r>
        <w:rPr>
          <w:lang w:val="de-DE"/>
        </w:rPr>
        <w:t xml:space="preserve"> Vgl. BVerwGe 80, 130; Erichsen, Jura 1984, 650.</w:t>
      </w:r>
    </w:p>
  </w:footnote>
  <w:footnote w:id="11">
    <w:p w:rsidR="00000000" w:rsidRDefault="00B12645">
      <w:pPr>
        <w:pStyle w:val="ad"/>
        <w:spacing w:line="360" w:lineRule="auto"/>
        <w:ind w:left="200" w:hanging="200"/>
        <w:jc w:val="both"/>
        <w:rPr>
          <w:lang w:val="de-DE"/>
        </w:rPr>
      </w:pPr>
      <w:r>
        <w:rPr>
          <w:rStyle w:val="ae"/>
        </w:rPr>
        <w:footnoteRef/>
      </w:r>
      <w:r>
        <w:rPr>
          <w:lang w:val="de-DE"/>
        </w:rPr>
        <w:t xml:space="preserve"> Vgl. BVerwGe 80, 130.</w:t>
      </w:r>
    </w:p>
  </w:footnote>
  <w:footnote w:id="12">
    <w:p w:rsidR="00000000" w:rsidRDefault="00B12645">
      <w:pPr>
        <w:pStyle w:val="ad"/>
        <w:spacing w:line="360" w:lineRule="auto"/>
        <w:ind w:left="200" w:hanging="200"/>
        <w:jc w:val="both"/>
        <w:rPr>
          <w:lang w:val="de-DE"/>
        </w:rPr>
      </w:pPr>
      <w:r>
        <w:rPr>
          <w:rStyle w:val="ae"/>
        </w:rPr>
        <w:footnoteRef/>
      </w:r>
      <w:r>
        <w:rPr>
          <w:lang w:val="de-DE"/>
        </w:rPr>
        <w:t xml:space="preserve"> Vgl. BV</w:t>
      </w:r>
      <w:r>
        <w:rPr>
          <w:lang w:val="de-DE"/>
        </w:rPr>
        <w:t>erwGE 81, 329, 347, Ehlers, Vorb. § 40 Rn. 101; Wernsmann, DVBl. 2005, 279.</w:t>
      </w:r>
    </w:p>
  </w:footnote>
  <w:footnote w:id="13">
    <w:p w:rsidR="00000000" w:rsidRDefault="00B12645">
      <w:pPr>
        <w:pStyle w:val="ad"/>
        <w:spacing w:line="360" w:lineRule="auto"/>
        <w:ind w:left="200" w:hanging="200"/>
        <w:jc w:val="both"/>
        <w:rPr>
          <w:lang w:val="de-DE"/>
        </w:rPr>
      </w:pPr>
      <w:r>
        <w:rPr>
          <w:rStyle w:val="ae"/>
        </w:rPr>
        <w:footnoteRef/>
      </w:r>
      <w:r>
        <w:rPr>
          <w:lang w:val="de-DE"/>
        </w:rPr>
        <w:t xml:space="preserve"> Vgl. BVerwG vom 30.6.1993 – 2 B 64.93 –.</w:t>
      </w:r>
    </w:p>
  </w:footnote>
  <w:footnote w:id="14">
    <w:p w:rsidR="00000000" w:rsidRDefault="00B12645">
      <w:pPr>
        <w:pStyle w:val="ad"/>
        <w:spacing w:line="360" w:lineRule="auto"/>
        <w:ind w:left="200" w:hanging="200"/>
        <w:jc w:val="both"/>
        <w:rPr>
          <w:lang w:val="de-DE"/>
        </w:rPr>
      </w:pPr>
      <w:r>
        <w:rPr>
          <w:rStyle w:val="ae"/>
        </w:rPr>
        <w:footnoteRef/>
      </w:r>
      <w:r>
        <w:rPr>
          <w:lang w:val="de-DE"/>
        </w:rPr>
        <w:t xml:space="preserve"> Vgl. Wernsmann, DVBl. 2005, 279.</w:t>
      </w:r>
    </w:p>
  </w:footnote>
  <w:footnote w:id="15">
    <w:p w:rsidR="00000000" w:rsidRDefault="00B12645">
      <w:pPr>
        <w:pStyle w:val="ad"/>
        <w:spacing w:line="360" w:lineRule="auto"/>
        <w:ind w:left="200" w:hanging="200"/>
        <w:jc w:val="both"/>
        <w:rPr>
          <w:lang w:val="de-DE"/>
        </w:rPr>
      </w:pPr>
      <w:r>
        <w:rPr>
          <w:rStyle w:val="ae"/>
        </w:rPr>
        <w:footnoteRef/>
      </w:r>
      <w:r>
        <w:rPr>
          <w:lang w:val="de-DE"/>
        </w:rPr>
        <w:t xml:space="preserve"> Vgl. Schoch, in: Schoch/Schmidt-Aßmann/Pietzner (Hrsg.), </w:t>
      </w:r>
      <w:r>
        <w:rPr>
          <w:rFonts w:hint="eastAsia"/>
          <w:color w:val="0000FF"/>
          <w:lang w:val="de-DE"/>
        </w:rPr>
        <w:t>a.a.O.(Anm. 158)</w:t>
      </w:r>
      <w:r>
        <w:rPr>
          <w:lang w:val="de-DE"/>
        </w:rPr>
        <w:t>, Vorb. § 80 Rn. 34 f. (Sta</w:t>
      </w:r>
      <w:r>
        <w:rPr>
          <w:lang w:val="de-DE"/>
        </w:rPr>
        <w:t>nd: Jan. 2003).</w:t>
      </w:r>
    </w:p>
  </w:footnote>
  <w:footnote w:id="16">
    <w:p w:rsidR="00000000" w:rsidRDefault="00B12645">
      <w:pPr>
        <w:pStyle w:val="ad"/>
        <w:spacing w:line="360" w:lineRule="auto"/>
        <w:ind w:left="200" w:hanging="200"/>
        <w:jc w:val="both"/>
        <w:rPr>
          <w:rFonts w:hint="eastAsia"/>
          <w:lang w:val="de-DE"/>
        </w:rPr>
      </w:pPr>
      <w:r>
        <w:rPr>
          <w:rStyle w:val="ae"/>
        </w:rPr>
        <w:footnoteRef/>
      </w:r>
      <w:r>
        <w:rPr>
          <w:lang w:val="de-DE"/>
        </w:rPr>
        <w:t xml:space="preserve"> </w:t>
      </w:r>
      <w:r>
        <w:rPr>
          <w:rFonts w:hAnsi="新細明體"/>
          <w:color w:val="FF0000"/>
        </w:rPr>
        <w:t>參考</w:t>
      </w:r>
      <w:r>
        <w:rPr>
          <w:rFonts w:hAnsi="新細明體"/>
          <w:color w:val="FF0000"/>
          <w:lang w:val="de-DE"/>
        </w:rPr>
        <w:t>，</w:t>
      </w:r>
      <w:r>
        <w:rPr>
          <w:rFonts w:hAnsi="新細明體"/>
          <w:color w:val="FF0000"/>
        </w:rPr>
        <w:t>林明昕</w:t>
      </w:r>
      <w:r>
        <w:rPr>
          <w:rFonts w:hAnsi="新細明體"/>
          <w:lang w:val="de-DE"/>
        </w:rPr>
        <w:t>，</w:t>
      </w:r>
      <w:r>
        <w:rPr>
          <w:rFonts w:hAnsi="新細明體" w:hint="eastAsia"/>
          <w:color w:val="0000FF"/>
        </w:rPr>
        <w:t>前揭文</w:t>
      </w:r>
      <w:r>
        <w:rPr>
          <w:rFonts w:hAnsi="新細明體" w:hint="eastAsia"/>
          <w:color w:val="0000FF"/>
        </w:rPr>
        <w:t>(</w:t>
      </w:r>
      <w:r>
        <w:rPr>
          <w:rFonts w:hAnsi="新細明體" w:hint="eastAsia"/>
          <w:color w:val="0000FF"/>
        </w:rPr>
        <w:t>註</w:t>
      </w:r>
      <w:r>
        <w:rPr>
          <w:rFonts w:hAnsi="新細明體" w:hint="eastAsia"/>
          <w:color w:val="0000FF"/>
        </w:rPr>
        <w:t>159)</w:t>
      </w:r>
      <w:r>
        <w:rPr>
          <w:rFonts w:hAnsi="新細明體" w:hint="eastAsia"/>
          <w:lang w:val="de-DE"/>
        </w:rPr>
        <w:t>。</w:t>
      </w:r>
    </w:p>
  </w:footnote>
  <w:footnote w:id="17">
    <w:p w:rsidR="00000000" w:rsidRDefault="00B12645">
      <w:pPr>
        <w:pStyle w:val="ad"/>
        <w:spacing w:line="360" w:lineRule="auto"/>
        <w:ind w:left="200" w:hanging="200"/>
        <w:jc w:val="both"/>
        <w:rPr>
          <w:lang w:val="de-DE"/>
        </w:rPr>
      </w:pPr>
      <w:r>
        <w:rPr>
          <w:rStyle w:val="ae"/>
        </w:rPr>
        <w:footnoteRef/>
      </w:r>
      <w:r>
        <w:rPr>
          <w:lang w:val="de-DE"/>
        </w:rPr>
        <w:t xml:space="preserve"> Vgl.BVerfG (Kammer) vom 29.7.2003 – 2 BvR 311/ 03 – Rn. 16.</w:t>
      </w:r>
    </w:p>
  </w:footnote>
  <w:footnote w:id="18">
    <w:p w:rsidR="00000000" w:rsidRDefault="00B12645">
      <w:pPr>
        <w:pStyle w:val="ad"/>
        <w:spacing w:line="360" w:lineRule="auto"/>
        <w:ind w:left="200" w:hanging="200"/>
        <w:jc w:val="both"/>
        <w:rPr>
          <w:lang w:val="de-DE"/>
        </w:rPr>
      </w:pPr>
      <w:r>
        <w:rPr>
          <w:rStyle w:val="ae"/>
        </w:rPr>
        <w:footnoteRef/>
      </w:r>
      <w:r>
        <w:rPr>
          <w:lang w:val="de-DE"/>
        </w:rPr>
        <w:t xml:space="preserve"> Vgl. Wernsmann, DVBl. 2005, 280.</w:t>
      </w:r>
    </w:p>
  </w:footnote>
  <w:footnote w:id="19">
    <w:p w:rsidR="00000000" w:rsidRDefault="00B12645">
      <w:pPr>
        <w:pStyle w:val="ad"/>
        <w:spacing w:line="360" w:lineRule="auto"/>
        <w:ind w:left="200" w:hanging="200"/>
        <w:jc w:val="both"/>
        <w:rPr>
          <w:lang w:val="de-DE"/>
        </w:rPr>
      </w:pPr>
      <w:r>
        <w:rPr>
          <w:rStyle w:val="ae"/>
        </w:rPr>
        <w:footnoteRef/>
      </w:r>
      <w:r>
        <w:rPr>
          <w:lang w:val="de-DE"/>
        </w:rPr>
        <w:t xml:space="preserve"> Vgl. </w:t>
      </w:r>
      <w:r>
        <w:rPr>
          <w:color w:val="0000FF"/>
        </w:rPr>
        <w:t>Peter-Michael</w:t>
      </w:r>
      <w:r>
        <w:rPr>
          <w:lang w:val="de-DE"/>
        </w:rPr>
        <w:t xml:space="preserve"> Huber, Konkurrenzschutz</w:t>
      </w:r>
      <w:r>
        <w:rPr>
          <w:color w:val="000000"/>
        </w:rPr>
        <w:t xml:space="preserve"> </w:t>
      </w:r>
      <w:r>
        <w:rPr>
          <w:color w:val="0000FF"/>
        </w:rPr>
        <w:t>im Verwaltungsrecht</w:t>
      </w:r>
      <w:r>
        <w:rPr>
          <w:lang w:val="de-DE"/>
        </w:rPr>
        <w:t xml:space="preserve">, S. 477; Schenke, VerwP, 9. Aufl., 2004, Rn. 524; Wahl/ Schütz, </w:t>
      </w:r>
      <w:r>
        <w:rPr>
          <w:color w:val="0000FF"/>
        </w:rPr>
        <w:t>Schoch/Schmi</w:t>
      </w:r>
      <w:r>
        <w:rPr>
          <w:color w:val="0000FF"/>
        </w:rPr>
        <w:t>dt-Aßmann/Pietzner</w:t>
      </w:r>
      <w:r>
        <w:rPr>
          <w:lang w:val="de-DE"/>
        </w:rPr>
        <w:t>, VwGO, § 42 Rn. 325.</w:t>
      </w:r>
    </w:p>
  </w:footnote>
  <w:footnote w:id="20">
    <w:p w:rsidR="00000000" w:rsidRDefault="00B12645">
      <w:pPr>
        <w:pStyle w:val="ad"/>
        <w:spacing w:line="360" w:lineRule="auto"/>
        <w:ind w:left="200" w:hanging="200"/>
        <w:jc w:val="both"/>
        <w:rPr>
          <w:lang w:val="de-DE"/>
        </w:rPr>
      </w:pPr>
      <w:r>
        <w:rPr>
          <w:rStyle w:val="ae"/>
        </w:rPr>
        <w:footnoteRef/>
      </w:r>
      <w:r>
        <w:rPr>
          <w:lang w:val="de-DE"/>
        </w:rPr>
        <w:t xml:space="preserve"> Vgl. Wernsmann, DVBl. 2005, 281.</w:t>
      </w:r>
    </w:p>
  </w:footnote>
  <w:footnote w:id="21">
    <w:p w:rsidR="00000000" w:rsidRDefault="00B12645">
      <w:pPr>
        <w:pStyle w:val="ad"/>
        <w:spacing w:line="360" w:lineRule="auto"/>
        <w:ind w:left="200" w:hanging="200"/>
        <w:jc w:val="both"/>
        <w:rPr>
          <w:lang w:val="de-DE"/>
        </w:rPr>
      </w:pPr>
      <w:r>
        <w:rPr>
          <w:rStyle w:val="ae"/>
        </w:rPr>
        <w:footnoteRef/>
      </w:r>
      <w:r>
        <w:rPr>
          <w:lang w:val="de-DE"/>
        </w:rPr>
        <w:t xml:space="preserve"> Vgl. BVerfG vom 14.1.2004 – 1 BvR 506/ 03 –, DVBl. 2004, 431.</w:t>
      </w:r>
    </w:p>
  </w:footnote>
  <w:footnote w:id="22">
    <w:p w:rsidR="00000000" w:rsidRDefault="00B12645">
      <w:pPr>
        <w:pStyle w:val="ad"/>
        <w:spacing w:line="360" w:lineRule="auto"/>
        <w:ind w:left="200" w:hanging="200"/>
        <w:jc w:val="both"/>
        <w:rPr>
          <w:lang w:val="de-DE"/>
        </w:rPr>
      </w:pPr>
      <w:r>
        <w:rPr>
          <w:rStyle w:val="ae"/>
        </w:rPr>
        <w:footnoteRef/>
      </w:r>
      <w:r>
        <w:rPr>
          <w:lang w:val="de-DE"/>
        </w:rPr>
        <w:t xml:space="preserve"> Vgl. Schoch, Vorläufiger Rechtsschutz und Risikoverteilung im Verwaltungsrtecht, 1988, S. 699 f.</w:t>
      </w:r>
    </w:p>
  </w:footnote>
  <w:footnote w:id="23">
    <w:p w:rsidR="00000000" w:rsidRDefault="00B12645">
      <w:pPr>
        <w:pStyle w:val="ad"/>
        <w:spacing w:line="360" w:lineRule="auto"/>
        <w:ind w:left="200" w:hanging="200"/>
        <w:jc w:val="both"/>
        <w:rPr>
          <w:lang w:val="de-DE"/>
        </w:rPr>
      </w:pPr>
      <w:r>
        <w:rPr>
          <w:rStyle w:val="ae"/>
        </w:rPr>
        <w:footnoteRef/>
      </w:r>
      <w:r>
        <w:rPr>
          <w:lang w:val="de-DE"/>
        </w:rPr>
        <w:t xml:space="preserve"> Vgl. Wernsmann, </w:t>
      </w:r>
      <w:r>
        <w:rPr>
          <w:lang w:val="de-DE"/>
        </w:rPr>
        <w:t>DVBl. 2005, 282.</w:t>
      </w:r>
    </w:p>
  </w:footnote>
  <w:footnote w:id="24">
    <w:p w:rsidR="00000000" w:rsidRDefault="00B12645">
      <w:pPr>
        <w:pStyle w:val="ad"/>
        <w:spacing w:line="360" w:lineRule="auto"/>
        <w:ind w:left="200" w:hanging="200"/>
        <w:jc w:val="both"/>
        <w:rPr>
          <w:lang w:val="de-DE" w:eastAsia="ja-JP"/>
        </w:rPr>
      </w:pPr>
      <w:r>
        <w:rPr>
          <w:rStyle w:val="ae"/>
        </w:rPr>
        <w:footnoteRef/>
      </w:r>
      <w:r>
        <w:rPr>
          <w:lang w:val="de-DE"/>
        </w:rPr>
        <w:t xml:space="preserve"> </w:t>
      </w:r>
      <w:r>
        <w:rPr>
          <w:lang w:val="de-DE" w:eastAsia="ja-JP"/>
        </w:rPr>
        <w:t xml:space="preserve">Kopp/ Schenke, </w:t>
      </w:r>
      <w:r>
        <w:rPr>
          <w:rFonts w:hint="eastAsia"/>
          <w:color w:val="0000FF"/>
          <w:lang w:val="de-DE"/>
        </w:rPr>
        <w:t>a.a.O.(Anm. 120)</w:t>
      </w:r>
      <w:r>
        <w:rPr>
          <w:lang w:val="de-DE" w:eastAsia="ja-JP"/>
        </w:rPr>
        <w:t>, § 113 Rn 6.</w:t>
      </w:r>
    </w:p>
  </w:footnote>
  <w:footnote w:id="25">
    <w:p w:rsidR="00000000" w:rsidRDefault="00B12645">
      <w:pPr>
        <w:pStyle w:val="ad"/>
        <w:spacing w:line="360" w:lineRule="auto"/>
        <w:ind w:left="200" w:hanging="200"/>
        <w:jc w:val="both"/>
        <w:rPr>
          <w:lang w:val="de-DE"/>
        </w:rPr>
      </w:pPr>
      <w:r>
        <w:rPr>
          <w:rStyle w:val="ae"/>
        </w:rPr>
        <w:footnoteRef/>
      </w:r>
      <w:r>
        <w:rPr>
          <w:lang w:val="de-DE"/>
        </w:rPr>
        <w:t xml:space="preserve"> </w:t>
      </w:r>
      <w:r>
        <w:rPr>
          <w:rFonts w:hAnsi="新細明體"/>
        </w:rPr>
        <w:t>這包括源自於法治國完整性與民主正當性的政治中立原則</w:t>
      </w:r>
      <w:r>
        <w:rPr>
          <w:rFonts w:hAnsi="新細明體"/>
          <w:lang w:val="de-DE"/>
        </w:rPr>
        <w:t>（</w:t>
      </w:r>
      <w:r>
        <w:rPr>
          <w:lang w:val="de-DE" w:eastAsia="ja-JP"/>
        </w:rPr>
        <w:t>politische Neutralität</w:t>
      </w:r>
      <w:r>
        <w:rPr>
          <w:rFonts w:hAnsi="新細明體"/>
          <w:lang w:val="de-DE"/>
        </w:rPr>
        <w:t>）</w:t>
      </w:r>
      <w:r>
        <w:rPr>
          <w:rFonts w:hAnsi="新細明體"/>
        </w:rPr>
        <w:t>、嚴守職務秘密原則</w:t>
      </w:r>
      <w:r>
        <w:rPr>
          <w:rFonts w:hAnsi="新細明體"/>
          <w:lang w:val="de-DE"/>
        </w:rPr>
        <w:t>（</w:t>
      </w:r>
      <w:r>
        <w:rPr>
          <w:lang w:val="de-DE"/>
        </w:rPr>
        <w:t>Amtsverschwiegenheit</w:t>
      </w:r>
      <w:r>
        <w:rPr>
          <w:rFonts w:hAnsi="新細明體"/>
          <w:lang w:val="de-DE"/>
        </w:rPr>
        <w:t>）；</w:t>
      </w:r>
      <w:r>
        <w:rPr>
          <w:rFonts w:hAnsi="新細明體"/>
        </w:rPr>
        <w:t>源自於行政效率要求的功績原則</w:t>
      </w:r>
      <w:r>
        <w:rPr>
          <w:rFonts w:hAnsi="新細明體"/>
          <w:lang w:val="de-DE"/>
        </w:rPr>
        <w:t>（</w:t>
      </w:r>
      <w:r>
        <w:rPr>
          <w:lang w:val="de-DE" w:eastAsia="ja-JP"/>
        </w:rPr>
        <w:t>Leistungsprinzip</w:t>
      </w:r>
      <w:r>
        <w:rPr>
          <w:rFonts w:hAnsi="新細明體"/>
          <w:lang w:val="de-DE"/>
        </w:rPr>
        <w:t>，</w:t>
      </w:r>
      <w:r>
        <w:rPr>
          <w:rFonts w:hAnsi="新細明體"/>
        </w:rPr>
        <w:t>這個原則一般也被認為具有主觀權利的內涵</w:t>
      </w:r>
      <w:r>
        <w:rPr>
          <w:rFonts w:hAnsi="新細明體"/>
          <w:lang w:val="de-DE"/>
        </w:rPr>
        <w:t>）</w:t>
      </w:r>
      <w:r>
        <w:rPr>
          <w:rFonts w:hAnsi="新細明體"/>
        </w:rPr>
        <w:t>等等。</w:t>
      </w:r>
    </w:p>
  </w:footnote>
  <w:footnote w:id="26">
    <w:p w:rsidR="00000000" w:rsidRDefault="00B12645">
      <w:pPr>
        <w:pStyle w:val="ad"/>
        <w:spacing w:line="360" w:lineRule="auto"/>
        <w:ind w:left="200" w:hanging="200"/>
        <w:jc w:val="both"/>
      </w:pPr>
      <w:r>
        <w:rPr>
          <w:rStyle w:val="ae"/>
        </w:rPr>
        <w:footnoteRef/>
      </w:r>
      <w:r>
        <w:rPr>
          <w:kern w:val="0"/>
          <w:lang w:val="de-DE"/>
        </w:rPr>
        <w:t xml:space="preserve"> </w:t>
      </w:r>
      <w:r>
        <w:rPr>
          <w:rFonts w:hAnsi="新細明體"/>
          <w:kern w:val="0"/>
        </w:rPr>
        <w:t>身分法上職務或</w:t>
      </w:r>
      <w:r>
        <w:rPr>
          <w:rFonts w:hAnsi="新細明體"/>
        </w:rPr>
        <w:t>地位法上的公務員職務原則上是透過官、職等的分類</w:t>
      </w:r>
      <w:r>
        <w:rPr>
          <w:rFonts w:hAnsi="新細明體"/>
          <w:lang w:val="de-DE"/>
        </w:rPr>
        <w:t>（</w:t>
      </w:r>
      <w:r>
        <w:rPr>
          <w:lang w:val="de-DE"/>
        </w:rPr>
        <w:t>die Zugehörigkeit zu einer Laufbahn und Laufbahngruppe</w:t>
      </w:r>
      <w:r>
        <w:rPr>
          <w:rFonts w:hAnsi="新細明體"/>
          <w:lang w:val="de-DE"/>
        </w:rPr>
        <w:t>）</w:t>
      </w:r>
      <w:r>
        <w:rPr>
          <w:rFonts w:hAnsi="新細明體"/>
        </w:rPr>
        <w:t>、俸級的基本俸給</w:t>
      </w:r>
      <w:r>
        <w:rPr>
          <w:rFonts w:hAnsi="新細明體"/>
          <w:lang w:val="de-DE"/>
        </w:rPr>
        <w:t>（</w:t>
      </w:r>
      <w:r>
        <w:rPr>
          <w:lang w:val="de-DE"/>
        </w:rPr>
        <w:t>das Endgrundgehalt der</w:t>
      </w:r>
      <w:r>
        <w:rPr>
          <w:lang w:val="de-DE"/>
        </w:rPr>
        <w:t xml:space="preserve"> Besoldungsgruppe</w:t>
      </w:r>
      <w:r>
        <w:rPr>
          <w:rFonts w:hAnsi="新細明體"/>
          <w:lang w:val="de-DE"/>
        </w:rPr>
        <w:t>）</w:t>
      </w:r>
      <w:r>
        <w:rPr>
          <w:rFonts w:hAnsi="新細明體"/>
        </w:rPr>
        <w:t>以及賦與公務員的官銜</w:t>
      </w:r>
      <w:r>
        <w:rPr>
          <w:rFonts w:hAnsi="新細明體"/>
          <w:lang w:val="de-DE"/>
        </w:rPr>
        <w:t>（</w:t>
      </w:r>
      <w:r>
        <w:rPr>
          <w:lang w:val="de-DE"/>
        </w:rPr>
        <w:t>Amtsbezeichnung</w:t>
      </w:r>
      <w:r>
        <w:rPr>
          <w:rFonts w:hAnsi="新細明體"/>
          <w:lang w:val="de-DE"/>
        </w:rPr>
        <w:t>）</w:t>
      </w:r>
      <w:r>
        <w:rPr>
          <w:rFonts w:hAnsi="新細明體"/>
        </w:rPr>
        <w:t>加以認定。地位法上的公務員職務首先透過「任命（</w:t>
      </w:r>
      <w:r>
        <w:t>Ernennung</w:t>
      </w:r>
      <w:r>
        <w:rPr>
          <w:rFonts w:hAnsi="新細明體"/>
        </w:rPr>
        <w:t>）」賦予，其後之變動僅得透過「陞遷（</w:t>
      </w:r>
      <w:r>
        <w:t>Beförderung</w:t>
      </w:r>
      <w:r>
        <w:rPr>
          <w:rFonts w:hAnsi="新細明體"/>
        </w:rPr>
        <w:t>）」或透過懲戒程序的降級（</w:t>
      </w:r>
      <w:r>
        <w:t>Degradierung</w:t>
      </w:r>
      <w:r>
        <w:rPr>
          <w:rFonts w:hAnsi="新細明體"/>
        </w:rPr>
        <w:t>）為之。因此若是官等、職等或俸級的變動便屬「地位法上的公務員</w:t>
      </w:r>
      <w:r>
        <w:rPr>
          <w:rFonts w:hAnsi="新細明體"/>
          <w:color w:val="000000"/>
        </w:rPr>
        <w:t>職務」之變動。</w:t>
      </w:r>
    </w:p>
  </w:footnote>
  <w:footnote w:id="27">
    <w:p w:rsidR="00000000" w:rsidRDefault="00B12645">
      <w:pPr>
        <w:pStyle w:val="ad"/>
        <w:spacing w:line="360" w:lineRule="auto"/>
        <w:ind w:left="200" w:hanging="200"/>
        <w:jc w:val="both"/>
        <w:rPr>
          <w:lang w:val="de-DE"/>
        </w:rPr>
      </w:pPr>
      <w:r>
        <w:rPr>
          <w:rStyle w:val="ae"/>
        </w:rPr>
        <w:footnoteRef/>
      </w:r>
      <w:r>
        <w:rPr>
          <w:lang w:val="de-DE"/>
        </w:rPr>
        <w:t xml:space="preserve"> BVerfGE 7, 155, 163; 70, 251, 267 ff.</w:t>
      </w:r>
    </w:p>
  </w:footnote>
  <w:footnote w:id="28">
    <w:p w:rsidR="00000000" w:rsidRDefault="00B12645">
      <w:pPr>
        <w:pStyle w:val="ad"/>
        <w:spacing w:line="360" w:lineRule="auto"/>
        <w:ind w:left="200" w:hanging="200"/>
        <w:jc w:val="both"/>
        <w:rPr>
          <w:lang w:val="de-DE" w:eastAsia="ja-JP"/>
        </w:rPr>
      </w:pPr>
      <w:r>
        <w:rPr>
          <w:rStyle w:val="ae"/>
        </w:rPr>
        <w:footnoteRef/>
      </w:r>
      <w:r>
        <w:rPr>
          <w:lang w:val="de-DE"/>
        </w:rPr>
        <w:t xml:space="preserve"> </w:t>
      </w:r>
      <w:r>
        <w:rPr>
          <w:lang w:val="de-DE" w:eastAsia="ja-JP"/>
        </w:rPr>
        <w:t>Vgl. Schmidt-Preuß, Kollodoerende Privatinter</w:t>
      </w:r>
      <w:r>
        <w:rPr>
          <w:lang w:val="de-DE" w:eastAsia="ja-JP"/>
        </w:rPr>
        <w:t>eessen im Verwaltungsrecht, 1992, S. 475 ff.; a.A. Wieland, FS Blümel, 1999, S. 655.</w:t>
      </w:r>
    </w:p>
  </w:footnote>
  <w:footnote w:id="29">
    <w:p w:rsidR="00000000" w:rsidRDefault="00B12645">
      <w:pPr>
        <w:pStyle w:val="ad"/>
        <w:spacing w:line="360" w:lineRule="auto"/>
        <w:ind w:left="200" w:hanging="200"/>
        <w:jc w:val="both"/>
        <w:rPr>
          <w:lang w:val="de-DE"/>
        </w:rPr>
      </w:pPr>
      <w:r>
        <w:rPr>
          <w:rStyle w:val="ae"/>
        </w:rPr>
        <w:footnoteRef/>
      </w:r>
      <w:r>
        <w:rPr>
          <w:lang w:val="de-DE"/>
        </w:rPr>
        <w:t xml:space="preserve"> Vgl. </w:t>
      </w:r>
      <w:r>
        <w:rPr>
          <w:snapToGrid w:val="0"/>
          <w:color w:val="0000FF"/>
          <w:lang w:val="de-DE" w:eastAsia="de-DE"/>
        </w:rPr>
        <w:t>R</w:t>
      </w:r>
      <w:r>
        <w:rPr>
          <w:rFonts w:hint="eastAsia"/>
          <w:snapToGrid w:val="0"/>
          <w:color w:val="0000FF"/>
          <w:lang w:val="de-DE"/>
        </w:rPr>
        <w:t>obert</w:t>
      </w:r>
      <w:r>
        <w:rPr>
          <w:snapToGrid w:val="0"/>
          <w:lang w:val="de-DE" w:eastAsia="de-DE"/>
        </w:rPr>
        <w:t xml:space="preserve"> Alexy, Theorie der Grundrechte, </w:t>
      </w:r>
      <w:r>
        <w:rPr>
          <w:rFonts w:hint="eastAsia"/>
          <w:snapToGrid w:val="0"/>
          <w:color w:val="0000FF"/>
          <w:lang w:val="de-DE"/>
        </w:rPr>
        <w:t>1985</w:t>
      </w:r>
      <w:r>
        <w:rPr>
          <w:rFonts w:hint="eastAsia"/>
          <w:snapToGrid w:val="0"/>
          <w:color w:val="000000"/>
          <w:lang w:val="de-DE"/>
        </w:rPr>
        <w:t>,</w:t>
      </w:r>
      <w:r>
        <w:rPr>
          <w:snapToGrid w:val="0"/>
          <w:lang w:val="de-DE" w:eastAsia="de-DE"/>
        </w:rPr>
        <w:t xml:space="preserve"> S. 75</w:t>
      </w:r>
      <w:r>
        <w:rPr>
          <w:snapToGrid w:val="0"/>
          <w:lang w:val="de-DE"/>
        </w:rPr>
        <w:t xml:space="preserve"> </w:t>
      </w:r>
      <w:r>
        <w:rPr>
          <w:snapToGrid w:val="0"/>
          <w:lang w:val="de-DE" w:eastAsia="de-DE"/>
        </w:rPr>
        <w:t>f</w:t>
      </w:r>
      <w:r>
        <w:rPr>
          <w:snapToGrid w:val="0"/>
          <w:lang w:val="de-DE"/>
        </w:rPr>
        <w:t>f</w:t>
      </w:r>
      <w:r>
        <w:rPr>
          <w:snapToGrid w:val="0"/>
          <w:lang w:val="de-DE" w:eastAsia="de-DE"/>
        </w:rPr>
        <w:t>.</w:t>
      </w:r>
    </w:p>
  </w:footnote>
  <w:footnote w:id="30">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76.</w:t>
      </w:r>
    </w:p>
  </w:footnote>
  <w:footnote w:id="31">
    <w:p w:rsidR="00000000" w:rsidRDefault="00B12645">
      <w:pPr>
        <w:pStyle w:val="ad"/>
        <w:spacing w:line="360" w:lineRule="auto"/>
        <w:ind w:left="200" w:hanging="200"/>
        <w:jc w:val="both"/>
        <w:rPr>
          <w:rFonts w:eastAsia="MS Mincho" w:hint="eastAsia"/>
          <w:lang w:val="de-DE" w:eastAsia="ja-JP"/>
        </w:rPr>
      </w:pPr>
      <w:r>
        <w:rPr>
          <w:rStyle w:val="ae"/>
        </w:rPr>
        <w:footnoteRef/>
      </w:r>
      <w:r>
        <w:rPr>
          <w:lang w:val="de-DE"/>
        </w:rPr>
        <w:t xml:space="preserve"> </w:t>
      </w:r>
      <w:r>
        <w:rPr>
          <w:rFonts w:eastAsia="MS Mincho"/>
          <w:snapToGrid w:val="0"/>
          <w:color w:val="FF0000"/>
          <w:lang w:val="de-DE" w:eastAsia="ja-JP"/>
        </w:rPr>
        <w:t>E</w:t>
      </w:r>
      <w:r>
        <w:rPr>
          <w:rFonts w:eastAsia="MS Mincho" w:hint="eastAsia"/>
          <w:snapToGrid w:val="0"/>
          <w:color w:val="FF0000"/>
          <w:lang w:val="de-DE" w:eastAsia="ja-JP"/>
        </w:rPr>
        <w:t>benda.</w:t>
      </w:r>
    </w:p>
  </w:footnote>
  <w:footnote w:id="32">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76.</w:t>
      </w:r>
    </w:p>
  </w:footnote>
  <w:footnote w:id="33">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7</w:t>
      </w:r>
      <w:r>
        <w:rPr>
          <w:snapToGrid w:val="0"/>
          <w:lang w:val="de-DE" w:eastAsia="de-DE"/>
        </w:rPr>
        <w:t>6</w:t>
      </w:r>
      <w:r>
        <w:rPr>
          <w:snapToGrid w:val="0"/>
          <w:lang w:val="de-DE"/>
        </w:rPr>
        <w:t xml:space="preserve"> </w:t>
      </w:r>
      <w:r>
        <w:rPr>
          <w:snapToGrid w:val="0"/>
          <w:lang w:val="de-DE" w:eastAsia="de-DE"/>
        </w:rPr>
        <w:t>f.</w:t>
      </w:r>
    </w:p>
  </w:footnote>
  <w:footnote w:id="34">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79</w:t>
      </w:r>
      <w:r>
        <w:rPr>
          <w:snapToGrid w:val="0"/>
          <w:lang w:val="de-DE"/>
        </w:rPr>
        <w:t xml:space="preserve"> </w:t>
      </w:r>
      <w:r>
        <w:rPr>
          <w:snapToGrid w:val="0"/>
          <w:lang w:val="de-DE" w:eastAsia="de-DE"/>
        </w:rPr>
        <w:t>ff.</w:t>
      </w:r>
    </w:p>
  </w:footnote>
  <w:footnote w:id="35">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79.</w:t>
      </w:r>
    </w:p>
  </w:footnote>
  <w:footnote w:id="36">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80.</w:t>
      </w:r>
    </w:p>
  </w:footnote>
  <w:footnote w:id="37">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81.</w:t>
      </w:r>
    </w:p>
  </w:footnote>
  <w:footnote w:id="38">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Ders.,</w:t>
      </w:r>
      <w:r>
        <w:rPr>
          <w:snapToGrid w:val="0"/>
          <w:color w:val="0000FF"/>
          <w:lang w:val="de-DE" w:eastAsia="de-DE"/>
        </w:rPr>
        <w:t xml:space="preserve"> 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82.</w:t>
      </w:r>
    </w:p>
  </w:footnote>
  <w:footnote w:id="39">
    <w:p w:rsidR="00000000" w:rsidRDefault="00B12645">
      <w:pPr>
        <w:pStyle w:val="ad"/>
        <w:spacing w:line="360" w:lineRule="auto"/>
        <w:ind w:left="200" w:hanging="200"/>
        <w:jc w:val="both"/>
        <w:rPr>
          <w:lang w:val="de-DE"/>
        </w:rPr>
      </w:pPr>
      <w:r>
        <w:rPr>
          <w:rStyle w:val="ae"/>
        </w:rPr>
        <w:footnoteRef/>
      </w:r>
      <w:r>
        <w:rPr>
          <w:lang w:val="de-DE"/>
        </w:rPr>
        <w:t xml:space="preserve"> </w:t>
      </w:r>
      <w:r>
        <w:rPr>
          <w:snapToGrid w:val="0"/>
          <w:lang w:val="de-DE" w:eastAsia="de-DE"/>
        </w:rPr>
        <w:t xml:space="preserve">Ders., </w:t>
      </w:r>
      <w:r>
        <w:rPr>
          <w:snapToGrid w:val="0"/>
          <w:color w:val="0000FF"/>
          <w:lang w:val="de-DE" w:eastAsia="de-DE"/>
        </w:rPr>
        <w:t>a</w:t>
      </w:r>
      <w:r>
        <w:rPr>
          <w:rFonts w:hint="eastAsia"/>
          <w:snapToGrid w:val="0"/>
          <w:color w:val="0000FF"/>
          <w:lang w:val="de-DE"/>
        </w:rPr>
        <w:t>.</w:t>
      </w:r>
      <w:r>
        <w:rPr>
          <w:snapToGrid w:val="0"/>
          <w:color w:val="0000FF"/>
          <w:lang w:val="de-DE" w:eastAsia="de-DE"/>
        </w:rPr>
        <w:t>a</w:t>
      </w:r>
      <w:r>
        <w:rPr>
          <w:rFonts w:hint="eastAsia"/>
          <w:snapToGrid w:val="0"/>
          <w:color w:val="0000FF"/>
          <w:lang w:val="de-DE"/>
        </w:rPr>
        <w:t>.</w:t>
      </w:r>
      <w:r>
        <w:rPr>
          <w:snapToGrid w:val="0"/>
          <w:color w:val="0000FF"/>
          <w:lang w:val="de-DE" w:eastAsia="de-DE"/>
        </w:rPr>
        <w:t>O</w:t>
      </w:r>
      <w:r>
        <w:rPr>
          <w:rFonts w:hint="eastAsia"/>
          <w:snapToGrid w:val="0"/>
          <w:color w:val="0000FF"/>
          <w:lang w:val="de-DE"/>
        </w:rPr>
        <w:t>.(Anm. 198)</w:t>
      </w:r>
      <w:r>
        <w:rPr>
          <w:snapToGrid w:val="0"/>
          <w:lang w:val="de-DE" w:eastAsia="de-DE"/>
        </w:rPr>
        <w:t>, S. 82</w:t>
      </w:r>
      <w:r>
        <w:rPr>
          <w:snapToGrid w:val="0"/>
          <w:lang w:val="de-DE"/>
        </w:rPr>
        <w:t xml:space="preserve"> </w:t>
      </w:r>
      <w:r>
        <w:rPr>
          <w:snapToGrid w:val="0"/>
          <w:lang w:val="de-DE" w:eastAsia="de-DE"/>
        </w:rPr>
        <w:t>ff.</w:t>
      </w:r>
    </w:p>
  </w:footnote>
  <w:footnote w:id="40">
    <w:p w:rsidR="00000000" w:rsidRDefault="00B12645">
      <w:pPr>
        <w:pStyle w:val="ad"/>
        <w:spacing w:line="360" w:lineRule="auto"/>
        <w:ind w:left="200" w:hanging="200"/>
        <w:jc w:val="both"/>
        <w:rPr>
          <w:lang w:val="de-DE" w:eastAsia="ja-JP"/>
        </w:rPr>
      </w:pPr>
      <w:r>
        <w:rPr>
          <w:rStyle w:val="ae"/>
        </w:rPr>
        <w:footnoteRef/>
      </w:r>
      <w:r>
        <w:rPr>
          <w:lang w:val="de-DE"/>
        </w:rPr>
        <w:t xml:space="preserve"> </w:t>
      </w:r>
      <w:r>
        <w:rPr>
          <w:lang w:val="de-DE" w:eastAsia="ja-JP"/>
        </w:rPr>
        <w:t xml:space="preserve">Vgl. </w:t>
      </w:r>
      <w:r>
        <w:rPr>
          <w:color w:val="0000FF"/>
          <w:sz w:val="24"/>
          <w:szCs w:val="24"/>
          <w:lang w:val="de-DE"/>
        </w:rPr>
        <w:t>Dirk</w:t>
      </w:r>
      <w:r>
        <w:rPr>
          <w:lang w:val="de-DE" w:eastAsia="ja-JP"/>
        </w:rPr>
        <w:t xml:space="preserve"> Ehlers, VwGO, Vorb. § 40 Rn. </w:t>
      </w:r>
      <w:r>
        <w:rPr>
          <w:lang w:val="de-DE" w:eastAsia="ja-JP"/>
        </w:rPr>
        <w:t>81 m.w.N.</w:t>
      </w:r>
    </w:p>
  </w:footnote>
  <w:footnote w:id="41">
    <w:p w:rsidR="00000000" w:rsidRDefault="00B12645">
      <w:pPr>
        <w:pStyle w:val="ad"/>
        <w:spacing w:line="360" w:lineRule="auto"/>
        <w:ind w:left="200" w:hanging="200"/>
        <w:jc w:val="both"/>
        <w:rPr>
          <w:lang w:val="de-DE" w:eastAsia="ja-JP"/>
        </w:rPr>
      </w:pPr>
      <w:r>
        <w:rPr>
          <w:rStyle w:val="ae"/>
        </w:rPr>
        <w:footnoteRef/>
      </w:r>
      <w:r>
        <w:rPr>
          <w:lang w:val="de-DE"/>
        </w:rPr>
        <w:t xml:space="preserve"> </w:t>
      </w:r>
      <w:r>
        <w:rPr>
          <w:lang w:val="de-DE" w:eastAsia="ja-JP"/>
        </w:rPr>
        <w:t>Vgl. BVerwG, DVBl. 2004, 317; HessVGH, NVwZ 1994, 1231; NVwZ-RR 1992, 34, 35; NVwZ-RR 1996, 49, 50.</w:t>
      </w:r>
    </w:p>
  </w:footnote>
  <w:footnote w:id="42">
    <w:p w:rsidR="00000000" w:rsidRDefault="00B12645">
      <w:pPr>
        <w:pStyle w:val="ad"/>
        <w:spacing w:line="360" w:lineRule="auto"/>
        <w:ind w:left="200" w:hanging="200"/>
        <w:jc w:val="both"/>
        <w:rPr>
          <w:lang w:val="de-DE" w:eastAsia="ja-JP"/>
        </w:rPr>
      </w:pPr>
      <w:r>
        <w:rPr>
          <w:rStyle w:val="ae"/>
        </w:rPr>
        <w:footnoteRef/>
      </w:r>
      <w:r>
        <w:rPr>
          <w:lang w:val="de-DE"/>
        </w:rPr>
        <w:t xml:space="preserve"> </w:t>
      </w:r>
      <w:r>
        <w:rPr>
          <w:lang w:val="de-DE" w:eastAsia="ja-JP"/>
        </w:rPr>
        <w:t>Vgl. Wernsann, DVBl. 2005, 283.</w:t>
      </w:r>
    </w:p>
  </w:footnote>
  <w:footnote w:id="43">
    <w:p w:rsidR="00000000" w:rsidRDefault="00B12645">
      <w:pPr>
        <w:pStyle w:val="ad"/>
        <w:spacing w:line="360" w:lineRule="auto"/>
        <w:ind w:left="200" w:hanging="200"/>
        <w:jc w:val="both"/>
        <w:rPr>
          <w:lang w:val="de-DE" w:eastAsia="ja-JP"/>
        </w:rPr>
      </w:pPr>
      <w:r>
        <w:rPr>
          <w:rStyle w:val="ae"/>
        </w:rPr>
        <w:footnoteRef/>
      </w:r>
      <w:r>
        <w:rPr>
          <w:lang w:val="de-DE"/>
        </w:rPr>
        <w:t xml:space="preserve"> </w:t>
      </w:r>
      <w:r>
        <w:rPr>
          <w:lang w:val="de-DE" w:eastAsia="ja-JP"/>
        </w:rPr>
        <w:t>Vgl. BVerfG (Kamer), NJW 1990, 501; BVerwGE, DVBl. 2004, 317 (318).</w:t>
      </w:r>
    </w:p>
  </w:footnote>
  <w:footnote w:id="44">
    <w:p w:rsidR="00000000" w:rsidRDefault="00B12645">
      <w:pPr>
        <w:pStyle w:val="ad"/>
        <w:spacing w:line="360" w:lineRule="auto"/>
        <w:ind w:left="200" w:hanging="200"/>
        <w:jc w:val="both"/>
        <w:rPr>
          <w:lang w:eastAsia="ja-JP"/>
        </w:rPr>
      </w:pPr>
      <w:r>
        <w:rPr>
          <w:rStyle w:val="ae"/>
        </w:rPr>
        <w:footnoteRef/>
      </w:r>
      <w:r>
        <w:t xml:space="preserve"> </w:t>
      </w:r>
      <w:r>
        <w:rPr>
          <w:lang w:eastAsia="ja-JP"/>
        </w:rPr>
        <w:t>Vgl. Wernsann, DVBl. 2005, 283.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B2B432E0"/>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A7"/>
    <w:rsid w:val="000A33A7"/>
    <w:rsid w:val="00B12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77B809-000E-4E3B-876F-B019276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1176</Words>
  <Characters>6705</Characters>
  <Application>Microsoft Office Word</Application>
  <DocSecurity>0</DocSecurity>
  <Lines>55</Lines>
  <Paragraphs>15</Paragraphs>
  <ScaleCrop>false</ScaleCrop>
  <Company>CCU</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2021-09-22T10:38:00Z</dcterms:created>
  <dcterms:modified xsi:type="dcterms:W3CDTF">2021-09-22T10:38:00Z</dcterms:modified>
</cp:coreProperties>
</file>