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9591B">
      <w:pPr>
        <w:pStyle w:val="22"/>
        <w:spacing w:line="480" w:lineRule="auto"/>
        <w:ind w:firstLine="380"/>
        <w:rPr>
          <w:rFonts w:ascii="Arial" w:hAnsi="Arial" w:cs="Arial"/>
          <w:vanish/>
          <w:kern w:val="0"/>
          <w:sz w:val="19"/>
          <w:szCs w:val="19"/>
        </w:rPr>
      </w:pPr>
      <w:bookmarkStart w:id="0" w:name="_GoBack"/>
      <w:bookmarkEnd w:id="0"/>
    </w:p>
    <w:p w:rsidR="00000000" w:rsidRDefault="00F9591B">
      <w:pPr>
        <w:pStyle w:val="1"/>
        <w:spacing w:before="180" w:after="180" w:line="480" w:lineRule="auto"/>
        <w:rPr>
          <w:rFonts w:hint="eastAsia"/>
          <w:lang w:val="de-DE"/>
        </w:rPr>
      </w:pPr>
      <w:bookmarkStart w:id="1" w:name="_Toc121199235"/>
      <w:bookmarkStart w:id="2" w:name="_Toc121212707"/>
      <w:bookmarkStart w:id="3" w:name="_Toc121212970"/>
      <w:r>
        <w:rPr>
          <w:lang w:val="de-DE"/>
        </w:rPr>
        <w:t>8</w:t>
      </w:r>
      <w:r>
        <w:rPr>
          <w:rFonts w:hint="eastAsia"/>
          <w:lang w:val="de-DE"/>
        </w:rPr>
        <w:t>.</w:t>
      </w:r>
      <w:r>
        <w:rPr>
          <w:lang w:val="de-DE"/>
        </w:rPr>
        <w:t>針對陞遷決定之訴訟類型</w:t>
      </w:r>
      <w:bookmarkEnd w:id="1"/>
      <w:bookmarkEnd w:id="2"/>
      <w:bookmarkEnd w:id="3"/>
    </w:p>
    <w:p w:rsidR="00000000" w:rsidRDefault="00F9591B">
      <w:pPr>
        <w:pStyle w:val="22"/>
        <w:spacing w:line="480" w:lineRule="auto"/>
        <w:rPr>
          <w:rFonts w:hint="eastAsia"/>
        </w:rPr>
      </w:pPr>
      <w:r>
        <w:t>訴願法與行政訴訟法修正之前，行政訴訟類型僅撤銷訴訟一種，因此無可避免地造成撤銷訴訟過度地承載人民權利救濟的功能，相對地，也使得提起撤銷訴訟的前提要件</w:t>
      </w:r>
      <w:r>
        <w:t xml:space="preserve"> - </w:t>
      </w:r>
      <w:r>
        <w:t>必須存在一個行政處分</w:t>
      </w:r>
      <w:r>
        <w:t xml:space="preserve"> - </w:t>
      </w:r>
      <w:r>
        <w:t>被過度地強調，也進而導致行政處分是否存在的判斷，逐漸地偏離法釋義學（</w:t>
      </w:r>
      <w:r>
        <w:t>Rechtsdogmatik</w:t>
      </w:r>
      <w:r>
        <w:t>）上的操作，而反從救濟目的之達成與否加以思考。具體而言，被認定為行政處分之行政行為是否真的是行政處分的問題卻居次要；反而是只要能達成救濟目的時，即使係爭行政行為「本質上」不是行政處分，也可以擴張解釋成為行政</w:t>
      </w:r>
      <w:r>
        <w:t>處分，而透過承認行政處分存在的這種道具功能，以滿足人民權利救濟的需求。這種解釋的方式雖然一方面成就了人民權利救濟的前提要件，但是卻也相對地犧牲法釋義學的重要性。這種現象在訴願法與行政訴訟法修正後，或者行政程序法制定，行政處分已有法定之定義規定後，似乎仍然存在。對於提起訴願或行政訴訟之要件是否成立之判斷，應該回歸立法者在行政程序法規上的決定（例如立法者在行政程序法第</w:t>
      </w:r>
      <w:r>
        <w:t>92</w:t>
      </w:r>
      <w:r>
        <w:t>條第</w:t>
      </w:r>
      <w:r>
        <w:t>1</w:t>
      </w:r>
      <w:r>
        <w:t>項中歸納出判斷行政處分是否存在的要素）。如此才能一方面避免適用法律者（例如行政法院），每每必須在法律具體化之時，都要重新去檢視一些原則性</w:t>
      </w:r>
      <w:r>
        <w:t>的問題（例如究竟什麼要素是行政處分存在所應具備者？）；同時另一方面也才能避免體系外的因素被不當地納入考量（例如，行政行為是否該當行政程序法第</w:t>
      </w:r>
      <w:r>
        <w:t>92</w:t>
      </w:r>
      <w:r>
        <w:t>條第</w:t>
      </w:r>
      <w:r>
        <w:t>1</w:t>
      </w:r>
      <w:r>
        <w:t>項之要件要素，與針對此一行為是否應當給予救濟，即屬不同層次的問題）。如此一來，主要以行政行為的類型作為前提而設計之行政訴訟法修正後，各種不同的訴訟類型也才有平均發展的機會，而非賦予撤銷訴訟過度的負擔或者過度地期待。</w:t>
      </w:r>
    </w:p>
    <w:p w:rsidR="00000000" w:rsidRDefault="00F9591B">
      <w:pPr>
        <w:pStyle w:val="22"/>
        <w:spacing w:line="480" w:lineRule="auto"/>
      </w:pPr>
      <w:r>
        <w:rPr>
          <w:rFonts w:hint="eastAsia"/>
        </w:rPr>
        <w:lastRenderedPageBreak/>
        <w:t>憲法第</w:t>
      </w:r>
      <w:r>
        <w:rPr>
          <w:rFonts w:hint="eastAsia"/>
        </w:rPr>
        <w:t>16</w:t>
      </w:r>
      <w:r>
        <w:rPr>
          <w:rFonts w:hint="eastAsia"/>
        </w:rPr>
        <w:t>條之規定，蘊含人民「有效」與「完善」之權益保障要求。礙於舊行政訴訟法之訴訟之種類僅限撤銷訴訟與附帶損害賠償訴訟，與前該憲法要求有極大差距</w:t>
      </w:r>
      <w:r>
        <w:rPr>
          <w:rStyle w:val="ae"/>
        </w:rPr>
        <w:footnoteReference w:id="1"/>
      </w:r>
      <w:r>
        <w:rPr>
          <w:rFonts w:hint="eastAsia"/>
        </w:rPr>
        <w:t>。因此新修訂之行政訴訟法特增列訴訟種類，至少包括撤銷訴訟、確認訴訟及給付訴訟（請求作成處分之訴</w:t>
      </w:r>
      <w:r>
        <w:t>、</w:t>
      </w:r>
      <w:r>
        <w:rPr>
          <w:rFonts w:hint="eastAsia"/>
        </w:rPr>
        <w:t>請求財產上給付之訴</w:t>
      </w:r>
      <w:r>
        <w:t>、請求</w:t>
      </w:r>
      <w:r>
        <w:rPr>
          <w:rFonts w:hint="eastAsia"/>
        </w:rPr>
        <w:t>非行政處分以外之非財產上給付之訴）（第</w:t>
      </w:r>
      <w:r>
        <w:rPr>
          <w:rFonts w:hint="eastAsia"/>
        </w:rPr>
        <w:t>3</w:t>
      </w:r>
      <w:r>
        <w:rPr>
          <w:rFonts w:hint="eastAsia"/>
        </w:rPr>
        <w:t>條）。又依第</w:t>
      </w:r>
      <w:r>
        <w:rPr>
          <w:rFonts w:hint="eastAsia"/>
        </w:rPr>
        <w:t>4</w:t>
      </w:r>
      <w:r>
        <w:rPr>
          <w:rFonts w:hint="eastAsia"/>
        </w:rPr>
        <w:t>條規定人民因中央或地方機關之違法行政處分，認為損害其權利或法律上之利益，經訴願程序後，得向高等行政法院提起撤銷訴訟，請求撤銷違法行政處分。第</w:t>
      </w:r>
      <w:r>
        <w:rPr>
          <w:rFonts w:hint="eastAsia"/>
        </w:rPr>
        <w:t>5</w:t>
      </w:r>
      <w:r>
        <w:rPr>
          <w:rFonts w:hint="eastAsia"/>
        </w:rPr>
        <w:t>條規定人民因中央或地方機關對其依法申請之案件，於法令所定期間內應作為而不作為，認為其權利或法律上利益受損害者，經依訴願程序後，得向高等行政法院提起請求該機關應為行政處分或應為特定內容之行政處分之</w:t>
      </w:r>
      <w:r>
        <w:rPr>
          <w:rFonts w:hint="eastAsia"/>
        </w:rPr>
        <w:t>訴訟。或者人民因中央或地方機關對其依法申請之案件，予以駁回，認為其權利或法律上利益受違法損害者，經依訴願程序後，得向高等行政法院提起請求該機關應為行政處分或應為特定內容之行政處分之訴訟。第</w:t>
      </w:r>
      <w:r>
        <w:rPr>
          <w:rFonts w:hint="eastAsia"/>
        </w:rPr>
        <w:t>6</w:t>
      </w:r>
      <w:r>
        <w:rPr>
          <w:rFonts w:hint="eastAsia"/>
        </w:rPr>
        <w:t>條則規定人民有即受確認判決之法律上利益時，得提起確認行政處分無效（或違法）及確認公法上法律關係成立或不成立之訴訟</w:t>
      </w:r>
      <w:r>
        <w:rPr>
          <w:rStyle w:val="ae"/>
        </w:rPr>
        <w:footnoteReference w:id="2"/>
      </w:r>
      <w:r>
        <w:rPr>
          <w:rFonts w:hint="eastAsia"/>
        </w:rPr>
        <w:t>。第</w:t>
      </w:r>
      <w:r>
        <w:rPr>
          <w:rFonts w:hint="eastAsia"/>
        </w:rPr>
        <w:t>8</w:t>
      </w:r>
      <w:r>
        <w:rPr>
          <w:rFonts w:hint="eastAsia"/>
        </w:rPr>
        <w:t>條則規定人民與中央或地方機關間，因公法上原因發生財產上之給付或請求作成行政處分以外之其他非財產上之給付，或因公法上契約發生之給付，得提起給付訴訟。人民自得針對不同的公權力行為與訴訟目的提起相應的訴訟，而</w:t>
      </w:r>
      <w:r>
        <w:rPr>
          <w:rFonts w:hint="eastAsia"/>
        </w:rPr>
        <w:t>不以撤銷訴訟為限。</w:t>
      </w:r>
    </w:p>
    <w:p w:rsidR="00000000" w:rsidRDefault="00F9591B">
      <w:pPr>
        <w:pStyle w:val="2"/>
        <w:spacing w:line="480" w:lineRule="auto"/>
        <w:rPr>
          <w:rFonts w:hint="eastAsia"/>
          <w:lang w:val="de-DE"/>
        </w:rPr>
      </w:pPr>
      <w:bookmarkStart w:id="4" w:name="_Toc121199236"/>
      <w:bookmarkStart w:id="5" w:name="_Toc121212708"/>
      <w:bookmarkStart w:id="6" w:name="_Toc121212971"/>
      <w:r>
        <w:rPr>
          <w:lang w:val="de-DE"/>
        </w:rPr>
        <w:t>8</w:t>
      </w:r>
      <w:r>
        <w:rPr>
          <w:rFonts w:hint="eastAsia"/>
          <w:lang w:val="de-DE"/>
        </w:rPr>
        <w:t>.</w:t>
      </w:r>
      <w:r>
        <w:rPr>
          <w:lang w:val="de-DE"/>
        </w:rPr>
        <w:t>1</w:t>
      </w:r>
      <w:r>
        <w:rPr>
          <w:rFonts w:hint="eastAsia"/>
          <w:lang w:val="de-DE"/>
        </w:rPr>
        <w:t>.</w:t>
      </w:r>
      <w:r>
        <w:rPr>
          <w:lang w:val="de-DE"/>
        </w:rPr>
        <w:t>撤銷訴訟</w:t>
      </w:r>
      <w:bookmarkEnd w:id="4"/>
      <w:bookmarkEnd w:id="5"/>
      <w:bookmarkEnd w:id="6"/>
    </w:p>
    <w:p w:rsidR="00000000" w:rsidRDefault="00F9591B">
      <w:pPr>
        <w:pStyle w:val="22"/>
        <w:spacing w:line="480" w:lineRule="auto"/>
        <w:rPr>
          <w:rFonts w:hint="eastAsia"/>
        </w:rPr>
      </w:pPr>
      <w:r>
        <w:rPr>
          <w:rFonts w:hint="eastAsia"/>
        </w:rPr>
        <w:t>針對陞遷決定不服提起的訴訟類型，首先可以想到提起撤銷訴訟。但是要注</w:t>
      </w:r>
      <w:r>
        <w:rPr>
          <w:rFonts w:hint="eastAsia"/>
        </w:rPr>
        <w:lastRenderedPageBreak/>
        <w:t>意的是，撤銷訴訟的目的是透過法院的形成判決將行政機關所作的不利益違法行政處分遡及地使其失其效力，回到為作成行政處分前的原初狀態。但是在陞遷救濟案件中，未獲陞遷之公務人員與獲得陞遷之公務人員處於一種競爭關係，他的救濟目的往往不是單純地撤銷一個對他不利益的拒絕陞遷決定而已。對於最終的陞遷決定不服提起撤銷訴訟往往不是最適當的訴訟類型選擇。但是在此不能否定，如果原告只是要針對部分程序上的決定提起撤銷訴訟的可能，不</w:t>
      </w:r>
      <w:r>
        <w:rPr>
          <w:rFonts w:hint="eastAsia"/>
        </w:rPr>
        <w:t>過必須滿足提起撤銷訴訟的前提要件，亦即這些程序決定必須是一個行政處分。</w:t>
      </w:r>
    </w:p>
    <w:p w:rsidR="00000000" w:rsidRDefault="00F9591B">
      <w:pPr>
        <w:pStyle w:val="22"/>
        <w:spacing w:line="480" w:lineRule="auto"/>
        <w:rPr>
          <w:rFonts w:hint="eastAsia"/>
          <w:kern w:val="0"/>
        </w:rPr>
      </w:pPr>
      <w:r>
        <w:t>在現行的行政訴訟法規範下，訴訟類型已趨多元，人民針對行政機關</w:t>
      </w:r>
      <w:r>
        <w:rPr>
          <w:rFonts w:hint="eastAsia"/>
        </w:rPr>
        <w:t>拒絕</w:t>
      </w:r>
      <w:r>
        <w:t>之</w:t>
      </w:r>
      <w:r>
        <w:rPr>
          <w:rFonts w:hint="eastAsia"/>
        </w:rPr>
        <w:t>陞遷請求</w:t>
      </w:r>
      <w:r>
        <w:t>案件，適當的訴訟類型，一般而言是指給付訴訟。因為對於</w:t>
      </w:r>
      <w:r>
        <w:rPr>
          <w:rFonts w:hint="eastAsia"/>
        </w:rPr>
        <w:t>原告</w:t>
      </w:r>
      <w:r>
        <w:t>而言，其訴訟的目的無非是希望最後終能獲得行政機關對之為</w:t>
      </w:r>
      <w:r>
        <w:rPr>
          <w:rFonts w:hint="eastAsia"/>
        </w:rPr>
        <w:t>陞遷之決定</w:t>
      </w:r>
      <w:r>
        <w:t>（</w:t>
      </w:r>
      <w:r>
        <w:rPr>
          <w:rFonts w:hint="eastAsia"/>
        </w:rPr>
        <w:t>不論</w:t>
      </w:r>
      <w:r>
        <w:t>作成行政處分或行政處分以外之</w:t>
      </w:r>
      <w:r>
        <w:rPr>
          <w:rFonts w:hint="eastAsia"/>
        </w:rPr>
        <w:t>行為均為一種</w:t>
      </w:r>
      <w:r>
        <w:t>給付），因此往往就沒有必要為了提起一個本質上非最佳選擇的訴訟類型（即撤銷訴訟），而必須斤斤計較行政機關對於人民申請案件的駁回或拒絕決定是否為一行政處分。行政訴訟法對於給付訴訟的規定，也有意地略過此種問</w:t>
      </w:r>
      <w:r>
        <w:t>題地判斷。例如本法第</w:t>
      </w:r>
      <w:r>
        <w:t>5</w:t>
      </w:r>
      <w:r>
        <w:t>條第</w:t>
      </w:r>
      <w:r>
        <w:t>2</w:t>
      </w:r>
      <w:r>
        <w:t>項規定課予義務訴訟，若「</w:t>
      </w:r>
      <w:r>
        <w:rPr>
          <w:kern w:val="0"/>
        </w:rPr>
        <w:t>人民因中央或地方機關對其依法申請之案件，予以駁回，認為其權利或法律上利益受違法損害者，經依訴願程序後，得向高等行政法院提起請求該機關應為行政處分或應為特定內容之行政處分之訴訟。」至於駁回的決定，其法律性質為何，與課予義務訴訟之能否提起，全然無關。因為課予義務訴訟之提起，</w:t>
      </w:r>
      <w:r>
        <w:t>並非以駁回的決定為一行政處分作為前提，換言之，只要受理申請之行政機關作成單純「拒絕」的表示（</w:t>
      </w:r>
      <w:r>
        <w:t>ein einfaches „Nein“</w:t>
      </w:r>
      <w:r>
        <w:t>），即使該駁回的決定不具法效特徵，或具</w:t>
      </w:r>
      <w:r>
        <w:lastRenderedPageBreak/>
        <w:t>體言之，非一行政處分</w:t>
      </w:r>
      <w:r>
        <w:t>，也不會影響此一特殊之給付訴訟提起的合法性</w:t>
      </w:r>
      <w:r>
        <w:rPr>
          <w:rStyle w:val="ae"/>
          <w:rFonts w:cs="Arial"/>
          <w:color w:val="000000"/>
        </w:rPr>
        <w:footnoteReference w:id="3"/>
      </w:r>
      <w:r>
        <w:t>。就這一部份而言，提起課予義務訴訟原則上是比撤銷訴訟容易以及適當</w:t>
      </w:r>
      <w:r>
        <w:rPr>
          <w:rStyle w:val="ae"/>
          <w:rFonts w:cs="Arial"/>
          <w:color w:val="000000"/>
        </w:rPr>
        <w:footnoteReference w:id="4"/>
      </w:r>
      <w:r>
        <w:t>。又本法第</w:t>
      </w:r>
      <w:r>
        <w:t>8</w:t>
      </w:r>
      <w:r>
        <w:t>條第</w:t>
      </w:r>
      <w:r>
        <w:t>1</w:t>
      </w:r>
      <w:r>
        <w:t>項規定一般給付訴訟，若「</w:t>
      </w:r>
      <w:r>
        <w:rPr>
          <w:kern w:val="0"/>
        </w:rPr>
        <w:t>人民與中央或地方機關間，因公法上原因發生財產上之給付或請求作成行政處分以外之其他非財產上之給付，得提起給付訴訟。」其請求亦與先前行政機關曾有過之拒絕或駁回行為之法律性質無關。</w:t>
      </w:r>
    </w:p>
    <w:p w:rsidR="00000000" w:rsidRDefault="00F9591B">
      <w:pPr>
        <w:pStyle w:val="22"/>
        <w:spacing w:line="480" w:lineRule="auto"/>
        <w:rPr>
          <w:rFonts w:hint="eastAsia"/>
        </w:rPr>
      </w:pPr>
      <w:r>
        <w:t>但是我們不可否認的是，即使針對行政機關駁回人民</w:t>
      </w:r>
      <w:r>
        <w:rPr>
          <w:rFonts w:hint="eastAsia"/>
        </w:rPr>
        <w:t>請求</w:t>
      </w:r>
      <w:r>
        <w:t>作成</w:t>
      </w:r>
      <w:r>
        <w:rPr>
          <w:rFonts w:hint="eastAsia"/>
        </w:rPr>
        <w:t>陞遷決定</w:t>
      </w:r>
      <w:r>
        <w:t>之案件，以課予義務訴訟尋求救濟是比較適當的方式，但是仍然有一些特殊的情況，可能會面臨到撤銷訴訟的選擇。最典型的例子即是提起</w:t>
      </w:r>
      <w:r>
        <w:t>所謂「隔離的撤銷訴訟（</w:t>
      </w:r>
      <w:r>
        <w:t>isolierte Anfechtungsklage</w:t>
      </w:r>
      <w:r>
        <w:t>）」。稱此類訴訟為「隔離」之撤銷訴訟，是指區隔原先想要獲得行政機關作成授益行政處分的希望，單獨針對行政機關之駁回處分提起撤銷訴訟之意</w:t>
      </w:r>
      <w:r>
        <w:rPr>
          <w:rStyle w:val="ae"/>
          <w:rFonts w:cs="Arial"/>
          <w:color w:val="000000"/>
        </w:rPr>
        <w:footnoteReference w:id="5"/>
      </w:r>
      <w:r>
        <w:t>。雖然學說大多以欠缺權利保護之必要性（</w:t>
      </w:r>
      <w:r>
        <w:t>Rechtsschutzbedürfnis</w:t>
      </w:r>
      <w:r>
        <w:t>）而否定此類訴訟</w:t>
      </w:r>
      <w:r>
        <w:rPr>
          <w:rStyle w:val="ae"/>
          <w:rFonts w:cs="Arial"/>
          <w:color w:val="000000"/>
        </w:rPr>
        <w:footnoteReference w:id="6"/>
      </w:r>
      <w:r>
        <w:t>。從而，申請被駁回的相對人在希望透過行政法院撤銷該駁回處分，與請求課予行政機關作成授益處分義務之選擇間，原則上並不具有選擇權</w:t>
      </w:r>
      <w:r>
        <w:rPr>
          <w:rStyle w:val="ae"/>
          <w:rFonts w:cs="Arial"/>
          <w:color w:val="000000"/>
        </w:rPr>
        <w:footnoteReference w:id="7"/>
      </w:r>
      <w:r>
        <w:t>。但是在許多具體的事例中，撤銷訴訟並不見得會完全被課予義務之訴所排擠，同</w:t>
      </w:r>
      <w:r>
        <w:lastRenderedPageBreak/>
        <w:t>時提起隔</w:t>
      </w:r>
      <w:r>
        <w:t>離的撤銷訴訟也未必完全不具有權利保護之必要性。更具體地說，立法者也從沒有想過要全然地以課予義務訴訟取代若干具有權利保護必要性之（隔離）撤銷訴訟之意思</w:t>
      </w:r>
      <w:r>
        <w:rPr>
          <w:rStyle w:val="ae"/>
          <w:rFonts w:cs="Arial"/>
          <w:color w:val="000000"/>
        </w:rPr>
        <w:footnoteReference w:id="8"/>
      </w:r>
      <w:r>
        <w:t>。特別是當申請人不再希望得到原先意欲的授益內容，但是卻有法律上之利益以排除行政機關之駁回處分在這期間所造成的不利益</w:t>
      </w:r>
      <w:r>
        <w:rPr>
          <w:rStyle w:val="ae"/>
          <w:rFonts w:cs="Arial"/>
          <w:color w:val="000000"/>
        </w:rPr>
        <w:footnoteReference w:id="9"/>
      </w:r>
      <w:r>
        <w:t>，或者希望日後重新申請的可能性能保持開放時</w:t>
      </w:r>
      <w:r>
        <w:rPr>
          <w:rStyle w:val="ae"/>
          <w:rFonts w:cs="Arial"/>
          <w:color w:val="000000"/>
        </w:rPr>
        <w:footnoteReference w:id="10"/>
      </w:r>
      <w:r>
        <w:t xml:space="preserve"> - </w:t>
      </w:r>
      <w:r>
        <w:t>即有權利保護之必要性時</w:t>
      </w:r>
      <w:r>
        <w:t xml:space="preserve"> - </w:t>
      </w:r>
      <w:r>
        <w:t>隔離撤銷訴訟仍應予以許可</w:t>
      </w:r>
      <w:r>
        <w:rPr>
          <w:rStyle w:val="ae"/>
          <w:rFonts w:cs="Arial"/>
          <w:color w:val="000000"/>
        </w:rPr>
        <w:footnoteReference w:id="11"/>
      </w:r>
      <w:r>
        <w:t>。</w:t>
      </w:r>
      <w:r>
        <w:rPr>
          <w:rFonts w:hint="eastAsia"/>
        </w:rPr>
        <w:t>在陞遷案件中，未獲陞遷的公務人員獨立針對拒絕其陞遷要求之決定，似乎也可以想像。但是如前所述，本文並不認為此一拒絕陞遷的決定，對於當事人而言絕</w:t>
      </w:r>
      <w:r>
        <w:rPr>
          <w:rFonts w:hint="eastAsia"/>
        </w:rPr>
        <w:t>對是一個行政處分。所以還需要在個案中進一步判斷此一前提要件是否該當。</w:t>
      </w:r>
    </w:p>
    <w:p w:rsidR="00000000" w:rsidRDefault="00F9591B">
      <w:pPr>
        <w:pStyle w:val="22"/>
        <w:spacing w:line="480" w:lineRule="auto"/>
        <w:rPr>
          <w:rFonts w:hint="eastAsia"/>
        </w:rPr>
      </w:pPr>
      <w:r>
        <w:rPr>
          <w:rFonts w:hint="eastAsia"/>
        </w:rPr>
        <w:t>此外若是原告以利害關係人第三人之地位，亦可以訴請撤銷對競爭者予以陞遷之決定。而此一決定理論上可以被評價為「附第三人效力之行政處分」。倘若訴訟權能的要件亦可進一步確定，則在這種競爭關係下提起撤銷訴訟應屬於合法的訴訟類型選擇。學說上幾乎無所爭議的是，此時已經獲得圈選的公務人員則可以在訴訟程序或者暫時性權利保障程序中，以必要參加人的地位，參加訴訟</w:t>
      </w:r>
      <w:r>
        <w:rPr>
          <w:rStyle w:val="ae"/>
        </w:rPr>
        <w:footnoteReference w:id="12"/>
      </w:r>
      <w:r>
        <w:rPr>
          <w:rFonts w:hint="eastAsia"/>
        </w:rPr>
        <w:t>。倘若此一附第三人行政處分所涉及利害關係人範圍相當廣泛（亦即一次陞遷涉及之公務人員為數相當可觀），</w:t>
      </w:r>
      <w:r>
        <w:rPr>
          <w:rFonts w:hint="eastAsia"/>
        </w:rPr>
        <w:t>同時在訴訟上又屬於必要參加訴訟之人，在訴訟上</w:t>
      </w:r>
      <w:r>
        <w:rPr>
          <w:rFonts w:hint="eastAsia"/>
        </w:rPr>
        <w:lastRenderedPageBreak/>
        <w:t>如何使其在一次訴訟救濟中同時處理即相當棘手。換言之，本來訴訟參加制度所要達到的程序加速目的反而有實現的障礙。對此德國行政法院法第</w:t>
      </w:r>
      <w:r>
        <w:rPr>
          <w:rFonts w:hint="eastAsia"/>
        </w:rPr>
        <w:t>65</w:t>
      </w:r>
      <w:r>
        <w:rPr>
          <w:rFonts w:hint="eastAsia"/>
        </w:rPr>
        <w:t>條第</w:t>
      </w:r>
      <w:r>
        <w:rPr>
          <w:rFonts w:hint="eastAsia"/>
        </w:rPr>
        <w:t>3</w:t>
      </w:r>
      <w:r>
        <w:rPr>
          <w:rFonts w:hint="eastAsia"/>
        </w:rPr>
        <w:t>項，針對超過五十人以上之訴訟必要參加人，授權法院可以透過裁定命令僅於一定期間內聲請登記之利害關係人得以參加訴訟。此項裁定並需於聯邦電子公報、新聞紙或其他特定的資訊系統上公告。其中之公告期限並不得少於三個月</w:t>
      </w:r>
      <w:r>
        <w:rPr>
          <w:rStyle w:val="ae"/>
        </w:rPr>
        <w:footnoteReference w:id="13"/>
      </w:r>
      <w:r>
        <w:rPr>
          <w:rFonts w:hint="eastAsia"/>
        </w:rPr>
        <w:t>。本法甚至規定，對於未於期限內聲請登記，但是那些「已知（</w:t>
      </w:r>
      <w:r>
        <w:t>erkennbar</w:t>
      </w:r>
      <w:r>
        <w:rPr>
          <w:rFonts w:hint="eastAsia"/>
        </w:rPr>
        <w:t>）」會受到判決某種程度影響之利害關係人，也可以由法</w:t>
      </w:r>
      <w:r>
        <w:rPr>
          <w:rFonts w:hint="eastAsia"/>
        </w:rPr>
        <w:t>院決定令其參加訴訟</w:t>
      </w:r>
      <w:r>
        <w:rPr>
          <w:rStyle w:val="ae"/>
        </w:rPr>
        <w:footnoteReference w:id="14"/>
      </w:r>
      <w:r>
        <w:rPr>
          <w:rFonts w:hint="eastAsia"/>
        </w:rPr>
        <w:t>。</w:t>
      </w:r>
    </w:p>
    <w:p w:rsidR="00000000" w:rsidRDefault="00F9591B">
      <w:pPr>
        <w:pStyle w:val="22"/>
        <w:spacing w:line="480" w:lineRule="auto"/>
        <w:rPr>
          <w:rFonts w:hint="eastAsia"/>
        </w:rPr>
      </w:pPr>
      <w:r>
        <w:rPr>
          <w:rFonts w:hint="eastAsia"/>
        </w:rPr>
        <w:t>另外有關行政處分之確認訴訟，理論上應該也可以考慮。其中包括確認行政處分無效之訴與確認已終結行政處分違法之訴。前者在撤銷訴訟可供選擇的前提下（另外可能涉及確認訴訟相較於撤銷訴訟之補充性，是否亦適用於無效確認訴訟之爭議！），提起的機會並不大。假如陞遷決定之行政處分有重大明顯瑕疵，同時特殊之訴訟利益亦滿足時，原則上亦不排除其可能性。至於後者，在行政處分已經終結或已經無撤銷之實益時，為了避免反覆發生的危險</w:t>
      </w:r>
      <w:r>
        <w:rPr>
          <w:rFonts w:ascii="新細明體" w:hAnsi="新細明體" w:hint="eastAsia"/>
        </w:rPr>
        <w:t>、</w:t>
      </w:r>
      <w:r>
        <w:rPr>
          <w:rFonts w:hint="eastAsia"/>
        </w:rPr>
        <w:t>回復名譽之需要或者準備作為損害賠償救濟之先行確認，提起確認行政處分違法之訴，亦可以想像</w:t>
      </w:r>
      <w:r>
        <w:rPr>
          <w:rFonts w:hint="eastAsia"/>
        </w:rPr>
        <w:t>。在此，不另文處理。</w:t>
      </w:r>
    </w:p>
    <w:p w:rsidR="00000000" w:rsidRDefault="00F9591B">
      <w:pPr>
        <w:pStyle w:val="2"/>
        <w:spacing w:line="480" w:lineRule="auto"/>
        <w:rPr>
          <w:lang w:val="de-DE"/>
        </w:rPr>
      </w:pPr>
      <w:bookmarkStart w:id="7" w:name="_Toc121199237"/>
      <w:bookmarkStart w:id="8" w:name="_Toc121212709"/>
      <w:bookmarkStart w:id="9" w:name="_Toc121212972"/>
      <w:r>
        <w:rPr>
          <w:lang w:val="de-DE"/>
        </w:rPr>
        <w:t>8</w:t>
      </w:r>
      <w:r>
        <w:rPr>
          <w:rFonts w:hint="eastAsia"/>
          <w:lang w:val="de-DE"/>
        </w:rPr>
        <w:t>.</w:t>
      </w:r>
      <w:r>
        <w:rPr>
          <w:lang w:val="de-DE"/>
        </w:rPr>
        <w:t>2</w:t>
      </w:r>
      <w:r>
        <w:rPr>
          <w:rFonts w:hint="eastAsia"/>
          <w:lang w:val="de-DE"/>
        </w:rPr>
        <w:t>.</w:t>
      </w:r>
      <w:r>
        <w:rPr>
          <w:lang w:val="de-DE"/>
        </w:rPr>
        <w:t>課予義務訴訟</w:t>
      </w:r>
      <w:bookmarkEnd w:id="7"/>
      <w:bookmarkEnd w:id="8"/>
      <w:bookmarkEnd w:id="9"/>
    </w:p>
    <w:p w:rsidR="00000000" w:rsidRDefault="00F9591B">
      <w:pPr>
        <w:pStyle w:val="22"/>
        <w:spacing w:line="480" w:lineRule="auto"/>
        <w:rPr>
          <w:rFonts w:hint="eastAsia"/>
        </w:rPr>
      </w:pPr>
      <w:r>
        <w:rPr>
          <w:rFonts w:hint="eastAsia"/>
        </w:rPr>
        <w:t>對同一陞遷機會而有多數申請人競爭，其未獲陞遷任用者，如認為主管長官或行政機關之決定違法，實則應該給予自己陞遷者，亦會產生所謂「競爭者訴訟」（</w:t>
      </w:r>
      <w:r>
        <w:rPr>
          <w:rFonts w:hint="eastAsia"/>
        </w:rPr>
        <w:t>Konkurreentenklage</w:t>
      </w:r>
      <w:r>
        <w:rPr>
          <w:rFonts w:hint="eastAsia"/>
        </w:rPr>
        <w:t>）之問題。如果只是單純針對自己陞遷請求被拒絕（亦無其</w:t>
      </w:r>
      <w:r>
        <w:rPr>
          <w:rFonts w:hint="eastAsia"/>
        </w:rPr>
        <w:lastRenderedPageBreak/>
        <w:t>他人獲得陞遷），而提起的救濟類型，當然是純粹屬於提起課予義務訴訟的問題，其目的在於請求法院為應任用原告之判決</w:t>
      </w:r>
      <w:r>
        <w:rPr>
          <w:rStyle w:val="ae"/>
        </w:rPr>
        <w:footnoteReference w:id="15"/>
      </w:r>
      <w:r>
        <w:rPr>
          <w:rFonts w:hint="eastAsia"/>
        </w:rPr>
        <w:t>。此時無庸再針對主管長官之拒絕行為合併提起撤銷訴訟（當然也就不必要在討論此一拒絕行為是否為行政處分的問題，見前述）。倘若主管長官或</w:t>
      </w:r>
      <w:r>
        <w:rPr>
          <w:rFonts w:hint="eastAsia"/>
        </w:rPr>
        <w:t>行政機關已經給予他人陞遷，而同時拒絕自己的陞遷要求，在滿足訴訟權能的要件時（特別在行政機關逾越裁量或者判斷界限時），適當的救濟應該是同時合併提起撤銷訴訟與課予義務訴訟。</w:t>
      </w:r>
    </w:p>
    <w:p w:rsidR="00000000" w:rsidRDefault="00F9591B">
      <w:pPr>
        <w:pStyle w:val="22"/>
        <w:spacing w:line="480" w:lineRule="auto"/>
        <w:rPr>
          <w:rFonts w:hint="eastAsia"/>
        </w:rPr>
      </w:pPr>
      <w:r>
        <w:rPr>
          <w:rFonts w:hint="eastAsia"/>
        </w:rPr>
        <w:t>不過需注意的是，提起課予義務訴訟的訴訟權能要求。一般而言，公務人員具有要求行政機關作成無瑕疵判斷或裁量的請求權。例外情形下，當主管長官的判斷餘地或裁量空間縮減至零時，原告方具有請求特定陞遷決定的公權利</w:t>
      </w:r>
      <w:r>
        <w:rPr>
          <w:rStyle w:val="ae"/>
        </w:rPr>
        <w:footnoteReference w:id="16"/>
      </w:r>
      <w:r>
        <w:rPr>
          <w:rFonts w:hint="eastAsia"/>
        </w:rPr>
        <w:t>。所以一般的情形下，課予義務訴訟往往會因為紛爭欠缺成熟性（</w:t>
      </w:r>
      <w:r>
        <w:rPr>
          <w:rFonts w:eastAsia="MS Mincho" w:hint="eastAsia"/>
        </w:rPr>
        <w:t>Spruchreife</w:t>
      </w:r>
      <w:r>
        <w:rPr>
          <w:rFonts w:hint="eastAsia"/>
        </w:rPr>
        <w:t>），使得課予義務訴訟的結果只是一種「</w:t>
      </w:r>
      <w:r>
        <w:rPr>
          <w:rFonts w:ascii="MS Mincho" w:hAnsi="MS Mincho" w:hint="eastAsia"/>
        </w:rPr>
        <w:t>不服駁回</w:t>
      </w:r>
      <w:r>
        <w:rPr>
          <w:rFonts w:hint="eastAsia"/>
        </w:rPr>
        <w:t>之訴（</w:t>
      </w:r>
      <w:r>
        <w:rPr>
          <w:rFonts w:eastAsia="MS Mincho" w:hint="eastAsia"/>
        </w:rPr>
        <w:t>Versa</w:t>
      </w:r>
      <w:r>
        <w:rPr>
          <w:rFonts w:eastAsia="MS Mincho" w:hint="eastAsia"/>
        </w:rPr>
        <w:t>gungsgegenklage</w:t>
      </w:r>
      <w:r>
        <w:rPr>
          <w:rFonts w:hint="eastAsia"/>
        </w:rPr>
        <w:t>）」下位概念之「應為決定之訴（</w:t>
      </w:r>
      <w:r>
        <w:rPr>
          <w:rFonts w:eastAsia="MS Mincho" w:hint="eastAsia"/>
        </w:rPr>
        <w:t>Bescheidungsklage</w:t>
      </w:r>
      <w:r>
        <w:rPr>
          <w:rFonts w:hint="eastAsia"/>
        </w:rPr>
        <w:t>）」的型態。例如我國行政訴訟法第</w:t>
      </w:r>
      <w:r>
        <w:rPr>
          <w:rFonts w:hint="eastAsia"/>
        </w:rPr>
        <w:t>200</w:t>
      </w:r>
      <w:r>
        <w:rPr>
          <w:rFonts w:hint="eastAsia"/>
        </w:rPr>
        <w:t>條第</w:t>
      </w:r>
      <w:r>
        <w:rPr>
          <w:rFonts w:hint="eastAsia"/>
        </w:rPr>
        <w:t>4</w:t>
      </w:r>
      <w:r>
        <w:rPr>
          <w:rFonts w:hint="eastAsia"/>
        </w:rPr>
        <w:t>款規定，「</w:t>
      </w:r>
      <w:r>
        <w:rPr>
          <w:rFonts w:hint="eastAsia"/>
          <w:kern w:val="0"/>
        </w:rPr>
        <w:t>原告之訴雖有理由，惟案件事證尚未臻明確或涉及行政機關之行政裁量決定者，應判命行政機關遵照其判決之法律見解對於原告作成決定</w:t>
      </w:r>
      <w:r>
        <w:rPr>
          <w:rStyle w:val="ae"/>
          <w:kern w:val="0"/>
        </w:rPr>
        <w:footnoteReference w:id="17"/>
      </w:r>
      <w:r>
        <w:rPr>
          <w:rFonts w:hint="eastAsia"/>
          <w:kern w:val="0"/>
        </w:rPr>
        <w:t>」，即為此種訴訟裁判的形式。</w:t>
      </w:r>
    </w:p>
    <w:p w:rsidR="00000000" w:rsidRDefault="00F9591B">
      <w:pPr>
        <w:pStyle w:val="2"/>
        <w:spacing w:line="480" w:lineRule="auto"/>
        <w:rPr>
          <w:lang w:val="de-DE"/>
        </w:rPr>
      </w:pPr>
      <w:bookmarkStart w:id="10" w:name="_Toc121199238"/>
      <w:bookmarkStart w:id="11" w:name="_Toc121212710"/>
      <w:bookmarkStart w:id="12" w:name="_Toc121212973"/>
      <w:r>
        <w:rPr>
          <w:lang w:val="de-DE"/>
        </w:rPr>
        <w:t>8</w:t>
      </w:r>
      <w:r>
        <w:rPr>
          <w:rFonts w:hint="eastAsia"/>
          <w:lang w:val="de-DE"/>
        </w:rPr>
        <w:t>.</w:t>
      </w:r>
      <w:r>
        <w:rPr>
          <w:lang w:val="de-DE"/>
        </w:rPr>
        <w:t>3</w:t>
      </w:r>
      <w:r>
        <w:rPr>
          <w:rFonts w:hint="eastAsia"/>
          <w:lang w:val="de-DE"/>
        </w:rPr>
        <w:t>.</w:t>
      </w:r>
      <w:r>
        <w:rPr>
          <w:rFonts w:hint="eastAsia"/>
          <w:lang w:val="de-DE"/>
        </w:rPr>
        <w:t>一般給付訴訟與</w:t>
      </w:r>
      <w:r>
        <w:rPr>
          <w:lang w:val="de-DE"/>
        </w:rPr>
        <w:t>一般撤銷（形成）訴訟</w:t>
      </w:r>
      <w:bookmarkEnd w:id="10"/>
      <w:bookmarkEnd w:id="11"/>
      <w:bookmarkEnd w:id="12"/>
    </w:p>
    <w:p w:rsidR="00000000" w:rsidRDefault="00F9591B">
      <w:pPr>
        <w:pStyle w:val="22"/>
        <w:spacing w:line="480" w:lineRule="auto"/>
      </w:pPr>
      <w:r>
        <w:t>根據行政訴訟法第</w:t>
      </w:r>
      <w:r>
        <w:t>3</w:t>
      </w:r>
      <w:r>
        <w:t>條之規定，本法所稱之行政訴訟包括撤銷訴訟、確認訴訟與給付訴訟，採取明示主義的訴訟類型設計。但為貫徹有權利即有救濟之法理，本法應從寬解釋，亦即具體的訴訟</w:t>
      </w:r>
      <w:r>
        <w:t>種類並不以本法第</w:t>
      </w:r>
      <w:r>
        <w:t>4</w:t>
      </w:r>
      <w:r>
        <w:t>條至第</w:t>
      </w:r>
      <w:r>
        <w:t>11</w:t>
      </w:r>
      <w:r>
        <w:t>條所規定</w:t>
      </w:r>
      <w:r>
        <w:lastRenderedPageBreak/>
        <w:t>者為限，應包括第</w:t>
      </w:r>
      <w:r>
        <w:t>4</w:t>
      </w:r>
      <w:r>
        <w:t>條至第</w:t>
      </w:r>
      <w:r>
        <w:t>11</w:t>
      </w:r>
      <w:r>
        <w:t>條所規定情形以外之其他三大類型所能涵蓋之訴訟種類</w:t>
      </w:r>
      <w:r>
        <w:rPr>
          <w:rStyle w:val="ae"/>
        </w:rPr>
        <w:footnoteReference w:id="18"/>
      </w:r>
      <w:r>
        <w:t>。其中透過給付訴訟的提起，原告往往訴求被告強制為特定之作為或不作為。根據作為或不作為的內容，本法分別進一步規定了針對作成授益行政處分之課予義務訴訟（特殊的給付類型）與一般給付訴訟（金錢給付請求、行政處分以外的其他非財產上之給付以及公法契約之給付等）。確認訴訟的目的原則上是對於法律關係的存在與不存在，希望透過法院加以確定。其次還包括針對行政處分的有效性與合法性加以確認之訴訟（確認行政處分無效之訴以</w:t>
      </w:r>
      <w:r>
        <w:t>及確認已經消滅之行政處分為違法之訴）。至於本法所稱之撤銷訴訟其實是形成訴訟（</w:t>
      </w:r>
      <w:r>
        <w:t>Gestaltungsklage</w:t>
      </w:r>
      <w:r>
        <w:t>）的一種。形成訴訟的特徵在於原告希望透過訴訟爭取到法院的裁判，並藉由裁判的確定力（</w:t>
      </w:r>
      <w:r>
        <w:t>Rechtskraft</w:t>
      </w:r>
      <w:r>
        <w:t>）直接變動一個實體的法律狀態。它不同於給付訴訟的裁判，其內容往往還得要藉助後續的執行作用加以實現。但是相反地，形成的裁判基於其直接的權利變動特徵，本身即蘊含執行的功能於其中。而撤銷訴訟則是一種專門以行政處分之撤銷作為目的之特殊的形成訴訟。</w:t>
      </w:r>
    </w:p>
    <w:p w:rsidR="00000000" w:rsidRDefault="00F9591B">
      <w:pPr>
        <w:pStyle w:val="22"/>
        <w:spacing w:line="480" w:lineRule="auto"/>
      </w:pPr>
      <w:r>
        <w:t>根據行政處分的外部效力特徵，行政處分與僅具有內部規範性格之行</w:t>
      </w:r>
      <w:r>
        <w:t>為有別。但是兩者之間的區分並非僅以實際上是否發生外部效力為斷，而是必須確認該行政措施是否果真以發生外部效力作為目的（</w:t>
      </w:r>
      <w:r>
        <w:t>die Gerichtetheit auf Außenwirkung</w:t>
      </w:r>
      <w:r>
        <w:t>）。所以若一個行政措施目的在於行政的相對人身上形成、變更或者消滅其固有的權利時，該措施目的即在於發生對外法效性，因此它（在滿足其他要件後）應該被認定為一行政處分。而其所謂的固有權利可能是因該特別權利義務關係而形成（例如公務員的薪資請求權），也有可能與此無關（例如基本權）。</w:t>
      </w:r>
      <w:r>
        <w:lastRenderedPageBreak/>
        <w:t>如果因為該措施而對於其權利僅僅造成實際（</w:t>
      </w:r>
      <w:r>
        <w:t>faktisch</w:t>
      </w:r>
      <w:r>
        <w:t>）的影響，不論其權利影響是否嚴重，並無法被判定為行政處分</w:t>
      </w:r>
      <w:r>
        <w:rPr>
          <w:rStyle w:val="ae"/>
        </w:rPr>
        <w:footnoteReference w:id="19"/>
      </w:r>
      <w:r>
        <w:t>。對於公務員所為之記過或申誡之懲處即屬此例，而非行政處分。既非行政處分，提起撤銷訴訟即顯非適當之訴訟類型選擇。</w:t>
      </w:r>
    </w:p>
    <w:p w:rsidR="00000000" w:rsidRDefault="00F9591B">
      <w:pPr>
        <w:pStyle w:val="22"/>
        <w:spacing w:line="480" w:lineRule="auto"/>
      </w:pPr>
      <w:r>
        <w:t>根據行政訴訟法第</w:t>
      </w:r>
      <w:r>
        <w:t>8</w:t>
      </w:r>
      <w:r>
        <w:t>條第</w:t>
      </w:r>
      <w:r>
        <w:t>1</w:t>
      </w:r>
      <w:r>
        <w:t>項之規定，</w:t>
      </w:r>
      <w:r>
        <w:rPr>
          <w:rFonts w:eastAsia="細明體"/>
          <w:color w:val="000000"/>
          <w:kern w:val="0"/>
          <w:szCs w:val="22"/>
        </w:rPr>
        <w:t>人民與中央或地方機關間，因公法上原因發生財產上之給付或請求作成行政處分以外之其他非財產上之給付，得提起一般給付訴訟。</w:t>
      </w:r>
      <w:r>
        <w:t>對於公務員所為之記過或申誡之懲戒處分既非屬行政處分，因此有學者主張，凡是行政處分以外的其他公法上的行政行為，均得為一般給付之訴之訴訟對象。其為行政外部行為或內部行為則非所問。並舉職務調整之職務</w:t>
      </w:r>
      <w:r>
        <w:t>命令為例，公務員提起一般給付之訴，請求法院判令該行政機關廢棄該命令，將原告調回原工作崗位以回復原狀，在訴訟對象上並無不合</w:t>
      </w:r>
      <w:r>
        <w:rPr>
          <w:rStyle w:val="ae"/>
        </w:rPr>
        <w:footnoteReference w:id="20"/>
      </w:r>
      <w:r>
        <w:t>。準此，請求將一個記過或者申誡之懲處決定（非行政處分）或者若干陞遷決定加以廢棄，以一般給付訴訟加以實現似乎亦無不可。不過這種見解似乎忽略行政機關廢棄記過</w:t>
      </w:r>
      <w:r>
        <w:rPr>
          <w:rFonts w:hAnsi="新細明體"/>
        </w:rPr>
        <w:t>、</w:t>
      </w:r>
      <w:r>
        <w:t>申誡或陞遷決定處分的決定本身其實還是一個行政處分，所以這種請求的內容還是要求行政機關作成一個行政處分，是否合宜提起一般給付之訴，仍有疑問。甚且，一個給付的判決（不論一般給付訴訟或課予義務訴訟）往往難以滿足撤銷行政機關違法行政行為之責任。</w:t>
      </w:r>
      <w:r>
        <w:t>如果強制執行的制度又欠缺實效性，提起給付訴訟恐怕非正確的訴訟類型選擇</w:t>
      </w:r>
      <w:r>
        <w:rPr>
          <w:rStyle w:val="ae"/>
        </w:rPr>
        <w:footnoteReference w:id="21"/>
      </w:r>
      <w:r>
        <w:t>。</w:t>
      </w:r>
    </w:p>
    <w:p w:rsidR="00000000" w:rsidRDefault="00F9591B">
      <w:pPr>
        <w:pStyle w:val="22"/>
        <w:spacing w:line="480" w:lineRule="auto"/>
        <w:rPr>
          <w:rFonts w:hint="eastAsia"/>
        </w:rPr>
      </w:pPr>
      <w:r>
        <w:lastRenderedPageBreak/>
        <w:t>由於主管長官對於公務員所為之記過、申誡懲處決定或若干陞遷程序中的程序決定或最終決定非行政處分，因此無法藉由撤銷判決予以排除。論者於是思考，行政訴訟類型當中，除了撤銷訴訟這種形成之訴外，是否還有可能存在一種可以透過形成的判決除去此類行政行為的一般性的形成之訴。學說上將這種「非典型的撤銷訴訟（</w:t>
      </w:r>
      <w:r>
        <w:t>atypische Anfechtungsklage</w:t>
      </w:r>
      <w:r>
        <w:t>）</w:t>
      </w:r>
      <w:r>
        <w:rPr>
          <w:rStyle w:val="ae"/>
        </w:rPr>
        <w:footnoteReference w:id="22"/>
      </w:r>
      <w:r>
        <w:t>」稱之為「一般形成訴訟（</w:t>
      </w:r>
      <w:r>
        <w:t>allgemeine Gestaltungsklage</w:t>
      </w:r>
      <w:r>
        <w:t>）」。其主要針</w:t>
      </w:r>
      <w:r>
        <w:t>對的行政行為包括非屬行政處分之行政機關行為（</w:t>
      </w:r>
      <w:r>
        <w:t>Verwaltungsorgansakt</w:t>
      </w:r>
      <w:r>
        <w:t>）以及其他非以發生直接對外法效果作為目的，但卻涉及原告法律地位之行政行為。如果這些行為對他造成權利侵害，則可能透過形成判決直接由法院將之加以撤銷</w:t>
      </w:r>
      <w:r>
        <w:rPr>
          <w:rStyle w:val="ae"/>
        </w:rPr>
        <w:footnoteReference w:id="23"/>
      </w:r>
      <w:r>
        <w:t>。但由於我國行政訴訟法第</w:t>
      </w:r>
      <w:r>
        <w:t>3</w:t>
      </w:r>
      <w:r>
        <w:t>條規定，限定行政訴訟的型態為撤銷、確認與給付訴訟，故在我國法上，若承認這種一般性的形成訴訟，宜稱之為「一般撤銷訴訟（</w:t>
      </w:r>
      <w:r>
        <w:t>allgemeine Anfechtungsklage</w:t>
      </w:r>
      <w:r>
        <w:t>）</w:t>
      </w:r>
      <w:r>
        <w:rPr>
          <w:rStyle w:val="ae"/>
        </w:rPr>
        <w:footnoteReference w:id="24"/>
      </w:r>
      <w:r>
        <w:t>」。</w:t>
      </w:r>
    </w:p>
    <w:p w:rsidR="00000000" w:rsidRDefault="00F9591B">
      <w:pPr>
        <w:pStyle w:val="22"/>
        <w:spacing w:line="480" w:lineRule="auto"/>
        <w:rPr>
          <w:rFonts w:hint="eastAsia"/>
        </w:rPr>
      </w:pPr>
      <w:r>
        <w:rPr>
          <w:rFonts w:hint="eastAsia"/>
        </w:rPr>
        <w:t>另外可以想像的是，若是公務人員希望透過行政訴訟的提起，要求行政法院命行政機關</w:t>
      </w:r>
      <w:r>
        <w:rPr>
          <w:rFonts w:hint="eastAsia"/>
        </w:rPr>
        <w:t>不得陞遷任命特定之公務人員。此時訴訟類型應如何選擇？在德國，這是以所謂「預防的不作為訴訟（</w:t>
      </w:r>
      <w:r>
        <w:t xml:space="preserve">die </w:t>
      </w:r>
      <w:r>
        <w:rPr>
          <w:rFonts w:eastAsia="MS Mincho"/>
        </w:rPr>
        <w:t>vorbeugende Unterlassungsklage</w:t>
      </w:r>
      <w:r>
        <w:rPr>
          <w:rFonts w:hint="eastAsia"/>
        </w:rPr>
        <w:t>）」處理。這是一種一般給付訴訟的子類型。我國學者亦採類似見解</w:t>
      </w:r>
      <w:r>
        <w:rPr>
          <w:rStyle w:val="ae"/>
        </w:rPr>
        <w:footnoteReference w:id="25"/>
      </w:r>
      <w:r>
        <w:rPr>
          <w:rFonts w:hint="eastAsia"/>
        </w:rPr>
        <w:t>。值得比較的是，日本在今年的行政事件訴訟法修法中，特別獨立設計性質上類似給付訴訟的「要求不</w:t>
      </w:r>
      <w:r>
        <w:rPr>
          <w:rFonts w:hint="eastAsia"/>
        </w:rPr>
        <w:lastRenderedPageBreak/>
        <w:t>作為訴訟」。至於要求不作為訴訟僅限於因特定之處分或裁決將產生重大損害之虞始可提起，</w:t>
      </w:r>
      <w:r>
        <w:rPr>
          <w:rFonts w:hint="eastAsia"/>
          <w:b/>
        </w:rPr>
        <w:t>但為避免該損害之適當方法存在時不在此限</w:t>
      </w:r>
      <w:r>
        <w:rPr>
          <w:rFonts w:hint="eastAsia"/>
        </w:rPr>
        <w:t>。法院於判斷是否會產生重大損害之際，則應考慮損害恢復困難度、此外並應考量損害之性質</w:t>
      </w:r>
      <w:r>
        <w:rPr>
          <w:rFonts w:hint="eastAsia"/>
        </w:rPr>
        <w:t>程度及處分或裁決之內容或性質。同時要求不作為訴訟僅限於對於要求法院向行政機關命其不得為該特定處分或裁決有法律上利益者</w:t>
      </w:r>
      <w:r>
        <w:rPr>
          <w:rFonts w:hint="eastAsia"/>
        </w:rPr>
        <w:t xml:space="preserve"> </w:t>
      </w:r>
      <w:r>
        <w:rPr>
          <w:rFonts w:hint="eastAsia"/>
        </w:rPr>
        <w:t>始可為之。日本學者也認為這是一種預防性的訴訟類型</w:t>
      </w:r>
      <w:r>
        <w:rPr>
          <w:rStyle w:val="ae"/>
        </w:rPr>
        <w:footnoteReference w:id="26"/>
      </w:r>
      <w:r>
        <w:rPr>
          <w:rFonts w:hint="eastAsia"/>
        </w:rPr>
        <w:t>。</w:t>
      </w:r>
    </w:p>
    <w:p w:rsidR="00F9591B" w:rsidRDefault="00F9591B">
      <w:pPr>
        <w:pStyle w:val="22"/>
        <w:spacing w:line="480" w:lineRule="auto"/>
        <w:rPr>
          <w:rFonts w:hint="eastAsia"/>
        </w:rPr>
      </w:pPr>
      <w:r>
        <w:rPr>
          <w:rFonts w:hint="eastAsia"/>
        </w:rPr>
        <w:t>這種預防性的不作為訴訟主要是要保障對於原告主觀公權利的侵害威脅的確不至於發生。但是相對地也是司法對於行政第一次判斷權的比較強烈的介入。日本法上的設計是將預防性的權利保障與暫時性的權利保障在某種程度上整合（日本法上假處分的功能相當侷限）。但在德國法上則是比較明確區分這兩者。預防的不作為訴訟本身即是一個主訴訟程序，目的在於透過一個具有確定力的</w:t>
      </w:r>
      <w:r>
        <w:rPr>
          <w:rFonts w:hint="eastAsia"/>
        </w:rPr>
        <w:t>判決事前防禦一個可能作成的國家行為。暫時性的權利保護則是在一個主訴訟程序中，面對一個已經存在的國家行為，在還沒有法院的終局說明之前，防止其內容被具體實現。預防性的不作為訴訟雖可以想像，但是必須具有極為特殊的權利保護必要性，意即原告完全無法期待這個處分真的被作成，始得許可之。若是有另一個充分強烈與有效的（</w:t>
      </w:r>
      <w:r>
        <w:rPr>
          <w:rFonts w:eastAsia="MS Mincho"/>
        </w:rPr>
        <w:t>hinreichend intensiv und effektiv</w:t>
      </w:r>
      <w:r>
        <w:rPr>
          <w:rFonts w:hint="eastAsia"/>
        </w:rPr>
        <w:t>）暫時性權利保護措施可以提供保障時，這時預防性救濟的權利保護必要性恐怕就不必然存在</w:t>
      </w:r>
      <w:r>
        <w:rPr>
          <w:rStyle w:val="ae"/>
        </w:rPr>
        <w:footnoteReference w:id="27"/>
      </w:r>
      <w:r>
        <w:rPr>
          <w:rFonts w:hint="eastAsia"/>
        </w:rPr>
        <w:t>。原告可以等到行政決定真的作成後，在撤銷或課予義務訴訟中，</w:t>
      </w:r>
      <w:r>
        <w:rPr>
          <w:rFonts w:hint="eastAsia"/>
        </w:rPr>
        <w:t>再輔以暫時性權利保護的制度，保障其權利。</w:t>
      </w:r>
    </w:p>
    <w:sectPr w:rsidR="00F9591B">
      <w:footerReference w:type="even" r:id="rId7"/>
      <w:footerReference w:type="default" r:id="rId8"/>
      <w:pgSz w:w="11906" w:h="16838"/>
      <w:pgMar w:top="1418" w:right="1758" w:bottom="1418" w:left="175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91B" w:rsidRDefault="00F9591B">
      <w:r>
        <w:separator/>
      </w:r>
    </w:p>
  </w:endnote>
  <w:endnote w:type="continuationSeparator" w:id="0">
    <w:p w:rsidR="00F9591B" w:rsidRDefault="00F9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9591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0000" w:rsidRDefault="00F9591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9591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A7D5D">
      <w:rPr>
        <w:rStyle w:val="a7"/>
        <w:noProof/>
      </w:rPr>
      <w:t>11</w:t>
    </w:r>
    <w:r>
      <w:rPr>
        <w:rStyle w:val="a7"/>
      </w:rPr>
      <w:fldChar w:fldCharType="end"/>
    </w:r>
  </w:p>
  <w:p w:rsidR="00000000" w:rsidRDefault="00F959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91B" w:rsidRDefault="00F9591B">
      <w:pPr>
        <w:snapToGrid w:val="0"/>
        <w:spacing w:beforeLines="50" w:before="120" w:afterLines="50" w:after="120" w:line="360" w:lineRule="auto"/>
      </w:pPr>
      <w:r>
        <w:separator/>
      </w:r>
    </w:p>
  </w:footnote>
  <w:footnote w:type="continuationSeparator" w:id="0">
    <w:p w:rsidR="00F9591B" w:rsidRDefault="00F9591B">
      <w:pPr>
        <w:snapToGrid w:val="0"/>
        <w:spacing w:beforeLines="50" w:before="120" w:afterLines="50" w:after="120" w:line="360" w:lineRule="auto"/>
      </w:pPr>
      <w:r>
        <w:continuationSeparator/>
      </w:r>
    </w:p>
  </w:footnote>
  <w:footnote w:id="1">
    <w:p w:rsidR="00000000" w:rsidRDefault="00F9591B">
      <w:pPr>
        <w:snapToGrid w:val="0"/>
        <w:spacing w:line="360" w:lineRule="auto"/>
        <w:jc w:val="both"/>
        <w:rPr>
          <w:sz w:val="20"/>
        </w:rPr>
      </w:pPr>
      <w:r>
        <w:rPr>
          <w:rStyle w:val="ae"/>
          <w:sz w:val="20"/>
        </w:rPr>
        <w:footnoteRef/>
      </w:r>
      <w:r>
        <w:t xml:space="preserve"> </w:t>
      </w:r>
      <w:r>
        <w:rPr>
          <w:rFonts w:hAnsi="新細明體"/>
          <w:sz w:val="20"/>
        </w:rPr>
        <w:t>參考，大法官釋字第</w:t>
      </w:r>
      <w:r>
        <w:rPr>
          <w:sz w:val="20"/>
        </w:rPr>
        <w:t>466</w:t>
      </w:r>
      <w:r>
        <w:rPr>
          <w:rFonts w:hAnsi="新細明體"/>
          <w:sz w:val="20"/>
        </w:rPr>
        <w:t>號解釋。</w:t>
      </w:r>
    </w:p>
  </w:footnote>
  <w:footnote w:id="2">
    <w:p w:rsidR="00000000" w:rsidRDefault="00F9591B">
      <w:pPr>
        <w:pStyle w:val="ad"/>
        <w:spacing w:line="360" w:lineRule="auto"/>
        <w:jc w:val="both"/>
      </w:pPr>
      <w:r>
        <w:rPr>
          <w:rStyle w:val="ae"/>
        </w:rPr>
        <w:footnoteRef/>
      </w:r>
      <w:r>
        <w:t xml:space="preserve"> </w:t>
      </w:r>
      <w:r>
        <w:rPr>
          <w:rFonts w:hAnsi="新細明體"/>
        </w:rPr>
        <w:t>一般確認訴訟在陞遷案件中適用的機會似乎並不多見。</w:t>
      </w:r>
    </w:p>
  </w:footnote>
  <w:footnote w:id="3">
    <w:p w:rsidR="00000000" w:rsidRDefault="00F9591B">
      <w:pPr>
        <w:pStyle w:val="ad"/>
        <w:spacing w:line="360" w:lineRule="auto"/>
        <w:jc w:val="both"/>
        <w:rPr>
          <w:color w:val="000000"/>
        </w:rPr>
      </w:pPr>
      <w:r>
        <w:rPr>
          <w:rStyle w:val="ae"/>
          <w:color w:val="000000"/>
        </w:rPr>
        <w:footnoteRef/>
      </w:r>
      <w:r>
        <w:rPr>
          <w:color w:val="000000"/>
        </w:rPr>
        <w:t xml:space="preserve"> Vgl. Peter </w:t>
      </w:r>
      <w:r>
        <w:rPr>
          <w:bCs/>
          <w:iCs/>
          <w:color w:val="000000"/>
        </w:rPr>
        <w:t>Krause</w:t>
      </w:r>
      <w:r>
        <w:rPr>
          <w:color w:val="000000"/>
        </w:rPr>
        <w:t xml:space="preserve">, Rechtsformen des Verwaltungshandelns,1974, S. 200; </w:t>
      </w:r>
      <w:r>
        <w:rPr>
          <w:bCs/>
          <w:iCs/>
          <w:color w:val="000000"/>
        </w:rPr>
        <w:t>Christoph</w:t>
      </w:r>
      <w:r>
        <w:rPr>
          <w:color w:val="000000"/>
        </w:rPr>
        <w:t xml:space="preserve"> </w:t>
      </w:r>
      <w:r>
        <w:rPr>
          <w:bCs/>
          <w:iCs/>
          <w:color w:val="000000"/>
        </w:rPr>
        <w:t xml:space="preserve">Druschel, </w:t>
      </w:r>
      <w:r>
        <w:rPr>
          <w:color w:val="000000"/>
        </w:rPr>
        <w:t xml:space="preserve">Die Verwaltungsaktbefugnis, 1999, S. 225 f. </w:t>
      </w:r>
      <w:r>
        <w:rPr>
          <w:rFonts w:hAnsi="新細明體"/>
          <w:color w:val="000000"/>
        </w:rPr>
        <w:t>類似之主張，參考，翁岳生編，行政訴訟法逐條釋義，</w:t>
      </w:r>
      <w:r>
        <w:rPr>
          <w:color w:val="000000"/>
        </w:rPr>
        <w:t>2002</w:t>
      </w:r>
      <w:r>
        <w:rPr>
          <w:rFonts w:hAnsi="新細明體"/>
          <w:color w:val="000000"/>
        </w:rPr>
        <w:t>，頁</w:t>
      </w:r>
      <w:r>
        <w:rPr>
          <w:color w:val="000000"/>
        </w:rPr>
        <w:t>100</w:t>
      </w:r>
      <w:r>
        <w:rPr>
          <w:rFonts w:hAnsi="新細明體"/>
          <w:color w:val="000000"/>
        </w:rPr>
        <w:t>（註</w:t>
      </w:r>
      <w:r>
        <w:rPr>
          <w:color w:val="000000"/>
        </w:rPr>
        <w:t>205</w:t>
      </w:r>
      <w:r>
        <w:rPr>
          <w:rFonts w:hAnsi="新細明體"/>
          <w:color w:val="000000"/>
        </w:rPr>
        <w:t>）（許宗力執筆）。氏認為，在只</w:t>
      </w:r>
      <w:r>
        <w:rPr>
          <w:rFonts w:hAnsi="新細明體"/>
          <w:color w:val="000000"/>
        </w:rPr>
        <w:t>承認撤銷訴訟的舊法時代，行政機關函覆人民檢舉事項不成立所生權利救濟的爭執重心在於函覆性質是否屬於行政處分；但是在承認課予義務訴訟的新法時代，爭執重心則非該函覆是否屬於行政處分，而是舉發人是否依法擁有請求行政機關取締或處罰被舉發人之權利。</w:t>
      </w:r>
    </w:p>
  </w:footnote>
  <w:footnote w:id="4">
    <w:p w:rsidR="00000000" w:rsidRDefault="00F9591B">
      <w:pPr>
        <w:pStyle w:val="ad"/>
        <w:spacing w:line="360" w:lineRule="auto"/>
        <w:jc w:val="both"/>
        <w:rPr>
          <w:color w:val="000000"/>
        </w:rPr>
      </w:pPr>
      <w:r>
        <w:rPr>
          <w:rStyle w:val="ae"/>
          <w:color w:val="000000"/>
        </w:rPr>
        <w:footnoteRef/>
      </w:r>
      <w:r>
        <w:rPr>
          <w:color w:val="000000"/>
        </w:rPr>
        <w:t xml:space="preserve"> </w:t>
      </w:r>
      <w:r>
        <w:rPr>
          <w:rFonts w:hAnsi="新細明體"/>
          <w:color w:val="000000"/>
        </w:rPr>
        <w:t>程明修，「撤銷訴訟的合法性（二）</w:t>
      </w:r>
      <w:r>
        <w:rPr>
          <w:color w:val="000000"/>
        </w:rPr>
        <w:t xml:space="preserve"> - </w:t>
      </w:r>
      <w:r>
        <w:rPr>
          <w:rFonts w:hAnsi="新細明體"/>
          <w:color w:val="000000"/>
        </w:rPr>
        <w:t>隔離的撤銷訴訟</w:t>
      </w:r>
      <w:r>
        <w:rPr>
          <w:color w:val="000000"/>
        </w:rPr>
        <w:t>?</w:t>
      </w:r>
      <w:r>
        <w:rPr>
          <w:rFonts w:hAnsi="新細明體"/>
          <w:color w:val="000000"/>
        </w:rPr>
        <w:t>」，法學講座第</w:t>
      </w:r>
      <w:r>
        <w:rPr>
          <w:color w:val="000000"/>
        </w:rPr>
        <w:t>10</w:t>
      </w:r>
      <w:r>
        <w:rPr>
          <w:rFonts w:hAnsi="新細明體"/>
          <w:color w:val="000000"/>
        </w:rPr>
        <w:t>期，</w:t>
      </w:r>
      <w:r>
        <w:rPr>
          <w:color w:val="000000"/>
        </w:rPr>
        <w:t>2002.10</w:t>
      </w:r>
      <w:r>
        <w:rPr>
          <w:rFonts w:hAnsi="新細明體"/>
          <w:color w:val="000000"/>
        </w:rPr>
        <w:t>，頁</w:t>
      </w:r>
      <w:r>
        <w:rPr>
          <w:color w:val="000000"/>
        </w:rPr>
        <w:t>32</w:t>
      </w:r>
      <w:r>
        <w:rPr>
          <w:rFonts w:hAnsi="新細明體"/>
          <w:color w:val="000000"/>
        </w:rPr>
        <w:t>。</w:t>
      </w:r>
    </w:p>
  </w:footnote>
  <w:footnote w:id="5">
    <w:p w:rsidR="00000000" w:rsidRDefault="00F9591B">
      <w:pPr>
        <w:pStyle w:val="ad"/>
        <w:spacing w:line="360" w:lineRule="auto"/>
        <w:jc w:val="both"/>
        <w:rPr>
          <w:color w:val="000000"/>
          <w:lang w:val="de-DE"/>
        </w:rPr>
      </w:pPr>
      <w:r>
        <w:rPr>
          <w:rStyle w:val="ae"/>
          <w:color w:val="000000"/>
        </w:rPr>
        <w:footnoteRef/>
      </w:r>
      <w:r>
        <w:rPr>
          <w:color w:val="000000"/>
          <w:lang w:val="de-DE"/>
        </w:rPr>
        <w:t xml:space="preserve"> Vgl. Rainer </w:t>
      </w:r>
      <w:r>
        <w:rPr>
          <w:bCs/>
          <w:iCs/>
          <w:color w:val="000000"/>
          <w:lang w:val="de-DE"/>
        </w:rPr>
        <w:t xml:space="preserve">Pietzner/ Michael Ronellenfitsch, </w:t>
      </w:r>
      <w:r>
        <w:rPr>
          <w:color w:val="000000"/>
          <w:lang w:val="de-DE"/>
        </w:rPr>
        <w:t>Das Assessorexamen im Öffentlichen R</w:t>
      </w:r>
      <w:r>
        <w:rPr>
          <w:color w:val="000000"/>
          <w:lang w:val="de-DE"/>
        </w:rPr>
        <w:t>echt, 10. Aulf., 2000, § 9 III Rn. 24.</w:t>
      </w:r>
    </w:p>
  </w:footnote>
  <w:footnote w:id="6">
    <w:p w:rsidR="00000000" w:rsidRDefault="00F9591B">
      <w:pPr>
        <w:pStyle w:val="ad"/>
        <w:spacing w:line="360" w:lineRule="auto"/>
        <w:jc w:val="both"/>
        <w:rPr>
          <w:color w:val="000000"/>
          <w:lang w:val="de-DE"/>
        </w:rPr>
      </w:pPr>
      <w:r>
        <w:rPr>
          <w:rStyle w:val="ae"/>
          <w:color w:val="000000"/>
        </w:rPr>
        <w:footnoteRef/>
      </w:r>
      <w:r>
        <w:rPr>
          <w:color w:val="000000"/>
          <w:lang w:val="de-DE"/>
        </w:rPr>
        <w:t xml:space="preserve"> </w:t>
      </w:r>
      <w:r>
        <w:rPr>
          <w:rFonts w:hAnsi="新細明體"/>
          <w:color w:val="000000"/>
        </w:rPr>
        <w:t>相關文獻可參考</w:t>
      </w:r>
      <w:r>
        <w:rPr>
          <w:rFonts w:hAnsi="新細明體"/>
          <w:color w:val="000000"/>
          <w:lang w:val="de-DE"/>
        </w:rPr>
        <w:t>，</w:t>
      </w:r>
      <w:r>
        <w:rPr>
          <w:color w:val="000000"/>
          <w:lang w:val="de-DE"/>
        </w:rPr>
        <w:t>Vgl. Jost Pietzcker, in:</w:t>
      </w:r>
      <w:r>
        <w:rPr>
          <w:bCs/>
          <w:iCs/>
          <w:color w:val="000000"/>
          <w:lang w:val="de-DE"/>
        </w:rPr>
        <w:t xml:space="preserve"> Friedrich K. Schoch/ Eberhard Schmidt-Aßmann/ Rainer Pietzner (Hrsg.), </w:t>
      </w:r>
      <w:r>
        <w:rPr>
          <w:color w:val="000000"/>
          <w:lang w:val="de-DE"/>
        </w:rPr>
        <w:t>VwGO</w:t>
      </w:r>
      <w:r>
        <w:rPr>
          <w:bCs/>
          <w:iCs/>
          <w:color w:val="000000"/>
          <w:lang w:val="de-DE"/>
        </w:rPr>
        <w:t>, Stand: Jar. 2000, § 42 Abs. 1 Rn. 109 (Fn. 413).</w:t>
      </w:r>
    </w:p>
  </w:footnote>
  <w:footnote w:id="7">
    <w:p w:rsidR="00000000" w:rsidRDefault="00F9591B">
      <w:pPr>
        <w:pStyle w:val="ad"/>
        <w:spacing w:line="360" w:lineRule="auto"/>
        <w:jc w:val="both"/>
        <w:rPr>
          <w:color w:val="000000"/>
          <w:lang w:val="de-DE"/>
        </w:rPr>
      </w:pPr>
      <w:r>
        <w:rPr>
          <w:rStyle w:val="ae"/>
          <w:color w:val="000000"/>
        </w:rPr>
        <w:footnoteRef/>
      </w:r>
      <w:r>
        <w:rPr>
          <w:color w:val="000000"/>
          <w:lang w:val="de-DE"/>
        </w:rPr>
        <w:t xml:space="preserve"> Vgl. Friedhelm</w:t>
      </w:r>
      <w:r>
        <w:rPr>
          <w:bCs/>
          <w:iCs/>
          <w:color w:val="000000"/>
          <w:lang w:val="de-DE"/>
        </w:rPr>
        <w:t xml:space="preserve"> Hufen, </w:t>
      </w:r>
      <w:r>
        <w:rPr>
          <w:color w:val="000000"/>
          <w:lang w:val="de-DE"/>
        </w:rPr>
        <w:t>Verwaltungsprozeßrecht, 4. Aufl.</w:t>
      </w:r>
      <w:r>
        <w:rPr>
          <w:color w:val="000000"/>
          <w:lang w:val="de-DE"/>
        </w:rPr>
        <w:t>, 2000, § 14 Rn. 19.</w:t>
      </w:r>
    </w:p>
  </w:footnote>
  <w:footnote w:id="8">
    <w:p w:rsidR="00000000" w:rsidRDefault="00F9591B">
      <w:pPr>
        <w:pStyle w:val="ad"/>
        <w:spacing w:line="360" w:lineRule="auto"/>
        <w:jc w:val="both"/>
        <w:rPr>
          <w:color w:val="000000"/>
          <w:lang w:val="de-DE"/>
        </w:rPr>
      </w:pPr>
      <w:r>
        <w:rPr>
          <w:rStyle w:val="ae"/>
          <w:color w:val="000000"/>
        </w:rPr>
        <w:footnoteRef/>
      </w:r>
      <w:r>
        <w:rPr>
          <w:color w:val="000000"/>
          <w:lang w:val="de-DE"/>
        </w:rPr>
        <w:t xml:space="preserve"> Vgl. Hans-Werner Laubinger, Die isolierte Anfechtungsklage, in: Festschrift für Christian-Friedrich Menger zum 70. Geburtstag, 1985, S, 452 ff.</w:t>
      </w:r>
    </w:p>
  </w:footnote>
  <w:footnote w:id="9">
    <w:p w:rsidR="00000000" w:rsidRDefault="00F9591B">
      <w:pPr>
        <w:pStyle w:val="ad"/>
        <w:spacing w:line="360" w:lineRule="auto"/>
        <w:jc w:val="both"/>
        <w:rPr>
          <w:color w:val="000000"/>
          <w:lang w:val="de-DE"/>
        </w:rPr>
      </w:pPr>
      <w:r>
        <w:rPr>
          <w:rStyle w:val="ae"/>
          <w:color w:val="000000"/>
        </w:rPr>
        <w:footnoteRef/>
      </w:r>
      <w:r>
        <w:rPr>
          <w:color w:val="000000"/>
          <w:lang w:val="de-DE"/>
        </w:rPr>
        <w:t xml:space="preserve"> Vgl. Wolfgang Kuhla/ Jost Hüttenbrink, Der Verwaltungsprozess, 3. Aufl., 2002, D Rn. 14</w:t>
      </w:r>
      <w:r>
        <w:rPr>
          <w:color w:val="000000"/>
          <w:lang w:val="de-DE"/>
        </w:rPr>
        <w:t>3.</w:t>
      </w:r>
    </w:p>
  </w:footnote>
  <w:footnote w:id="10">
    <w:p w:rsidR="00000000" w:rsidRDefault="00F9591B">
      <w:pPr>
        <w:pStyle w:val="ad"/>
        <w:spacing w:line="360" w:lineRule="auto"/>
        <w:jc w:val="both"/>
        <w:rPr>
          <w:color w:val="000000"/>
          <w:lang w:val="de-DE"/>
        </w:rPr>
      </w:pPr>
      <w:r>
        <w:rPr>
          <w:rStyle w:val="ae"/>
          <w:color w:val="000000"/>
        </w:rPr>
        <w:footnoteRef/>
      </w:r>
      <w:r>
        <w:rPr>
          <w:color w:val="000000"/>
          <w:lang w:val="de-DE"/>
        </w:rPr>
        <w:t xml:space="preserve"> Vgl. Ferdinand O. Kopp/ Ulrich Ramsauer</w:t>
      </w:r>
      <w:r>
        <w:rPr>
          <w:bCs/>
          <w:iCs/>
          <w:color w:val="000000"/>
          <w:lang w:val="de-DE"/>
        </w:rPr>
        <w:t xml:space="preserve">, </w:t>
      </w:r>
      <w:r>
        <w:rPr>
          <w:color w:val="000000"/>
          <w:lang w:val="de-DE"/>
        </w:rPr>
        <w:t>VwGO, 12. Aufl., 2000, § 42 Rn. 30.</w:t>
      </w:r>
    </w:p>
  </w:footnote>
  <w:footnote w:id="11">
    <w:p w:rsidR="00000000" w:rsidRDefault="00F9591B">
      <w:pPr>
        <w:pStyle w:val="ad"/>
        <w:spacing w:line="360" w:lineRule="auto"/>
        <w:jc w:val="both"/>
        <w:rPr>
          <w:color w:val="000000"/>
        </w:rPr>
      </w:pPr>
      <w:r>
        <w:rPr>
          <w:rStyle w:val="ae"/>
          <w:color w:val="000000"/>
        </w:rPr>
        <w:footnoteRef/>
      </w:r>
      <w:r>
        <w:rPr>
          <w:color w:val="000000"/>
          <w:lang w:val="de-DE"/>
        </w:rPr>
        <w:t xml:space="preserve"> </w:t>
      </w:r>
      <w:r>
        <w:rPr>
          <w:rFonts w:hAnsi="新細明體"/>
          <w:color w:val="000000"/>
        </w:rPr>
        <w:t>相關文獻亦可參考</w:t>
      </w:r>
      <w:r>
        <w:rPr>
          <w:rFonts w:hAnsi="新細明體"/>
          <w:color w:val="000000"/>
          <w:lang w:val="de-DE"/>
        </w:rPr>
        <w:t>，</w:t>
      </w:r>
      <w:r>
        <w:rPr>
          <w:color w:val="000000"/>
          <w:lang w:val="de-DE"/>
        </w:rPr>
        <w:t>Vgl. Jost Pietzcker, in:</w:t>
      </w:r>
      <w:r>
        <w:rPr>
          <w:bCs/>
          <w:iCs/>
          <w:color w:val="000000"/>
          <w:lang w:val="de-DE"/>
        </w:rPr>
        <w:t xml:space="preserve"> Schoch/ Schmidt-Aßmann/ Pietzner (Hrsg.), </w:t>
      </w:r>
      <w:r>
        <w:rPr>
          <w:rFonts w:hint="eastAsia"/>
          <w:color w:val="0000FF"/>
          <w:lang w:val="de-DE"/>
        </w:rPr>
        <w:t>a.a.O.(Anm. 116)</w:t>
      </w:r>
      <w:r>
        <w:rPr>
          <w:color w:val="000000"/>
          <w:lang w:val="de-DE"/>
        </w:rPr>
        <w:t xml:space="preserve">, § 42 Abs. 1 Rn. 109 (Fn. 415). </w:t>
      </w:r>
      <w:r>
        <w:rPr>
          <w:rFonts w:hAnsi="新細明體"/>
          <w:color w:val="000000"/>
        </w:rPr>
        <w:t>當單獨撤銷駁回處分具有正當的權利保護目的時</w:t>
      </w:r>
      <w:r>
        <w:rPr>
          <w:rFonts w:hAnsi="新細明體"/>
          <w:color w:val="000000"/>
          <w:lang w:val="de-DE"/>
        </w:rPr>
        <w:t>，</w:t>
      </w:r>
      <w:r>
        <w:rPr>
          <w:rFonts w:hAnsi="新細明體"/>
          <w:color w:val="000000"/>
        </w:rPr>
        <w:t>隔離的撤銷訴訟雖不應自始加以排除。但是隔離的撤銷訴訟也並不應該無限地擴張其適用範圍。學說上承認或否定的各種類型，參考，程明修，</w:t>
      </w:r>
      <w:r>
        <w:rPr>
          <w:rFonts w:hAnsi="新細明體" w:hint="eastAsia"/>
          <w:color w:val="0000FF"/>
        </w:rPr>
        <w:t>前揭文</w:t>
      </w:r>
      <w:r>
        <w:rPr>
          <w:rFonts w:hAnsi="新細明體" w:hint="eastAsia"/>
          <w:color w:val="0000FF"/>
        </w:rPr>
        <w:t>(</w:t>
      </w:r>
      <w:r>
        <w:rPr>
          <w:rFonts w:hAnsi="新細明體" w:hint="eastAsia"/>
          <w:color w:val="0000FF"/>
        </w:rPr>
        <w:t>註</w:t>
      </w:r>
      <w:r>
        <w:rPr>
          <w:rFonts w:hAnsi="新細明體" w:hint="eastAsia"/>
          <w:color w:val="0000FF"/>
        </w:rPr>
        <w:t>114)</w:t>
      </w:r>
      <w:r>
        <w:rPr>
          <w:rFonts w:hAnsi="新細明體"/>
          <w:color w:val="000000"/>
        </w:rPr>
        <w:t>，頁</w:t>
      </w:r>
      <w:r>
        <w:rPr>
          <w:color w:val="000000"/>
        </w:rPr>
        <w:t>33</w:t>
      </w:r>
      <w:r>
        <w:rPr>
          <w:rFonts w:hAnsi="新細明體"/>
          <w:color w:val="000000"/>
        </w:rPr>
        <w:t>以下。</w:t>
      </w:r>
    </w:p>
  </w:footnote>
  <w:footnote w:id="12">
    <w:p w:rsidR="00000000" w:rsidRDefault="00F9591B">
      <w:pPr>
        <w:pStyle w:val="ad"/>
        <w:spacing w:line="360" w:lineRule="auto"/>
        <w:rPr>
          <w:lang w:val="de-DE"/>
        </w:rPr>
      </w:pPr>
      <w:r>
        <w:rPr>
          <w:rStyle w:val="ae"/>
        </w:rPr>
        <w:footnoteRef/>
      </w:r>
      <w:r>
        <w:t xml:space="preserve"> Vgl. BVerwGE 18, 124.</w:t>
      </w:r>
    </w:p>
  </w:footnote>
  <w:footnote w:id="13">
    <w:p w:rsidR="00000000" w:rsidRDefault="00F9591B">
      <w:pPr>
        <w:pStyle w:val="ad"/>
        <w:spacing w:line="360" w:lineRule="auto"/>
        <w:rPr>
          <w:lang w:val="de-DE"/>
        </w:rPr>
      </w:pPr>
      <w:r>
        <w:rPr>
          <w:rStyle w:val="ae"/>
        </w:rPr>
        <w:footnoteRef/>
      </w:r>
      <w:r>
        <w:t xml:space="preserve"> </w:t>
      </w:r>
      <w:r>
        <w:rPr>
          <w:lang w:val="de-DE"/>
        </w:rPr>
        <w:t>Vgl</w:t>
      </w:r>
      <w:r>
        <w:rPr>
          <w:lang w:val="de-DE"/>
        </w:rPr>
        <w:t>. von Albedyll, in: Johann Bader/ Michael Funke-Kaiser/ Stefan Kuntze/ Jörg von Albedyll, Verwaltungsgerichtsordnung, 3. Auf., 2005, § 65 Rn. 21 ff.</w:t>
      </w:r>
    </w:p>
  </w:footnote>
  <w:footnote w:id="14">
    <w:p w:rsidR="00000000" w:rsidRDefault="00F9591B">
      <w:pPr>
        <w:pStyle w:val="ad"/>
        <w:spacing w:line="360" w:lineRule="auto"/>
        <w:rPr>
          <w:lang w:val="de-DE"/>
        </w:rPr>
      </w:pPr>
      <w:r>
        <w:rPr>
          <w:rStyle w:val="ae"/>
        </w:rPr>
        <w:footnoteRef/>
      </w:r>
      <w:r>
        <w:rPr>
          <w:lang w:val="de-DE"/>
        </w:rPr>
        <w:t xml:space="preserve"> Vgl. OVG Greifswald, NVwZ 2000, 945.</w:t>
      </w:r>
    </w:p>
  </w:footnote>
  <w:footnote w:id="15">
    <w:p w:rsidR="00000000" w:rsidRDefault="00F9591B">
      <w:pPr>
        <w:pStyle w:val="ad"/>
        <w:spacing w:line="360" w:lineRule="auto"/>
        <w:jc w:val="both"/>
        <w:rPr>
          <w:lang w:val="de-DE"/>
        </w:rPr>
      </w:pPr>
      <w:r>
        <w:rPr>
          <w:rStyle w:val="ae"/>
        </w:rPr>
        <w:footnoteRef/>
      </w:r>
      <w:r>
        <w:rPr>
          <w:lang w:val="de-DE"/>
        </w:rPr>
        <w:t xml:space="preserve"> </w:t>
      </w:r>
      <w:r>
        <w:rPr>
          <w:rFonts w:hAnsi="新細明體"/>
        </w:rPr>
        <w:t>參考</w:t>
      </w:r>
      <w:r>
        <w:rPr>
          <w:rFonts w:hAnsi="新細明體"/>
          <w:lang w:val="de-DE"/>
        </w:rPr>
        <w:t>，</w:t>
      </w:r>
      <w:r>
        <w:rPr>
          <w:rFonts w:hAnsi="新細明體"/>
        </w:rPr>
        <w:t>陳敏</w:t>
      </w:r>
      <w:r>
        <w:rPr>
          <w:rFonts w:hAnsi="新細明體"/>
          <w:lang w:val="de-DE"/>
        </w:rPr>
        <w:t>，</w:t>
      </w:r>
      <w:r>
        <w:rPr>
          <w:rFonts w:hAnsi="新細明體"/>
        </w:rPr>
        <w:t>行政法總論</w:t>
      </w:r>
      <w:r>
        <w:rPr>
          <w:rFonts w:hAnsi="新細明體"/>
          <w:lang w:val="de-DE"/>
        </w:rPr>
        <w:t>（</w:t>
      </w:r>
      <w:r>
        <w:rPr>
          <w:rFonts w:hAnsi="新細明體"/>
        </w:rPr>
        <w:t>第三版</w:t>
      </w:r>
      <w:r>
        <w:rPr>
          <w:rFonts w:hAnsi="新細明體"/>
          <w:lang w:val="de-DE"/>
        </w:rPr>
        <w:t>），</w:t>
      </w:r>
      <w:r>
        <w:rPr>
          <w:rFonts w:hAnsi="新細明體"/>
        </w:rPr>
        <w:t>頁</w:t>
      </w:r>
      <w:r>
        <w:rPr>
          <w:lang w:val="de-DE"/>
        </w:rPr>
        <w:t>1031</w:t>
      </w:r>
      <w:r>
        <w:rPr>
          <w:rFonts w:hAnsi="新細明體"/>
        </w:rPr>
        <w:t>。</w:t>
      </w:r>
    </w:p>
  </w:footnote>
  <w:footnote w:id="16">
    <w:p w:rsidR="00000000" w:rsidRDefault="00F9591B">
      <w:pPr>
        <w:pStyle w:val="ad"/>
        <w:spacing w:line="360" w:lineRule="auto"/>
        <w:jc w:val="both"/>
      </w:pPr>
      <w:r>
        <w:rPr>
          <w:rStyle w:val="ae"/>
        </w:rPr>
        <w:footnoteRef/>
      </w:r>
      <w:r>
        <w:rPr>
          <w:lang w:val="de-DE"/>
        </w:rPr>
        <w:t xml:space="preserve"> Vgl. Uwe Kernbach, </w:t>
      </w:r>
      <w:r>
        <w:rPr>
          <w:rFonts w:hint="eastAsia"/>
          <w:lang w:val="de-DE"/>
        </w:rPr>
        <w:t>a.a.O.(Anm. 46)</w:t>
      </w:r>
      <w:r>
        <w:rPr>
          <w:lang w:val="de-DE"/>
        </w:rPr>
        <w:t>, S. 4</w:t>
      </w:r>
      <w:r>
        <w:rPr>
          <w:lang w:val="de-DE"/>
        </w:rPr>
        <w:t>8 ff.</w:t>
      </w:r>
    </w:p>
  </w:footnote>
  <w:footnote w:id="17">
    <w:p w:rsidR="00000000" w:rsidRDefault="00F9591B">
      <w:pPr>
        <w:pStyle w:val="ad"/>
        <w:spacing w:line="360" w:lineRule="auto"/>
        <w:jc w:val="both"/>
      </w:pPr>
      <w:r>
        <w:rPr>
          <w:rStyle w:val="ae"/>
        </w:rPr>
        <w:footnoteRef/>
      </w:r>
      <w:r>
        <w:t xml:space="preserve"> </w:t>
      </w:r>
      <w:r>
        <w:rPr>
          <w:rFonts w:hAnsi="新細明體"/>
        </w:rPr>
        <w:t>至於「針對不作為之訴（</w:t>
      </w:r>
      <w:r>
        <w:rPr>
          <w:lang w:val="de-DE"/>
        </w:rPr>
        <w:t>Untätigkeitskage</w:t>
      </w:r>
      <w:r>
        <w:rPr>
          <w:rFonts w:hAnsi="新細明體"/>
        </w:rPr>
        <w:t>）」之類的課予義務訴訟，理論上亦不排除其可能性。</w:t>
      </w:r>
    </w:p>
  </w:footnote>
  <w:footnote w:id="18">
    <w:p w:rsidR="00000000" w:rsidRDefault="00F9591B">
      <w:pPr>
        <w:pStyle w:val="ad"/>
        <w:spacing w:line="360" w:lineRule="auto"/>
        <w:jc w:val="both"/>
        <w:rPr>
          <w:lang w:val="de-DE"/>
        </w:rPr>
      </w:pPr>
      <w:r>
        <w:rPr>
          <w:rStyle w:val="ae"/>
        </w:rPr>
        <w:footnoteRef/>
      </w:r>
      <w:r>
        <w:rPr>
          <w:lang w:val="de-DE"/>
        </w:rPr>
        <w:t xml:space="preserve"> </w:t>
      </w:r>
      <w:r>
        <w:rPr>
          <w:rFonts w:hAnsi="新細明體"/>
        </w:rPr>
        <w:t>參考</w:t>
      </w:r>
      <w:r>
        <w:rPr>
          <w:rFonts w:hAnsi="新細明體"/>
          <w:lang w:val="de-DE"/>
        </w:rPr>
        <w:t>，</w:t>
      </w:r>
      <w:r>
        <w:rPr>
          <w:rFonts w:hAnsi="新細明體"/>
        </w:rPr>
        <w:t>吳庚</w:t>
      </w:r>
      <w:r>
        <w:rPr>
          <w:rFonts w:hAnsi="新細明體"/>
          <w:lang w:val="de-DE"/>
        </w:rPr>
        <w:t>，</w:t>
      </w:r>
      <w:r>
        <w:rPr>
          <w:rFonts w:hAnsi="新細明體"/>
        </w:rPr>
        <w:t>行政爭訟法論</w:t>
      </w:r>
      <w:r>
        <w:rPr>
          <w:rFonts w:hAnsi="新細明體"/>
          <w:lang w:val="de-DE"/>
        </w:rPr>
        <w:t>，</w:t>
      </w:r>
      <w:r>
        <w:rPr>
          <w:lang w:val="de-DE"/>
        </w:rPr>
        <w:t>1999</w:t>
      </w:r>
      <w:r>
        <w:rPr>
          <w:rFonts w:hAnsi="新細明體"/>
          <w:lang w:val="de-DE"/>
        </w:rPr>
        <w:t>，</w:t>
      </w:r>
      <w:r>
        <w:rPr>
          <w:rFonts w:hAnsi="新細明體"/>
        </w:rPr>
        <w:t>頁</w:t>
      </w:r>
      <w:r>
        <w:rPr>
          <w:lang w:val="de-DE"/>
        </w:rPr>
        <w:t>134</w:t>
      </w:r>
      <w:r>
        <w:rPr>
          <w:rFonts w:hAnsi="新細明體"/>
          <w:lang w:val="de-DE"/>
        </w:rPr>
        <w:t>；</w:t>
      </w:r>
      <w:r>
        <w:rPr>
          <w:rFonts w:hAnsi="新細明體"/>
        </w:rPr>
        <w:t>陳清秀</w:t>
      </w:r>
      <w:r>
        <w:rPr>
          <w:rFonts w:hAnsi="新細明體"/>
          <w:lang w:val="de-DE"/>
        </w:rPr>
        <w:t>，</w:t>
      </w:r>
      <w:r>
        <w:rPr>
          <w:rFonts w:hAnsi="新細明體"/>
        </w:rPr>
        <w:t>行政訴訟法</w:t>
      </w:r>
      <w:r>
        <w:rPr>
          <w:rFonts w:hAnsi="新細明體"/>
          <w:lang w:val="de-DE"/>
        </w:rPr>
        <w:t>，</w:t>
      </w:r>
      <w:r>
        <w:rPr>
          <w:lang w:val="de-DE"/>
        </w:rPr>
        <w:t>1999.6</w:t>
      </w:r>
      <w:r>
        <w:rPr>
          <w:rFonts w:hAnsi="新細明體"/>
          <w:lang w:val="de-DE"/>
        </w:rPr>
        <w:t>，</w:t>
      </w:r>
      <w:r>
        <w:rPr>
          <w:rFonts w:hAnsi="新細明體"/>
        </w:rPr>
        <w:t>頁</w:t>
      </w:r>
      <w:r>
        <w:rPr>
          <w:lang w:val="de-DE"/>
        </w:rPr>
        <w:t>109</w:t>
      </w:r>
      <w:r>
        <w:rPr>
          <w:rFonts w:hAnsi="新細明體"/>
        </w:rPr>
        <w:t>。</w:t>
      </w:r>
    </w:p>
  </w:footnote>
  <w:footnote w:id="19">
    <w:p w:rsidR="00000000" w:rsidRDefault="00F9591B">
      <w:pPr>
        <w:pStyle w:val="ad"/>
        <w:spacing w:line="360" w:lineRule="auto"/>
        <w:jc w:val="both"/>
        <w:rPr>
          <w:lang w:val="de-DE"/>
        </w:rPr>
      </w:pPr>
      <w:r>
        <w:rPr>
          <w:rStyle w:val="ae"/>
        </w:rPr>
        <w:footnoteRef/>
      </w:r>
      <w:r>
        <w:rPr>
          <w:lang w:val="de-DE"/>
        </w:rPr>
        <w:t xml:space="preserve"> Vgl. Rainer</w:t>
      </w:r>
      <w:r>
        <w:rPr>
          <w:b/>
          <w:i/>
          <w:lang w:val="de-DE"/>
        </w:rPr>
        <w:t xml:space="preserve"> </w:t>
      </w:r>
      <w:r>
        <w:rPr>
          <w:bCs/>
          <w:iCs/>
          <w:lang w:val="de-DE"/>
        </w:rPr>
        <w:t>Pietzner/ Michael Ronellenfitsch,</w:t>
      </w:r>
      <w:r>
        <w:rPr>
          <w:bCs/>
          <w:iCs/>
          <w:color w:val="0000FF"/>
          <w:lang w:val="de-DE"/>
        </w:rPr>
        <w:t xml:space="preserve"> </w:t>
      </w:r>
      <w:r>
        <w:rPr>
          <w:rFonts w:hint="eastAsia"/>
          <w:bCs/>
          <w:iCs/>
          <w:color w:val="0000FF"/>
          <w:lang w:val="de-DE"/>
        </w:rPr>
        <w:t>a.a.O.(Anm. 115)</w:t>
      </w:r>
      <w:r>
        <w:rPr>
          <w:lang w:val="de-DE"/>
        </w:rPr>
        <w:t>, § 9 Rn. 9.</w:t>
      </w:r>
    </w:p>
  </w:footnote>
  <w:footnote w:id="20">
    <w:p w:rsidR="00000000" w:rsidRDefault="00F9591B">
      <w:pPr>
        <w:pStyle w:val="ad"/>
        <w:spacing w:line="360" w:lineRule="auto"/>
        <w:jc w:val="both"/>
      </w:pPr>
      <w:r>
        <w:rPr>
          <w:rStyle w:val="ae"/>
        </w:rPr>
        <w:footnoteRef/>
      </w:r>
      <w:r>
        <w:t xml:space="preserve"> </w:t>
      </w:r>
      <w:r>
        <w:rPr>
          <w:rFonts w:hAnsi="新細明體"/>
        </w:rPr>
        <w:t>參考，盛子龍，「公務員權利調整之權利救濟</w:t>
      </w:r>
      <w:r>
        <w:t xml:space="preserve"> – </w:t>
      </w:r>
      <w:r>
        <w:rPr>
          <w:rFonts w:hAnsi="新細明體"/>
        </w:rPr>
        <w:t>行政訴訟法新制下新展望」，司法院，行政訴訟論文彙編</w:t>
      </w:r>
      <w:r>
        <w:t xml:space="preserve"> - </w:t>
      </w:r>
      <w:r>
        <w:rPr>
          <w:rFonts w:hAnsi="新細明體"/>
        </w:rPr>
        <w:t>人事行政爭訟，</w:t>
      </w:r>
      <w:r>
        <w:t>2002.11</w:t>
      </w:r>
      <w:r>
        <w:rPr>
          <w:rFonts w:hAnsi="新細明體"/>
        </w:rPr>
        <w:t>，頁</w:t>
      </w:r>
      <w:r>
        <w:t>39</w:t>
      </w:r>
      <w:r>
        <w:t>4</w:t>
      </w:r>
      <w:r>
        <w:rPr>
          <w:rFonts w:hAnsi="新細明體"/>
        </w:rPr>
        <w:t>。</w:t>
      </w:r>
    </w:p>
  </w:footnote>
  <w:footnote w:id="21">
    <w:p w:rsidR="00000000" w:rsidRDefault="00F9591B">
      <w:pPr>
        <w:pStyle w:val="ad"/>
        <w:spacing w:line="360" w:lineRule="auto"/>
        <w:jc w:val="both"/>
      </w:pPr>
      <w:r>
        <w:rPr>
          <w:rStyle w:val="ae"/>
        </w:rPr>
        <w:footnoteRef/>
      </w:r>
      <w:r>
        <w:t xml:space="preserve"> </w:t>
      </w:r>
      <w:r>
        <w:rPr>
          <w:rFonts w:hAnsi="新細明體"/>
        </w:rPr>
        <w:t>參考，林明昕，「一般形成訴訟」，當代公法新論（下），翁岳生教授七秩誕辰祝壽論文集，</w:t>
      </w:r>
      <w:r>
        <w:t>2002</w:t>
      </w:r>
      <w:r>
        <w:rPr>
          <w:rFonts w:hAnsi="新細明體"/>
        </w:rPr>
        <w:t>，頁</w:t>
      </w:r>
      <w:r>
        <w:t>93</w:t>
      </w:r>
      <w:r>
        <w:rPr>
          <w:rFonts w:hAnsi="新細明體"/>
        </w:rPr>
        <w:t>以下。</w:t>
      </w:r>
    </w:p>
  </w:footnote>
  <w:footnote w:id="22">
    <w:p w:rsidR="00000000" w:rsidRDefault="00F9591B">
      <w:pPr>
        <w:pStyle w:val="ad"/>
        <w:spacing w:line="360" w:lineRule="auto"/>
        <w:jc w:val="both"/>
        <w:rPr>
          <w:lang w:val="de-DE"/>
        </w:rPr>
      </w:pPr>
      <w:r>
        <w:rPr>
          <w:rStyle w:val="ae"/>
        </w:rPr>
        <w:footnoteRef/>
      </w:r>
      <w:r>
        <w:rPr>
          <w:lang w:val="de-DE"/>
        </w:rPr>
        <w:t xml:space="preserve"> Vgl. Rainer</w:t>
      </w:r>
      <w:r>
        <w:rPr>
          <w:b/>
          <w:i/>
          <w:lang w:val="de-DE"/>
        </w:rPr>
        <w:t xml:space="preserve"> </w:t>
      </w:r>
      <w:r>
        <w:rPr>
          <w:bCs/>
          <w:iCs/>
          <w:lang w:val="de-DE"/>
        </w:rPr>
        <w:t xml:space="preserve">Pietzner/ Michael Ronellenfitsch, </w:t>
      </w:r>
      <w:r>
        <w:rPr>
          <w:rFonts w:hint="eastAsia"/>
          <w:bCs/>
          <w:iCs/>
          <w:color w:val="0000FF"/>
          <w:lang w:val="de-DE"/>
        </w:rPr>
        <w:t>a.a.O.(Anm. 115)</w:t>
      </w:r>
      <w:r>
        <w:rPr>
          <w:lang w:val="de-DE"/>
        </w:rPr>
        <w:t>, § 9 Rn. 2</w:t>
      </w:r>
      <w:r>
        <w:rPr>
          <w:rFonts w:hAnsi="新細明體"/>
        </w:rPr>
        <w:t>（作者在本書第一版中即以如此稱之，新版書中則不再正式使用之）</w:t>
      </w:r>
      <w:r>
        <w:rPr>
          <w:lang w:val="de-DE"/>
        </w:rPr>
        <w:t xml:space="preserve">; </w:t>
      </w:r>
      <w:r>
        <w:rPr>
          <w:rFonts w:hint="eastAsia"/>
          <w:color w:val="0000FF"/>
          <w:lang w:val="de-DE"/>
        </w:rPr>
        <w:t>v</w:t>
      </w:r>
      <w:r>
        <w:rPr>
          <w:color w:val="0000FF"/>
          <w:lang w:val="de-DE"/>
        </w:rPr>
        <w:t>gl.</w:t>
      </w:r>
      <w:r>
        <w:rPr>
          <w:rFonts w:hint="eastAsia"/>
          <w:lang w:val="de-DE"/>
        </w:rPr>
        <w:t xml:space="preserve"> </w:t>
      </w:r>
      <w:r>
        <w:rPr>
          <w:lang w:val="de-DE"/>
        </w:rPr>
        <w:t>Bettina Jung Lundberg-Höwing, Der verwaltungsgerichtliche Rechtsschutz des Beamten geg</w:t>
      </w:r>
      <w:r>
        <w:rPr>
          <w:lang w:val="de-DE"/>
        </w:rPr>
        <w:t>en dienstaufsichtliche und organisatorische Maßnahmen, Diss. Göttingen, 1992, S. 80.</w:t>
      </w:r>
    </w:p>
  </w:footnote>
  <w:footnote w:id="23">
    <w:p w:rsidR="00000000" w:rsidRDefault="00F9591B">
      <w:pPr>
        <w:pStyle w:val="ad"/>
        <w:spacing w:line="360" w:lineRule="auto"/>
        <w:jc w:val="both"/>
      </w:pPr>
      <w:r>
        <w:rPr>
          <w:rStyle w:val="ae"/>
        </w:rPr>
        <w:footnoteRef/>
      </w:r>
      <w:r>
        <w:rPr>
          <w:lang w:val="de-DE"/>
        </w:rPr>
        <w:t xml:space="preserve"> Vgl. Ferdinand O. Kopp/ Wolf-Rüdiger Schenke, </w:t>
      </w:r>
      <w:r>
        <w:rPr>
          <w:rFonts w:hint="eastAsia"/>
          <w:bCs/>
          <w:iCs/>
          <w:color w:val="0000FF"/>
          <w:lang w:val="de-DE"/>
        </w:rPr>
        <w:t>a.a.O.(Anm. 120)</w:t>
      </w:r>
      <w:r>
        <w:t>, Vorb § 40 Rn. 8b.</w:t>
      </w:r>
    </w:p>
  </w:footnote>
  <w:footnote w:id="24">
    <w:p w:rsidR="00000000" w:rsidRDefault="00F9591B">
      <w:pPr>
        <w:pStyle w:val="ad"/>
        <w:spacing w:line="360" w:lineRule="auto"/>
        <w:jc w:val="both"/>
      </w:pPr>
      <w:r>
        <w:rPr>
          <w:rStyle w:val="ae"/>
        </w:rPr>
        <w:footnoteRef/>
      </w:r>
      <w:r>
        <w:t xml:space="preserve"> </w:t>
      </w:r>
      <w:r>
        <w:rPr>
          <w:rFonts w:hAnsi="新細明體"/>
        </w:rPr>
        <w:t>同見解，參考，林明昕，「一般形成訴訟」，當代公法新論（下），翁岳生教授七秩誕辰祝壽論文集，</w:t>
      </w:r>
      <w:r>
        <w:t>2002</w:t>
      </w:r>
      <w:r>
        <w:rPr>
          <w:rFonts w:hAnsi="新細明體"/>
        </w:rPr>
        <w:t>，頁</w:t>
      </w:r>
      <w:r>
        <w:t>97</w:t>
      </w:r>
      <w:r>
        <w:rPr>
          <w:rFonts w:hAnsi="新細明體"/>
        </w:rPr>
        <w:t>。</w:t>
      </w:r>
    </w:p>
  </w:footnote>
  <w:footnote w:id="25">
    <w:p w:rsidR="00000000" w:rsidRDefault="00F9591B">
      <w:pPr>
        <w:pStyle w:val="ad"/>
        <w:spacing w:line="360" w:lineRule="auto"/>
        <w:jc w:val="both"/>
      </w:pPr>
      <w:r>
        <w:rPr>
          <w:rStyle w:val="ae"/>
        </w:rPr>
        <w:footnoteRef/>
      </w:r>
      <w:r>
        <w:t xml:space="preserve"> </w:t>
      </w:r>
      <w:r>
        <w:rPr>
          <w:rFonts w:hAnsi="新細明體"/>
        </w:rPr>
        <w:t>參考，李建良，</w:t>
      </w:r>
      <w:r>
        <w:rPr>
          <w:rFonts w:hAnsi="新細明體" w:hint="eastAsia"/>
          <w:color w:val="0000FF"/>
          <w:lang w:val="de-DE"/>
        </w:rPr>
        <w:t>前揭書</w:t>
      </w:r>
      <w:r>
        <w:rPr>
          <w:rFonts w:hAnsi="新細明體" w:hint="eastAsia"/>
          <w:color w:val="0000FF"/>
          <w:lang w:val="de-DE"/>
        </w:rPr>
        <w:t>(</w:t>
      </w:r>
      <w:r>
        <w:rPr>
          <w:rFonts w:hAnsi="新細明體" w:hint="eastAsia"/>
          <w:color w:val="0000FF"/>
          <w:lang w:val="de-DE"/>
        </w:rPr>
        <w:t>註</w:t>
      </w:r>
      <w:r>
        <w:rPr>
          <w:rFonts w:hAnsi="新細明體" w:hint="eastAsia"/>
          <w:color w:val="0000FF"/>
          <w:lang w:val="de-DE"/>
        </w:rPr>
        <w:t>35)</w:t>
      </w:r>
      <w:r>
        <w:rPr>
          <w:rFonts w:hAnsi="新細明體"/>
          <w:lang w:val="de-DE"/>
        </w:rPr>
        <w:t>，頁</w:t>
      </w:r>
      <w:r>
        <w:rPr>
          <w:lang w:val="de-DE"/>
        </w:rPr>
        <w:t>169</w:t>
      </w:r>
      <w:r>
        <w:rPr>
          <w:rFonts w:hAnsi="新細明體"/>
          <w:lang w:val="de-DE"/>
        </w:rPr>
        <w:t>以下。</w:t>
      </w:r>
    </w:p>
  </w:footnote>
  <w:footnote w:id="26">
    <w:p w:rsidR="00000000" w:rsidRDefault="00F9591B">
      <w:pPr>
        <w:pStyle w:val="ad"/>
        <w:spacing w:line="360" w:lineRule="auto"/>
        <w:jc w:val="both"/>
        <w:rPr>
          <w:lang w:eastAsia="ja-JP"/>
        </w:rPr>
      </w:pPr>
      <w:r>
        <w:rPr>
          <w:rStyle w:val="ae"/>
        </w:rPr>
        <w:footnoteRef/>
      </w:r>
      <w:r>
        <w:rPr>
          <w:lang w:eastAsia="ja-JP"/>
        </w:rPr>
        <w:t xml:space="preserve"> </w:t>
      </w:r>
      <w:r>
        <w:rPr>
          <w:rFonts w:hAnsi="新細明體"/>
          <w:lang w:eastAsia="ja-JP"/>
        </w:rPr>
        <w:t>參考</w:t>
      </w:r>
      <w:r>
        <w:rPr>
          <w:rFonts w:hAnsi="新細明體"/>
          <w:lang w:eastAsia="ja-JP"/>
        </w:rPr>
        <w:t>，南</w:t>
      </w:r>
      <w:r>
        <w:rPr>
          <w:lang w:eastAsia="ja-JP"/>
        </w:rPr>
        <w:t>=</w:t>
      </w:r>
      <w:r>
        <w:rPr>
          <w:rFonts w:hAnsi="新細明體"/>
          <w:lang w:eastAsia="ja-JP"/>
        </w:rPr>
        <w:t>高橋編・条解，頁</w:t>
      </w:r>
      <w:r>
        <w:rPr>
          <w:lang w:eastAsia="ja-JP"/>
        </w:rPr>
        <w:t>54</w:t>
      </w:r>
      <w:r>
        <w:rPr>
          <w:rFonts w:hAnsi="新細明體"/>
          <w:lang w:eastAsia="ja-JP"/>
        </w:rPr>
        <w:t>［高橋滋執筆］。</w:t>
      </w:r>
    </w:p>
  </w:footnote>
  <w:footnote w:id="27">
    <w:p w:rsidR="00000000" w:rsidRDefault="00F9591B">
      <w:pPr>
        <w:pStyle w:val="ad"/>
        <w:spacing w:line="360" w:lineRule="auto"/>
        <w:jc w:val="both"/>
      </w:pPr>
      <w:r>
        <w:rPr>
          <w:rStyle w:val="ae"/>
        </w:rPr>
        <w:footnoteRef/>
      </w:r>
      <w:r>
        <w:rPr>
          <w:lang w:val="de-DE"/>
        </w:rPr>
        <w:t xml:space="preserve"> Vgl. Uwe Kernbach, </w:t>
      </w:r>
      <w:r>
        <w:rPr>
          <w:rFonts w:hint="eastAsia"/>
          <w:bCs/>
          <w:iCs/>
          <w:color w:val="0000FF"/>
          <w:lang w:val="de-DE"/>
        </w:rPr>
        <w:t>a.a.O.(Anm. 46)</w:t>
      </w:r>
      <w:r>
        <w:rPr>
          <w:lang w:val="de-DE"/>
        </w:rPr>
        <w:t>, S. 131.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D005D0"/>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6D1E8D7E"/>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0A98C88E"/>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E081258"/>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D1C8627E"/>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307E973E"/>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AF6AE13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C6565198"/>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3961E5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7C6EFFE6"/>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17F1579"/>
    <w:multiLevelType w:val="hybridMultilevel"/>
    <w:tmpl w:val="FF72784A"/>
    <w:lvl w:ilvl="0" w:tplc="784C5B5A">
      <w:start w:val="13"/>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42F1E3A"/>
    <w:multiLevelType w:val="hybridMultilevel"/>
    <w:tmpl w:val="956CD016"/>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08F006FE"/>
    <w:multiLevelType w:val="hybridMultilevel"/>
    <w:tmpl w:val="ECC4D3AE"/>
    <w:lvl w:ilvl="0" w:tplc="254E763A">
      <w:start w:val="26"/>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C0B4117"/>
    <w:multiLevelType w:val="hybridMultilevel"/>
    <w:tmpl w:val="A2644FFA"/>
    <w:lvl w:ilvl="0" w:tplc="FD56535E">
      <w:start w:val="1"/>
      <w:numFmt w:val="taiwaneseCountingThousand"/>
      <w:lvlText w:val="（%1）"/>
      <w:lvlJc w:val="left"/>
      <w:pPr>
        <w:tabs>
          <w:tab w:val="num" w:pos="1080"/>
        </w:tabs>
        <w:ind w:left="1080" w:hanging="1080"/>
      </w:pPr>
      <w:rPr>
        <w:rFonts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65620A5"/>
    <w:multiLevelType w:val="hybridMultilevel"/>
    <w:tmpl w:val="A14415D8"/>
    <w:lvl w:ilvl="0" w:tplc="F4B66D18">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868035B"/>
    <w:multiLevelType w:val="hybridMultilevel"/>
    <w:tmpl w:val="CE7AA770"/>
    <w:lvl w:ilvl="0" w:tplc="7E4A469A">
      <w:start w:val="26"/>
      <w:numFmt w:val="decimal"/>
      <w:lvlText w:val="%1."/>
      <w:lvlJc w:val="left"/>
      <w:pPr>
        <w:tabs>
          <w:tab w:val="num" w:pos="360"/>
        </w:tabs>
        <w:ind w:left="360" w:hanging="360"/>
      </w:pPr>
      <w:rPr>
        <w:rFonts w:eastAsia="新細明體" w:hint="eastAsia"/>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96F5E1C"/>
    <w:multiLevelType w:val="hybridMultilevel"/>
    <w:tmpl w:val="B524AE04"/>
    <w:lvl w:ilvl="0" w:tplc="FFFFFFFF">
      <w:start w:val="1"/>
      <w:numFmt w:val="taiwaneseCountingThousand"/>
      <w:lvlText w:val="%1、"/>
      <w:lvlJc w:val="left"/>
      <w:pPr>
        <w:tabs>
          <w:tab w:val="num" w:pos="720"/>
        </w:tabs>
        <w:ind w:left="720" w:hanging="720"/>
      </w:pPr>
      <w:rPr>
        <w:rFonts w:hint="eastAsia"/>
        <w:b w:val="0"/>
        <w:u w:val="none"/>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15:restartNumberingAfterBreak="0">
    <w:nsid w:val="19C83BB9"/>
    <w:multiLevelType w:val="hybridMultilevel"/>
    <w:tmpl w:val="A6F0E03E"/>
    <w:lvl w:ilvl="0" w:tplc="18EA46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EF43D9"/>
    <w:multiLevelType w:val="hybridMultilevel"/>
    <w:tmpl w:val="748828EC"/>
    <w:lvl w:ilvl="0" w:tplc="910C1978">
      <w:start w:val="1"/>
      <w:numFmt w:val="decimal"/>
      <w:lvlText w:val="%1."/>
      <w:lvlJc w:val="left"/>
      <w:pPr>
        <w:tabs>
          <w:tab w:val="num" w:pos="1140"/>
        </w:tabs>
        <w:ind w:left="1140" w:hanging="660"/>
      </w:pPr>
      <w:rPr>
        <w:rFonts w:hAns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20D70612"/>
    <w:multiLevelType w:val="hybridMultilevel"/>
    <w:tmpl w:val="2E8C00EE"/>
    <w:lvl w:ilvl="0" w:tplc="80CA28D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DC1712A"/>
    <w:multiLevelType w:val="hybridMultilevel"/>
    <w:tmpl w:val="A690598E"/>
    <w:lvl w:ilvl="0" w:tplc="37BEE66E">
      <w:start w:val="1"/>
      <w:numFmt w:val="lowerLetter"/>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4A31304"/>
    <w:multiLevelType w:val="hybridMultilevel"/>
    <w:tmpl w:val="E8162A92"/>
    <w:lvl w:ilvl="0" w:tplc="4770E99E">
      <w:start w:val="3"/>
      <w:numFmt w:val="decimal"/>
      <w:lvlText w:val="%1."/>
      <w:lvlJc w:val="left"/>
      <w:pPr>
        <w:tabs>
          <w:tab w:val="num" w:pos="420"/>
        </w:tabs>
        <w:ind w:left="420" w:hanging="4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4FA2955"/>
    <w:multiLevelType w:val="hybridMultilevel"/>
    <w:tmpl w:val="F53A38A4"/>
    <w:lvl w:ilvl="0" w:tplc="63284FFC">
      <w:start w:val="4"/>
      <w:numFmt w:val="decimal"/>
      <w:lvlText w:val="%1."/>
      <w:lvlJc w:val="left"/>
      <w:pPr>
        <w:tabs>
          <w:tab w:val="num" w:pos="420"/>
        </w:tabs>
        <w:ind w:left="420" w:hanging="4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6A04CBD"/>
    <w:multiLevelType w:val="hybridMultilevel"/>
    <w:tmpl w:val="47283BE8"/>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7A42773"/>
    <w:multiLevelType w:val="hybridMultilevel"/>
    <w:tmpl w:val="C8446CE4"/>
    <w:lvl w:ilvl="0" w:tplc="4C641A72">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AB00B77"/>
    <w:multiLevelType w:val="hybridMultilevel"/>
    <w:tmpl w:val="CF2A3916"/>
    <w:lvl w:ilvl="0" w:tplc="1922738A">
      <w:start w:val="6"/>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B5B3826"/>
    <w:multiLevelType w:val="hybridMultilevel"/>
    <w:tmpl w:val="B1CA2E62"/>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4987200"/>
    <w:multiLevelType w:val="multilevel"/>
    <w:tmpl w:val="853CB26E"/>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ideographTraditional"/>
      <w:suff w:val="nothing"/>
      <w:lvlText w:val="%5、"/>
      <w:lvlJc w:val="left"/>
      <w:pPr>
        <w:ind w:left="2500" w:hanging="555"/>
      </w:pPr>
    </w:lvl>
    <w:lvl w:ilvl="5">
      <w:start w:val="1"/>
      <w:numFmt w:val="ideographTraditional"/>
      <w:suff w:val="nothing"/>
      <w:lvlText w:val="（%6）"/>
      <w:lvlJc w:val="left"/>
      <w:pPr>
        <w:ind w:left="3056" w:hanging="834"/>
      </w:pPr>
    </w:lvl>
    <w:lvl w:ilvl="6">
      <w:start w:val="1"/>
      <w:numFmt w:val="ideographZodiac"/>
      <w:suff w:val="nothing"/>
      <w:lvlText w:val="%7、"/>
      <w:lvlJc w:val="left"/>
      <w:pPr>
        <w:ind w:left="3334" w:hanging="556"/>
      </w:pPr>
    </w:lvl>
    <w:lvl w:ilvl="7">
      <w:start w:val="1"/>
      <w:numFmt w:val="ideographZodiac"/>
      <w:suff w:val="nothing"/>
      <w:lvlText w:val="（%8）"/>
      <w:lvlJc w:val="left"/>
      <w:pPr>
        <w:ind w:left="3889" w:hanging="833"/>
      </w:pPr>
    </w:lvl>
    <w:lvl w:ilvl="8">
      <w:start w:val="1"/>
      <w:numFmt w:val="decimalFullWidth"/>
      <w:suff w:val="nothing"/>
      <w:lvlText w:val="%9）"/>
      <w:lvlJc w:val="left"/>
      <w:pPr>
        <w:ind w:left="4167" w:hanging="556"/>
      </w:pPr>
    </w:lvl>
  </w:abstractNum>
  <w:abstractNum w:abstractNumId="28" w15:restartNumberingAfterBreak="0">
    <w:nsid w:val="64F1494D"/>
    <w:multiLevelType w:val="hybridMultilevel"/>
    <w:tmpl w:val="9DE6FE48"/>
    <w:lvl w:ilvl="0" w:tplc="A822CA98">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67F6BB2"/>
    <w:multiLevelType w:val="hybridMultilevel"/>
    <w:tmpl w:val="AE98ACD8"/>
    <w:lvl w:ilvl="0" w:tplc="275E8CCA">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B39317C"/>
    <w:multiLevelType w:val="multilevel"/>
    <w:tmpl w:val="73F26EB2"/>
    <w:lvl w:ilvl="0">
      <w:start w:val="1"/>
      <w:numFmt w:val="decimal"/>
      <w:lvlText w:val="%1."/>
      <w:lvlJc w:val="left"/>
      <w:pPr>
        <w:tabs>
          <w:tab w:val="num" w:pos="840"/>
        </w:tabs>
        <w:ind w:left="840" w:hanging="360"/>
      </w:pPr>
      <w:rPr>
        <w:rFonts w:hint="eastAsia"/>
      </w:rPr>
    </w:lvl>
    <w:lvl w:ilvl="1">
      <w:start w:val="1"/>
      <w:numFmt w:val="decimal"/>
      <w:isLgl/>
      <w:lvlText w:val="%1.%2."/>
      <w:lvlJc w:val="left"/>
      <w:pPr>
        <w:tabs>
          <w:tab w:val="num" w:pos="1260"/>
        </w:tabs>
        <w:ind w:left="1260" w:hanging="720"/>
      </w:pPr>
      <w:rPr>
        <w:rFonts w:hint="eastAsia"/>
        <w:sz w:val="26"/>
        <w:szCs w:val="26"/>
      </w:rPr>
    </w:lvl>
    <w:lvl w:ilvl="2">
      <w:start w:val="1"/>
      <w:numFmt w:val="decimal"/>
      <w:isLgl/>
      <w:lvlText w:val="%1.%2.%3."/>
      <w:lvlJc w:val="left"/>
      <w:pPr>
        <w:tabs>
          <w:tab w:val="num" w:pos="1204"/>
        </w:tabs>
        <w:ind w:left="1204" w:hanging="720"/>
      </w:pPr>
      <w:rPr>
        <w:rFonts w:hint="eastAsia"/>
      </w:rPr>
    </w:lvl>
    <w:lvl w:ilvl="3">
      <w:start w:val="1"/>
      <w:numFmt w:val="decimal"/>
      <w:isLgl/>
      <w:lvlText w:val="%1.%2.%3.%4."/>
      <w:lvlJc w:val="left"/>
      <w:pPr>
        <w:tabs>
          <w:tab w:val="num" w:pos="1566"/>
        </w:tabs>
        <w:ind w:left="1566" w:hanging="1080"/>
      </w:pPr>
      <w:rPr>
        <w:rFonts w:hint="eastAsia"/>
      </w:rPr>
    </w:lvl>
    <w:lvl w:ilvl="4">
      <w:start w:val="1"/>
      <w:numFmt w:val="decimal"/>
      <w:isLgl/>
      <w:lvlText w:val="%1.%2.%3.%4.%5."/>
      <w:lvlJc w:val="left"/>
      <w:pPr>
        <w:tabs>
          <w:tab w:val="num" w:pos="1928"/>
        </w:tabs>
        <w:ind w:left="1928" w:hanging="1440"/>
      </w:pPr>
      <w:rPr>
        <w:rFonts w:hint="eastAsia"/>
      </w:rPr>
    </w:lvl>
    <w:lvl w:ilvl="5">
      <w:start w:val="1"/>
      <w:numFmt w:val="decimal"/>
      <w:isLgl/>
      <w:lvlText w:val="%1.%2.%3.%4.%5.%6."/>
      <w:lvlJc w:val="left"/>
      <w:pPr>
        <w:tabs>
          <w:tab w:val="num" w:pos="1930"/>
        </w:tabs>
        <w:ind w:left="1930" w:hanging="1440"/>
      </w:pPr>
      <w:rPr>
        <w:rFonts w:hint="eastAsia"/>
      </w:rPr>
    </w:lvl>
    <w:lvl w:ilvl="6">
      <w:start w:val="1"/>
      <w:numFmt w:val="decimal"/>
      <w:isLgl/>
      <w:lvlText w:val="%1.%2.%3.%4.%5.%6.%7."/>
      <w:lvlJc w:val="left"/>
      <w:pPr>
        <w:tabs>
          <w:tab w:val="num" w:pos="2292"/>
        </w:tabs>
        <w:ind w:left="2292" w:hanging="1800"/>
      </w:pPr>
      <w:rPr>
        <w:rFonts w:hint="eastAsia"/>
      </w:rPr>
    </w:lvl>
    <w:lvl w:ilvl="7">
      <w:start w:val="1"/>
      <w:numFmt w:val="decimal"/>
      <w:isLgl/>
      <w:lvlText w:val="%1.%2.%3.%4.%5.%6.%7.%8."/>
      <w:lvlJc w:val="left"/>
      <w:pPr>
        <w:tabs>
          <w:tab w:val="num" w:pos="2654"/>
        </w:tabs>
        <w:ind w:left="2654" w:hanging="2160"/>
      </w:pPr>
      <w:rPr>
        <w:rFonts w:hint="eastAsia"/>
      </w:rPr>
    </w:lvl>
    <w:lvl w:ilvl="8">
      <w:start w:val="1"/>
      <w:numFmt w:val="decimal"/>
      <w:isLgl/>
      <w:lvlText w:val="%1.%2.%3.%4.%5.%6.%7.%8.%9."/>
      <w:lvlJc w:val="left"/>
      <w:pPr>
        <w:tabs>
          <w:tab w:val="num" w:pos="2656"/>
        </w:tabs>
        <w:ind w:left="2656" w:hanging="2160"/>
      </w:pPr>
      <w:rPr>
        <w:rFonts w:hint="eastAsia"/>
      </w:rPr>
    </w:lvl>
  </w:abstractNum>
  <w:abstractNum w:abstractNumId="31" w15:restartNumberingAfterBreak="0">
    <w:nsid w:val="6E812CB2"/>
    <w:multiLevelType w:val="hybridMultilevel"/>
    <w:tmpl w:val="8DA80082"/>
    <w:lvl w:ilvl="0" w:tplc="4E0C8E3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77652B20"/>
    <w:multiLevelType w:val="hybridMultilevel"/>
    <w:tmpl w:val="A4C2511A"/>
    <w:lvl w:ilvl="0" w:tplc="A6907088">
      <w:start w:val="1"/>
      <w:numFmt w:val="taiwaneseCountingThousand"/>
      <w:lvlText w:val="%1、"/>
      <w:lvlJc w:val="left"/>
      <w:pPr>
        <w:tabs>
          <w:tab w:val="num" w:pos="1587"/>
        </w:tabs>
        <w:ind w:left="1587" w:hanging="1035"/>
      </w:pPr>
    </w:lvl>
    <w:lvl w:ilvl="1" w:tplc="DBAA83BE">
      <w:start w:val="1"/>
      <w:numFmt w:val="taiwaneseCountingThousand"/>
      <w:lvlText w:val="（%2）"/>
      <w:lvlJc w:val="left"/>
      <w:pPr>
        <w:tabs>
          <w:tab w:val="num" w:pos="2307"/>
        </w:tabs>
        <w:ind w:left="2307" w:hanging="1275"/>
      </w:pPr>
    </w:lvl>
    <w:lvl w:ilvl="2" w:tplc="0409001B">
      <w:start w:val="1"/>
      <w:numFmt w:val="lowerRoman"/>
      <w:lvlText w:val="%3."/>
      <w:lvlJc w:val="right"/>
      <w:pPr>
        <w:tabs>
          <w:tab w:val="num" w:pos="1992"/>
        </w:tabs>
        <w:ind w:left="1992"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CBF6C43"/>
    <w:multiLevelType w:val="hybridMultilevel"/>
    <w:tmpl w:val="17F8F73A"/>
    <w:lvl w:ilvl="0" w:tplc="BD8C3338">
      <w:start w:val="19"/>
      <w:numFmt w:val="decimal"/>
      <w:lvlText w:val="%1."/>
      <w:lvlJc w:val="left"/>
      <w:pPr>
        <w:tabs>
          <w:tab w:val="num" w:pos="540"/>
        </w:tabs>
        <w:ind w:left="540" w:hanging="5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11"/>
  </w:num>
  <w:num w:numId="16">
    <w:abstractNumId w:val="23"/>
  </w:num>
  <w:num w:numId="17">
    <w:abstractNumId w:val="26"/>
  </w:num>
  <w:num w:numId="18">
    <w:abstractNumId w:val="17"/>
  </w:num>
  <w:num w:numId="19">
    <w:abstractNumId w:val="19"/>
  </w:num>
  <w:num w:numId="20">
    <w:abstractNumId w:val="20"/>
  </w:num>
  <w:num w:numId="21">
    <w:abstractNumId w:val="13"/>
  </w:num>
  <w:num w:numId="22">
    <w:abstractNumId w:val="31"/>
  </w:num>
  <w:num w:numId="23">
    <w:abstractNumId w:val="18"/>
  </w:num>
  <w:num w:numId="24">
    <w:abstractNumId w:val="22"/>
  </w:num>
  <w:num w:numId="25">
    <w:abstractNumId w:val="29"/>
  </w:num>
  <w:num w:numId="26">
    <w:abstractNumId w:val="21"/>
  </w:num>
  <w:num w:numId="27">
    <w:abstractNumId w:val="25"/>
  </w:num>
  <w:num w:numId="28">
    <w:abstractNumId w:val="24"/>
  </w:num>
  <w:num w:numId="29">
    <w:abstractNumId w:val="12"/>
  </w:num>
  <w:num w:numId="30">
    <w:abstractNumId w:val="33"/>
  </w:num>
  <w:num w:numId="31">
    <w:abstractNumId w:val="15"/>
  </w:num>
  <w:num w:numId="32">
    <w:abstractNumId w:val="10"/>
  </w:num>
  <w:num w:numId="33">
    <w:abstractNumId w:val="1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5D"/>
    <w:rsid w:val="004A7D5D"/>
    <w:rsid w:val="00F959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5C9AB6-1346-420C-A67A-948736B1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adjustRightInd w:val="0"/>
      <w:snapToGrid w:val="0"/>
      <w:spacing w:beforeLines="50" w:before="50" w:afterLines="50" w:after="50" w:line="360" w:lineRule="auto"/>
      <w:jc w:val="both"/>
      <w:outlineLvl w:val="0"/>
    </w:pPr>
    <w:rPr>
      <w:rFonts w:eastAsia="標楷體"/>
      <w:b/>
      <w:snapToGrid w:val="0"/>
      <w:kern w:val="0"/>
      <w:sz w:val="32"/>
      <w:szCs w:val="32"/>
    </w:rPr>
  </w:style>
  <w:style w:type="paragraph" w:styleId="2">
    <w:name w:val="heading 2"/>
    <w:basedOn w:val="a"/>
    <w:next w:val="a"/>
    <w:autoRedefine/>
    <w:qFormat/>
    <w:pPr>
      <w:keepNext/>
      <w:adjustRightInd w:val="0"/>
      <w:snapToGrid w:val="0"/>
      <w:spacing w:beforeLines="50" w:before="180" w:afterLines="50" w:after="180" w:line="360" w:lineRule="auto"/>
      <w:jc w:val="both"/>
      <w:outlineLvl w:val="1"/>
    </w:pPr>
    <w:rPr>
      <w:rFonts w:eastAsia="標楷體"/>
      <w:b/>
      <w:snapToGrid w:val="0"/>
      <w:kern w:val="0"/>
      <w:sz w:val="28"/>
      <w:szCs w:val="28"/>
    </w:rPr>
  </w:style>
  <w:style w:type="paragraph" w:styleId="3">
    <w:name w:val="heading 3"/>
    <w:basedOn w:val="a"/>
    <w:next w:val="a"/>
    <w:autoRedefine/>
    <w:qFormat/>
    <w:pPr>
      <w:keepNext/>
      <w:adjustRightInd w:val="0"/>
      <w:snapToGrid w:val="0"/>
      <w:spacing w:beforeLines="50" w:before="50" w:afterLines="50" w:after="50" w:line="360" w:lineRule="auto"/>
      <w:jc w:val="both"/>
      <w:outlineLvl w:val="2"/>
    </w:pPr>
    <w:rPr>
      <w:rFonts w:ascii="Arial" w:eastAsia="標楷體" w:hAnsi="Arial"/>
      <w:bCs/>
      <w:snapToGrid w:val="0"/>
      <w:kern w:val="0"/>
      <w:sz w:val="26"/>
      <w:szCs w:val="26"/>
    </w:rPr>
  </w:style>
  <w:style w:type="paragraph" w:styleId="4">
    <w:name w:val="heading 4"/>
    <w:basedOn w:val="a"/>
    <w:next w:val="a"/>
    <w:autoRedefine/>
    <w:qFormat/>
    <w:pPr>
      <w:keepNext/>
      <w:adjustRightInd w:val="0"/>
      <w:snapToGrid w:val="0"/>
      <w:spacing w:beforeLines="50" w:before="180" w:afterLines="50" w:after="180" w:line="360" w:lineRule="auto"/>
      <w:jc w:val="both"/>
      <w:outlineLvl w:val="3"/>
    </w:pPr>
    <w:rPr>
      <w:rFonts w:ascii="Arial" w:eastAsia="標楷體" w:hAnsi="Arial"/>
      <w:b/>
      <w:snapToGrid w:val="0"/>
      <w:kern w:val="0"/>
    </w:rPr>
  </w:style>
  <w:style w:type="paragraph" w:styleId="5">
    <w:name w:val="heading 5"/>
    <w:basedOn w:val="a"/>
    <w:next w:val="a0"/>
    <w:qFormat/>
    <w:pPr>
      <w:keepNext/>
      <w:spacing w:before="120" w:after="120"/>
      <w:ind w:left="425"/>
      <w:outlineLvl w:val="4"/>
    </w:pPr>
    <w:rPr>
      <w:rFonts w:ascii="Arial" w:eastAsia="標楷體" w:hAnsi="Arial"/>
      <w:b/>
      <w:spacing w:val="30"/>
      <w:sz w:val="28"/>
      <w:szCs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paragraph" w:styleId="a0">
    <w:name w:val="Normal Indent"/>
    <w:basedOn w:val="a"/>
    <w:semiHidden/>
    <w:pPr>
      <w:ind w:left="480"/>
    </w:pPr>
    <w:rPr>
      <w:spacing w:val="30"/>
      <w:szCs w:val="20"/>
    </w:rPr>
  </w:style>
  <w:style w:type="paragraph" w:styleId="a4">
    <w:name w:val="Block Text"/>
    <w:basedOn w:val="a"/>
    <w:semiHidden/>
    <w:pPr>
      <w:widowControl/>
      <w:ind w:left="113" w:right="113"/>
    </w:pPr>
  </w:style>
  <w:style w:type="paragraph" w:styleId="a5">
    <w:name w:val="Body Text Indent"/>
    <w:basedOn w:val="a"/>
    <w:semiHidden/>
    <w:pPr>
      <w:ind w:left="560" w:hangingChars="200" w:hanging="560"/>
    </w:pPr>
    <w:rPr>
      <w:sz w:val="28"/>
    </w:r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1"/>
    <w:semiHidden/>
  </w:style>
  <w:style w:type="paragraph" w:customStyle="1" w:styleId="30">
    <w:name w:val="內文3"/>
    <w:basedOn w:val="a"/>
    <w:pPr>
      <w:widowControl/>
      <w:tabs>
        <w:tab w:val="left" w:pos="567"/>
      </w:tabs>
      <w:spacing w:before="120" w:after="120"/>
      <w:ind w:left="1644" w:hanging="1077"/>
    </w:pPr>
    <w:rPr>
      <w:rFonts w:eastAsia="標楷體"/>
      <w:noProof/>
      <w:spacing w:val="30"/>
      <w:kern w:val="0"/>
      <w:sz w:val="22"/>
      <w:szCs w:val="20"/>
    </w:rPr>
  </w:style>
  <w:style w:type="paragraph" w:customStyle="1" w:styleId="20">
    <w:name w:val="內文2"/>
    <w:pPr>
      <w:spacing w:before="120" w:after="120"/>
    </w:pPr>
    <w:rPr>
      <w:rFonts w:eastAsia="標楷體"/>
      <w:noProof/>
      <w:spacing w:val="20"/>
    </w:rPr>
  </w:style>
  <w:style w:type="character" w:styleId="a8">
    <w:name w:val="Hyperlink"/>
    <w:basedOn w:val="a1"/>
    <w:semiHidden/>
    <w:rPr>
      <w:color w:val="0000FF"/>
      <w:u w:val="single"/>
    </w:rPr>
  </w:style>
  <w:style w:type="character" w:styleId="a9">
    <w:name w:val="Strong"/>
    <w:basedOn w:val="a1"/>
    <w:qFormat/>
    <w:rPr>
      <w:b/>
      <w:bCs/>
    </w:rPr>
  </w:style>
  <w:style w:type="paragraph" w:styleId="aa">
    <w:name w:val="Date"/>
    <w:basedOn w:val="a"/>
    <w:next w:val="a"/>
    <w:semiHidden/>
    <w:pPr>
      <w:jc w:val="right"/>
    </w:pPr>
  </w:style>
  <w:style w:type="paragraph" w:styleId="ab">
    <w:name w:val="Body Text"/>
    <w:basedOn w:val="a"/>
    <w:semiHidden/>
    <w:pPr>
      <w:adjustRightInd w:val="0"/>
      <w:snapToGrid w:val="0"/>
      <w:spacing w:beforeLines="50" w:before="50" w:after="120" w:line="360" w:lineRule="auto"/>
      <w:ind w:firstLineChars="200" w:firstLine="200"/>
      <w:jc w:val="both"/>
    </w:pPr>
    <w:rPr>
      <w:lang w:val="de-DE"/>
    </w:rPr>
  </w:style>
  <w:style w:type="character" w:customStyle="1" w:styleId="ac">
    <w:name w:val=" 字元 字元"/>
    <w:basedOn w:val="a1"/>
    <w:rPr>
      <w:rFonts w:eastAsia="新細明體"/>
      <w:kern w:val="2"/>
      <w:sz w:val="24"/>
      <w:szCs w:val="24"/>
      <w:lang w:val="de-DE" w:eastAsia="zh-TW" w:bidi="ar-SA"/>
    </w:rPr>
  </w:style>
  <w:style w:type="paragraph" w:styleId="21">
    <w:name w:val="Body Text 2"/>
    <w:basedOn w:val="a"/>
    <w:semiHidden/>
    <w:pPr>
      <w:spacing w:after="120" w:line="480" w:lineRule="auto"/>
    </w:pPr>
  </w:style>
  <w:style w:type="paragraph" w:styleId="ad">
    <w:name w:val="footnote text"/>
    <w:basedOn w:val="a"/>
    <w:semiHidden/>
    <w:pPr>
      <w:snapToGrid w:val="0"/>
    </w:pPr>
    <w:rPr>
      <w:sz w:val="20"/>
      <w:szCs w:val="20"/>
    </w:rPr>
  </w:style>
  <w:style w:type="character" w:styleId="ae">
    <w:name w:val="footnote reference"/>
    <w:basedOn w:val="a1"/>
    <w:semiHidden/>
    <w:rPr>
      <w:vertAlign w:val="superscript"/>
    </w:rPr>
  </w:style>
  <w:style w:type="paragraph" w:styleId="31">
    <w:name w:val="Body Text 3"/>
    <w:basedOn w:val="a"/>
    <w:semiHidden/>
    <w:pPr>
      <w:spacing w:after="120"/>
    </w:pPr>
    <w:rPr>
      <w:sz w:val="16"/>
      <w:szCs w:val="16"/>
    </w:rPr>
  </w:style>
  <w:style w:type="paragraph" w:styleId="af">
    <w:name w:val="Note Heading"/>
    <w:basedOn w:val="a"/>
    <w:next w:val="a"/>
    <w:semiHidden/>
    <w:pPr>
      <w:jc w:val="center"/>
    </w:pPr>
  </w:style>
  <w:style w:type="paragraph" w:styleId="af0">
    <w:name w:val="Plain Text"/>
    <w:basedOn w:val="a"/>
    <w:semiHidden/>
    <w:rPr>
      <w:rFonts w:ascii="細明體" w:eastAsia="細明體" w:hAnsi="Courier New"/>
      <w:szCs w:val="20"/>
    </w:rPr>
  </w:style>
  <w:style w:type="paragraph" w:styleId="af1">
    <w:name w:val="Closing"/>
    <w:basedOn w:val="a"/>
    <w:semiHidden/>
    <w:pPr>
      <w:ind w:leftChars="1800" w:left="100"/>
    </w:pPr>
    <w:rPr>
      <w:lang w:val="de-DE"/>
    </w:rPr>
  </w:style>
  <w:style w:type="paragraph" w:styleId="32">
    <w:name w:val="Body Text Indent 3"/>
    <w:basedOn w:val="a"/>
    <w:semiHidden/>
    <w:pPr>
      <w:spacing w:after="120"/>
      <w:ind w:leftChars="200" w:left="480"/>
    </w:pPr>
    <w:rPr>
      <w:sz w:val="16"/>
      <w:szCs w:val="16"/>
    </w:rPr>
  </w:style>
  <w:style w:type="paragraph" w:styleId="Web">
    <w:name w:val="Normal (Web)"/>
    <w:basedOn w:val="a"/>
    <w:semiHidden/>
    <w:pPr>
      <w:widowControl/>
      <w:spacing w:before="100" w:beforeAutospacing="1" w:after="100" w:afterAutospacing="1"/>
    </w:pPr>
    <w:rPr>
      <w:rFonts w:ascii="新細明體" w:hAnsi="新細明體" w:cs="新細明體"/>
      <w:kern w:val="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stext1">
    <w:name w:val="stext1"/>
    <w:basedOn w:val="a1"/>
    <w:rPr>
      <w:sz w:val="19"/>
      <w:szCs w:val="19"/>
    </w:rPr>
  </w:style>
  <w:style w:type="character" w:customStyle="1" w:styleId="stext">
    <w:name w:val="stext"/>
    <w:basedOn w:val="a1"/>
  </w:style>
  <w:style w:type="paragraph" w:customStyle="1" w:styleId="af2">
    <w:name w:val="本文 + 新細明體"/>
    <w:basedOn w:val="ab"/>
    <w:pPr>
      <w:spacing w:before="180"/>
      <w:ind w:firstLine="480"/>
    </w:pPr>
    <w:rPr>
      <w:rFonts w:ascii="新細明體" w:hAnsi="新細明體"/>
    </w:rPr>
  </w:style>
  <w:style w:type="character" w:customStyle="1" w:styleId="af3">
    <w:name w:val="本文 + 新細明體 字元"/>
    <w:basedOn w:val="ac"/>
    <w:rPr>
      <w:rFonts w:ascii="新細明體" w:eastAsia="新細明體" w:hAnsi="新細明體"/>
      <w:kern w:val="2"/>
      <w:sz w:val="24"/>
      <w:szCs w:val="24"/>
      <w:lang w:val="de-DE" w:eastAsia="zh-TW" w:bidi="ar-SA"/>
    </w:rPr>
  </w:style>
  <w:style w:type="paragraph" w:customStyle="1" w:styleId="22">
    <w:name w:val="本文 + 第一行:  2 字元"/>
    <w:aliases w:val="套用前:  0.5 列"/>
    <w:basedOn w:val="ab"/>
    <w:pPr>
      <w:spacing w:before="180"/>
      <w:ind w:firstLine="480"/>
    </w:pPr>
  </w:style>
  <w:style w:type="character" w:customStyle="1" w:styleId="text">
    <w:name w:val="text"/>
    <w:basedOn w:val="a1"/>
  </w:style>
  <w:style w:type="paragraph" w:styleId="10">
    <w:name w:val="toc 1"/>
    <w:basedOn w:val="a"/>
    <w:next w:val="a"/>
    <w:autoRedefine/>
    <w:semiHidden/>
  </w:style>
  <w:style w:type="paragraph" w:customStyle="1" w:styleId="af4">
    <w:name w:val="(一)中黑"/>
    <w:basedOn w:val="a"/>
    <w:autoRedefine/>
    <w:pPr>
      <w:snapToGrid w:val="0"/>
      <w:spacing w:line="300" w:lineRule="auto"/>
      <w:ind w:left="1800" w:hanging="1800"/>
      <w:jc w:val="both"/>
    </w:pPr>
    <w:rPr>
      <w:rFonts w:ascii="標楷體" w:eastAsia="標楷體" w:hAnsi="標楷體"/>
      <w:b/>
      <w:bCs/>
      <w:spacing w:val="4"/>
      <w:sz w:val="40"/>
      <w:szCs w:val="40"/>
    </w:rPr>
  </w:style>
  <w:style w:type="paragraph" w:customStyle="1" w:styleId="11">
    <w:name w:val="(1)"/>
    <w:basedOn w:val="a"/>
    <w:autoRedefine/>
    <w:pPr>
      <w:snapToGrid w:val="0"/>
      <w:spacing w:line="300" w:lineRule="auto"/>
      <w:ind w:left="2160" w:hanging="1194"/>
      <w:jc w:val="both"/>
    </w:pPr>
    <w:rPr>
      <w:rFonts w:ascii="標楷體" w:eastAsia="標楷體" w:hAnsi="標楷體"/>
      <w:bCs/>
      <w:sz w:val="40"/>
      <w:szCs w:val="40"/>
    </w:rPr>
  </w:style>
  <w:style w:type="paragraph" w:customStyle="1" w:styleId="12">
    <w:name w:val="1.(本文)"/>
    <w:basedOn w:val="a"/>
    <w:autoRedefine/>
    <w:pPr>
      <w:kinsoku w:val="0"/>
      <w:overflowPunct w:val="0"/>
      <w:autoSpaceDE w:val="0"/>
      <w:autoSpaceDN w:val="0"/>
      <w:adjustRightInd w:val="0"/>
      <w:snapToGrid w:val="0"/>
      <w:spacing w:line="300" w:lineRule="auto"/>
      <w:ind w:left="1680" w:hanging="1680"/>
      <w:jc w:val="both"/>
    </w:pPr>
    <w:rPr>
      <w:rFonts w:ascii="標楷體" w:eastAsia="標楷體" w:hAnsi="標楷體"/>
      <w:sz w:val="22"/>
      <w:szCs w:val="40"/>
    </w:rPr>
  </w:style>
  <w:style w:type="paragraph" w:styleId="af5">
    <w:name w:val="header"/>
    <w:basedOn w:val="a"/>
    <w:semiHidden/>
    <w:pPr>
      <w:tabs>
        <w:tab w:val="center" w:pos="4153"/>
        <w:tab w:val="right" w:pos="8306"/>
      </w:tabs>
      <w:snapToGrid w:val="0"/>
    </w:pPr>
    <w:rPr>
      <w:sz w:val="20"/>
      <w:szCs w:val="20"/>
    </w:rPr>
  </w:style>
  <w:style w:type="paragraph" w:styleId="23">
    <w:name w:val="toc 2"/>
    <w:basedOn w:val="a"/>
    <w:next w:val="a"/>
    <w:autoRedefine/>
    <w:semiHidden/>
    <w:pPr>
      <w:ind w:leftChars="200" w:left="480"/>
    </w:pPr>
  </w:style>
  <w:style w:type="paragraph" w:styleId="33">
    <w:name w:val="toc 3"/>
    <w:basedOn w:val="a"/>
    <w:next w:val="a"/>
    <w:autoRedefine/>
    <w:semiHidden/>
    <w:pPr>
      <w:ind w:leftChars="400" w:left="960"/>
    </w:pPr>
  </w:style>
  <w:style w:type="paragraph" w:styleId="40">
    <w:name w:val="toc 4"/>
    <w:basedOn w:val="a"/>
    <w:next w:val="a"/>
    <w:autoRedefine/>
    <w:semiHidden/>
    <w:pPr>
      <w:ind w:leftChars="600" w:left="1440"/>
    </w:pPr>
  </w:style>
  <w:style w:type="paragraph" w:styleId="50">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af6">
    <w:name w:val="table of figures"/>
    <w:basedOn w:val="a"/>
    <w:next w:val="a"/>
    <w:semiHidden/>
    <w:pPr>
      <w:ind w:leftChars="400" w:left="960" w:hangingChars="20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1034</Words>
  <Characters>5899</Characters>
  <Application>Microsoft Office Word</Application>
  <DocSecurity>0</DocSecurity>
  <Lines>49</Lines>
  <Paragraphs>13</Paragraphs>
  <ScaleCrop>false</ScaleCrop>
  <Company>CCU</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一、研究人員經費</dc:title>
  <dc:subject/>
  <dc:creator>CCU</dc:creator>
  <cp:keywords/>
  <dc:description/>
  <cp:lastModifiedBy>卓卿雲</cp:lastModifiedBy>
  <cp:revision>2</cp:revision>
  <cp:lastPrinted>2004-04-08T14:27:00Z</cp:lastPrinted>
  <dcterms:created xsi:type="dcterms:W3CDTF">2021-09-22T10:39:00Z</dcterms:created>
  <dcterms:modified xsi:type="dcterms:W3CDTF">2021-09-22T10:39:00Z</dcterms:modified>
</cp:coreProperties>
</file>