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  <w:bCs/>
          <w:snapToGrid w:val="0"/>
          <w:kern w:val="0"/>
          <w:sz w:val="32"/>
          <w:szCs w:val="32"/>
          <w:lang w:val="de-DE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snapToGrid w:val="0"/>
          <w:kern w:val="0"/>
          <w:sz w:val="32"/>
          <w:szCs w:val="32"/>
          <w:lang w:val="de-DE"/>
        </w:rPr>
        <w:t>研究大綱</w:t>
      </w: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  <w:sz w:val="32"/>
          <w:szCs w:val="32"/>
          <w:lang w:val="de-DE"/>
        </w:rPr>
      </w:pPr>
    </w:p>
    <w:p w:rsidR="00000000" w:rsidRDefault="00422D31">
      <w:pPr>
        <w:pStyle w:val="10"/>
        <w:tabs>
          <w:tab w:val="right" w:leader="dot" w:pos="8380"/>
        </w:tabs>
        <w:rPr>
          <w:rFonts w:ascii="標楷體" w:eastAsia="標楷體" w:hAnsi="標楷體"/>
          <w:noProof/>
        </w:rPr>
      </w:pPr>
      <w:r>
        <w:rPr>
          <w:rFonts w:ascii="標楷體" w:eastAsia="標楷體" w:hAnsi="標楷體"/>
          <w:sz w:val="32"/>
          <w:szCs w:val="32"/>
          <w:lang w:val="de-DE"/>
        </w:rPr>
        <w:fldChar w:fldCharType="begin"/>
      </w:r>
      <w:r>
        <w:rPr>
          <w:rFonts w:ascii="標楷體" w:eastAsia="標楷體" w:hAnsi="標楷體"/>
          <w:sz w:val="32"/>
          <w:szCs w:val="32"/>
          <w:lang w:val="de-DE"/>
        </w:rPr>
        <w:instrText xml:space="preserve"> TOC \o "1-4" \h \z </w:instrText>
      </w:r>
      <w:r>
        <w:rPr>
          <w:rFonts w:ascii="標楷體" w:eastAsia="標楷體" w:hAnsi="標楷體"/>
          <w:sz w:val="32"/>
          <w:szCs w:val="32"/>
          <w:lang w:val="de-DE"/>
        </w:rPr>
        <w:fldChar w:fldCharType="separate"/>
      </w:r>
      <w:hyperlink w:anchor="_Toc121212925" w:history="1">
        <w:r>
          <w:rPr>
            <w:rStyle w:val="a8"/>
            <w:rFonts w:ascii="標楷體" w:eastAsia="標楷體" w:hAnsi="標楷體"/>
            <w:bCs/>
            <w:noProof/>
            <w:lang w:val="de-DE"/>
          </w:rPr>
          <w:t>1.</w:t>
        </w:r>
        <w:r>
          <w:rPr>
            <w:rStyle w:val="a8"/>
            <w:rFonts w:ascii="標楷體" w:eastAsia="標楷體" w:hAnsi="標楷體" w:hint="eastAsia"/>
            <w:bCs/>
            <w:noProof/>
            <w:lang w:val="de-DE"/>
          </w:rPr>
          <w:t>研究目的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_Toc121212925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5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26" w:history="1">
        <w:r>
          <w:rPr>
            <w:rStyle w:val="a8"/>
            <w:rFonts w:ascii="標楷體" w:eastAsia="標楷體" w:hAnsi="標楷體"/>
            <w:noProof/>
            <w:lang w:val="de-DE"/>
          </w:rPr>
          <w:t>1.1.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研究主旨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_Toc121212926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5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27" w:history="1">
        <w:r>
          <w:rPr>
            <w:rStyle w:val="a8"/>
            <w:rFonts w:ascii="標楷體" w:eastAsia="標楷體" w:hAnsi="標楷體"/>
            <w:noProof/>
            <w:lang w:val="de-DE"/>
          </w:rPr>
          <w:t>1.2.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研究主題背景及相關研究之檢討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_Toc121212927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5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28" w:history="1">
        <w:r>
          <w:rPr>
            <w:rStyle w:val="a8"/>
            <w:rFonts w:ascii="標楷體" w:eastAsia="標楷體" w:hAnsi="標楷體"/>
            <w:noProof/>
            <w:lang w:val="de-DE"/>
          </w:rPr>
          <w:t>1.3.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研究方法與過程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_Toc121212928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7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29" w:history="1">
        <w:r>
          <w:rPr>
            <w:rStyle w:val="a8"/>
            <w:rFonts w:ascii="標楷體" w:eastAsia="標楷體" w:hAnsi="標楷體"/>
            <w:noProof/>
            <w:lang w:val="de-DE"/>
          </w:rPr>
          <w:t>1.4.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研究進度及預期完成之工作項目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_Toc121212929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7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10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30" w:history="1">
        <w:r>
          <w:rPr>
            <w:rStyle w:val="a8"/>
            <w:rFonts w:ascii="標楷體" w:eastAsia="標楷體" w:hAnsi="標楷體"/>
            <w:noProof/>
          </w:rPr>
          <w:t>2.</w:t>
        </w:r>
        <w:r>
          <w:rPr>
            <w:rStyle w:val="a8"/>
            <w:rFonts w:ascii="標楷體" w:eastAsia="標楷體" w:hAnsi="標楷體" w:hint="eastAsia"/>
            <w:noProof/>
          </w:rPr>
          <w:t>公務人員陞遷法上有關陞遷程序之規定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_Toc121212930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8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31" w:history="1">
        <w:r>
          <w:rPr>
            <w:rStyle w:val="a8"/>
            <w:rFonts w:ascii="標楷體" w:eastAsia="標楷體" w:hAnsi="標楷體"/>
            <w:noProof/>
          </w:rPr>
          <w:t>2.1.</w:t>
        </w:r>
        <w:r>
          <w:rPr>
            <w:rStyle w:val="a8"/>
            <w:rFonts w:ascii="標楷體" w:eastAsia="標楷體" w:hAnsi="標楷體" w:hint="eastAsia"/>
            <w:noProof/>
          </w:rPr>
          <w:t>陞任與遷調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_Toc121212931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8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32" w:history="1">
        <w:r>
          <w:rPr>
            <w:rStyle w:val="a8"/>
            <w:rFonts w:ascii="標楷體" w:eastAsia="標楷體" w:hAnsi="標楷體"/>
            <w:noProof/>
            <w:lang w:val="de-DE"/>
          </w:rPr>
          <w:t>2.2.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訂定陞遷序列表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_Toc121212932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9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33" w:history="1">
        <w:r>
          <w:rPr>
            <w:rStyle w:val="a8"/>
            <w:rFonts w:ascii="標楷體" w:eastAsia="標楷體" w:hAnsi="標楷體"/>
            <w:noProof/>
            <w:lang w:val="de-DE"/>
          </w:rPr>
          <w:t>2.3.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造列甄審陞遷名冊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_Toc121212933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10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3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34" w:history="1">
        <w:r>
          <w:rPr>
            <w:rStyle w:val="a8"/>
            <w:rFonts w:ascii="標楷體" w:eastAsia="標楷體" w:hAnsi="標楷體"/>
            <w:noProof/>
            <w:lang w:val="de-DE"/>
          </w:rPr>
          <w:t xml:space="preserve">2.3.1. 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組織甄審委員會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_Toc121212934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11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3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35" w:history="1">
        <w:r>
          <w:rPr>
            <w:rStyle w:val="a8"/>
            <w:rFonts w:ascii="標楷體" w:eastAsia="標楷體" w:hAnsi="標楷體"/>
            <w:noProof/>
            <w:lang w:val="de-DE"/>
          </w:rPr>
          <w:t xml:space="preserve">2.3.2. 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甄審委員會評審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_Toc121212935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12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3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36" w:history="1">
        <w:r>
          <w:rPr>
            <w:rStyle w:val="a8"/>
            <w:rFonts w:ascii="標楷體" w:eastAsia="標楷體" w:hAnsi="標楷體"/>
            <w:noProof/>
            <w:lang w:val="de-DE"/>
          </w:rPr>
          <w:t xml:space="preserve">2.3.3. 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擬定陞遷名冊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_Toc121212936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13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37" w:history="1">
        <w:r>
          <w:rPr>
            <w:rStyle w:val="a8"/>
            <w:rFonts w:ascii="標楷體" w:eastAsia="標楷體" w:hAnsi="標楷體"/>
            <w:noProof/>
            <w:lang w:val="de-DE"/>
          </w:rPr>
          <w:t>2.</w:t>
        </w:r>
        <w:r>
          <w:rPr>
            <w:rStyle w:val="a8"/>
            <w:rFonts w:ascii="標楷體" w:eastAsia="標楷體" w:hAnsi="標楷體"/>
            <w:noProof/>
            <w:lang w:val="de-DE"/>
          </w:rPr>
          <w:t>4.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機關首長圈定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_Toc121212937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13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38" w:history="1">
        <w:r>
          <w:rPr>
            <w:rStyle w:val="a8"/>
            <w:rFonts w:ascii="標楷體" w:eastAsia="標楷體" w:hAnsi="標楷體"/>
            <w:noProof/>
            <w:lang w:val="de-DE"/>
          </w:rPr>
          <w:t>2.5.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商調時原服務機關之同意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_Toc121212938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14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10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39" w:history="1">
        <w:r>
          <w:rPr>
            <w:rStyle w:val="a8"/>
            <w:rFonts w:ascii="標楷體" w:eastAsia="標楷體" w:hAnsi="標楷體"/>
            <w:noProof/>
          </w:rPr>
          <w:t>3.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目前有關公務人員陞遷事件之救濟爭議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_Toc121212939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16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40" w:history="1">
        <w:r>
          <w:rPr>
            <w:rStyle w:val="a8"/>
            <w:rFonts w:ascii="標楷體" w:eastAsia="標楷體" w:hAnsi="標楷體"/>
            <w:noProof/>
            <w:lang w:val="de-DE"/>
          </w:rPr>
          <w:t>3.1.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學說之立場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_Toc121212940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16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41" w:history="1">
        <w:r>
          <w:rPr>
            <w:rStyle w:val="a8"/>
            <w:rFonts w:ascii="標楷體" w:eastAsia="標楷體" w:hAnsi="標楷體"/>
            <w:noProof/>
            <w:lang w:val="de-DE"/>
          </w:rPr>
          <w:t>3.2.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保訓會之決定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_Toc121212941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17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3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42" w:history="1">
        <w:r>
          <w:rPr>
            <w:rStyle w:val="a8"/>
            <w:rFonts w:ascii="標楷體" w:eastAsia="標楷體" w:hAnsi="標楷體"/>
            <w:noProof/>
          </w:rPr>
          <w:t>3.2.1.</w:t>
        </w:r>
        <w:r>
          <w:rPr>
            <w:rStyle w:val="a8"/>
            <w:rFonts w:ascii="標楷體" w:eastAsia="標楷體" w:hAnsi="標楷體" w:hint="eastAsia"/>
            <w:noProof/>
          </w:rPr>
          <w:t>本機關陞遷案件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_Toc121212942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17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40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43" w:history="1">
        <w:r>
          <w:rPr>
            <w:rStyle w:val="a8"/>
            <w:rFonts w:ascii="標楷體" w:eastAsia="標楷體" w:hAnsi="標楷體"/>
            <w:noProof/>
          </w:rPr>
          <w:t>3.2.1.1.</w:t>
        </w:r>
        <w:r>
          <w:rPr>
            <w:rStyle w:val="a8"/>
            <w:rFonts w:ascii="標楷體" w:eastAsia="標楷體" w:hAnsi="標楷體" w:hint="eastAsia"/>
            <w:noProof/>
          </w:rPr>
          <w:t>陞遷序列不合理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</w:instrText>
        </w:r>
        <w:r>
          <w:rPr>
            <w:rFonts w:ascii="標楷體" w:eastAsia="標楷體" w:hAnsi="標楷體"/>
            <w:noProof/>
            <w:webHidden/>
          </w:rPr>
          <w:instrText xml:space="preserve">121212943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17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40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44" w:history="1">
        <w:r>
          <w:rPr>
            <w:rStyle w:val="a8"/>
            <w:rFonts w:ascii="標楷體" w:eastAsia="標楷體" w:hAnsi="標楷體"/>
            <w:noProof/>
          </w:rPr>
          <w:t>3.2.1.2.</w:t>
        </w:r>
        <w:r>
          <w:rPr>
            <w:rStyle w:val="a8"/>
            <w:rFonts w:ascii="標楷體" w:eastAsia="標楷體" w:hAnsi="標楷體" w:hint="eastAsia"/>
            <w:noProof/>
          </w:rPr>
          <w:t>內陞或外補之決定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_Toc121212944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18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40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45" w:history="1">
        <w:r>
          <w:rPr>
            <w:rStyle w:val="a8"/>
            <w:rFonts w:ascii="標楷體" w:eastAsia="標楷體" w:hAnsi="標楷體"/>
            <w:noProof/>
          </w:rPr>
          <w:t>3.2.1.3.</w:t>
        </w:r>
        <w:r>
          <w:rPr>
            <w:rStyle w:val="a8"/>
            <w:rFonts w:ascii="標楷體" w:eastAsia="標楷體" w:hAnsi="標楷體" w:hint="eastAsia"/>
            <w:noProof/>
          </w:rPr>
          <w:t>內陞或外補之作業流程不一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_Toc121212945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19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40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46" w:history="1">
        <w:r>
          <w:rPr>
            <w:rStyle w:val="a8"/>
            <w:rFonts w:ascii="標楷體" w:eastAsia="標楷體" w:hAnsi="標楷體"/>
            <w:noProof/>
          </w:rPr>
          <w:t>3.2.1.4.</w:t>
        </w:r>
        <w:r>
          <w:rPr>
            <w:rStyle w:val="a8"/>
            <w:rFonts w:ascii="標楷體" w:eastAsia="標楷體" w:hAnsi="標楷體" w:hint="eastAsia"/>
            <w:noProof/>
          </w:rPr>
          <w:t>未列入甄審名冊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</w:instrText>
        </w:r>
        <w:r>
          <w:rPr>
            <w:rFonts w:ascii="標楷體" w:eastAsia="標楷體" w:hAnsi="標楷體"/>
            <w:noProof/>
            <w:webHidden/>
          </w:rPr>
          <w:instrText xml:space="preserve">21212946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20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40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47" w:history="1">
        <w:r>
          <w:rPr>
            <w:rStyle w:val="a8"/>
            <w:rFonts w:ascii="標楷體" w:eastAsia="標楷體" w:hAnsi="標楷體"/>
            <w:noProof/>
          </w:rPr>
          <w:t>3.2.1.5.</w:t>
        </w:r>
        <w:r>
          <w:rPr>
            <w:rStyle w:val="a8"/>
            <w:rFonts w:ascii="標楷體" w:eastAsia="標楷體" w:hAnsi="標楷體" w:hint="eastAsia"/>
            <w:noProof/>
          </w:rPr>
          <w:t>甄審委員會所為之評審決定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_Toc121212947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21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40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48" w:history="1">
        <w:r>
          <w:rPr>
            <w:rStyle w:val="a8"/>
            <w:rFonts w:ascii="標楷體" w:eastAsia="標楷體" w:hAnsi="標楷體"/>
            <w:noProof/>
          </w:rPr>
          <w:t>3.2.1.6.</w:t>
        </w:r>
        <w:r>
          <w:rPr>
            <w:rStyle w:val="a8"/>
            <w:rFonts w:ascii="標楷體" w:eastAsia="標楷體" w:hAnsi="標楷體" w:hint="eastAsia"/>
            <w:noProof/>
          </w:rPr>
          <w:t>本人未獲陞遷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_Toc121212948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21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40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49" w:history="1">
        <w:r>
          <w:rPr>
            <w:rStyle w:val="a8"/>
            <w:rFonts w:ascii="標楷體" w:eastAsia="標楷體" w:hAnsi="標楷體"/>
            <w:noProof/>
          </w:rPr>
          <w:t>3.2.1.7.</w:t>
        </w:r>
        <w:r>
          <w:rPr>
            <w:rStyle w:val="a8"/>
            <w:rFonts w:ascii="標楷體" w:eastAsia="標楷體" w:hAnsi="標楷體" w:hint="eastAsia"/>
            <w:noProof/>
          </w:rPr>
          <w:t>對於他人獲得陞遷不服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</w:instrText>
        </w:r>
        <w:r>
          <w:rPr>
            <w:rFonts w:ascii="標楷體" w:eastAsia="標楷體" w:hAnsi="標楷體"/>
            <w:noProof/>
            <w:webHidden/>
          </w:rPr>
          <w:instrText xml:space="preserve">21212949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26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40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50" w:history="1">
        <w:r>
          <w:rPr>
            <w:rStyle w:val="a8"/>
            <w:rFonts w:ascii="標楷體" w:eastAsia="標楷體" w:hAnsi="標楷體"/>
            <w:noProof/>
          </w:rPr>
          <w:t>3.2.1.8.</w:t>
        </w:r>
        <w:r>
          <w:rPr>
            <w:rStyle w:val="a8"/>
            <w:rFonts w:ascii="標楷體" w:eastAsia="標楷體" w:hAnsi="標楷體" w:hint="eastAsia"/>
            <w:noProof/>
          </w:rPr>
          <w:t>競爭關係下的陞遷救濟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_Toc121212950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28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3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51" w:history="1">
        <w:r>
          <w:rPr>
            <w:rStyle w:val="a8"/>
            <w:rFonts w:ascii="標楷體" w:eastAsia="標楷體" w:hAnsi="標楷體"/>
            <w:noProof/>
          </w:rPr>
          <w:t>3.2.2.</w:t>
        </w:r>
        <w:r>
          <w:rPr>
            <w:rStyle w:val="a8"/>
            <w:rFonts w:ascii="標楷體" w:eastAsia="標楷體" w:hAnsi="標楷體" w:hint="eastAsia"/>
            <w:noProof/>
          </w:rPr>
          <w:t>參加他機關陞遷案件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_Toc121212951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30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40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52" w:history="1">
        <w:r>
          <w:rPr>
            <w:rStyle w:val="a8"/>
            <w:rFonts w:ascii="標楷體" w:eastAsia="標楷體" w:hAnsi="標楷體"/>
            <w:noProof/>
          </w:rPr>
          <w:t>3.2.2.1.</w:t>
        </w:r>
        <w:r>
          <w:rPr>
            <w:rStyle w:val="a8"/>
            <w:rFonts w:ascii="標楷體" w:eastAsia="標楷體" w:hAnsi="標楷體" w:hint="eastAsia"/>
            <w:noProof/>
          </w:rPr>
          <w:t>他機關未通知甄審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</w:instrText>
        </w:r>
        <w:r>
          <w:rPr>
            <w:rFonts w:ascii="標楷體" w:eastAsia="標楷體" w:hAnsi="標楷體"/>
            <w:noProof/>
            <w:webHidden/>
          </w:rPr>
          <w:instrText xml:space="preserve">12952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30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40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53" w:history="1">
        <w:r>
          <w:rPr>
            <w:rStyle w:val="a8"/>
            <w:rFonts w:ascii="標楷體" w:eastAsia="標楷體" w:hAnsi="標楷體"/>
            <w:noProof/>
          </w:rPr>
          <w:t>3.2.2.2.</w:t>
        </w:r>
        <w:r>
          <w:rPr>
            <w:rStyle w:val="a8"/>
            <w:rFonts w:ascii="標楷體" w:eastAsia="標楷體" w:hAnsi="標楷體" w:hint="eastAsia"/>
            <w:noProof/>
          </w:rPr>
          <w:t>商調時原服務機關不同意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_Toc121212953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31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40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54" w:history="1">
        <w:r>
          <w:rPr>
            <w:rStyle w:val="a8"/>
            <w:rFonts w:ascii="標楷體" w:eastAsia="標楷體" w:hAnsi="標楷體"/>
            <w:noProof/>
          </w:rPr>
          <w:t>3.2.2.3.</w:t>
        </w:r>
        <w:r>
          <w:rPr>
            <w:rStyle w:val="a8"/>
            <w:rFonts w:ascii="標楷體" w:eastAsia="標楷體" w:hAnsi="標楷體" w:hint="eastAsia"/>
            <w:noProof/>
          </w:rPr>
          <w:t>商調時他機關嗣後中止商調程序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_Toc121212954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32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3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55" w:history="1">
        <w:r>
          <w:rPr>
            <w:rStyle w:val="a8"/>
            <w:rFonts w:ascii="標楷體" w:eastAsia="標楷體" w:hAnsi="標楷體"/>
            <w:noProof/>
          </w:rPr>
          <w:t>3.2.3.</w:t>
        </w:r>
        <w:r>
          <w:rPr>
            <w:rStyle w:val="a8"/>
            <w:rFonts w:ascii="標楷體" w:eastAsia="標楷體" w:hAnsi="標楷體" w:hint="eastAsia"/>
            <w:noProof/>
          </w:rPr>
          <w:t>再申訴與復審程序之選擇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</w:instrText>
        </w:r>
        <w:r>
          <w:rPr>
            <w:rFonts w:ascii="標楷體" w:eastAsia="標楷體" w:hAnsi="標楷體"/>
            <w:noProof/>
            <w:webHidden/>
          </w:rPr>
          <w:instrText xml:space="preserve">oc121212955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32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56" w:history="1">
        <w:r>
          <w:rPr>
            <w:rStyle w:val="a8"/>
            <w:rFonts w:ascii="標楷體" w:eastAsia="標楷體" w:hAnsi="標楷體"/>
            <w:noProof/>
            <w:lang w:val="de-DE"/>
          </w:rPr>
          <w:t>3.3.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行政法院之裁判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_Toc121212956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34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10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57" w:history="1">
        <w:r>
          <w:rPr>
            <w:rStyle w:val="a8"/>
            <w:rFonts w:ascii="標楷體" w:eastAsia="標楷體" w:hAnsi="標楷體"/>
            <w:noProof/>
            <w:lang w:val="de-DE"/>
          </w:rPr>
          <w:t>4.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陞遷決定之法律性質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_Toc121212957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37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58" w:history="1">
        <w:r>
          <w:rPr>
            <w:rStyle w:val="a8"/>
            <w:rFonts w:ascii="標楷體" w:eastAsia="標楷體" w:hAnsi="標楷體"/>
            <w:noProof/>
            <w:lang w:val="de-DE"/>
          </w:rPr>
          <w:t>4.1.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管理措施</w:t>
        </w:r>
        <w:r>
          <w:rPr>
            <w:rStyle w:val="a8"/>
            <w:rFonts w:ascii="標楷體" w:eastAsia="標楷體" w:hAnsi="標楷體"/>
            <w:noProof/>
            <w:lang w:val="de-DE"/>
          </w:rPr>
          <w:t>v.s.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不利處分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_Toc121212958 \h</w:instrText>
        </w:r>
        <w:r>
          <w:rPr>
            <w:rFonts w:ascii="標楷體" w:eastAsia="標楷體" w:hAnsi="標楷體"/>
            <w:noProof/>
            <w:webHidden/>
          </w:rPr>
          <w:instrText xml:space="preserve">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37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59" w:history="1">
        <w:r>
          <w:rPr>
            <w:rStyle w:val="a8"/>
            <w:rFonts w:ascii="標楷體" w:eastAsia="標楷體" w:hAnsi="標楷體"/>
            <w:noProof/>
            <w:lang w:val="de-DE"/>
          </w:rPr>
          <w:t>4.2.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不利處分</w:t>
        </w:r>
        <w:r>
          <w:rPr>
            <w:rStyle w:val="a8"/>
            <w:rFonts w:ascii="標楷體" w:eastAsia="標楷體" w:hAnsi="標楷體"/>
            <w:noProof/>
            <w:lang w:val="de-DE"/>
          </w:rPr>
          <w:t>v.s.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行政處分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_Toc121212959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39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60" w:history="1">
        <w:r>
          <w:rPr>
            <w:rStyle w:val="a8"/>
            <w:rFonts w:ascii="標楷體" w:eastAsia="標楷體" w:hAnsi="標楷體"/>
            <w:noProof/>
            <w:lang w:val="de-DE"/>
          </w:rPr>
          <w:t>4.3.</w:t>
        </w:r>
        <w:r>
          <w:rPr>
            <w:rStyle w:val="a8"/>
            <w:rFonts w:ascii="標楷體" w:eastAsia="標楷體" w:hAnsi="標楷體" w:hint="eastAsia"/>
            <w:noProof/>
            <w:sz w:val="26"/>
            <w:lang w:val="de-DE"/>
          </w:rPr>
          <w:t>行政處分</w:t>
        </w:r>
        <w:r>
          <w:rPr>
            <w:rStyle w:val="a8"/>
            <w:rFonts w:ascii="標楷體" w:eastAsia="標楷體" w:hAnsi="標楷體"/>
            <w:noProof/>
            <w:sz w:val="26"/>
            <w:lang w:val="de-DE"/>
          </w:rPr>
          <w:t>v.s.</w:t>
        </w:r>
        <w:r>
          <w:rPr>
            <w:rStyle w:val="a8"/>
            <w:rFonts w:ascii="標楷體" w:eastAsia="標楷體" w:hAnsi="標楷體" w:hint="eastAsia"/>
            <w:noProof/>
            <w:sz w:val="26"/>
            <w:lang w:val="de-DE"/>
          </w:rPr>
          <w:t>附第三人效力之行政處分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_Toc121212960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39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10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61" w:history="1">
        <w:r>
          <w:rPr>
            <w:rStyle w:val="a8"/>
            <w:rFonts w:ascii="標楷體" w:eastAsia="標楷體" w:hAnsi="標楷體"/>
            <w:noProof/>
            <w:lang w:val="de-DE"/>
          </w:rPr>
          <w:t>5.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陞遷程序行為之法律性質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_Toc121212961 \h</w:instrText>
        </w:r>
        <w:r>
          <w:rPr>
            <w:rFonts w:ascii="標楷體" w:eastAsia="標楷體" w:hAnsi="標楷體"/>
            <w:noProof/>
            <w:webHidden/>
          </w:rPr>
          <w:instrText xml:space="preserve">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51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62" w:history="1">
        <w:r>
          <w:rPr>
            <w:rStyle w:val="a8"/>
            <w:rFonts w:ascii="標楷體" w:eastAsia="標楷體" w:hAnsi="標楷體"/>
            <w:noProof/>
            <w:lang w:val="de-DE"/>
          </w:rPr>
          <w:t>5.1.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陞遷程序中不利益之決定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_Toc121212962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51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63" w:history="1">
        <w:r>
          <w:rPr>
            <w:rStyle w:val="a8"/>
            <w:rFonts w:ascii="標楷體" w:eastAsia="標楷體" w:hAnsi="標楷體"/>
            <w:noProof/>
            <w:lang w:val="de-DE"/>
          </w:rPr>
          <w:t>5.2.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陞遷程序</w:t>
        </w:r>
        <w:r>
          <w:rPr>
            <w:rStyle w:val="a8"/>
            <w:rFonts w:ascii="標楷體" w:eastAsia="標楷體" w:hAnsi="標楷體"/>
            <w:noProof/>
            <w:lang w:val="de-DE"/>
          </w:rPr>
          <w:t>v.s.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行政程序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_Toc121212963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51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64" w:history="1">
        <w:r>
          <w:rPr>
            <w:rStyle w:val="a8"/>
            <w:rFonts w:ascii="標楷體" w:eastAsia="標楷體" w:hAnsi="標楷體"/>
            <w:noProof/>
            <w:lang w:val="de-DE"/>
          </w:rPr>
          <w:t>5.3.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程序行為之法律性質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_Toc121212964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54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10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65" w:history="1">
        <w:r>
          <w:rPr>
            <w:rStyle w:val="a8"/>
            <w:rFonts w:ascii="標楷體" w:eastAsia="標楷體" w:hAnsi="標楷體"/>
            <w:noProof/>
            <w:lang w:val="de-DE"/>
          </w:rPr>
          <w:t>6.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公務人員對於陞遷之請求權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_Toc121212965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63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66" w:history="1">
        <w:r>
          <w:rPr>
            <w:rStyle w:val="a8"/>
            <w:rFonts w:ascii="標楷體" w:eastAsia="標楷體" w:hAnsi="標楷體"/>
            <w:noProof/>
            <w:lang w:val="de-DE"/>
          </w:rPr>
          <w:t>6.1.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公法上權利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_Toc121212966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63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67" w:history="1">
        <w:r>
          <w:rPr>
            <w:rStyle w:val="a8"/>
            <w:rFonts w:ascii="標楷體" w:eastAsia="標楷體" w:hAnsi="標楷體"/>
            <w:noProof/>
            <w:lang w:val="de-DE"/>
          </w:rPr>
          <w:t>6.2.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實體請求權與程序請求權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_Toc121212967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69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68" w:history="1">
        <w:r>
          <w:rPr>
            <w:rStyle w:val="a8"/>
            <w:rFonts w:ascii="標楷體" w:eastAsia="標楷體" w:hAnsi="標楷體"/>
            <w:noProof/>
            <w:lang w:val="de-DE"/>
          </w:rPr>
          <w:t>6.3.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保護規範理論與競爭關係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_Toc121212968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70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10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69" w:history="1">
        <w:r>
          <w:rPr>
            <w:rStyle w:val="a8"/>
            <w:rFonts w:ascii="標楷體" w:eastAsia="標楷體" w:hAnsi="標楷體"/>
            <w:noProof/>
            <w:lang w:val="de-DE"/>
          </w:rPr>
          <w:t>7.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陞遷程序中之權利保護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_Toc121212969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73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10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70" w:history="1">
        <w:r>
          <w:rPr>
            <w:rStyle w:val="a8"/>
            <w:rFonts w:ascii="標楷體" w:eastAsia="標楷體" w:hAnsi="標楷體"/>
            <w:noProof/>
            <w:lang w:val="de-DE"/>
          </w:rPr>
          <w:t>8.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針對陞遷決定之訴訟類型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_Toc121212970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74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71" w:history="1">
        <w:r>
          <w:rPr>
            <w:rStyle w:val="a8"/>
            <w:rFonts w:ascii="標楷體" w:eastAsia="標楷體" w:hAnsi="標楷體"/>
            <w:noProof/>
            <w:lang w:val="de-DE"/>
          </w:rPr>
          <w:t>8.1.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撤銷訴訟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_Toc121212971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76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72" w:history="1">
        <w:r>
          <w:rPr>
            <w:rStyle w:val="a8"/>
            <w:rFonts w:ascii="標楷體" w:eastAsia="標楷體" w:hAnsi="標楷體"/>
            <w:noProof/>
            <w:lang w:val="de-DE"/>
          </w:rPr>
          <w:t>8.2.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課予義務訴訟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_Toc121212972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80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73" w:history="1">
        <w:r>
          <w:rPr>
            <w:rStyle w:val="a8"/>
            <w:rFonts w:ascii="標楷體" w:eastAsia="標楷體" w:hAnsi="標楷體"/>
            <w:noProof/>
            <w:lang w:val="de-DE"/>
          </w:rPr>
          <w:t>8.3.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一般給付訴訟與一般撤銷（形成）訴訟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_Toc121212973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81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10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74" w:history="1">
        <w:r>
          <w:rPr>
            <w:rStyle w:val="a8"/>
            <w:rFonts w:ascii="標楷體" w:eastAsia="標楷體" w:hAnsi="標楷體"/>
            <w:noProof/>
            <w:lang w:val="de-DE"/>
          </w:rPr>
          <w:t>9.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針對陞遷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決定救濟之權利保護必要性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_Toc121212974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85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75" w:history="1">
        <w:r>
          <w:rPr>
            <w:rStyle w:val="a8"/>
            <w:rFonts w:ascii="標楷體" w:eastAsia="標楷體" w:hAnsi="標楷體"/>
            <w:noProof/>
            <w:lang w:val="de-DE"/>
          </w:rPr>
          <w:t>9.1.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權利保護之必要性與訴訟權能之區分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_Toc121212975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85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76" w:history="1">
        <w:r>
          <w:rPr>
            <w:rStyle w:val="a8"/>
            <w:rFonts w:ascii="標楷體" w:eastAsia="標楷體" w:hAnsi="標楷體"/>
            <w:noProof/>
            <w:lang w:val="de-DE"/>
          </w:rPr>
          <w:t>9.2.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紛爭已終結與爭訟之實益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_Toc121212976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86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10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77" w:history="1">
        <w:r>
          <w:rPr>
            <w:rStyle w:val="a8"/>
            <w:rFonts w:ascii="標楷體" w:eastAsia="標楷體" w:hAnsi="標楷體"/>
            <w:noProof/>
            <w:lang w:val="de-DE"/>
          </w:rPr>
          <w:t>10.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陞遷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救濟時之暫時權利保護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_Toc121212977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90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78" w:history="1">
        <w:r>
          <w:rPr>
            <w:rStyle w:val="a8"/>
            <w:rFonts w:ascii="標楷體" w:eastAsia="標楷體" w:hAnsi="標楷體"/>
            <w:noProof/>
            <w:lang w:val="de-DE"/>
          </w:rPr>
          <w:t>10.1.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復審階段及行政訴訟中之暫時性權利保護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_Toc121212978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90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79" w:history="1">
        <w:r>
          <w:rPr>
            <w:rStyle w:val="a8"/>
            <w:rFonts w:ascii="標楷體" w:eastAsia="標楷體" w:hAnsi="標楷體"/>
            <w:noProof/>
            <w:lang w:val="de-DE"/>
          </w:rPr>
          <w:t>10.2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競爭關係中特殊之暫時性權利保護要求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_Toc121212979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95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23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80" w:history="1">
        <w:r>
          <w:rPr>
            <w:rStyle w:val="a8"/>
            <w:rFonts w:ascii="標楷體" w:eastAsia="標楷體" w:hAnsi="標楷體"/>
            <w:noProof/>
            <w:lang w:val="de-DE"/>
          </w:rPr>
          <w:t>10.3.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陞遷救濟時暫時權利保護的可行性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_Toc121212980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96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pStyle w:val="10"/>
        <w:tabs>
          <w:tab w:val="right" w:leader="dot" w:pos="8380"/>
        </w:tabs>
        <w:rPr>
          <w:rFonts w:ascii="標楷體" w:eastAsia="標楷體" w:hAnsi="標楷體"/>
          <w:noProof/>
        </w:rPr>
      </w:pPr>
      <w:hyperlink w:anchor="_Toc121212981" w:history="1">
        <w:r>
          <w:rPr>
            <w:rStyle w:val="a8"/>
            <w:rFonts w:ascii="標楷體" w:eastAsia="標楷體" w:hAnsi="標楷體"/>
            <w:noProof/>
            <w:lang w:val="de-DE"/>
          </w:rPr>
          <w:t>11.</w:t>
        </w:r>
        <w:r>
          <w:rPr>
            <w:rStyle w:val="a8"/>
            <w:rFonts w:ascii="標楷體" w:eastAsia="標楷體" w:hAnsi="標楷體" w:hint="eastAsia"/>
            <w:noProof/>
            <w:lang w:val="de-DE"/>
          </w:rPr>
          <w:t>結論</w:t>
        </w:r>
        <w:r>
          <w:rPr>
            <w:rFonts w:ascii="標楷體" w:eastAsia="標楷體" w:hAnsi="標楷體"/>
            <w:noProof/>
            <w:webHidden/>
          </w:rPr>
          <w:tab/>
        </w:r>
        <w:r>
          <w:rPr>
            <w:rFonts w:ascii="標楷體" w:eastAsia="標楷體" w:hAnsi="標楷體"/>
            <w:noProof/>
            <w:webHidden/>
          </w:rPr>
          <w:fldChar w:fldCharType="begin"/>
        </w:r>
        <w:r>
          <w:rPr>
            <w:rFonts w:ascii="標楷體" w:eastAsia="標楷體" w:hAnsi="標楷體"/>
            <w:noProof/>
            <w:webHidden/>
          </w:rPr>
          <w:instrText xml:space="preserve"> PAGEREF _Toc121212981 \h </w:instrText>
        </w:r>
        <w:r>
          <w:rPr>
            <w:rFonts w:ascii="標楷體" w:eastAsia="標楷體" w:hAnsi="標楷體"/>
            <w:noProof/>
          </w:rPr>
        </w:r>
        <w:r>
          <w:rPr>
            <w:rFonts w:ascii="標楷體" w:eastAsia="標楷體" w:hAnsi="標楷體"/>
            <w:noProof/>
            <w:webHidden/>
          </w:rPr>
          <w:fldChar w:fldCharType="separate"/>
        </w:r>
        <w:r>
          <w:rPr>
            <w:rFonts w:ascii="標楷體" w:eastAsia="標楷體" w:hAnsi="標楷體"/>
            <w:noProof/>
            <w:webHidden/>
          </w:rPr>
          <w:t>99</w:t>
        </w:r>
        <w:r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  <w:sz w:val="32"/>
          <w:szCs w:val="32"/>
          <w:lang w:val="de-DE"/>
        </w:rPr>
      </w:pPr>
      <w:r>
        <w:rPr>
          <w:rFonts w:ascii="標楷體" w:eastAsia="標楷體" w:hAnsi="標楷體"/>
          <w:sz w:val="32"/>
          <w:szCs w:val="32"/>
          <w:lang w:val="de-DE"/>
        </w:rPr>
        <w:fldChar w:fldCharType="end"/>
      </w: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  <w:sz w:val="26"/>
          <w:lang w:val="de-DE"/>
        </w:rPr>
      </w:pPr>
    </w:p>
    <w:p w:rsidR="00000000" w:rsidRDefault="00422D31">
      <w:pPr>
        <w:widowControl/>
        <w:tabs>
          <w:tab w:val="left" w:pos="2520"/>
        </w:tabs>
        <w:snapToGrid w:val="0"/>
        <w:ind w:left="2519" w:hangingChars="969" w:hanging="2519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val="de-DE"/>
        </w:rPr>
        <w:t>附論（一）：</w:t>
      </w:r>
      <w:r>
        <w:rPr>
          <w:rFonts w:ascii="標楷體" w:eastAsia="標楷體" w:hAnsi="標楷體"/>
          <w:sz w:val="26"/>
          <w:szCs w:val="26"/>
        </w:rPr>
        <w:t>德國公務員法上之競爭訴訟</w:t>
      </w:r>
      <w:r>
        <w:rPr>
          <w:rFonts w:ascii="標楷體" w:eastAsia="標楷體" w:hAnsi="標楷體"/>
          <w:sz w:val="26"/>
          <w:szCs w:val="26"/>
        </w:rPr>
        <w:t xml:space="preserve"> – </w:t>
      </w:r>
      <w:r>
        <w:rPr>
          <w:rFonts w:ascii="標楷體" w:eastAsia="標楷體" w:hAnsi="標楷體"/>
          <w:sz w:val="26"/>
          <w:szCs w:val="26"/>
        </w:rPr>
        <w:t>職務安定原則與有效權利救濟間之權衡</w:t>
      </w:r>
      <w:r>
        <w:rPr>
          <w:rFonts w:ascii="標楷體" w:eastAsia="標楷體" w:hAnsi="標楷體"/>
          <w:sz w:val="26"/>
          <w:szCs w:val="26"/>
        </w:rPr>
        <w:t>……………………………………………113</w:t>
      </w:r>
    </w:p>
    <w:p w:rsidR="00000000" w:rsidRDefault="00422D31">
      <w:pPr>
        <w:widowControl/>
        <w:tabs>
          <w:tab w:val="left" w:pos="2520"/>
        </w:tabs>
        <w:snapToGrid w:val="0"/>
        <w:ind w:left="2519" w:hangingChars="969" w:hanging="251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val="de-DE"/>
        </w:rPr>
        <w:t>附論（二）：</w:t>
      </w:r>
      <w:r>
        <w:rPr>
          <w:rFonts w:ascii="標楷體" w:eastAsia="標楷體" w:hAnsi="標楷體" w:hint="eastAsia"/>
          <w:sz w:val="26"/>
          <w:szCs w:val="26"/>
        </w:rPr>
        <w:t>日本行政事件訴訟法中有關暫時權利保護</w:t>
      </w:r>
      <w:r>
        <w:rPr>
          <w:rFonts w:ascii="標楷體" w:eastAsia="標楷體" w:hAnsi="標楷體" w:hint="eastAsia"/>
          <w:sz w:val="26"/>
          <w:szCs w:val="26"/>
          <w:lang w:val="de-DE"/>
        </w:rPr>
        <w:t>新</w:t>
      </w:r>
      <w:r>
        <w:rPr>
          <w:rFonts w:ascii="標楷體" w:eastAsia="標楷體" w:hAnsi="標楷體" w:hint="eastAsia"/>
          <w:sz w:val="26"/>
          <w:szCs w:val="26"/>
        </w:rPr>
        <w:t>規定之介紹</w:t>
      </w:r>
    </w:p>
    <w:p w:rsidR="00000000" w:rsidRDefault="00422D31">
      <w:pPr>
        <w:widowControl/>
        <w:tabs>
          <w:tab w:val="left" w:pos="2520"/>
        </w:tabs>
        <w:snapToGrid w:val="0"/>
        <w:ind w:left="2519" w:hangingChars="969" w:hanging="251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          ……………………</w:t>
      </w:r>
      <w:r>
        <w:rPr>
          <w:rFonts w:ascii="標楷體" w:eastAsia="標楷體" w:hAnsi="標楷體"/>
          <w:sz w:val="26"/>
          <w:szCs w:val="26"/>
        </w:rPr>
        <w:t>…………………………127</w:t>
      </w: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  <w:sz w:val="26"/>
          <w:szCs w:val="26"/>
        </w:rPr>
      </w:pP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/>
          <w:sz w:val="26"/>
          <w:lang w:val="de-DE"/>
        </w:rPr>
      </w:pPr>
      <w:r>
        <w:rPr>
          <w:rFonts w:ascii="標楷體" w:eastAsia="標楷體" w:hAnsi="標楷體" w:hint="eastAsia"/>
          <w:sz w:val="26"/>
          <w:lang w:val="de-DE"/>
        </w:rPr>
        <w:t>參考文獻</w:t>
      </w:r>
      <w:r>
        <w:rPr>
          <w:rFonts w:ascii="標楷體" w:eastAsia="標楷體" w:hAnsi="標楷體"/>
          <w:sz w:val="26"/>
          <w:lang w:val="de-DE"/>
        </w:rPr>
        <w:t>.....................................................147</w:t>
      </w: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  <w:sz w:val="26"/>
          <w:lang w:val="de-DE"/>
        </w:rPr>
      </w:pP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  <w:sz w:val="26"/>
          <w:lang w:val="de-DE"/>
        </w:rPr>
      </w:pP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  <w:sz w:val="26"/>
          <w:lang w:val="de-DE"/>
        </w:rPr>
      </w:pP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  <w:sz w:val="26"/>
          <w:lang w:val="de-DE"/>
        </w:rPr>
      </w:pP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  <w:sz w:val="26"/>
          <w:lang w:val="de-DE"/>
        </w:rPr>
      </w:pP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  <w:sz w:val="26"/>
          <w:lang w:val="de-DE"/>
        </w:rPr>
      </w:pP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  <w:sz w:val="26"/>
          <w:lang w:val="de-DE"/>
        </w:rPr>
      </w:pP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  <w:sz w:val="26"/>
          <w:lang w:val="de-DE"/>
        </w:rPr>
      </w:pP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  <w:sz w:val="26"/>
          <w:lang w:val="de-DE"/>
        </w:rPr>
      </w:pP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  <w:sz w:val="26"/>
          <w:lang w:val="de-DE"/>
        </w:rPr>
      </w:pP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  <w:sz w:val="26"/>
          <w:lang w:val="de-DE"/>
        </w:rPr>
      </w:pP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  <w:sz w:val="26"/>
          <w:lang w:val="de-DE"/>
        </w:rPr>
      </w:pP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  <w:sz w:val="26"/>
          <w:lang w:val="de-DE"/>
        </w:rPr>
      </w:pPr>
      <w:r>
        <w:rPr>
          <w:rFonts w:ascii="標楷體" w:eastAsia="標楷體" w:hAnsi="標楷體" w:hint="eastAsia"/>
          <w:sz w:val="26"/>
          <w:lang w:val="de-DE"/>
        </w:rPr>
        <w:t>附件</w:t>
      </w: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  <w:sz w:val="26"/>
          <w:lang w:val="de-DE"/>
        </w:rPr>
      </w:pPr>
    </w:p>
    <w:p w:rsidR="00000000" w:rsidRDefault="00422D31">
      <w:pPr>
        <w:widowControl/>
        <w:tabs>
          <w:tab w:val="left" w:pos="900"/>
        </w:tabs>
        <w:snapToGrid w:val="0"/>
        <w:ind w:left="900" w:hangingChars="375" w:hanging="9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附件一：公務人員陞遷法</w:t>
      </w:r>
      <w:r>
        <w:rPr>
          <w:rFonts w:ascii="標楷體" w:eastAsia="標楷體" w:hAnsi="標楷體"/>
        </w:rPr>
        <w:t xml:space="preserve"> …………………………………………………………154</w:t>
      </w:r>
    </w:p>
    <w:p w:rsidR="00000000" w:rsidRDefault="00422D31">
      <w:pPr>
        <w:widowControl/>
        <w:tabs>
          <w:tab w:val="left" w:pos="900"/>
        </w:tabs>
        <w:snapToGrid w:val="0"/>
        <w:ind w:left="900" w:hangingChars="375" w:hanging="900"/>
        <w:jc w:val="both"/>
        <w:rPr>
          <w:rFonts w:ascii="標楷體" w:eastAsia="標楷體" w:hAnsi="標楷體" w:hint="eastAsia"/>
        </w:rPr>
      </w:pPr>
    </w:p>
    <w:p w:rsidR="00000000" w:rsidRDefault="00422D31">
      <w:pPr>
        <w:widowControl/>
        <w:tabs>
          <w:tab w:val="left" w:pos="900"/>
        </w:tabs>
        <w:snapToGrid w:val="0"/>
        <w:ind w:left="900" w:hangingChars="375" w:hanging="9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附件二：公務人員陞遷法施行細則</w:t>
      </w:r>
      <w:r>
        <w:rPr>
          <w:rFonts w:ascii="標楷體" w:eastAsia="標楷體" w:hAnsi="標楷體"/>
        </w:rPr>
        <w:t xml:space="preserve"> ………………………………………………156</w:t>
      </w:r>
    </w:p>
    <w:p w:rsidR="00000000" w:rsidRDefault="00422D31">
      <w:pPr>
        <w:widowControl/>
        <w:tabs>
          <w:tab w:val="left" w:pos="900"/>
        </w:tabs>
        <w:snapToGrid w:val="0"/>
        <w:ind w:left="900" w:hangingChars="375" w:hanging="900"/>
        <w:jc w:val="both"/>
        <w:rPr>
          <w:rFonts w:ascii="標楷體" w:eastAsia="標楷體" w:hAnsi="標楷體" w:hint="eastAsia"/>
        </w:rPr>
      </w:pPr>
    </w:p>
    <w:p w:rsidR="00000000" w:rsidRDefault="00422D31">
      <w:pPr>
        <w:tabs>
          <w:tab w:val="left" w:pos="900"/>
        </w:tabs>
        <w:spacing w:line="320" w:lineRule="exact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附件三：行政院所屬人事機關（構）薦任第九職等至簡任第十職等人事室主任以上人員陞遷序列表</w:t>
      </w:r>
      <w:r>
        <w:rPr>
          <w:rFonts w:ascii="標楷體" w:eastAsia="標楷體" w:hAnsi="標楷體"/>
        </w:rPr>
        <w:t xml:space="preserve"> ………………………………………………………159</w:t>
      </w:r>
    </w:p>
    <w:p w:rsidR="00000000" w:rsidRDefault="00422D31">
      <w:pPr>
        <w:widowControl/>
        <w:tabs>
          <w:tab w:val="left" w:pos="900"/>
        </w:tabs>
        <w:snapToGrid w:val="0"/>
        <w:ind w:left="900" w:hangingChars="375" w:hanging="900"/>
        <w:jc w:val="both"/>
        <w:rPr>
          <w:rFonts w:ascii="標楷體" w:eastAsia="標楷體" w:hAnsi="標楷體" w:hint="eastAsia"/>
        </w:rPr>
      </w:pPr>
    </w:p>
    <w:p w:rsidR="00000000" w:rsidRDefault="00422D31">
      <w:pPr>
        <w:widowControl/>
        <w:tabs>
          <w:tab w:val="left" w:pos="900"/>
        </w:tabs>
        <w:snapToGrid w:val="0"/>
        <w:ind w:left="900" w:hangingChars="375" w:hanging="90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附件四：</w:t>
      </w:r>
      <w:r>
        <w:rPr>
          <w:rFonts w:ascii="標楷體" w:eastAsia="標楷體" w:hAnsi="標楷體" w:hint="eastAsia"/>
          <w:lang w:val="de-DE"/>
        </w:rPr>
        <w:t>期中報告</w:t>
      </w:r>
      <w:r>
        <w:rPr>
          <w:rFonts w:ascii="標楷體" w:eastAsia="標楷體" w:hAnsi="標楷體" w:hint="eastAsia"/>
          <w:bCs/>
        </w:rPr>
        <w:t>審查會議紀錄</w:t>
      </w:r>
      <w:r>
        <w:rPr>
          <w:rFonts w:ascii="標楷體" w:eastAsia="標楷體" w:hAnsi="標楷體"/>
          <w:bCs/>
        </w:rPr>
        <w:t xml:space="preserve"> …</w:t>
      </w:r>
      <w:r>
        <w:rPr>
          <w:rFonts w:ascii="標楷體" w:eastAsia="標楷體" w:hAnsi="標楷體"/>
          <w:bCs/>
        </w:rPr>
        <w:t>………………………………………………162</w:t>
      </w:r>
    </w:p>
    <w:p w:rsidR="00000000" w:rsidRDefault="00422D31">
      <w:pPr>
        <w:widowControl/>
        <w:tabs>
          <w:tab w:val="left" w:pos="900"/>
        </w:tabs>
        <w:snapToGrid w:val="0"/>
        <w:ind w:left="900" w:hangingChars="375" w:hanging="900"/>
        <w:jc w:val="both"/>
        <w:rPr>
          <w:rFonts w:ascii="標楷體" w:eastAsia="標楷體" w:hAnsi="標楷體" w:hint="eastAsia"/>
          <w:bCs/>
        </w:rPr>
      </w:pPr>
    </w:p>
    <w:p w:rsidR="00000000" w:rsidRDefault="00422D31">
      <w:pPr>
        <w:widowControl/>
        <w:tabs>
          <w:tab w:val="left" w:pos="900"/>
        </w:tabs>
        <w:snapToGrid w:val="0"/>
        <w:ind w:left="900" w:hangingChars="375" w:hanging="90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附件五：</w:t>
      </w:r>
      <w:r>
        <w:rPr>
          <w:rFonts w:ascii="標楷體" w:eastAsia="標楷體" w:hAnsi="標楷體" w:hint="eastAsia"/>
          <w:lang w:val="de-DE"/>
        </w:rPr>
        <w:t>期末報告</w:t>
      </w:r>
      <w:r>
        <w:rPr>
          <w:rFonts w:ascii="標楷體" w:eastAsia="標楷體" w:hAnsi="標楷體" w:hint="eastAsia"/>
          <w:bCs/>
        </w:rPr>
        <w:t>審查會議紀錄</w:t>
      </w:r>
      <w:r>
        <w:rPr>
          <w:rFonts w:ascii="標楷體" w:eastAsia="標楷體" w:hAnsi="標楷體"/>
          <w:bCs/>
        </w:rPr>
        <w:t xml:space="preserve"> …………………………………………………167</w:t>
      </w: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  <w:sz w:val="26"/>
        </w:rPr>
      </w:pP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  <w:sz w:val="26"/>
          <w:lang w:val="de-DE"/>
        </w:rPr>
      </w:pPr>
      <w:r>
        <w:rPr>
          <w:rFonts w:ascii="標楷體" w:eastAsia="標楷體" w:hAnsi="標楷體" w:hint="eastAsia"/>
          <w:sz w:val="26"/>
          <w:lang w:val="de-DE"/>
        </w:rPr>
        <w:t>附圖目錄</w:t>
      </w: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  <w:sz w:val="26"/>
          <w:lang w:val="de-DE"/>
        </w:rPr>
      </w:pP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de-DE"/>
        </w:rPr>
        <w:t>附圖一：</w:t>
      </w:r>
      <w:r>
        <w:rPr>
          <w:rFonts w:ascii="標楷體" w:eastAsia="標楷體" w:hAnsi="標楷體" w:hint="eastAsia"/>
        </w:rPr>
        <w:t>我國公務人員的陞遷流程</w:t>
      </w:r>
      <w:r>
        <w:rPr>
          <w:rFonts w:ascii="標楷體" w:eastAsia="標楷體" w:hAnsi="標楷體"/>
        </w:rPr>
        <w:t>…………………………………………………15</w:t>
      </w: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</w:rPr>
      </w:pPr>
    </w:p>
    <w:p w:rsidR="00000000" w:rsidRDefault="00422D31">
      <w:pPr>
        <w:widowControl/>
        <w:tabs>
          <w:tab w:val="left" w:pos="0"/>
        </w:tabs>
        <w:snapToGrid w:val="0"/>
        <w:jc w:val="both"/>
        <w:rPr>
          <w:rStyle w:val="af3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附圖二：</w:t>
      </w:r>
      <w:r>
        <w:rPr>
          <w:rStyle w:val="af3"/>
          <w:rFonts w:ascii="標楷體" w:eastAsia="標楷體" w:hAnsi="標楷體" w:hint="eastAsia"/>
        </w:rPr>
        <w:t>公務人員陞遷流程與申訴、復審程序之決定</w:t>
      </w:r>
      <w:r>
        <w:rPr>
          <w:rStyle w:val="af3"/>
          <w:rFonts w:ascii="標楷體" w:eastAsia="標楷體" w:hAnsi="標楷體"/>
        </w:rPr>
        <w:t>......................34</w:t>
      </w:r>
    </w:p>
    <w:p w:rsidR="00000000" w:rsidRDefault="00422D31">
      <w:pPr>
        <w:widowControl/>
        <w:tabs>
          <w:tab w:val="left" w:pos="0"/>
        </w:tabs>
        <w:snapToGrid w:val="0"/>
        <w:jc w:val="both"/>
        <w:rPr>
          <w:rStyle w:val="af3"/>
          <w:rFonts w:ascii="標楷體" w:eastAsia="標楷體" w:hAnsi="標楷體" w:hint="eastAsia"/>
        </w:rPr>
      </w:pP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附圖三：附圖三：權利重大影響與行政處分屬性的演繹</w:t>
      </w:r>
      <w:r>
        <w:rPr>
          <w:rFonts w:ascii="標楷體" w:eastAsia="標楷體" w:hAnsi="標楷體"/>
        </w:rPr>
        <w:t>…………………………45</w:t>
      </w:r>
    </w:p>
    <w:p w:rsidR="00000000" w:rsidRDefault="00422D31">
      <w:pPr>
        <w:widowControl/>
        <w:tabs>
          <w:tab w:val="left" w:pos="0"/>
        </w:tabs>
        <w:snapToGrid w:val="0"/>
        <w:jc w:val="both"/>
        <w:rPr>
          <w:rFonts w:ascii="標楷體" w:eastAsia="標楷體" w:hAnsi="標楷體" w:hint="eastAsia"/>
        </w:rPr>
      </w:pPr>
    </w:p>
    <w:p w:rsidR="00422D31" w:rsidRDefault="00422D31">
      <w:pPr>
        <w:widowControl/>
        <w:tabs>
          <w:tab w:val="left" w:pos="0"/>
        </w:tabs>
        <w:snapToGrid w:val="0"/>
        <w:jc w:val="both"/>
        <w:rPr>
          <w:rFonts w:hint="eastAsia"/>
        </w:rPr>
      </w:pPr>
      <w:r>
        <w:rPr>
          <w:rFonts w:ascii="標楷體" w:eastAsia="標楷體" w:hAnsi="標楷體" w:hint="eastAsia"/>
          <w:lang w:val="de-DE"/>
        </w:rPr>
        <w:t>附圖四：</w:t>
      </w:r>
      <w:r>
        <w:rPr>
          <w:rFonts w:ascii="標楷體" w:eastAsia="標楷體" w:hAnsi="標楷體" w:hint="eastAsia"/>
        </w:rPr>
        <w:t>保障法救濟類型的不足</w:t>
      </w:r>
      <w:r>
        <w:rPr>
          <w:rFonts w:ascii="標楷體" w:eastAsia="標楷體" w:hAnsi="標楷體"/>
        </w:rPr>
        <w:t>……………………………………………………47</w:t>
      </w:r>
      <w:r>
        <w:rPr>
          <w:rFonts w:hint="eastAsia"/>
        </w:rPr>
        <w:t xml:space="preserve"> </w:t>
      </w:r>
    </w:p>
    <w:sectPr w:rsidR="00422D31">
      <w:footerReference w:type="even" r:id="rId7"/>
      <w:footerReference w:type="default" r:id="rId8"/>
      <w:pgSz w:w="11906" w:h="16838"/>
      <w:pgMar w:top="1418" w:right="1758" w:bottom="1418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31" w:rsidRDefault="00422D31">
      <w:r>
        <w:separator/>
      </w:r>
    </w:p>
  </w:endnote>
  <w:endnote w:type="continuationSeparator" w:id="0">
    <w:p w:rsidR="00422D31" w:rsidRDefault="0042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22D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422D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22D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</w:instrText>
    </w:r>
    <w:r>
      <w:rPr>
        <w:rStyle w:val="a7"/>
      </w:rPr>
      <w:instrText xml:space="preserve">AGE  </w:instrText>
    </w:r>
    <w:r>
      <w:rPr>
        <w:rStyle w:val="a7"/>
      </w:rPr>
      <w:fldChar w:fldCharType="separate"/>
    </w:r>
    <w:r w:rsidR="00B0531C">
      <w:rPr>
        <w:rStyle w:val="a7"/>
        <w:noProof/>
      </w:rPr>
      <w:t>3</w:t>
    </w:r>
    <w:r>
      <w:rPr>
        <w:rStyle w:val="a7"/>
      </w:rPr>
      <w:fldChar w:fldCharType="end"/>
    </w:r>
  </w:p>
  <w:p w:rsidR="00000000" w:rsidRDefault="00422D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31" w:rsidRDefault="00422D31">
      <w:pPr>
        <w:snapToGrid w:val="0"/>
        <w:spacing w:beforeLines="50" w:before="120" w:afterLines="50" w:after="120" w:line="360" w:lineRule="auto"/>
      </w:pPr>
      <w:r>
        <w:separator/>
      </w:r>
    </w:p>
  </w:footnote>
  <w:footnote w:type="continuationSeparator" w:id="0">
    <w:p w:rsidR="00422D31" w:rsidRDefault="00422D31">
      <w:pPr>
        <w:snapToGrid w:val="0"/>
        <w:spacing w:beforeLines="50" w:before="120" w:afterLines="50" w:after="12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D005D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6D1E8D7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0A98C88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E081258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1C8627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07E973E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6AE13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656519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3961E5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C6EFFE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F1579"/>
    <w:multiLevelType w:val="hybridMultilevel"/>
    <w:tmpl w:val="FF72784A"/>
    <w:lvl w:ilvl="0" w:tplc="784C5B5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42F1E3A"/>
    <w:multiLevelType w:val="hybridMultilevel"/>
    <w:tmpl w:val="956CD016"/>
    <w:lvl w:ilvl="0" w:tplc="6A6E999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8F006FE"/>
    <w:multiLevelType w:val="hybridMultilevel"/>
    <w:tmpl w:val="ECC4D3AE"/>
    <w:lvl w:ilvl="0" w:tplc="254E763A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C0B4117"/>
    <w:multiLevelType w:val="hybridMultilevel"/>
    <w:tmpl w:val="A2644FFA"/>
    <w:lvl w:ilvl="0" w:tplc="FD56535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65620A5"/>
    <w:multiLevelType w:val="hybridMultilevel"/>
    <w:tmpl w:val="A14415D8"/>
    <w:lvl w:ilvl="0" w:tplc="F4B66D1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868035B"/>
    <w:multiLevelType w:val="hybridMultilevel"/>
    <w:tmpl w:val="CE7AA770"/>
    <w:lvl w:ilvl="0" w:tplc="7E4A469A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96F5E1C"/>
    <w:multiLevelType w:val="hybridMultilevel"/>
    <w:tmpl w:val="B524AE04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u w:val="none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9C83BB9"/>
    <w:multiLevelType w:val="hybridMultilevel"/>
    <w:tmpl w:val="A6F0E03E"/>
    <w:lvl w:ilvl="0" w:tplc="18EA4684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BEF43D9"/>
    <w:multiLevelType w:val="hybridMultilevel"/>
    <w:tmpl w:val="748828EC"/>
    <w:lvl w:ilvl="0" w:tplc="910C1978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20D70612"/>
    <w:multiLevelType w:val="hybridMultilevel"/>
    <w:tmpl w:val="2E8C00EE"/>
    <w:lvl w:ilvl="0" w:tplc="80CA28D0">
      <w:start w:val="1"/>
      <w:numFmt w:val="decimal"/>
      <w:lvlText w:val="〈%1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DC1712A"/>
    <w:multiLevelType w:val="hybridMultilevel"/>
    <w:tmpl w:val="A690598E"/>
    <w:lvl w:ilvl="0" w:tplc="37BEE66E">
      <w:start w:val="1"/>
      <w:numFmt w:val="lowerLetter"/>
      <w:lvlText w:val="〈%1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4A31304"/>
    <w:multiLevelType w:val="hybridMultilevel"/>
    <w:tmpl w:val="E8162A92"/>
    <w:lvl w:ilvl="0" w:tplc="4770E99E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4FA2955"/>
    <w:multiLevelType w:val="hybridMultilevel"/>
    <w:tmpl w:val="F53A38A4"/>
    <w:lvl w:ilvl="0" w:tplc="63284FFC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6A04CBD"/>
    <w:multiLevelType w:val="hybridMultilevel"/>
    <w:tmpl w:val="47283BE8"/>
    <w:lvl w:ilvl="0" w:tplc="6A6E999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7A42773"/>
    <w:multiLevelType w:val="hybridMultilevel"/>
    <w:tmpl w:val="C8446CE4"/>
    <w:lvl w:ilvl="0" w:tplc="4C641A72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AB00B77"/>
    <w:multiLevelType w:val="hybridMultilevel"/>
    <w:tmpl w:val="CF2A3916"/>
    <w:lvl w:ilvl="0" w:tplc="1922738A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B5B3826"/>
    <w:multiLevelType w:val="hybridMultilevel"/>
    <w:tmpl w:val="B1CA2E62"/>
    <w:lvl w:ilvl="0" w:tplc="6A6E999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4987200"/>
    <w:multiLevelType w:val="multilevel"/>
    <w:tmpl w:val="853CB26E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（%2）"/>
      <w:lvlJc w:val="left"/>
      <w:pPr>
        <w:ind w:left="1389" w:hanging="83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（%4）"/>
      <w:lvlJc w:val="left"/>
      <w:pPr>
        <w:ind w:left="2222" w:hanging="833"/>
      </w:p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（%6）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（%8）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28" w15:restartNumberingAfterBreak="0">
    <w:nsid w:val="64F1494D"/>
    <w:multiLevelType w:val="hybridMultilevel"/>
    <w:tmpl w:val="9DE6FE48"/>
    <w:lvl w:ilvl="0" w:tplc="A822CA98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7F6BB2"/>
    <w:multiLevelType w:val="hybridMultilevel"/>
    <w:tmpl w:val="AE98ACD8"/>
    <w:lvl w:ilvl="0" w:tplc="275E8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B39317C"/>
    <w:multiLevelType w:val="multilevel"/>
    <w:tmpl w:val="3382572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eastAsia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204"/>
        </w:tabs>
        <w:ind w:left="1204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1566"/>
        </w:tabs>
        <w:ind w:left="1566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1928"/>
        </w:tabs>
        <w:ind w:left="1928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1930"/>
        </w:tabs>
        <w:ind w:left="193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4"/>
        </w:tabs>
        <w:ind w:left="2654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6"/>
        </w:tabs>
        <w:ind w:left="2656" w:hanging="2160"/>
      </w:pPr>
      <w:rPr>
        <w:rFonts w:hint="eastAsia"/>
      </w:rPr>
    </w:lvl>
  </w:abstractNum>
  <w:abstractNum w:abstractNumId="31" w15:restartNumberingAfterBreak="0">
    <w:nsid w:val="6E812CB2"/>
    <w:multiLevelType w:val="hybridMultilevel"/>
    <w:tmpl w:val="8DA80082"/>
    <w:lvl w:ilvl="0" w:tplc="4E0C8E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77652B20"/>
    <w:multiLevelType w:val="hybridMultilevel"/>
    <w:tmpl w:val="A4C2511A"/>
    <w:lvl w:ilvl="0" w:tplc="A6907088">
      <w:start w:val="1"/>
      <w:numFmt w:val="taiwaneseCountingThousand"/>
      <w:lvlText w:val="%1、"/>
      <w:lvlJc w:val="left"/>
      <w:pPr>
        <w:tabs>
          <w:tab w:val="num" w:pos="1587"/>
        </w:tabs>
        <w:ind w:left="1587" w:hanging="1035"/>
      </w:pPr>
    </w:lvl>
    <w:lvl w:ilvl="1" w:tplc="DBAA83BE">
      <w:start w:val="1"/>
      <w:numFmt w:val="taiwaneseCountingThousand"/>
      <w:lvlText w:val="（%2）"/>
      <w:lvlJc w:val="left"/>
      <w:pPr>
        <w:tabs>
          <w:tab w:val="num" w:pos="2307"/>
        </w:tabs>
        <w:ind w:left="2307" w:hanging="1275"/>
      </w:pPr>
    </w:lvl>
    <w:lvl w:ilvl="2" w:tplc="0409001B">
      <w:start w:val="1"/>
      <w:numFmt w:val="lowerRoman"/>
      <w:lvlText w:val="%3."/>
      <w:lvlJc w:val="right"/>
      <w:pPr>
        <w:tabs>
          <w:tab w:val="num" w:pos="1992"/>
        </w:tabs>
        <w:ind w:left="199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BF6C43"/>
    <w:multiLevelType w:val="hybridMultilevel"/>
    <w:tmpl w:val="17F8F73A"/>
    <w:lvl w:ilvl="0" w:tplc="BD8C3338">
      <w:start w:val="1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</w:num>
  <w:num w:numId="15">
    <w:abstractNumId w:val="11"/>
  </w:num>
  <w:num w:numId="16">
    <w:abstractNumId w:val="23"/>
  </w:num>
  <w:num w:numId="17">
    <w:abstractNumId w:val="26"/>
  </w:num>
  <w:num w:numId="18">
    <w:abstractNumId w:val="17"/>
  </w:num>
  <w:num w:numId="19">
    <w:abstractNumId w:val="19"/>
  </w:num>
  <w:num w:numId="20">
    <w:abstractNumId w:val="20"/>
  </w:num>
  <w:num w:numId="21">
    <w:abstractNumId w:val="13"/>
  </w:num>
  <w:num w:numId="22">
    <w:abstractNumId w:val="31"/>
  </w:num>
  <w:num w:numId="23">
    <w:abstractNumId w:val="18"/>
  </w:num>
  <w:num w:numId="24">
    <w:abstractNumId w:val="22"/>
  </w:num>
  <w:num w:numId="25">
    <w:abstractNumId w:val="29"/>
  </w:num>
  <w:num w:numId="26">
    <w:abstractNumId w:val="21"/>
  </w:num>
  <w:num w:numId="27">
    <w:abstractNumId w:val="25"/>
  </w:num>
  <w:num w:numId="28">
    <w:abstractNumId w:val="24"/>
  </w:num>
  <w:num w:numId="29">
    <w:abstractNumId w:val="12"/>
  </w:num>
  <w:num w:numId="30">
    <w:abstractNumId w:val="33"/>
  </w:num>
  <w:num w:numId="31">
    <w:abstractNumId w:val="15"/>
  </w:num>
  <w:num w:numId="32">
    <w:abstractNumId w:val="10"/>
  </w:num>
  <w:num w:numId="33">
    <w:abstractNumId w:val="1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1C"/>
    <w:rsid w:val="00422D31"/>
    <w:rsid w:val="00B0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CBEA84-B697-42D2-8D57-1414133E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spacing w:beforeLines="50" w:before="50" w:afterLines="50" w:after="50" w:line="360" w:lineRule="auto"/>
      <w:jc w:val="both"/>
      <w:outlineLvl w:val="0"/>
    </w:pPr>
    <w:rPr>
      <w:rFonts w:eastAsia="標楷體"/>
      <w:b/>
      <w:snapToGrid w:val="0"/>
      <w:kern w:val="0"/>
      <w:sz w:val="32"/>
      <w:szCs w:val="32"/>
    </w:rPr>
  </w:style>
  <w:style w:type="paragraph" w:styleId="2">
    <w:name w:val="heading 2"/>
    <w:basedOn w:val="a"/>
    <w:next w:val="a"/>
    <w:autoRedefine/>
    <w:qFormat/>
    <w:pPr>
      <w:keepNext/>
      <w:adjustRightInd w:val="0"/>
      <w:snapToGrid w:val="0"/>
      <w:spacing w:beforeLines="50" w:before="180" w:afterLines="50" w:after="180" w:line="360" w:lineRule="auto"/>
      <w:jc w:val="both"/>
      <w:outlineLvl w:val="1"/>
    </w:pPr>
    <w:rPr>
      <w:rFonts w:eastAsia="標楷體"/>
      <w:b/>
      <w:snapToGrid w:val="0"/>
      <w:kern w:val="0"/>
      <w:sz w:val="28"/>
      <w:szCs w:val="28"/>
    </w:rPr>
  </w:style>
  <w:style w:type="paragraph" w:styleId="3">
    <w:name w:val="heading 3"/>
    <w:basedOn w:val="a"/>
    <w:next w:val="a"/>
    <w:autoRedefine/>
    <w:qFormat/>
    <w:pPr>
      <w:keepNext/>
      <w:adjustRightInd w:val="0"/>
      <w:snapToGrid w:val="0"/>
      <w:spacing w:beforeLines="50" w:before="50" w:afterLines="50" w:after="50" w:line="360" w:lineRule="auto"/>
      <w:jc w:val="both"/>
      <w:outlineLvl w:val="2"/>
    </w:pPr>
    <w:rPr>
      <w:rFonts w:ascii="Arial" w:eastAsia="標楷體" w:hAnsi="Arial"/>
      <w:bCs/>
      <w:snapToGrid w:val="0"/>
      <w:kern w:val="0"/>
      <w:sz w:val="26"/>
      <w:szCs w:val="26"/>
    </w:rPr>
  </w:style>
  <w:style w:type="paragraph" w:styleId="4">
    <w:name w:val="heading 4"/>
    <w:basedOn w:val="a"/>
    <w:next w:val="a"/>
    <w:autoRedefine/>
    <w:qFormat/>
    <w:pPr>
      <w:keepNext/>
      <w:adjustRightInd w:val="0"/>
      <w:snapToGrid w:val="0"/>
      <w:spacing w:beforeLines="50" w:before="180" w:afterLines="50" w:after="180" w:line="360" w:lineRule="auto"/>
      <w:jc w:val="both"/>
      <w:outlineLvl w:val="3"/>
    </w:pPr>
    <w:rPr>
      <w:rFonts w:ascii="Arial" w:eastAsia="標楷體" w:hAnsi="Arial"/>
      <w:b/>
      <w:snapToGrid w:val="0"/>
      <w:kern w:val="0"/>
    </w:rPr>
  </w:style>
  <w:style w:type="paragraph" w:styleId="5">
    <w:name w:val="heading 5"/>
    <w:basedOn w:val="a"/>
    <w:next w:val="a0"/>
    <w:qFormat/>
    <w:pPr>
      <w:keepNext/>
      <w:spacing w:before="120" w:after="120"/>
      <w:ind w:left="425"/>
      <w:outlineLvl w:val="4"/>
    </w:pPr>
    <w:rPr>
      <w:rFonts w:ascii="Arial" w:eastAsia="標楷體" w:hAnsi="Arial"/>
      <w:b/>
      <w:spacing w:val="30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480"/>
    </w:pPr>
    <w:rPr>
      <w:spacing w:val="30"/>
      <w:szCs w:val="20"/>
    </w:rPr>
  </w:style>
  <w:style w:type="paragraph" w:styleId="a4">
    <w:name w:val="Block Text"/>
    <w:basedOn w:val="a"/>
    <w:semiHidden/>
    <w:pPr>
      <w:widowControl/>
      <w:ind w:left="113" w:right="113"/>
    </w:pPr>
  </w:style>
  <w:style w:type="paragraph" w:styleId="a5">
    <w:name w:val="Body Text Indent"/>
    <w:basedOn w:val="a"/>
    <w:semiHidden/>
    <w:pPr>
      <w:ind w:left="560" w:hangingChars="200" w:hanging="560"/>
    </w:pPr>
    <w:rPr>
      <w:sz w:val="28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semiHidden/>
  </w:style>
  <w:style w:type="paragraph" w:customStyle="1" w:styleId="30">
    <w:name w:val="內文3"/>
    <w:basedOn w:val="a"/>
    <w:pPr>
      <w:widowControl/>
      <w:tabs>
        <w:tab w:val="left" w:pos="567"/>
      </w:tabs>
      <w:spacing w:before="120" w:after="120"/>
      <w:ind w:left="1644" w:hanging="1077"/>
    </w:pPr>
    <w:rPr>
      <w:rFonts w:eastAsia="標楷體"/>
      <w:noProof/>
      <w:spacing w:val="30"/>
      <w:kern w:val="0"/>
      <w:sz w:val="22"/>
      <w:szCs w:val="20"/>
    </w:rPr>
  </w:style>
  <w:style w:type="paragraph" w:customStyle="1" w:styleId="20">
    <w:name w:val="內文2"/>
    <w:pPr>
      <w:spacing w:before="120" w:after="120"/>
    </w:pPr>
    <w:rPr>
      <w:rFonts w:eastAsia="標楷體"/>
      <w:noProof/>
      <w:spacing w:val="20"/>
    </w:rPr>
  </w:style>
  <w:style w:type="character" w:styleId="a8">
    <w:name w:val="Hyperlink"/>
    <w:basedOn w:val="a1"/>
    <w:semiHidden/>
    <w:rPr>
      <w:color w:val="0000FF"/>
      <w:u w:val="single"/>
    </w:rPr>
  </w:style>
  <w:style w:type="character" w:styleId="a9">
    <w:name w:val="Strong"/>
    <w:basedOn w:val="a1"/>
    <w:qFormat/>
    <w:rPr>
      <w:b/>
      <w:bCs/>
    </w:rPr>
  </w:style>
  <w:style w:type="paragraph" w:styleId="aa">
    <w:name w:val="Date"/>
    <w:basedOn w:val="a"/>
    <w:next w:val="a"/>
    <w:semiHidden/>
    <w:pPr>
      <w:jc w:val="right"/>
    </w:pPr>
  </w:style>
  <w:style w:type="paragraph" w:styleId="ab">
    <w:name w:val="Body Text"/>
    <w:basedOn w:val="a"/>
    <w:semiHidden/>
    <w:pPr>
      <w:adjustRightInd w:val="0"/>
      <w:snapToGrid w:val="0"/>
      <w:spacing w:beforeLines="50" w:before="50" w:after="120" w:line="360" w:lineRule="auto"/>
      <w:ind w:firstLineChars="200" w:firstLine="200"/>
      <w:jc w:val="both"/>
    </w:pPr>
    <w:rPr>
      <w:lang w:val="de-DE"/>
    </w:rPr>
  </w:style>
  <w:style w:type="character" w:customStyle="1" w:styleId="ac">
    <w:name w:val=" 字元 字元"/>
    <w:basedOn w:val="a1"/>
    <w:rPr>
      <w:rFonts w:eastAsia="新細明體"/>
      <w:kern w:val="2"/>
      <w:sz w:val="24"/>
      <w:szCs w:val="24"/>
      <w:lang w:val="de-DE" w:eastAsia="zh-TW" w:bidi="ar-SA"/>
    </w:rPr>
  </w:style>
  <w:style w:type="paragraph" w:styleId="21">
    <w:name w:val="Body Text 2"/>
    <w:basedOn w:val="a"/>
    <w:semiHidden/>
    <w:pPr>
      <w:spacing w:after="120" w:line="480" w:lineRule="auto"/>
    </w:pPr>
  </w:style>
  <w:style w:type="paragraph" w:styleId="ad">
    <w:name w:val="footnote text"/>
    <w:basedOn w:val="a"/>
    <w:semiHidden/>
    <w:pPr>
      <w:snapToGrid w:val="0"/>
    </w:pPr>
    <w:rPr>
      <w:sz w:val="20"/>
      <w:szCs w:val="20"/>
    </w:rPr>
  </w:style>
  <w:style w:type="character" w:styleId="ae">
    <w:name w:val="footnote reference"/>
    <w:basedOn w:val="a1"/>
    <w:semiHidden/>
    <w:rPr>
      <w:vertAlign w:val="superscript"/>
    </w:r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af">
    <w:name w:val="Note Heading"/>
    <w:basedOn w:val="a"/>
    <w:next w:val="a"/>
    <w:semiHidden/>
    <w:pPr>
      <w:jc w:val="center"/>
    </w:pPr>
  </w:style>
  <w:style w:type="paragraph" w:styleId="af0">
    <w:name w:val="Plain Text"/>
    <w:basedOn w:val="a"/>
    <w:semiHidden/>
    <w:rPr>
      <w:rFonts w:ascii="細明體" w:eastAsia="細明體" w:hAnsi="Courier New"/>
      <w:szCs w:val="20"/>
    </w:rPr>
  </w:style>
  <w:style w:type="paragraph" w:styleId="af1">
    <w:name w:val="Closing"/>
    <w:basedOn w:val="a"/>
    <w:semiHidden/>
    <w:pPr>
      <w:ind w:leftChars="1800" w:left="100"/>
    </w:pPr>
    <w:rPr>
      <w:lang w:val="de-DE"/>
    </w:rPr>
  </w:style>
  <w:style w:type="paragraph" w:styleId="32">
    <w:name w:val="Body Text Indent 3"/>
    <w:basedOn w:val="a"/>
    <w:semiHidden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stext1">
    <w:name w:val="stext1"/>
    <w:basedOn w:val="a1"/>
    <w:rPr>
      <w:sz w:val="19"/>
      <w:szCs w:val="19"/>
    </w:rPr>
  </w:style>
  <w:style w:type="character" w:customStyle="1" w:styleId="stext">
    <w:name w:val="stext"/>
    <w:basedOn w:val="a1"/>
  </w:style>
  <w:style w:type="paragraph" w:customStyle="1" w:styleId="af2">
    <w:name w:val="本文 + 新細明體"/>
    <w:basedOn w:val="ab"/>
    <w:pPr>
      <w:spacing w:before="180"/>
      <w:ind w:firstLine="480"/>
    </w:pPr>
    <w:rPr>
      <w:rFonts w:ascii="新細明體" w:hAnsi="新細明體"/>
    </w:rPr>
  </w:style>
  <w:style w:type="character" w:customStyle="1" w:styleId="af3">
    <w:name w:val="本文 + 新細明體 字元"/>
    <w:basedOn w:val="ac"/>
    <w:rPr>
      <w:rFonts w:ascii="新細明體" w:eastAsia="新細明體" w:hAnsi="新細明體"/>
      <w:kern w:val="2"/>
      <w:sz w:val="24"/>
      <w:szCs w:val="24"/>
      <w:lang w:val="de-DE" w:eastAsia="zh-TW" w:bidi="ar-SA"/>
    </w:rPr>
  </w:style>
  <w:style w:type="paragraph" w:customStyle="1" w:styleId="22">
    <w:name w:val="本文 + 第一行:  2 字元"/>
    <w:aliases w:val="套用前:  0.5 列"/>
    <w:basedOn w:val="ab"/>
    <w:pPr>
      <w:spacing w:before="180"/>
      <w:ind w:firstLine="480"/>
    </w:pPr>
  </w:style>
  <w:style w:type="character" w:customStyle="1" w:styleId="text">
    <w:name w:val="text"/>
    <w:basedOn w:val="a1"/>
  </w:style>
  <w:style w:type="paragraph" w:styleId="10">
    <w:name w:val="toc 1"/>
    <w:basedOn w:val="a"/>
    <w:next w:val="a"/>
    <w:autoRedefine/>
    <w:semiHidden/>
  </w:style>
  <w:style w:type="paragraph" w:customStyle="1" w:styleId="af4">
    <w:name w:val="(一)中黑"/>
    <w:basedOn w:val="a"/>
    <w:autoRedefine/>
    <w:pPr>
      <w:snapToGrid w:val="0"/>
      <w:spacing w:line="300" w:lineRule="auto"/>
      <w:ind w:left="1800" w:hanging="1800"/>
      <w:jc w:val="both"/>
    </w:pPr>
    <w:rPr>
      <w:rFonts w:ascii="標楷體" w:eastAsia="標楷體" w:hAnsi="標楷體"/>
      <w:b/>
      <w:bCs/>
      <w:spacing w:val="4"/>
      <w:sz w:val="40"/>
      <w:szCs w:val="40"/>
    </w:rPr>
  </w:style>
  <w:style w:type="paragraph" w:customStyle="1" w:styleId="11">
    <w:name w:val="(1)"/>
    <w:basedOn w:val="a"/>
    <w:autoRedefine/>
    <w:pPr>
      <w:snapToGrid w:val="0"/>
      <w:spacing w:line="300" w:lineRule="auto"/>
      <w:ind w:left="2160" w:hanging="1194"/>
      <w:jc w:val="both"/>
    </w:pPr>
    <w:rPr>
      <w:rFonts w:ascii="標楷體" w:eastAsia="標楷體" w:hAnsi="標楷體"/>
      <w:bCs/>
      <w:sz w:val="40"/>
      <w:szCs w:val="40"/>
    </w:rPr>
  </w:style>
  <w:style w:type="paragraph" w:customStyle="1" w:styleId="12">
    <w:name w:val="1.(本文)"/>
    <w:basedOn w:val="a"/>
    <w:autoRedefine/>
    <w:pPr>
      <w:kinsoku w:val="0"/>
      <w:overflowPunct w:val="0"/>
      <w:autoSpaceDE w:val="0"/>
      <w:autoSpaceDN w:val="0"/>
      <w:adjustRightInd w:val="0"/>
      <w:snapToGrid w:val="0"/>
      <w:spacing w:line="300" w:lineRule="auto"/>
      <w:ind w:left="1680" w:hanging="1680"/>
      <w:jc w:val="both"/>
    </w:pPr>
    <w:rPr>
      <w:rFonts w:ascii="標楷體" w:eastAsia="標楷體" w:hAnsi="標楷體"/>
      <w:sz w:val="22"/>
      <w:szCs w:val="40"/>
    </w:rPr>
  </w:style>
  <w:style w:type="paragraph" w:styleId="af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3">
    <w:name w:val="toc 2"/>
    <w:basedOn w:val="a"/>
    <w:next w:val="a"/>
    <w:autoRedefine/>
    <w:semiHidden/>
    <w:pPr>
      <w:ind w:leftChars="200" w:left="480"/>
    </w:pPr>
  </w:style>
  <w:style w:type="paragraph" w:styleId="33">
    <w:name w:val="toc 3"/>
    <w:basedOn w:val="a"/>
    <w:next w:val="a"/>
    <w:autoRedefine/>
    <w:semiHidden/>
    <w:pPr>
      <w:ind w:leftChars="400" w:left="960"/>
    </w:pPr>
  </w:style>
  <w:style w:type="paragraph" w:styleId="40">
    <w:name w:val="toc 4"/>
    <w:basedOn w:val="a"/>
    <w:next w:val="a"/>
    <w:autoRedefine/>
    <w:semiHidden/>
    <w:pPr>
      <w:ind w:leftChars="600" w:left="1440"/>
    </w:pPr>
  </w:style>
  <w:style w:type="paragraph" w:styleId="50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paragraph" w:styleId="af6">
    <w:name w:val="table of figures"/>
    <w:basedOn w:val="a"/>
    <w:next w:val="a"/>
    <w:semiHidden/>
    <w:pPr>
      <w:ind w:leftChars="400" w:left="960" w:hangingChars="20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4553</Characters>
  <Application>Microsoft Office Word</Application>
  <DocSecurity>0</DocSecurity>
  <Lines>37</Lines>
  <Paragraphs>10</Paragraphs>
  <ScaleCrop>false</ScaleCrop>
  <Company>CCU</Company>
  <LinksUpToDate>false</LinksUpToDate>
  <CharactersWithSpaces>5341</CharactersWithSpaces>
  <SharedDoc>false</SharedDoc>
  <HLinks>
    <vt:vector size="342" baseType="variant">
      <vt:variant>
        <vt:i4>1900600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_Toc121212981</vt:lpwstr>
      </vt:variant>
      <vt:variant>
        <vt:i4>1900600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_Toc121212980</vt:lpwstr>
      </vt:variant>
      <vt:variant>
        <vt:i4>1179704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_Toc121212979</vt:lpwstr>
      </vt:variant>
      <vt:variant>
        <vt:i4>1179704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_Toc121212978</vt:lpwstr>
      </vt:variant>
      <vt:variant>
        <vt:i4>1179704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_Toc121212977</vt:lpwstr>
      </vt:variant>
      <vt:variant>
        <vt:i4>1179704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_Toc121212976</vt:lpwstr>
      </vt:variant>
      <vt:variant>
        <vt:i4>1179704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_Toc121212975</vt:lpwstr>
      </vt:variant>
      <vt:variant>
        <vt:i4>1179704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_Toc121212974</vt:lpwstr>
      </vt:variant>
      <vt:variant>
        <vt:i4>1179704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_Toc121212973</vt:lpwstr>
      </vt:variant>
      <vt:variant>
        <vt:i4>1179704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_Toc121212972</vt:lpwstr>
      </vt:variant>
      <vt:variant>
        <vt:i4>1179704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_Toc121212971</vt:lpwstr>
      </vt:variant>
      <vt:variant>
        <vt:i4>1179704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_Toc121212970</vt:lpwstr>
      </vt:variant>
      <vt:variant>
        <vt:i4>1245240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_Toc121212969</vt:lpwstr>
      </vt:variant>
      <vt:variant>
        <vt:i4>1245240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_Toc121212968</vt:lpwstr>
      </vt:variant>
      <vt:variant>
        <vt:i4>1245240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_Toc121212967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_Toc121212966</vt:lpwstr>
      </vt:variant>
      <vt:variant>
        <vt:i4>1245240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_Toc121212965</vt:lpwstr>
      </vt:variant>
      <vt:variant>
        <vt:i4>1245240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_Toc121212964</vt:lpwstr>
      </vt:variant>
      <vt:variant>
        <vt:i4>1245240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_Toc121212963</vt:lpwstr>
      </vt:variant>
      <vt:variant>
        <vt:i4>1245240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_Toc121212962</vt:lpwstr>
      </vt:variant>
      <vt:variant>
        <vt:i4>1245240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_Toc121212961</vt:lpwstr>
      </vt:variant>
      <vt:variant>
        <vt:i4>1245240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_Toc121212960</vt:lpwstr>
      </vt:variant>
      <vt:variant>
        <vt:i4>1048632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_Toc121212959</vt:lpwstr>
      </vt:variant>
      <vt:variant>
        <vt:i4>1048632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_Toc121212958</vt:lpwstr>
      </vt:variant>
      <vt:variant>
        <vt:i4>1048632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_Toc121212957</vt:lpwstr>
      </vt:variant>
      <vt:variant>
        <vt:i4>1048632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_Toc121212956</vt:lpwstr>
      </vt:variant>
      <vt:variant>
        <vt:i4>1048632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_Toc121212955</vt:lpwstr>
      </vt:variant>
      <vt:variant>
        <vt:i4>1048632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_Toc121212954</vt:lpwstr>
      </vt:variant>
      <vt:variant>
        <vt:i4>1048632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_Toc121212953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_Toc121212952</vt:lpwstr>
      </vt:variant>
      <vt:variant>
        <vt:i4>1048632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_Toc121212951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_Toc121212950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_Toc121212949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_Toc121212948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_Toc121212947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_Toc121212946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_Toc121212945</vt:lpwstr>
      </vt:variant>
      <vt:variant>
        <vt:i4>1114168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_Toc121212944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_Toc121212943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_Toc121212942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_Toc121212941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_Toc121212940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_Toc121212939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_Toc121212938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_Toc121212937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_Toc121212936</vt:lpwstr>
      </vt:variant>
      <vt:variant>
        <vt:i4>1441848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_Toc121212935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_Toc121212934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_Toc121212933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_Toc121212932</vt:lpwstr>
      </vt:variant>
      <vt:variant>
        <vt:i4>1441848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_Toc121212931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_Toc121212930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_Toc121212929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_Toc121212928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_Toc121212927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_Toc121212926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_Toc121212925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一、研究人員經費</dc:title>
  <dc:subject/>
  <dc:creator>CCU</dc:creator>
  <cp:keywords/>
  <dc:description/>
  <cp:lastModifiedBy>卓卿雲</cp:lastModifiedBy>
  <cp:revision>2</cp:revision>
  <cp:lastPrinted>2004-04-08T14:27:00Z</cp:lastPrinted>
  <dcterms:created xsi:type="dcterms:W3CDTF">2021-09-22T10:42:00Z</dcterms:created>
  <dcterms:modified xsi:type="dcterms:W3CDTF">2021-09-22T10:42:00Z</dcterms:modified>
</cp:coreProperties>
</file>