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42BB">
      <w:pPr>
        <w:pStyle w:val="1"/>
        <w:rPr>
          <w:rFonts w:hint="eastAsia"/>
        </w:rPr>
      </w:pPr>
      <w:bookmarkStart w:id="0" w:name="_Toc61809181"/>
      <w:bookmarkStart w:id="1" w:name="_GoBack"/>
      <w:bookmarkEnd w:id="1"/>
      <w:r>
        <w:rPr>
          <w:rFonts w:hint="eastAsia"/>
        </w:rPr>
        <w:t>參考文獻：</w:t>
      </w:r>
      <w:bookmarkEnd w:id="0"/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王廷懋，</w:t>
      </w:r>
      <w:r>
        <w:rPr>
          <w:rFonts w:ascii="細明體" w:hAnsi="細明體"/>
          <w:sz w:val="28"/>
        </w:rPr>
        <w:t>《</w:t>
      </w:r>
      <w:r>
        <w:rPr>
          <w:rFonts w:hint="eastAsia"/>
          <w:sz w:val="28"/>
        </w:rPr>
        <w:t>我國公務員懲戒問題之研究》，司法研究年報第十八輯，</w:t>
      </w:r>
      <w:r>
        <w:rPr>
          <w:rFonts w:hint="eastAsia"/>
          <w:sz w:val="28"/>
        </w:rPr>
        <w:t>1998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庚，〈行政訴訟中各類訴訟之關係〉，《法令月刊》，第</w:t>
      </w:r>
      <w:r>
        <w:rPr>
          <w:rFonts w:hint="eastAsia"/>
          <w:sz w:val="28"/>
        </w:rPr>
        <w:t>49</w:t>
      </w:r>
      <w:r>
        <w:rPr>
          <w:rFonts w:hint="eastAsia"/>
          <w:sz w:val="28"/>
        </w:rPr>
        <w:t>卷，第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期，</w:t>
      </w:r>
      <w:r>
        <w:rPr>
          <w:rFonts w:hint="eastAsia"/>
          <w:sz w:val="28"/>
        </w:rPr>
        <w:t>1998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月，頁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李建良，〈公務人員保障法復審及申訴標的之探討〉，《月旦法學》，第</w:t>
      </w:r>
      <w:r>
        <w:rPr>
          <w:rFonts w:hint="eastAsia"/>
          <w:sz w:val="28"/>
        </w:rPr>
        <w:t xml:space="preserve">90 </w:t>
      </w:r>
      <w:r>
        <w:rPr>
          <w:rFonts w:hint="eastAsia"/>
          <w:sz w:val="28"/>
        </w:rPr>
        <w:t>期，</w:t>
      </w:r>
      <w:r>
        <w:rPr>
          <w:rFonts w:hint="eastAsia"/>
          <w:sz w:val="28"/>
        </w:rPr>
        <w:t>2002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月，頁</w:t>
      </w:r>
      <w:r>
        <w:rPr>
          <w:rFonts w:hint="eastAsia"/>
          <w:sz w:val="28"/>
        </w:rPr>
        <w:t>112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140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李建良，〈行政處分〉，蔡茂寅等，《行政程序法實用》，第</w:t>
      </w:r>
      <w:r>
        <w:rPr>
          <w:sz w:val="28"/>
        </w:rPr>
        <w:t>2</w:t>
      </w:r>
      <w:r>
        <w:rPr>
          <w:rFonts w:hint="eastAsia"/>
          <w:sz w:val="28"/>
        </w:rPr>
        <w:t>版，</w:t>
      </w:r>
      <w:r>
        <w:rPr>
          <w:sz w:val="28"/>
        </w:rPr>
        <w:t>2001</w:t>
      </w:r>
      <w:r>
        <w:rPr>
          <w:rFonts w:hint="eastAsia"/>
          <w:sz w:val="28"/>
        </w:rPr>
        <w:t>年，頁</w:t>
      </w:r>
      <w:r>
        <w:rPr>
          <w:rFonts w:hint="eastAsia"/>
          <w:sz w:val="28"/>
        </w:rPr>
        <w:t>171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242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李建良，〈行政處分的「解決」與行政救濟途徑的擇定〉，《台灣本土法學雜誌》，第</w:t>
      </w:r>
      <w:r>
        <w:rPr>
          <w:rFonts w:hint="eastAsia"/>
          <w:sz w:val="28"/>
        </w:rPr>
        <w:t>41</w:t>
      </w:r>
      <w:r>
        <w:rPr>
          <w:rFonts w:hint="eastAsia"/>
          <w:sz w:val="28"/>
        </w:rPr>
        <w:t>期，</w:t>
      </w:r>
      <w:r>
        <w:rPr>
          <w:rFonts w:hint="eastAsia"/>
          <w:sz w:val="28"/>
        </w:rPr>
        <w:t>2002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月，頁</w:t>
      </w:r>
      <w:r>
        <w:rPr>
          <w:rFonts w:hint="eastAsia"/>
          <w:sz w:val="28"/>
        </w:rPr>
        <w:t>105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15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李建良，</w:t>
      </w:r>
      <w:r>
        <w:rPr>
          <w:sz w:val="28"/>
        </w:rPr>
        <w:t>〈</w:t>
      </w:r>
      <w:r>
        <w:rPr>
          <w:rFonts w:hint="eastAsia"/>
          <w:sz w:val="28"/>
        </w:rPr>
        <w:t>法官人事行政、法律保留與司法救濟</w:t>
      </w:r>
      <w:r>
        <w:rPr>
          <w:sz w:val="28"/>
        </w:rPr>
        <w:t>—</w:t>
      </w:r>
      <w:r>
        <w:rPr>
          <w:rFonts w:hint="eastAsia"/>
          <w:sz w:val="28"/>
        </w:rPr>
        <w:t>以司法院大</w:t>
      </w:r>
      <w:r>
        <w:rPr>
          <w:sz w:val="28"/>
        </w:rPr>
        <w:t>法官釋字第五三九號解釋為中心〉，《行政訴訟論文彙編》，</w:t>
      </w:r>
      <w:r>
        <w:rPr>
          <w:rFonts w:hint="eastAsia"/>
          <w:sz w:val="28"/>
        </w:rPr>
        <w:t>第三輯，</w:t>
      </w:r>
      <w:r>
        <w:rPr>
          <w:sz w:val="28"/>
        </w:rPr>
        <w:t>司法院印行，</w:t>
      </w:r>
      <w:r>
        <w:rPr>
          <w:sz w:val="28"/>
        </w:rPr>
        <w:t>2002</w:t>
      </w:r>
      <w:r>
        <w:rPr>
          <w:sz w:val="28"/>
        </w:rPr>
        <w:t>年</w:t>
      </w:r>
      <w:r>
        <w:rPr>
          <w:sz w:val="28"/>
        </w:rPr>
        <w:t>11</w:t>
      </w:r>
      <w:r>
        <w:rPr>
          <w:sz w:val="28"/>
        </w:rPr>
        <w:t>月，頁</w:t>
      </w:r>
      <w:r>
        <w:rPr>
          <w:sz w:val="28"/>
        </w:rPr>
        <w:t>41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68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李建良，〈政府機關臨時人員法制重建的基本課題〉，《公務人員月刊》，第</w:t>
      </w:r>
      <w:r>
        <w:rPr>
          <w:sz w:val="28"/>
        </w:rPr>
        <w:t>36</w:t>
      </w:r>
      <w:r>
        <w:rPr>
          <w:rFonts w:hint="eastAsia"/>
          <w:sz w:val="28"/>
        </w:rPr>
        <w:t>期，</w:t>
      </w:r>
      <w:r>
        <w:rPr>
          <w:sz w:val="28"/>
        </w:rPr>
        <w:t>1999</w:t>
      </w:r>
      <w:r>
        <w:rPr>
          <w:rFonts w:hint="eastAsia"/>
          <w:sz w:val="28"/>
        </w:rPr>
        <w:t>年</w:t>
      </w:r>
      <w:r>
        <w:rPr>
          <w:sz w:val="28"/>
        </w:rPr>
        <w:t>5</w:t>
      </w:r>
      <w:r>
        <w:rPr>
          <w:rFonts w:hint="eastAsia"/>
          <w:sz w:val="28"/>
        </w:rPr>
        <w:t>月，頁</w:t>
      </w:r>
      <w:r>
        <w:rPr>
          <w:sz w:val="28"/>
        </w:rPr>
        <w:t>5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14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李建良，〈特別權力關係與行政爭訟〉，《月旦法學教室》，（三）公法學篇，頁</w:t>
      </w:r>
      <w:r>
        <w:rPr>
          <w:sz w:val="28"/>
        </w:rPr>
        <w:t>138</w:t>
      </w:r>
      <w:r>
        <w:rPr>
          <w:rFonts w:hint="eastAsia"/>
          <w:sz w:val="28"/>
        </w:rPr>
        <w:t>～</w:t>
      </w:r>
      <w:r>
        <w:rPr>
          <w:sz w:val="28"/>
        </w:rPr>
        <w:t>139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李建良，〈論行政法上之意思表示〉，《台北大學法學論叢》，第</w:t>
      </w:r>
      <w:r>
        <w:rPr>
          <w:sz w:val="28"/>
        </w:rPr>
        <w:t>50</w:t>
      </w:r>
      <w:r>
        <w:rPr>
          <w:rFonts w:hint="eastAsia"/>
          <w:sz w:val="28"/>
        </w:rPr>
        <w:t>期，</w:t>
      </w:r>
      <w:r>
        <w:rPr>
          <w:sz w:val="28"/>
        </w:rPr>
        <w:t>2002</w:t>
      </w:r>
      <w:r>
        <w:rPr>
          <w:rFonts w:hint="eastAsia"/>
          <w:sz w:val="28"/>
        </w:rPr>
        <w:t>年</w:t>
      </w:r>
      <w:r>
        <w:rPr>
          <w:sz w:val="28"/>
        </w:rPr>
        <w:t>6</w:t>
      </w:r>
      <w:r>
        <w:rPr>
          <w:rFonts w:hint="eastAsia"/>
          <w:sz w:val="28"/>
        </w:rPr>
        <w:t>月，頁</w:t>
      </w:r>
      <w:r>
        <w:rPr>
          <w:sz w:val="28"/>
        </w:rPr>
        <w:t>25</w:t>
      </w:r>
      <w:r>
        <w:rPr>
          <w:rFonts w:hint="eastAsia"/>
          <w:sz w:val="28"/>
        </w:rPr>
        <w:t>～</w:t>
      </w:r>
      <w:r>
        <w:rPr>
          <w:sz w:val="28"/>
        </w:rPr>
        <w:t>66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李建良，</w:t>
      </w:r>
      <w:r>
        <w:rPr>
          <w:sz w:val="28"/>
        </w:rPr>
        <w:t>〈</w:t>
      </w:r>
      <w:r>
        <w:rPr>
          <w:rFonts w:hint="eastAsia"/>
          <w:sz w:val="28"/>
        </w:rPr>
        <w:t>論政務官的責任規範與</w:t>
      </w:r>
      <w:r>
        <w:rPr>
          <w:sz w:val="28"/>
        </w:rPr>
        <w:t>法制建構</w:t>
      </w:r>
      <w:r>
        <w:rPr>
          <w:sz w:val="28"/>
        </w:rPr>
        <w:t>—</w:t>
      </w:r>
      <w:r>
        <w:rPr>
          <w:sz w:val="28"/>
        </w:rPr>
        <w:t>淺析「政</w:t>
      </w:r>
      <w:r>
        <w:rPr>
          <w:sz w:val="28"/>
        </w:rPr>
        <w:t>務人員法草案」〉，《公務人員月刊》，第</w:t>
      </w:r>
      <w:r>
        <w:rPr>
          <w:sz w:val="28"/>
        </w:rPr>
        <w:t>14</w:t>
      </w:r>
      <w:r>
        <w:rPr>
          <w:sz w:val="28"/>
        </w:rPr>
        <w:t>期，</w:t>
      </w:r>
      <w:r>
        <w:rPr>
          <w:sz w:val="28"/>
        </w:rPr>
        <w:t>1997</w:t>
      </w:r>
      <w:r>
        <w:rPr>
          <w:sz w:val="28"/>
        </w:rPr>
        <w:t>年</w:t>
      </w:r>
      <w:r>
        <w:rPr>
          <w:rFonts w:hint="eastAsia"/>
          <w:sz w:val="28"/>
        </w:rPr>
        <w:t>8</w:t>
      </w:r>
      <w:r>
        <w:rPr>
          <w:sz w:val="28"/>
        </w:rPr>
        <w:t>月，頁</w:t>
      </w:r>
      <w:r>
        <w:rPr>
          <w:sz w:val="28"/>
        </w:rPr>
        <w:t>21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sz w:val="28"/>
        </w:rPr>
        <w:t>李建良，〈論德國法官及檢察官之調職制度〉，《全國律師》，</w:t>
      </w:r>
      <w:r>
        <w:rPr>
          <w:rFonts w:hint="eastAsia"/>
          <w:sz w:val="28"/>
        </w:rPr>
        <w:t>1997</w:t>
      </w:r>
      <w:r>
        <w:rPr>
          <w:rFonts w:hint="eastAsia"/>
          <w:sz w:val="28"/>
        </w:rPr>
        <w:t>年</w:t>
      </w:r>
      <w:r>
        <w:rPr>
          <w:sz w:val="28"/>
        </w:rPr>
        <w:t>3</w:t>
      </w:r>
      <w:r>
        <w:rPr>
          <w:sz w:val="28"/>
        </w:rPr>
        <w:t>月，頁</w:t>
      </w:r>
      <w:r>
        <w:rPr>
          <w:sz w:val="28"/>
        </w:rPr>
        <w:t>27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38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李建良，〈論課予義務訴願—以新訴願法為中心〉，《月旦法學雜誌》，第</w:t>
      </w:r>
      <w:r>
        <w:rPr>
          <w:rFonts w:hint="eastAsia"/>
          <w:sz w:val="28"/>
        </w:rPr>
        <w:t>47</w:t>
      </w:r>
      <w:r>
        <w:rPr>
          <w:rFonts w:hint="eastAsia"/>
          <w:sz w:val="28"/>
        </w:rPr>
        <w:t>期，</w:t>
      </w:r>
      <w:r>
        <w:rPr>
          <w:rFonts w:hint="eastAsia"/>
          <w:sz w:val="28"/>
        </w:rPr>
        <w:t>1999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月，頁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32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林明鏘，〈公務人員因公涉訟輔助制度基本問題之研究〉，《月旦法學》，第</w:t>
      </w:r>
      <w:r>
        <w:rPr>
          <w:rFonts w:hint="eastAsia"/>
          <w:sz w:val="28"/>
        </w:rPr>
        <w:t xml:space="preserve">90 </w:t>
      </w:r>
      <w:r>
        <w:rPr>
          <w:rFonts w:hint="eastAsia"/>
          <w:sz w:val="28"/>
        </w:rPr>
        <w:t>期，</w:t>
      </w:r>
      <w:r>
        <w:rPr>
          <w:rFonts w:hint="eastAsia"/>
          <w:sz w:val="28"/>
        </w:rPr>
        <w:t>2002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月，頁</w:t>
      </w:r>
      <w:r>
        <w:rPr>
          <w:rFonts w:hint="eastAsia"/>
          <w:sz w:val="28"/>
        </w:rPr>
        <w:t>99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111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林明鏘，〈公務人員復審與訴願程序之比較研究〉，《公務員法研究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》，</w:t>
      </w:r>
      <w:r>
        <w:rPr>
          <w:rFonts w:hint="eastAsia"/>
          <w:sz w:val="28"/>
        </w:rPr>
        <w:t>2000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月，頁</w:t>
      </w:r>
      <w:r>
        <w:rPr>
          <w:sz w:val="28"/>
        </w:rPr>
        <w:t>215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243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林明鏘，〈公務員之權</w:t>
      </w:r>
      <w:r>
        <w:rPr>
          <w:rFonts w:hint="eastAsia"/>
          <w:sz w:val="28"/>
        </w:rPr>
        <w:t>利與保障：以法官免兼庭長之職務調整談起〉，《公務員法與地方制度法》，台灣行政法學會學術研討會論文集</w:t>
      </w:r>
      <w:r>
        <w:rPr>
          <w:sz w:val="28"/>
        </w:rPr>
        <w:t>(2002)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2003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月，頁</w:t>
      </w:r>
      <w:r>
        <w:rPr>
          <w:sz w:val="28"/>
        </w:rPr>
        <w:t>43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69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林明鏘，〈我國公務人員保障法之研究〉，《公務員法研究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》，</w:t>
      </w:r>
      <w:r>
        <w:rPr>
          <w:rFonts w:hint="eastAsia"/>
          <w:sz w:val="28"/>
        </w:rPr>
        <w:t>2000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月，頁</w:t>
      </w:r>
      <w:r>
        <w:rPr>
          <w:sz w:val="28"/>
        </w:rPr>
        <w:t>131</w:t>
      </w:r>
      <w:r>
        <w:rPr>
          <w:rFonts w:hint="eastAsia"/>
          <w:sz w:val="28"/>
        </w:rPr>
        <w:t>～</w:t>
      </w:r>
      <w:r>
        <w:rPr>
          <w:sz w:val="28"/>
        </w:rPr>
        <w:t>177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林紀東，《行政法》，</w:t>
      </w:r>
      <w:r>
        <w:rPr>
          <w:rFonts w:hint="eastAsia"/>
          <w:sz w:val="28"/>
        </w:rPr>
        <w:t>1982</w:t>
      </w:r>
      <w:r>
        <w:rPr>
          <w:rFonts w:hint="eastAsia"/>
          <w:sz w:val="28"/>
        </w:rPr>
        <w:t>年修訂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版。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翁岳生，〈行政法與國家賠償法〉，《法治國家之行政法與司法》，</w:t>
      </w:r>
      <w:r>
        <w:rPr>
          <w:rFonts w:hint="eastAsia"/>
          <w:sz w:val="28"/>
        </w:rPr>
        <w:t>1994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月，頁</w:t>
      </w:r>
      <w:r>
        <w:rPr>
          <w:sz w:val="28"/>
        </w:rPr>
        <w:t>157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215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許宗力，〈行政處分〉，翁岳生編，《行政法》，上冊，</w:t>
      </w:r>
      <w:r>
        <w:rPr>
          <w:sz w:val="28"/>
        </w:rPr>
        <w:t>2000</w:t>
      </w:r>
      <w:r>
        <w:rPr>
          <w:rFonts w:hint="eastAsia"/>
          <w:sz w:val="28"/>
        </w:rPr>
        <w:t>年，頁</w:t>
      </w:r>
      <w:r>
        <w:rPr>
          <w:sz w:val="28"/>
        </w:rPr>
        <w:t>539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629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陳敏，《行政法總論》，增訂</w:t>
      </w:r>
      <w:r>
        <w:rPr>
          <w:sz w:val="28"/>
        </w:rPr>
        <w:t>2</w:t>
      </w:r>
      <w:r>
        <w:rPr>
          <w:rFonts w:hint="eastAsia"/>
          <w:sz w:val="28"/>
        </w:rPr>
        <w:t>版，</w:t>
      </w:r>
      <w:r>
        <w:rPr>
          <w:sz w:val="28"/>
        </w:rPr>
        <w:t>1999</w:t>
      </w:r>
      <w:r>
        <w:rPr>
          <w:rFonts w:hint="eastAsia"/>
          <w:sz w:val="28"/>
        </w:rPr>
        <w:t>年</w:t>
      </w:r>
      <w:r>
        <w:rPr>
          <w:sz w:val="28"/>
        </w:rPr>
        <w:t>12</w:t>
      </w:r>
      <w:r>
        <w:rPr>
          <w:rFonts w:hint="eastAsia"/>
          <w:sz w:val="28"/>
        </w:rPr>
        <w:t>月。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陳愛娥，〈國小校長的「遴用」或「遴選」〉，《臺灣本土法學雜誌》，第</w:t>
      </w:r>
      <w:r>
        <w:rPr>
          <w:sz w:val="28"/>
        </w:rPr>
        <w:t>21</w:t>
      </w:r>
      <w:r>
        <w:rPr>
          <w:rFonts w:hint="eastAsia"/>
          <w:sz w:val="28"/>
        </w:rPr>
        <w:t>期，</w:t>
      </w:r>
      <w:r>
        <w:rPr>
          <w:sz w:val="28"/>
        </w:rPr>
        <w:t>2001</w:t>
      </w:r>
      <w:r>
        <w:rPr>
          <w:rFonts w:hint="eastAsia"/>
          <w:sz w:val="28"/>
        </w:rPr>
        <w:t>年</w:t>
      </w:r>
      <w:r>
        <w:rPr>
          <w:sz w:val="28"/>
        </w:rPr>
        <w:t>4</w:t>
      </w:r>
      <w:r>
        <w:rPr>
          <w:rFonts w:hint="eastAsia"/>
          <w:sz w:val="28"/>
        </w:rPr>
        <w:t>月，頁</w:t>
      </w:r>
      <w:r>
        <w:rPr>
          <w:sz w:val="28"/>
        </w:rPr>
        <w:t>140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144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程明修，〈對公務人員職務調動處分的行政訴訟〉，《法學講座》，第</w:t>
      </w:r>
      <w:r>
        <w:rPr>
          <w:sz w:val="28"/>
        </w:rPr>
        <w:t>16</w:t>
      </w:r>
      <w:r>
        <w:rPr>
          <w:rFonts w:hint="eastAsia"/>
          <w:sz w:val="28"/>
        </w:rPr>
        <w:t>期，</w:t>
      </w:r>
      <w:r>
        <w:rPr>
          <w:sz w:val="28"/>
        </w:rPr>
        <w:t>2003</w:t>
      </w:r>
      <w:r>
        <w:rPr>
          <w:rFonts w:hint="eastAsia"/>
          <w:sz w:val="28"/>
        </w:rPr>
        <w:t>年</w:t>
      </w:r>
      <w:r>
        <w:rPr>
          <w:sz w:val="28"/>
        </w:rPr>
        <w:t>4</w:t>
      </w:r>
      <w:r>
        <w:rPr>
          <w:rFonts w:hint="eastAsia"/>
          <w:sz w:val="28"/>
        </w:rPr>
        <w:t>月，頁</w:t>
      </w:r>
      <w:r>
        <w:rPr>
          <w:sz w:val="28"/>
        </w:rPr>
        <w:t>18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31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黃俊杰，〈特別權力關係與國家賠償〉，《月旦法學雜誌》，第</w:t>
      </w:r>
      <w:r>
        <w:rPr>
          <w:sz w:val="28"/>
        </w:rPr>
        <w:t>29</w:t>
      </w:r>
      <w:r>
        <w:rPr>
          <w:rFonts w:hint="eastAsia"/>
          <w:sz w:val="28"/>
        </w:rPr>
        <w:t>期，</w:t>
      </w:r>
      <w:r>
        <w:rPr>
          <w:rFonts w:hint="eastAsia"/>
          <w:sz w:val="28"/>
        </w:rPr>
        <w:t>1997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月，頁</w:t>
      </w:r>
      <w:r>
        <w:rPr>
          <w:rFonts w:hint="eastAsia"/>
          <w:sz w:val="28"/>
        </w:rPr>
        <w:t>118</w:t>
      </w:r>
      <w:r>
        <w:rPr>
          <w:rFonts w:hint="eastAsia"/>
          <w:sz w:val="28"/>
        </w:rPr>
        <w:t>～</w:t>
      </w:r>
      <w:r>
        <w:rPr>
          <w:sz w:val="28"/>
        </w:rPr>
        <w:t>125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葉百修，〈國家賠償法〉，翁岳生編，《行政法》，下冊，</w:t>
      </w:r>
      <w:r>
        <w:rPr>
          <w:sz w:val="28"/>
        </w:rPr>
        <w:t>2000</w:t>
      </w:r>
      <w:r>
        <w:rPr>
          <w:rFonts w:hint="eastAsia"/>
          <w:sz w:val="28"/>
        </w:rPr>
        <w:t>年，頁</w:t>
      </w:r>
      <w:r>
        <w:rPr>
          <w:sz w:val="28"/>
        </w:rPr>
        <w:t>1325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1425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劉淑範，〈論「續行確認訴訟」（「違法確認訴訟」）之適用範疇：以德國學說與實務為中心〉，《台北大學法學論叢》，第</w:t>
      </w:r>
      <w:r>
        <w:rPr>
          <w:sz w:val="28"/>
        </w:rPr>
        <w:t>46</w:t>
      </w:r>
      <w:r>
        <w:rPr>
          <w:rFonts w:hint="eastAsia"/>
          <w:sz w:val="28"/>
        </w:rPr>
        <w:t>期，</w:t>
      </w:r>
      <w:r>
        <w:rPr>
          <w:rFonts w:hint="eastAsia"/>
          <w:sz w:val="28"/>
        </w:rPr>
        <w:t>2000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月，頁</w:t>
      </w:r>
      <w:r>
        <w:rPr>
          <w:sz w:val="28"/>
        </w:rPr>
        <w:t>113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184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sz w:val="28"/>
        </w:rPr>
        <w:t>蔡志方，〈新訴願法之商榷〉，《台灣本土法學雜誌》，第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期，</w:t>
      </w:r>
      <w:r>
        <w:rPr>
          <w:rFonts w:hint="eastAsia"/>
          <w:sz w:val="28"/>
        </w:rPr>
        <w:t>1999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月，頁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～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。</w:t>
      </w:r>
    </w:p>
    <w:p w:rsidR="00000000" w:rsidRDefault="00C142BB">
      <w:pPr>
        <w:ind w:left="1077" w:firstLine="560"/>
        <w:rPr>
          <w:sz w:val="28"/>
        </w:rPr>
      </w:pPr>
      <w:r>
        <w:rPr>
          <w:rFonts w:hint="eastAsia"/>
          <w:i/>
          <w:sz w:val="28"/>
        </w:rPr>
        <w:t>Battis, Ulrich,</w:t>
      </w:r>
      <w:r>
        <w:rPr>
          <w:rFonts w:hint="eastAsia"/>
          <w:sz w:val="28"/>
        </w:rPr>
        <w:t xml:space="preserve"> Bundesbeamtengesetz, Kommentar, 2. Aufl., 1997, </w:t>
      </w:r>
      <w:r>
        <w:rPr>
          <w:sz w:val="28"/>
        </w:rPr>
        <w:t>§</w:t>
      </w:r>
      <w:r>
        <w:rPr>
          <w:rFonts w:hint="eastAsia"/>
          <w:sz w:val="28"/>
        </w:rPr>
        <w:t xml:space="preserve"> 6.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lastRenderedPageBreak/>
        <w:t>Battis</w:t>
      </w:r>
      <w:r>
        <w:rPr>
          <w:rFonts w:hint="eastAsia"/>
          <w:i/>
          <w:sz w:val="28"/>
        </w:rPr>
        <w:t>, Ulrich,</w:t>
      </w:r>
      <w:r>
        <w:rPr>
          <w:sz w:val="28"/>
        </w:rPr>
        <w:t xml:space="preserve"> </w:t>
      </w:r>
      <w:r>
        <w:rPr>
          <w:rFonts w:hint="eastAsia"/>
          <w:sz w:val="28"/>
        </w:rPr>
        <w:t>Bundesbeamtengesetz</w:t>
      </w:r>
      <w:r>
        <w:rPr>
          <w:sz w:val="28"/>
        </w:rPr>
        <w:t xml:space="preserve">, </w:t>
      </w:r>
      <w:r>
        <w:rPr>
          <w:rFonts w:hint="eastAsia"/>
          <w:sz w:val="28"/>
        </w:rPr>
        <w:t xml:space="preserve">Kommentar, 2. Aufl., 1997, </w:t>
      </w:r>
      <w:r>
        <w:rPr>
          <w:sz w:val="28"/>
        </w:rPr>
        <w:t>§ 172.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Battis</w:t>
      </w:r>
      <w:r>
        <w:rPr>
          <w:rFonts w:hint="eastAsia"/>
          <w:i/>
          <w:sz w:val="28"/>
        </w:rPr>
        <w:t xml:space="preserve">, </w:t>
      </w:r>
      <w:r>
        <w:rPr>
          <w:i/>
          <w:sz w:val="28"/>
        </w:rPr>
        <w:t>Ulruch</w:t>
      </w:r>
      <w:r>
        <w:rPr>
          <w:rFonts w:hint="eastAsia"/>
          <w:i/>
          <w:sz w:val="28"/>
        </w:rPr>
        <w:t>,</w:t>
      </w:r>
      <w:r>
        <w:rPr>
          <w:sz w:val="28"/>
        </w:rPr>
        <w:t xml:space="preserve"> Änderung des Aufgabenbereichs eine</w:t>
      </w:r>
      <w:r>
        <w:rPr>
          <w:sz w:val="28"/>
        </w:rPr>
        <w:t>s Beamten durch Organistionsverfügung kein Verwaltungsakt, NVwZ 1982, 87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Beus</w:t>
      </w:r>
      <w:r>
        <w:rPr>
          <w:rFonts w:hint="eastAsia"/>
          <w:i/>
          <w:sz w:val="28"/>
        </w:rPr>
        <w:t>, Hans-Bernd</w:t>
      </w:r>
      <w:r>
        <w:rPr>
          <w:i/>
          <w:sz w:val="28"/>
        </w:rPr>
        <w:t>/Bredendiek</w:t>
      </w:r>
      <w:r>
        <w:rPr>
          <w:rFonts w:hint="eastAsia"/>
          <w:i/>
          <w:sz w:val="28"/>
        </w:rPr>
        <w:t xml:space="preserve">, Knut, </w:t>
      </w:r>
      <w:r>
        <w:rPr>
          <w:rFonts w:hint="eastAsia"/>
          <w:sz w:val="28"/>
        </w:rPr>
        <w:t xml:space="preserve">Das Gesetz zur Reform des </w:t>
      </w:r>
      <w:r>
        <w:rPr>
          <w:sz w:val="28"/>
        </w:rPr>
        <w:t>ö</w:t>
      </w:r>
      <w:r>
        <w:rPr>
          <w:rFonts w:hint="eastAsia"/>
          <w:sz w:val="28"/>
        </w:rPr>
        <w:t>ffentlichen Dienstrechts,</w:t>
      </w:r>
      <w:r>
        <w:rPr>
          <w:sz w:val="28"/>
        </w:rPr>
        <w:t xml:space="preserve"> ZBR 1997, 201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Fürst/Bauschke/Mühl/Strötz/Summer/Wilhelm/Zängl</w:t>
      </w:r>
      <w:r>
        <w:rPr>
          <w:sz w:val="28"/>
        </w:rPr>
        <w:t xml:space="preserve">, Beamtenrecht des Bundes </w:t>
      </w:r>
      <w:r>
        <w:rPr>
          <w:sz w:val="28"/>
        </w:rPr>
        <w:t xml:space="preserve">und der Länder, Bd. I des Gesamtkommentars Öffentliches Dienstrecht, Stand: 2001, § 6 </w:t>
      </w:r>
      <w:r>
        <w:rPr>
          <w:rFonts w:hint="eastAsia"/>
          <w:sz w:val="28"/>
        </w:rPr>
        <w:t>Bundesbeamtengesetz</w:t>
      </w:r>
      <w:r>
        <w:rPr>
          <w:sz w:val="28"/>
        </w:rPr>
        <w:t>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Günther</w:t>
      </w:r>
      <w:r>
        <w:rPr>
          <w:rFonts w:hint="eastAsia"/>
          <w:i/>
          <w:sz w:val="28"/>
        </w:rPr>
        <w:t xml:space="preserve">, </w:t>
      </w:r>
      <w:r>
        <w:rPr>
          <w:i/>
          <w:sz w:val="28"/>
        </w:rPr>
        <w:t>Hellmuth</w:t>
      </w:r>
      <w:r>
        <w:rPr>
          <w:rFonts w:hint="eastAsia"/>
          <w:i/>
          <w:sz w:val="28"/>
        </w:rPr>
        <w:t>,</w:t>
      </w:r>
      <w:r>
        <w:rPr>
          <w:rFonts w:hint="eastAsia"/>
          <w:sz w:val="28"/>
        </w:rPr>
        <w:t xml:space="preserve"> Nochmals: Zum Schadensersatzanspruch des Beamten wegen unterbliebener oder versp</w:t>
      </w:r>
      <w:r>
        <w:rPr>
          <w:sz w:val="28"/>
        </w:rPr>
        <w:t>ä</w:t>
      </w:r>
      <w:r>
        <w:rPr>
          <w:rFonts w:hint="eastAsia"/>
          <w:sz w:val="28"/>
        </w:rPr>
        <w:t>teter Bef</w:t>
      </w:r>
      <w:r>
        <w:rPr>
          <w:sz w:val="28"/>
        </w:rPr>
        <w:t>ö</w:t>
      </w:r>
      <w:r>
        <w:rPr>
          <w:rFonts w:hint="eastAsia"/>
          <w:sz w:val="28"/>
        </w:rPr>
        <w:t>rderung</w:t>
      </w:r>
      <w:r>
        <w:rPr>
          <w:sz w:val="28"/>
        </w:rPr>
        <w:t>, NVwZ 1989, 837</w:t>
      </w:r>
      <w:r>
        <w:rPr>
          <w:rFonts w:hint="eastAsia"/>
          <w:sz w:val="28"/>
        </w:rPr>
        <w:t xml:space="preserve"> ff</w:t>
      </w:r>
      <w:r>
        <w:rPr>
          <w:sz w:val="28"/>
        </w:rPr>
        <w:t>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Günther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He</w:t>
      </w:r>
      <w:r>
        <w:rPr>
          <w:i/>
          <w:sz w:val="28"/>
        </w:rPr>
        <w:t>llmuth</w:t>
      </w:r>
      <w:r>
        <w:rPr>
          <w:rFonts w:hint="eastAsia"/>
          <w:i/>
          <w:sz w:val="28"/>
        </w:rPr>
        <w:t>,</w:t>
      </w:r>
      <w:r>
        <w:rPr>
          <w:sz w:val="28"/>
        </w:rPr>
        <w:t xml:space="preserve"> ZBR 1979, 93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Günther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Hellmuth</w:t>
      </w:r>
      <w:r>
        <w:rPr>
          <w:rFonts w:hint="eastAsia"/>
          <w:i/>
          <w:sz w:val="28"/>
        </w:rPr>
        <w:t>,</w:t>
      </w:r>
      <w:r>
        <w:rPr>
          <w:sz w:val="28"/>
        </w:rPr>
        <w:t xml:space="preserve"> ZBR 1978, 73 ff</w:t>
      </w:r>
      <w:r>
        <w:rPr>
          <w:rFonts w:hint="eastAsia"/>
          <w:sz w:val="28"/>
        </w:rPr>
        <w:t>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Günther</w:t>
      </w:r>
      <w:r>
        <w:rPr>
          <w:rFonts w:hint="eastAsia"/>
          <w:i/>
          <w:sz w:val="28"/>
        </w:rPr>
        <w:t xml:space="preserve">, </w:t>
      </w:r>
      <w:r>
        <w:rPr>
          <w:i/>
          <w:sz w:val="28"/>
        </w:rPr>
        <w:t>Hellmuth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</w:t>
      </w:r>
      <w:r>
        <w:rPr>
          <w:sz w:val="28"/>
        </w:rPr>
        <w:t>Einstweiliger Rechtsschutz im Vorfeld der Beförderung, NVwZ 1986, 697 ff.</w:t>
      </w:r>
    </w:p>
    <w:p w:rsidR="00000000" w:rsidRDefault="00C142BB">
      <w:pPr>
        <w:ind w:left="1077" w:firstLine="560"/>
        <w:rPr>
          <w:rFonts w:hint="eastAsia"/>
          <w:i/>
          <w:sz w:val="28"/>
        </w:rPr>
      </w:pPr>
      <w:r>
        <w:rPr>
          <w:i/>
          <w:sz w:val="28"/>
        </w:rPr>
        <w:t>Kutscha,</w:t>
      </w:r>
      <w:r>
        <w:rPr>
          <w:rFonts w:hint="eastAsia"/>
          <w:i/>
          <w:sz w:val="28"/>
        </w:rPr>
        <w:t xml:space="preserve"> </w:t>
      </w:r>
      <w:r>
        <w:rPr>
          <w:i/>
          <w:sz w:val="28"/>
        </w:rPr>
        <w:t>Martin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</w:t>
      </w:r>
      <w:r>
        <w:rPr>
          <w:sz w:val="28"/>
        </w:rPr>
        <w:t>Die Flexibilisierung des Beamtens, NVwZ 2002, 942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Lecheler</w:t>
      </w:r>
      <w:r>
        <w:rPr>
          <w:rFonts w:hint="eastAsia"/>
          <w:i/>
          <w:sz w:val="28"/>
        </w:rPr>
        <w:t xml:space="preserve">, Helmut, </w:t>
      </w:r>
      <w:r>
        <w:rPr>
          <w:rFonts w:hint="eastAsia"/>
          <w:sz w:val="28"/>
        </w:rPr>
        <w:t>Reform oder D</w:t>
      </w:r>
      <w:r>
        <w:rPr>
          <w:rFonts w:hint="eastAsia"/>
          <w:sz w:val="28"/>
        </w:rPr>
        <w:t xml:space="preserve">eformation? Zu den </w:t>
      </w:r>
      <w:r>
        <w:rPr>
          <w:sz w:val="28"/>
        </w:rPr>
        <w:t>“</w:t>
      </w:r>
      <w:r>
        <w:rPr>
          <w:rFonts w:hint="eastAsia"/>
          <w:sz w:val="28"/>
        </w:rPr>
        <w:t>Februar-Reformen</w:t>
      </w:r>
      <w:r>
        <w:rPr>
          <w:sz w:val="28"/>
        </w:rPr>
        <w:t>”</w:t>
      </w:r>
      <w:r>
        <w:rPr>
          <w:rFonts w:hint="eastAsia"/>
          <w:sz w:val="28"/>
        </w:rPr>
        <w:t xml:space="preserve"> des </w:t>
      </w:r>
      <w:r>
        <w:rPr>
          <w:sz w:val="28"/>
        </w:rPr>
        <w:t>ö</w:t>
      </w:r>
      <w:r>
        <w:rPr>
          <w:rFonts w:hint="eastAsia"/>
          <w:sz w:val="28"/>
        </w:rPr>
        <w:t>ffentlichen Dienstrechts</w:t>
      </w:r>
      <w:r>
        <w:rPr>
          <w:sz w:val="28"/>
        </w:rPr>
        <w:t>, ZBR 1997, 206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Schmidt-Aßmann</w:t>
      </w:r>
      <w:r>
        <w:rPr>
          <w:rFonts w:hint="eastAsia"/>
          <w:i/>
          <w:sz w:val="28"/>
        </w:rPr>
        <w:t>, E</w:t>
      </w:r>
      <w:r>
        <w:rPr>
          <w:i/>
          <w:sz w:val="28"/>
        </w:rPr>
        <w:t>rberhard</w:t>
      </w:r>
      <w:r>
        <w:rPr>
          <w:rFonts w:hint="eastAsia"/>
          <w:i/>
          <w:sz w:val="28"/>
        </w:rPr>
        <w:t>,</w:t>
      </w:r>
      <w:r>
        <w:rPr>
          <w:sz w:val="28"/>
        </w:rPr>
        <w:t xml:space="preserve"> Die Lehre von den Rechtsformen des Verwaltungshandelns, DVBl. 1989, 533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Schnellenbach</w:t>
      </w:r>
      <w:r>
        <w:rPr>
          <w:rFonts w:hint="eastAsia"/>
          <w:i/>
          <w:sz w:val="28"/>
        </w:rPr>
        <w:t>, H</w:t>
      </w:r>
      <w:r>
        <w:rPr>
          <w:i/>
          <w:sz w:val="28"/>
        </w:rPr>
        <w:t>elmut</w:t>
      </w:r>
      <w:r>
        <w:rPr>
          <w:rFonts w:hint="eastAsia"/>
          <w:i/>
          <w:sz w:val="28"/>
        </w:rPr>
        <w:t>,</w:t>
      </w:r>
      <w:r>
        <w:rPr>
          <w:sz w:val="28"/>
        </w:rPr>
        <w:t xml:space="preserve"> Beamtenrecht in der Praxis, 5. </w:t>
      </w:r>
      <w:r>
        <w:rPr>
          <w:sz w:val="28"/>
        </w:rPr>
        <w:lastRenderedPageBreak/>
        <w:t>Aufl., 2001.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Schnellenbach</w:t>
      </w:r>
      <w:r>
        <w:rPr>
          <w:rFonts w:hint="eastAsia"/>
          <w:i/>
          <w:sz w:val="28"/>
        </w:rPr>
        <w:t>, H</w:t>
      </w:r>
      <w:r>
        <w:rPr>
          <w:i/>
          <w:sz w:val="28"/>
        </w:rPr>
        <w:t>elmut</w:t>
      </w:r>
      <w:r>
        <w:rPr>
          <w:rFonts w:hint="eastAsia"/>
          <w:i/>
          <w:sz w:val="28"/>
        </w:rPr>
        <w:t>,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Das Feststellungsinteresse bei der Fortsetzungsfeststellungsklage eines Beamten, </w:t>
      </w:r>
      <w:r>
        <w:rPr>
          <w:rFonts w:hint="eastAsia"/>
          <w:sz w:val="28"/>
        </w:rPr>
        <w:t>DVB</w:t>
      </w:r>
      <w:r>
        <w:rPr>
          <w:sz w:val="28"/>
        </w:rPr>
        <w:t>l. 1990, 140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Schnellenbach</w:t>
      </w:r>
      <w:r>
        <w:rPr>
          <w:rFonts w:hint="eastAsia"/>
          <w:i/>
          <w:sz w:val="28"/>
        </w:rPr>
        <w:t>, H</w:t>
      </w:r>
      <w:r>
        <w:rPr>
          <w:i/>
          <w:sz w:val="28"/>
        </w:rPr>
        <w:t>elmut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</w:t>
      </w:r>
      <w:r>
        <w:rPr>
          <w:sz w:val="28"/>
        </w:rPr>
        <w:t>Zum vorläufigen Rechtsschutz bei der Einstellungs- und Beförderungsamts-Konkurrenz, NVwZ 1990, 637 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Schnel</w:t>
      </w:r>
      <w:r>
        <w:rPr>
          <w:i/>
          <w:sz w:val="28"/>
        </w:rPr>
        <w:t>lenbach</w:t>
      </w:r>
      <w:r>
        <w:rPr>
          <w:rFonts w:hint="eastAsia"/>
          <w:i/>
          <w:sz w:val="28"/>
        </w:rPr>
        <w:t>, H</w:t>
      </w:r>
      <w:r>
        <w:rPr>
          <w:i/>
          <w:sz w:val="28"/>
        </w:rPr>
        <w:t>elmut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</w:t>
      </w:r>
      <w:r>
        <w:rPr>
          <w:rFonts w:hint="eastAsia"/>
          <w:sz w:val="28"/>
        </w:rPr>
        <w:t>Zum Schadensersatzanspruch des Beamten wegen unterbliebener oder versp</w:t>
      </w:r>
      <w:r>
        <w:rPr>
          <w:sz w:val="28"/>
        </w:rPr>
        <w:t>ä</w:t>
      </w:r>
      <w:r>
        <w:rPr>
          <w:rFonts w:hint="eastAsia"/>
          <w:sz w:val="28"/>
        </w:rPr>
        <w:t>teter Bef</w:t>
      </w:r>
      <w:r>
        <w:rPr>
          <w:sz w:val="28"/>
        </w:rPr>
        <w:t>ö</w:t>
      </w:r>
      <w:r>
        <w:rPr>
          <w:rFonts w:hint="eastAsia"/>
          <w:sz w:val="28"/>
        </w:rPr>
        <w:t>rderung</w:t>
      </w:r>
      <w:r>
        <w:rPr>
          <w:sz w:val="28"/>
        </w:rPr>
        <w:t>, NVwZ 1989, 435</w:t>
      </w:r>
      <w:r>
        <w:rPr>
          <w:rFonts w:hint="eastAsia"/>
          <w:sz w:val="28"/>
        </w:rPr>
        <w:t xml:space="preserve"> f</w:t>
      </w:r>
      <w:r>
        <w:rPr>
          <w:sz w:val="28"/>
        </w:rPr>
        <w:t>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Schwerdtner</w:t>
      </w:r>
      <w:r>
        <w:rPr>
          <w:rFonts w:hint="eastAsia"/>
          <w:i/>
          <w:sz w:val="28"/>
        </w:rPr>
        <w:t xml:space="preserve">, </w:t>
      </w:r>
      <w:r>
        <w:rPr>
          <w:i/>
          <w:sz w:val="28"/>
        </w:rPr>
        <w:t>Eberhard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</w:t>
      </w:r>
      <w:r>
        <w:rPr>
          <w:sz w:val="28"/>
        </w:rPr>
        <w:t>Die Weisung – innerdienstlicher Rechtsakt oder anfechtbarer Verwaltungsakt?, VBlBW 1996, 209.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rFonts w:hint="eastAsia"/>
          <w:i/>
          <w:sz w:val="28"/>
        </w:rPr>
        <w:t>S</w:t>
      </w:r>
      <w:r>
        <w:rPr>
          <w:i/>
          <w:sz w:val="28"/>
        </w:rPr>
        <w:t>iegmund-Schul</w:t>
      </w:r>
      <w:r>
        <w:rPr>
          <w:i/>
          <w:sz w:val="28"/>
        </w:rPr>
        <w:t>tze</w:t>
      </w:r>
      <w:r>
        <w:rPr>
          <w:rFonts w:hint="eastAsia"/>
          <w:i/>
          <w:sz w:val="28"/>
        </w:rPr>
        <w:t xml:space="preserve">, Gerhard, </w:t>
      </w:r>
      <w:r>
        <w:rPr>
          <w:rFonts w:hint="eastAsia"/>
          <w:sz w:val="28"/>
        </w:rPr>
        <w:t>Zur Konkurrentenklage im Beamtenrecht aus der Sicht der Verwaltungspraxis</w:t>
      </w:r>
      <w:r>
        <w:rPr>
          <w:sz w:val="28"/>
        </w:rPr>
        <w:t>, VerwArch 73 (1982), 137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Weiß,</w:t>
      </w:r>
      <w:r>
        <w:rPr>
          <w:sz w:val="28"/>
        </w:rPr>
        <w:t xml:space="preserve"> ZBR 1989, 273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Wilke</w:t>
      </w:r>
      <w:r>
        <w:rPr>
          <w:rFonts w:hint="eastAsia"/>
          <w:i/>
          <w:sz w:val="28"/>
        </w:rPr>
        <w:t>, Martin</w:t>
      </w:r>
      <w:r>
        <w:rPr>
          <w:i/>
          <w:sz w:val="28"/>
        </w:rPr>
        <w:t>,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Effektiver Rechtsschutz beim Zugang zu </w:t>
      </w:r>
      <w:r>
        <w:rPr>
          <w:sz w:val="28"/>
        </w:rPr>
        <w:t>ö</w:t>
      </w:r>
      <w:r>
        <w:rPr>
          <w:rFonts w:hint="eastAsia"/>
          <w:sz w:val="28"/>
        </w:rPr>
        <w:t xml:space="preserve">ffentlichen </w:t>
      </w:r>
      <w:r>
        <w:rPr>
          <w:sz w:val="28"/>
        </w:rPr>
        <w:t>Ä</w:t>
      </w:r>
      <w:r>
        <w:rPr>
          <w:rFonts w:hint="eastAsia"/>
          <w:sz w:val="28"/>
        </w:rPr>
        <w:t>mtern,</w:t>
      </w:r>
      <w:r>
        <w:rPr>
          <w:sz w:val="28"/>
        </w:rPr>
        <w:t xml:space="preserve"> JZ 1980, 440 f</w:t>
      </w:r>
      <w:r>
        <w:rPr>
          <w:rFonts w:hint="eastAsia"/>
          <w:sz w:val="28"/>
        </w:rPr>
        <w:t>f</w:t>
      </w:r>
      <w:r>
        <w:rPr>
          <w:sz w:val="28"/>
        </w:rPr>
        <w:t>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Wittkowski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Bernd</w:t>
      </w:r>
      <w:r>
        <w:rPr>
          <w:rFonts w:hint="eastAsia"/>
          <w:i/>
          <w:sz w:val="28"/>
        </w:rPr>
        <w:t>,</w:t>
      </w:r>
      <w:r>
        <w:rPr>
          <w:sz w:val="28"/>
        </w:rPr>
        <w:t xml:space="preserve"> Die </w:t>
      </w:r>
      <w:r>
        <w:rPr>
          <w:sz w:val="28"/>
        </w:rPr>
        <w:t>Konkurrentenklage im Beamtenrecht (unter besonderer Berücksichtigung des vorläufigen Rechtsschutzes), NJW 1993, 817 ff.</w:t>
      </w:r>
    </w:p>
    <w:p w:rsidR="00000000" w:rsidRDefault="00C142BB">
      <w:pPr>
        <w:ind w:left="1077" w:firstLine="560"/>
        <w:rPr>
          <w:rFonts w:hint="eastAsia"/>
          <w:sz w:val="28"/>
        </w:rPr>
      </w:pPr>
      <w:r>
        <w:rPr>
          <w:i/>
          <w:sz w:val="28"/>
        </w:rPr>
        <w:t>Wolff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Hans J./Bachof</w:t>
      </w:r>
      <w:r>
        <w:rPr>
          <w:rFonts w:hint="eastAsia"/>
          <w:i/>
          <w:sz w:val="28"/>
        </w:rPr>
        <w:t>,</w:t>
      </w:r>
      <w:r>
        <w:rPr>
          <w:i/>
          <w:sz w:val="28"/>
        </w:rPr>
        <w:t xml:space="preserve"> Otto/Stober</w:t>
      </w:r>
      <w:r>
        <w:rPr>
          <w:rFonts w:hint="eastAsia"/>
          <w:i/>
          <w:sz w:val="28"/>
        </w:rPr>
        <w:t>,</w:t>
      </w:r>
      <w:r>
        <w:rPr>
          <w:i/>
        </w:rPr>
        <w:t xml:space="preserve"> </w:t>
      </w:r>
      <w:r>
        <w:rPr>
          <w:i/>
          <w:sz w:val="28"/>
        </w:rPr>
        <w:t>Rolf</w:t>
      </w:r>
      <w:r>
        <w:rPr>
          <w:rFonts w:hint="eastAsia"/>
          <w:i/>
          <w:sz w:val="28"/>
        </w:rPr>
        <w:t>,</w:t>
      </w:r>
      <w:r>
        <w:rPr>
          <w:sz w:val="28"/>
        </w:rPr>
        <w:t xml:space="preserve"> Verwaltungsrecht II, 6. Aufl., 2000</w:t>
      </w:r>
      <w:r>
        <w:rPr>
          <w:rFonts w:hint="eastAsia"/>
          <w:sz w:val="28"/>
        </w:rPr>
        <w:t xml:space="preserve">, </w:t>
      </w:r>
      <w:r>
        <w:rPr>
          <w:sz w:val="28"/>
        </w:rPr>
        <w:t>§ 109.</w:t>
      </w:r>
    </w:p>
    <w:p w:rsidR="00C142BB" w:rsidRDefault="00C142BB">
      <w:pPr>
        <w:ind w:left="1077" w:firstLineChars="0" w:firstLine="0"/>
        <w:rPr>
          <w:rFonts w:hint="eastAsia"/>
        </w:rPr>
      </w:pPr>
      <w:r>
        <w:rPr>
          <w:i/>
        </w:rPr>
        <w:t>Wolff</w:t>
      </w:r>
      <w:r>
        <w:rPr>
          <w:rFonts w:hint="eastAsia"/>
          <w:i/>
        </w:rPr>
        <w:t>,</w:t>
      </w:r>
      <w:r>
        <w:rPr>
          <w:i/>
        </w:rPr>
        <w:t xml:space="preserve"> Hans J./Bachof</w:t>
      </w:r>
      <w:r>
        <w:rPr>
          <w:rFonts w:hint="eastAsia"/>
          <w:i/>
        </w:rPr>
        <w:t>,</w:t>
      </w:r>
      <w:r>
        <w:rPr>
          <w:i/>
        </w:rPr>
        <w:t xml:space="preserve"> Otto/Stober</w:t>
      </w:r>
      <w:r>
        <w:rPr>
          <w:rFonts w:hint="eastAsia"/>
          <w:i/>
        </w:rPr>
        <w:t>,</w:t>
      </w:r>
      <w:r>
        <w:rPr>
          <w:i/>
        </w:rPr>
        <w:t xml:space="preserve"> Rolf</w:t>
      </w:r>
      <w:r>
        <w:rPr>
          <w:rFonts w:hint="eastAsia"/>
          <w:i/>
        </w:rPr>
        <w:t>,</w:t>
      </w:r>
      <w:r>
        <w:t xml:space="preserve"> Verwaltu</w:t>
      </w:r>
      <w:r>
        <w:t>ngsrecht I, 11. Aufl.,</w:t>
      </w:r>
      <w:r>
        <w:rPr>
          <w:rFonts w:hint="eastAsia"/>
        </w:rPr>
        <w:t xml:space="preserve"> </w:t>
      </w:r>
      <w:r>
        <w:t>1999</w:t>
      </w:r>
      <w:r>
        <w:rPr>
          <w:rFonts w:hint="eastAsia"/>
        </w:rPr>
        <w:t xml:space="preserve">, </w:t>
      </w:r>
      <w:r>
        <w:t>§</w:t>
      </w:r>
      <w:r>
        <w:rPr>
          <w:rFonts w:ascii="細明體"/>
        </w:rPr>
        <w:t xml:space="preserve"> </w:t>
      </w:r>
      <w:r>
        <w:t>43.</w:t>
      </w:r>
    </w:p>
    <w:sectPr w:rsidR="00C1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BB" w:rsidRDefault="00C142BB">
      <w:pPr>
        <w:spacing w:line="240" w:lineRule="auto"/>
        <w:ind w:firstLine="480"/>
      </w:pPr>
      <w:r>
        <w:separator/>
      </w:r>
    </w:p>
  </w:endnote>
  <w:endnote w:type="continuationSeparator" w:id="0">
    <w:p w:rsidR="00C142BB" w:rsidRDefault="00C142B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42BB">
    <w:pPr>
      <w:pStyle w:val="a8"/>
      <w:framePr w:wrap="around" w:vAnchor="text" w:hAnchor="margin" w:xAlign="center" w:y="1"/>
      <w:ind w:firstLine="4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C142BB">
    <w:pPr>
      <w:pStyle w:val="a8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42BB">
    <w:pPr>
      <w:pStyle w:val="a8"/>
      <w:framePr w:wrap="around" w:vAnchor="text" w:hAnchor="margin" w:xAlign="center" w:y="1"/>
      <w:ind w:firstLine="4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0FDC"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C142BB">
    <w:pPr>
      <w:pStyle w:val="a8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42BB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BB" w:rsidRDefault="00C142BB">
      <w:pPr>
        <w:spacing w:line="240" w:lineRule="auto"/>
        <w:ind w:firstLine="480"/>
      </w:pPr>
      <w:r>
        <w:separator/>
      </w:r>
    </w:p>
  </w:footnote>
  <w:footnote w:type="continuationSeparator" w:id="0">
    <w:p w:rsidR="00C142BB" w:rsidRDefault="00C142B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42BB">
    <w:pPr>
      <w:pStyle w:val="af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42BB">
    <w:pPr>
      <w:pStyle w:val="af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42BB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758"/>
    <w:multiLevelType w:val="hybridMultilevel"/>
    <w:tmpl w:val="0156BE90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BC0C2E"/>
    <w:multiLevelType w:val="hybridMultilevel"/>
    <w:tmpl w:val="17A69748"/>
    <w:lvl w:ilvl="0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BBB4183"/>
    <w:multiLevelType w:val="hybridMultilevel"/>
    <w:tmpl w:val="283CFC2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CBD683E"/>
    <w:multiLevelType w:val="hybridMultilevel"/>
    <w:tmpl w:val="D1482D9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FC659AD"/>
    <w:multiLevelType w:val="hybridMultilevel"/>
    <w:tmpl w:val="D974EF28"/>
    <w:lvl w:ilvl="0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2C23FF6"/>
    <w:multiLevelType w:val="hybridMultilevel"/>
    <w:tmpl w:val="1584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46AE8"/>
    <w:multiLevelType w:val="hybridMultilevel"/>
    <w:tmpl w:val="0B54F83E"/>
    <w:lvl w:ilvl="0">
      <w:start w:val="2"/>
      <w:numFmt w:val="taiwaneseCountingThousand"/>
      <w:lvlText w:val="第%1項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55653C"/>
    <w:multiLevelType w:val="hybridMultilevel"/>
    <w:tmpl w:val="663C851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9E158B"/>
    <w:multiLevelType w:val="hybridMultilevel"/>
    <w:tmpl w:val="4768BB6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613FA6"/>
    <w:multiLevelType w:val="hybridMultilevel"/>
    <w:tmpl w:val="A0A6A284"/>
    <w:lvl w:ilvl="0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F606DC4"/>
    <w:multiLevelType w:val="singleLevel"/>
    <w:tmpl w:val="91281C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27F64AF4"/>
    <w:multiLevelType w:val="hybridMultilevel"/>
    <w:tmpl w:val="3C4A767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9664A4"/>
    <w:multiLevelType w:val="hybridMultilevel"/>
    <w:tmpl w:val="5E7662C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B977AC4"/>
    <w:multiLevelType w:val="hybridMultilevel"/>
    <w:tmpl w:val="DB7E0284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EDB3283"/>
    <w:multiLevelType w:val="hybridMultilevel"/>
    <w:tmpl w:val="ED987A96"/>
    <w:lvl w:ilvl="0">
      <w:start w:val="2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F3713EF"/>
    <w:multiLevelType w:val="hybridMultilevel"/>
    <w:tmpl w:val="534E3A1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710BA8"/>
    <w:multiLevelType w:val="hybridMultilevel"/>
    <w:tmpl w:val="687E420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1802FC7"/>
    <w:multiLevelType w:val="hybridMultilevel"/>
    <w:tmpl w:val="7F344D4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9523250"/>
    <w:multiLevelType w:val="hybridMultilevel"/>
    <w:tmpl w:val="43545364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AC67EDA"/>
    <w:multiLevelType w:val="hybridMultilevel"/>
    <w:tmpl w:val="65027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BD17ADC"/>
    <w:multiLevelType w:val="hybridMultilevel"/>
    <w:tmpl w:val="6B3A16E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2C40DA3"/>
    <w:multiLevelType w:val="hybridMultilevel"/>
    <w:tmpl w:val="FE98A040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A14C13"/>
    <w:multiLevelType w:val="hybridMultilevel"/>
    <w:tmpl w:val="54D8597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5242DDB"/>
    <w:multiLevelType w:val="hybridMultilevel"/>
    <w:tmpl w:val="D0861C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60446A2"/>
    <w:multiLevelType w:val="hybridMultilevel"/>
    <w:tmpl w:val="D6D0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00B22"/>
    <w:multiLevelType w:val="singleLevel"/>
    <w:tmpl w:val="8028EFD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00"/>
      </w:pPr>
      <w:rPr>
        <w:rFonts w:hint="eastAsia"/>
      </w:rPr>
    </w:lvl>
  </w:abstractNum>
  <w:abstractNum w:abstractNumId="26" w15:restartNumberingAfterBreak="0">
    <w:nsid w:val="4BC17B7D"/>
    <w:multiLevelType w:val="hybridMultilevel"/>
    <w:tmpl w:val="B7CCC15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29B490F"/>
    <w:multiLevelType w:val="hybridMultilevel"/>
    <w:tmpl w:val="14DEF16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D6D5D64"/>
    <w:multiLevelType w:val="hybridMultilevel"/>
    <w:tmpl w:val="7A08ED4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54A1067"/>
    <w:multiLevelType w:val="hybridMultilevel"/>
    <w:tmpl w:val="261EDB2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8694BFD"/>
    <w:multiLevelType w:val="hybridMultilevel"/>
    <w:tmpl w:val="084C8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2CD7DFC"/>
    <w:multiLevelType w:val="hybridMultilevel"/>
    <w:tmpl w:val="B1F2265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312589C"/>
    <w:multiLevelType w:val="hybridMultilevel"/>
    <w:tmpl w:val="C0F2967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064226"/>
    <w:multiLevelType w:val="hybridMultilevel"/>
    <w:tmpl w:val="57F269FE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5819DD"/>
    <w:multiLevelType w:val="hybridMultilevel"/>
    <w:tmpl w:val="B78C0FD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1"/>
  </w:num>
  <w:num w:numId="3">
    <w:abstractNumId w:val="31"/>
  </w:num>
  <w:num w:numId="4">
    <w:abstractNumId w:val="7"/>
  </w:num>
  <w:num w:numId="5">
    <w:abstractNumId w:val="13"/>
  </w:num>
  <w:num w:numId="6">
    <w:abstractNumId w:val="30"/>
  </w:num>
  <w:num w:numId="7">
    <w:abstractNumId w:val="18"/>
  </w:num>
  <w:num w:numId="8">
    <w:abstractNumId w:val="15"/>
  </w:num>
  <w:num w:numId="9">
    <w:abstractNumId w:val="34"/>
  </w:num>
  <w:num w:numId="10">
    <w:abstractNumId w:val="20"/>
  </w:num>
  <w:num w:numId="11">
    <w:abstractNumId w:val="19"/>
  </w:num>
  <w:num w:numId="12">
    <w:abstractNumId w:val="23"/>
  </w:num>
  <w:num w:numId="13">
    <w:abstractNumId w:val="33"/>
  </w:num>
  <w:num w:numId="14">
    <w:abstractNumId w:val="29"/>
  </w:num>
  <w:num w:numId="15">
    <w:abstractNumId w:val="12"/>
  </w:num>
  <w:num w:numId="16">
    <w:abstractNumId w:val="0"/>
  </w:num>
  <w:num w:numId="17">
    <w:abstractNumId w:val="28"/>
  </w:num>
  <w:num w:numId="18">
    <w:abstractNumId w:val="27"/>
  </w:num>
  <w:num w:numId="19">
    <w:abstractNumId w:val="5"/>
  </w:num>
  <w:num w:numId="20">
    <w:abstractNumId w:val="26"/>
  </w:num>
  <w:num w:numId="21">
    <w:abstractNumId w:val="2"/>
  </w:num>
  <w:num w:numId="22">
    <w:abstractNumId w:val="17"/>
  </w:num>
  <w:num w:numId="23">
    <w:abstractNumId w:val="24"/>
  </w:num>
  <w:num w:numId="24">
    <w:abstractNumId w:val="3"/>
  </w:num>
  <w:num w:numId="25">
    <w:abstractNumId w:val="21"/>
  </w:num>
  <w:num w:numId="26">
    <w:abstractNumId w:val="14"/>
  </w:num>
  <w:num w:numId="27">
    <w:abstractNumId w:val="9"/>
  </w:num>
  <w:num w:numId="28">
    <w:abstractNumId w:val="1"/>
  </w:num>
  <w:num w:numId="29">
    <w:abstractNumId w:val="4"/>
  </w:num>
  <w:num w:numId="30">
    <w:abstractNumId w:val="16"/>
  </w:num>
  <w:num w:numId="31">
    <w:abstractNumId w:val="10"/>
  </w:num>
  <w:num w:numId="32">
    <w:abstractNumId w:val="25"/>
  </w:num>
  <w:num w:numId="33">
    <w:abstractNumId w:val="6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C"/>
    <w:rsid w:val="00C142BB"/>
    <w:rsid w:val="00E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AE353-A7F7-423D-9B33-247122A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20" w:after="120" w:line="360" w:lineRule="atLeast"/>
      <w:ind w:firstLineChars="0" w:firstLine="0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styleId="2">
    <w:name w:val="heading 2"/>
    <w:basedOn w:val="a"/>
    <w:next w:val="a0"/>
    <w:qFormat/>
    <w:pPr>
      <w:autoSpaceDE w:val="0"/>
      <w:autoSpaceDN w:val="0"/>
      <w:adjustRightInd w:val="0"/>
      <w:spacing w:before="120" w:after="120" w:line="360" w:lineRule="atLeast"/>
      <w:ind w:firstLineChars="0" w:firstLine="0"/>
      <w:textAlignment w:val="baseline"/>
      <w:outlineLvl w:val="1"/>
    </w:pPr>
    <w:rPr>
      <w:rFonts w:eastAsia="標楷體"/>
      <w:b/>
      <w:kern w:val="0"/>
      <w:sz w:val="32"/>
    </w:rPr>
  </w:style>
  <w:style w:type="paragraph" w:styleId="3">
    <w:name w:val="heading 3"/>
    <w:basedOn w:val="a"/>
    <w:next w:val="a0"/>
    <w:qFormat/>
    <w:pPr>
      <w:widowControl/>
      <w:autoSpaceDE w:val="0"/>
      <w:autoSpaceDN w:val="0"/>
      <w:adjustRightInd w:val="0"/>
      <w:spacing w:before="120" w:after="120" w:line="360" w:lineRule="atLeast"/>
      <w:ind w:firstLineChars="0" w:firstLine="0"/>
      <w:textAlignment w:val="baseline"/>
      <w:outlineLvl w:val="2"/>
    </w:pPr>
    <w:rPr>
      <w:rFonts w:eastAsia="標楷體"/>
      <w:b/>
      <w:kern w:val="0"/>
      <w:sz w:val="28"/>
      <w:szCs w:val="28"/>
    </w:rPr>
  </w:style>
  <w:style w:type="paragraph" w:styleId="4">
    <w:name w:val="heading 4"/>
    <w:basedOn w:val="a"/>
    <w:next w:val="a0"/>
    <w:qFormat/>
    <w:pPr>
      <w:autoSpaceDE w:val="0"/>
      <w:autoSpaceDN w:val="0"/>
      <w:adjustRightInd w:val="0"/>
      <w:spacing w:before="240" w:after="240" w:line="360" w:lineRule="atLeast"/>
      <w:ind w:firstLineChars="0" w:firstLine="0"/>
      <w:textAlignment w:val="baseline"/>
      <w:outlineLvl w:val="3"/>
    </w:pPr>
    <w:rPr>
      <w:rFonts w:eastAsia="細明體"/>
      <w:b/>
      <w:kern w:val="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目"/>
    <w:basedOn w:val="a"/>
    <w:pPr>
      <w:autoSpaceDE w:val="0"/>
      <w:autoSpaceDN w:val="0"/>
      <w:adjustRightInd w:val="0"/>
      <w:spacing w:before="60" w:after="60" w:line="360" w:lineRule="atLeast"/>
      <w:ind w:firstLineChars="0" w:firstLine="0"/>
      <w:jc w:val="center"/>
      <w:textAlignment w:val="baseline"/>
    </w:pPr>
    <w:rPr>
      <w:rFonts w:ascii="細明體" w:eastAsia="細明體"/>
      <w:b/>
      <w:kern w:val="0"/>
      <w:sz w:val="40"/>
    </w:rPr>
  </w:style>
  <w:style w:type="character" w:styleId="a5">
    <w:name w:val="footnote reference"/>
    <w:basedOn w:val="a1"/>
    <w:semiHidden/>
    <w:rPr>
      <w:position w:val="6"/>
      <w:sz w:val="18"/>
    </w:rPr>
  </w:style>
  <w:style w:type="paragraph" w:styleId="a6">
    <w:name w:val="footnote text"/>
    <w:basedOn w:val="a"/>
    <w:semiHidden/>
    <w:pPr>
      <w:adjustRightInd w:val="0"/>
      <w:spacing w:before="60" w:after="60" w:line="360" w:lineRule="atLeast"/>
      <w:ind w:firstLine="482"/>
      <w:textAlignment w:val="baseline"/>
    </w:pPr>
    <w:rPr>
      <w:rFonts w:eastAsia="細明體"/>
      <w:kern w:val="0"/>
      <w:sz w:val="20"/>
    </w:rPr>
  </w:style>
  <w:style w:type="paragraph" w:customStyle="1" w:styleId="a7">
    <w:name w:val="作者"/>
    <w:basedOn w:val="a"/>
    <w:pPr>
      <w:adjustRightInd w:val="0"/>
      <w:spacing w:before="60" w:after="60" w:line="360" w:lineRule="atLeast"/>
      <w:jc w:val="center"/>
      <w:textAlignment w:val="baseline"/>
    </w:pPr>
    <w:rPr>
      <w:rFonts w:eastAsia="細明體"/>
      <w:b/>
      <w:kern w:val="0"/>
    </w:rPr>
  </w:style>
  <w:style w:type="paragraph" w:styleId="a0">
    <w:name w:val="Normal Indent"/>
    <w:basedOn w:val="a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細明體" w:eastAsia="細明體" w:hAnsi="Courier New" w:cs="華康楷書體W5"/>
      <w:kern w:val="0"/>
      <w:sz w:val="20"/>
    </w:rPr>
  </w:style>
  <w:style w:type="character" w:styleId="aa">
    <w:name w:val="Hyperlink"/>
    <w:basedOn w:val="a1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ind w:firstLineChars="0" w:firstLine="0"/>
      <w:jc w:val="left"/>
    </w:pPr>
    <w:rPr>
      <w:rFonts w:ascii="Arial Unicode MS" w:eastAsia="Arial Unicode MS" w:hAnsi="Arial Unicode MS" w:cs="Courier New"/>
      <w:kern w:val="0"/>
      <w:szCs w:val="24"/>
    </w:rPr>
  </w:style>
  <w:style w:type="character" w:styleId="ab">
    <w:name w:val="FollowedHyperlink"/>
    <w:basedOn w:val="a1"/>
    <w:semiHidden/>
    <w:rPr>
      <w:color w:val="800080"/>
      <w:u w:val="single"/>
    </w:rPr>
  </w:style>
  <w:style w:type="paragraph" w:styleId="ac">
    <w:name w:val="Body Text Indent"/>
    <w:basedOn w:val="a"/>
    <w:semiHidden/>
    <w:pPr>
      <w:ind w:firstLine="480"/>
    </w:p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200" w:left="480"/>
    </w:pPr>
  </w:style>
  <w:style w:type="paragraph" w:styleId="30">
    <w:name w:val="toc 3"/>
    <w:basedOn w:val="a"/>
    <w:next w:val="a"/>
    <w:autoRedefine/>
    <w:semiHidden/>
    <w:pPr>
      <w:tabs>
        <w:tab w:val="right" w:leader="dot" w:pos="8296"/>
      </w:tabs>
      <w:ind w:left="2291" w:hanging="851"/>
    </w:pPr>
    <w:rPr>
      <w:noProof/>
    </w:r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paragraph" w:styleId="ad">
    <w:name w:val="Salutation"/>
    <w:basedOn w:val="a"/>
    <w:next w:val="a"/>
    <w:semiHidden/>
  </w:style>
  <w:style w:type="paragraph" w:styleId="ae">
    <w:name w:val="Closing"/>
    <w:basedOn w:val="a"/>
    <w:semiHidden/>
    <w:pPr>
      <w:ind w:leftChars="1800" w:left="100"/>
    </w:pPr>
  </w:style>
  <w:style w:type="paragraph" w:styleId="af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Body Text"/>
    <w:basedOn w:val="a"/>
    <w:semiHidden/>
    <w:pPr>
      <w:spacing w:after="120"/>
    </w:pPr>
  </w:style>
  <w:style w:type="paragraph" w:styleId="31">
    <w:name w:val="Body Text Indent 3"/>
    <w:basedOn w:val="a"/>
    <w:semiHidden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Chars="200" w:left="480"/>
    </w:pPr>
  </w:style>
  <w:style w:type="paragraph" w:customStyle="1" w:styleId="22">
    <w:name w:val="樣式 第一行:  2 字元"/>
    <w:basedOn w:val="a"/>
    <w:pPr>
      <w:ind w:firstLine="480"/>
    </w:pPr>
    <w:rPr>
      <w:rFonts w:cs="細明體"/>
      <w:sz w:val="28"/>
      <w:szCs w:val="28"/>
    </w:rPr>
  </w:style>
  <w:style w:type="paragraph" w:customStyle="1" w:styleId="23">
    <w:name w:val="樣式 內文縮排 + 第一行:  2 字元"/>
    <w:basedOn w:val="a0"/>
    <w:pPr>
      <w:ind w:firstLine="480"/>
    </w:pPr>
    <w:rPr>
      <w:rFonts w:cs="細明體"/>
      <w:sz w:val="28"/>
      <w:szCs w:val="28"/>
    </w:rPr>
  </w:style>
  <w:style w:type="paragraph" w:customStyle="1" w:styleId="0">
    <w:name w:val="樣式 本文縮排 + 第一行:  0 字元"/>
    <w:basedOn w:val="ac"/>
    <w:pPr>
      <w:ind w:firstLineChars="0"/>
    </w:pPr>
    <w:rPr>
      <w:rFonts w:cs="細明體"/>
      <w:sz w:val="28"/>
      <w:szCs w:val="28"/>
    </w:rPr>
  </w:style>
  <w:style w:type="paragraph" w:customStyle="1" w:styleId="af1">
    <w:name w:val="樣式 本文縮排 + 新細明體"/>
    <w:basedOn w:val="ac"/>
    <w:rPr>
      <w:rFonts w:ascii="新細明體" w:hAnsi="新細明體"/>
      <w:sz w:val="28"/>
      <w:szCs w:val="28"/>
    </w:rPr>
  </w:style>
  <w:style w:type="character" w:customStyle="1" w:styleId="af2">
    <w:name w:val="本文縮排 字元"/>
    <w:basedOn w:val="a1"/>
    <w:rPr>
      <w:rFonts w:eastAsia="新細明體"/>
      <w:noProof w:val="0"/>
      <w:kern w:val="2"/>
      <w:sz w:val="24"/>
      <w:lang w:val="en-US" w:eastAsia="zh-TW" w:bidi="ar-SA"/>
    </w:rPr>
  </w:style>
  <w:style w:type="character" w:customStyle="1" w:styleId="af3">
    <w:name w:val="樣式 本文縮排 + 新細明體 字元"/>
    <w:basedOn w:val="af2"/>
    <w:rPr>
      <w:rFonts w:ascii="新細明體" w:eastAsia="新細明體" w:hAnsi="新細明體"/>
      <w:noProof w:val="0"/>
      <w:kern w:val="2"/>
      <w:sz w:val="28"/>
      <w:szCs w:val="2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3079</Characters>
  <Application>Microsoft Office Word</Application>
  <DocSecurity>0</DocSecurity>
  <Lines>25</Lines>
  <Paragraphs>7</Paragraphs>
  <ScaleCrop>false</ScaleCrop>
  <Company>sinica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復審標的</dc:title>
  <dc:subject/>
  <dc:creator>Cheny Li</dc:creator>
  <cp:keywords/>
  <dc:description/>
  <cp:lastModifiedBy>卓卿雲</cp:lastModifiedBy>
  <cp:revision>2</cp:revision>
  <cp:lastPrinted>2004-01-13T20:33:00Z</cp:lastPrinted>
  <dcterms:created xsi:type="dcterms:W3CDTF">2021-09-22T10:52:00Z</dcterms:created>
  <dcterms:modified xsi:type="dcterms:W3CDTF">2021-09-22T10:52:00Z</dcterms:modified>
</cp:coreProperties>
</file>