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2FA8">
      <w:pPr>
        <w:pStyle w:val="1"/>
        <w:ind w:left="1261" w:hanging="1261"/>
        <w:rPr>
          <w:rFonts w:hint="eastAsia"/>
        </w:rPr>
      </w:pPr>
      <w:bookmarkStart w:id="0" w:name="_Toc12653495"/>
      <w:bookmarkStart w:id="1" w:name="_Toc61809162"/>
      <w:bookmarkStart w:id="2" w:name="_GoBack"/>
      <w:bookmarkEnd w:id="2"/>
      <w:r>
        <w:rPr>
          <w:rFonts w:hint="eastAsia"/>
        </w:rPr>
        <w:t>第六章</w:t>
      </w:r>
      <w:r>
        <w:rPr>
          <w:rFonts w:hint="eastAsia"/>
        </w:rPr>
        <w:t xml:space="preserve"> </w:t>
      </w:r>
      <w:r>
        <w:rPr>
          <w:rFonts w:hint="eastAsia"/>
        </w:rPr>
        <w:t>我國保障制度之申訴標的與復審範圍之關係</w:t>
      </w:r>
      <w:bookmarkEnd w:id="1"/>
    </w:p>
    <w:bookmarkEnd w:id="0"/>
    <w:p w:rsidR="00000000" w:rsidRDefault="00EA2FA8">
      <w:pPr>
        <w:pStyle w:val="23"/>
        <w:ind w:firstLine="560"/>
        <w:rPr>
          <w:rFonts w:ascii="新細明體" w:hAnsi="Verdana" w:hint="eastAsia"/>
        </w:rPr>
      </w:pPr>
      <w:r>
        <w:rPr>
          <w:rFonts w:hint="eastAsia"/>
          <w:color w:val="000000"/>
        </w:rPr>
        <w:t>按公務人員保障法第七十七條第一項規定：「公務人員對於服務機關所為之管理措施或有關工作條件之處置認為不當，致影響其權益者，得依本法提起申訴、再申訴。」此項規定所建構之「公務人員申訴制度」，堪為復審制度之外，公務人員權益保障之「第二支柱」，在特別權力關係理論餘緒尚存之我國，著實為公務員之權益救濟，打開另一管道。</w:t>
      </w:r>
    </w:p>
    <w:p w:rsidR="00000000" w:rsidRDefault="00EA2FA8">
      <w:pPr>
        <w:pStyle w:val="23"/>
        <w:ind w:firstLine="560"/>
        <w:rPr>
          <w:rFonts w:ascii="新細明體" w:hAnsi="Verdana" w:hint="eastAsia"/>
        </w:rPr>
      </w:pPr>
      <w:r>
        <w:rPr>
          <w:rFonts w:hint="eastAsia"/>
          <w:color w:val="000000"/>
        </w:rPr>
        <w:t>就規範文義以觀，申訴的標的為「工作條件」與「管理措施」事項，而公務人員所得主張者，為上開條件或管理有所「不當」。是以，關於申訴標的，可資探討者，至少有三個</w:t>
      </w:r>
      <w:r>
        <w:rPr>
          <w:rFonts w:hint="eastAsia"/>
          <w:color w:val="000000"/>
        </w:rPr>
        <w:t>面向，一、申訴標的是否僅限於具體行為，抑或包括抽象規範？二、申訴標的之內涵，所謂「工作條件」或「管理措施」之意涵為何？如何與復審標的相界分？三、對於申訴標的之主張，除「不當」外，是否包括違法？其中是否存有公務員之「權益」事項？</w:t>
      </w:r>
    </w:p>
    <w:p w:rsidR="00000000" w:rsidRDefault="00EA2FA8">
      <w:pPr>
        <w:pStyle w:val="2"/>
        <w:rPr>
          <w:rFonts w:hint="eastAsia"/>
        </w:rPr>
      </w:pPr>
      <w:bookmarkStart w:id="3" w:name="_Toc12653496"/>
      <w:bookmarkStart w:id="4" w:name="_Toc61809163"/>
      <w:r>
        <w:rPr>
          <w:rFonts w:hint="eastAsia"/>
        </w:rPr>
        <w:t>第一節</w:t>
      </w:r>
      <w:r>
        <w:rPr>
          <w:rFonts w:hint="eastAsia"/>
        </w:rPr>
        <w:t xml:space="preserve"> </w:t>
      </w:r>
      <w:r>
        <w:rPr>
          <w:rFonts w:hint="eastAsia"/>
        </w:rPr>
        <w:t>申訴標的是否僅限於「具體個案」？</w:t>
      </w:r>
      <w:bookmarkEnd w:id="3"/>
      <w:bookmarkEnd w:id="4"/>
    </w:p>
    <w:p w:rsidR="00000000" w:rsidRDefault="00EA2FA8">
      <w:pPr>
        <w:pStyle w:val="22"/>
        <w:ind w:firstLine="560"/>
        <w:rPr>
          <w:rFonts w:hint="eastAsia"/>
          <w:color w:val="000000"/>
        </w:rPr>
      </w:pPr>
      <w:r>
        <w:rPr>
          <w:rFonts w:hint="eastAsia"/>
        </w:rPr>
        <w:t>關於公務員所得申訴的標的，目前保訓會認為，本法（舊）第二十九條第一款規定，申訴案件「無具體之事實內容者」，不予處理</w:t>
      </w:r>
      <w:r>
        <w:rPr>
          <w:rStyle w:val="a5"/>
        </w:rPr>
        <w:footnoteReference w:id="1"/>
      </w:r>
      <w:r>
        <w:rPr>
          <w:rFonts w:hint="eastAsia"/>
        </w:rPr>
        <w:t>，</w:t>
      </w:r>
      <w:r>
        <w:rPr>
          <w:rFonts w:hint="eastAsia"/>
        </w:rPr>
        <w:lastRenderedPageBreak/>
        <w:t>故其內容僅指具體的機關行為，而不包括抽象的法規</w:t>
      </w:r>
      <w:r>
        <w:rPr>
          <w:rStyle w:val="a5"/>
          <w:color w:val="000000"/>
        </w:rPr>
        <w:footnoteReference w:id="2"/>
      </w:r>
      <w:r>
        <w:rPr>
          <w:rFonts w:hint="eastAsia"/>
        </w:rPr>
        <w:t>，亦即採「</w:t>
      </w:r>
      <w:r>
        <w:t>個案救濟原則</w:t>
      </w:r>
      <w:r>
        <w:rPr>
          <w:rFonts w:hint="eastAsia"/>
        </w:rPr>
        <w:t>」，從而對於以「組織編制修正案」</w:t>
      </w:r>
      <w:r>
        <w:rPr>
          <w:rStyle w:val="a5"/>
          <w:color w:val="000000"/>
        </w:rPr>
        <w:footnoteReference w:id="3"/>
      </w:r>
      <w:r>
        <w:rPr>
          <w:rFonts w:hint="eastAsia"/>
        </w:rPr>
        <w:t>、「組織編制表」</w:t>
      </w:r>
      <w:r>
        <w:rPr>
          <w:rStyle w:val="a5"/>
          <w:color w:val="000000"/>
        </w:rPr>
        <w:footnoteReference w:id="4"/>
      </w:r>
      <w:r>
        <w:rPr>
          <w:rFonts w:hint="eastAsia"/>
        </w:rPr>
        <w:t>、</w:t>
      </w:r>
      <w:r>
        <w:rPr>
          <w:rFonts w:hint="eastAsia"/>
        </w:rPr>
        <w:t>「</w:t>
      </w:r>
      <w:r>
        <w:t>彈性上班差勤要點規定</w:t>
      </w:r>
      <w:r>
        <w:rPr>
          <w:rFonts w:hint="eastAsia"/>
        </w:rPr>
        <w:t>」</w:t>
      </w:r>
      <w:r>
        <w:rPr>
          <w:rStyle w:val="a5"/>
          <w:color w:val="000000"/>
        </w:rPr>
        <w:footnoteReference w:id="5"/>
      </w:r>
      <w:r>
        <w:rPr>
          <w:rFonts w:hint="eastAsia"/>
        </w:rPr>
        <w:t>、「</w:t>
      </w:r>
      <w:r>
        <w:t>優先調遣制度</w:t>
      </w:r>
      <w:r>
        <w:rPr>
          <w:rFonts w:hint="eastAsia"/>
        </w:rPr>
        <w:t>」</w:t>
      </w:r>
      <w:r>
        <w:rPr>
          <w:rStyle w:val="a5"/>
          <w:color w:val="000000"/>
        </w:rPr>
        <w:footnoteReference w:id="6"/>
      </w:r>
      <w:r>
        <w:rPr>
          <w:rFonts w:hint="eastAsia"/>
        </w:rPr>
        <w:t>或其他人事法規</w:t>
      </w:r>
      <w:r>
        <w:rPr>
          <w:rStyle w:val="a5"/>
          <w:color w:val="000000"/>
        </w:rPr>
        <w:footnoteReference w:id="7"/>
      </w:r>
      <w:r>
        <w:rPr>
          <w:rFonts w:hint="eastAsia"/>
        </w:rPr>
        <w:t>等為指摘對象的申訴，皆以「不合法」予以駁回。</w:t>
      </w:r>
      <w:r>
        <w:rPr>
          <w:rFonts w:hint="eastAsia"/>
          <w:color w:val="000000"/>
        </w:rPr>
        <w:t>對於此種作法，有學者提出批評，認為本法所稱「工作條件」與「管理措施」，在解釋上係指行政處分以外對機關內部生效的表意行為或事實行為，不問其內容屬具體、個案或抽象及普遍性，皆應包括在內</w:t>
      </w:r>
      <w:r>
        <w:rPr>
          <w:rStyle w:val="a5"/>
          <w:color w:val="000000"/>
        </w:rPr>
        <w:footnoteReference w:id="8"/>
      </w:r>
      <w:r>
        <w:rPr>
          <w:rFonts w:hint="eastAsia"/>
          <w:color w:val="000000"/>
        </w:rPr>
        <w:t>。</w:t>
      </w:r>
    </w:p>
    <w:p w:rsidR="00000000" w:rsidRDefault="00EA2FA8">
      <w:pPr>
        <w:pStyle w:val="22"/>
        <w:ind w:firstLine="560"/>
      </w:pPr>
      <w:r>
        <w:rPr>
          <w:rFonts w:hint="eastAsia"/>
        </w:rPr>
        <w:t>關於申訴標的是否以具體個案為限，繫乎申訴制度的功能定位。從本法的規定整體觀之，申訴制度的設計，旨在針對「行政處分以外」之人事行政事項，提供公務員救濟的管道，具有補充復審程序的功</w:t>
      </w:r>
      <w:r>
        <w:rPr>
          <w:rFonts w:hint="eastAsia"/>
        </w:rPr>
        <w:lastRenderedPageBreak/>
        <w:t>能，換言之，其具有「類復審</w:t>
      </w:r>
      <w:r>
        <w:t>(</w:t>
      </w:r>
      <w:r>
        <w:rPr>
          <w:rFonts w:hint="eastAsia"/>
        </w:rPr>
        <w:t>訴願</w:t>
      </w:r>
      <w:r>
        <w:t>)</w:t>
      </w:r>
      <w:r>
        <w:rPr>
          <w:rFonts w:hint="eastAsia"/>
        </w:rPr>
        <w:t>」的性質，</w:t>
      </w:r>
      <w:r>
        <w:rPr>
          <w:rFonts w:hint="eastAsia"/>
        </w:rPr>
        <w:t>尤其在實際運作上，保訓會對於申訴標的的審查，經常是作「適法性」審查</w:t>
      </w:r>
      <w:r>
        <w:rPr>
          <w:rStyle w:val="a5"/>
          <w:color w:val="000000"/>
        </w:rPr>
        <w:footnoteReference w:id="9"/>
      </w:r>
      <w:r>
        <w:rPr>
          <w:rFonts w:hint="eastAsia"/>
        </w:rPr>
        <w:t>，且操作模式亦大體仿照訴願程序。準此以言，申訴標的不宜超越復審之制度格局，故本文認為，申訴標的仍以個案救濟為限，以免造成制度輕重失衡之現象。</w:t>
      </w:r>
    </w:p>
    <w:p w:rsidR="00000000" w:rsidRDefault="00EA2FA8">
      <w:pPr>
        <w:pStyle w:val="22"/>
        <w:ind w:firstLine="560"/>
        <w:rPr>
          <w:rFonts w:hint="eastAsia"/>
        </w:rPr>
      </w:pPr>
      <w:r>
        <w:rPr>
          <w:rFonts w:hint="eastAsia"/>
        </w:rPr>
        <w:t>附帶說明者，申訴制度既屬救濟制度的一環，則所謂「管理措施」者，至少須對當事人具有一定程度的拘束性或確定性，始足當之，是以，諸如法律見解之表述</w:t>
      </w:r>
      <w:r>
        <w:rPr>
          <w:rStyle w:val="a5"/>
          <w:color w:val="000000"/>
        </w:rPr>
        <w:footnoteReference w:id="10"/>
      </w:r>
      <w:r>
        <w:rPr>
          <w:rFonts w:hint="eastAsia"/>
        </w:rPr>
        <w:t>、開會通知單</w:t>
      </w:r>
      <w:r>
        <w:rPr>
          <w:rStyle w:val="a5"/>
          <w:color w:val="000000"/>
        </w:rPr>
        <w:footnoteReference w:id="11"/>
      </w:r>
      <w:r>
        <w:rPr>
          <w:rFonts w:hint="eastAsia"/>
        </w:rPr>
        <w:t>、尚未確定之考績評定</w:t>
      </w:r>
      <w:r>
        <w:rPr>
          <w:rStyle w:val="a5"/>
          <w:color w:val="000000"/>
        </w:rPr>
        <w:footnoteReference w:id="12"/>
      </w:r>
      <w:r>
        <w:rPr>
          <w:rFonts w:hint="eastAsia"/>
        </w:rPr>
        <w:t>、法官自律委員會之書面勸誡</w:t>
      </w:r>
      <w:r>
        <w:rPr>
          <w:rStyle w:val="a5"/>
          <w:color w:val="000000"/>
        </w:rPr>
        <w:footnoteReference w:id="13"/>
      </w:r>
      <w:r>
        <w:rPr>
          <w:rFonts w:hint="eastAsia"/>
        </w:rPr>
        <w:t>、不得赴大陸觀光之提醒函</w:t>
      </w:r>
      <w:r>
        <w:rPr>
          <w:rStyle w:val="a5"/>
          <w:color w:val="000000"/>
        </w:rPr>
        <w:footnoteReference w:id="14"/>
      </w:r>
      <w:r>
        <w:rPr>
          <w:rFonts w:hint="eastAsia"/>
        </w:rPr>
        <w:t>等，尚不足以作為申訴標的。又申訴標的必須申訴人個人權益事項</w:t>
      </w:r>
      <w:r>
        <w:t>(</w:t>
      </w:r>
      <w:r>
        <w:rPr>
          <w:rFonts w:hint="eastAsia"/>
        </w:rPr>
        <w:t>非「公益申</w:t>
      </w:r>
      <w:r>
        <w:rPr>
          <w:rFonts w:hint="eastAsia"/>
        </w:rPr>
        <w:t>訴」</w:t>
      </w:r>
      <w:r>
        <w:t>)</w:t>
      </w:r>
      <w:r>
        <w:rPr>
          <w:rFonts w:hint="eastAsia"/>
        </w:rPr>
        <w:t>，始得提起，乃屬當然</w:t>
      </w:r>
      <w:r>
        <w:rPr>
          <w:rStyle w:val="a5"/>
          <w:color w:val="000000"/>
        </w:rPr>
        <w:footnoteReference w:id="15"/>
      </w:r>
      <w:r>
        <w:rPr>
          <w:rFonts w:hint="eastAsia"/>
        </w:rPr>
        <w:t>。舊法未有此一要件之明文，新法已有增列，可資援用。</w:t>
      </w:r>
    </w:p>
    <w:p w:rsidR="00000000" w:rsidRDefault="00EA2FA8">
      <w:pPr>
        <w:pStyle w:val="2"/>
        <w:rPr>
          <w:rFonts w:hint="eastAsia"/>
        </w:rPr>
      </w:pPr>
      <w:bookmarkStart w:id="5" w:name="_Toc12653497"/>
      <w:bookmarkStart w:id="6" w:name="_Toc61809164"/>
      <w:r>
        <w:rPr>
          <w:rFonts w:hint="eastAsia"/>
        </w:rPr>
        <w:lastRenderedPageBreak/>
        <w:t>第二節</w:t>
      </w:r>
      <w:r>
        <w:rPr>
          <w:rFonts w:hint="eastAsia"/>
        </w:rPr>
        <w:t xml:space="preserve"> </w:t>
      </w:r>
      <w:r>
        <w:rPr>
          <w:rFonts w:hint="eastAsia"/>
        </w:rPr>
        <w:t>申訴標的之範圍</w:t>
      </w:r>
      <w:bookmarkEnd w:id="5"/>
      <w:bookmarkEnd w:id="6"/>
    </w:p>
    <w:p w:rsidR="00000000" w:rsidRDefault="00EA2FA8">
      <w:pPr>
        <w:pStyle w:val="3"/>
        <w:rPr>
          <w:rFonts w:hint="eastAsia"/>
        </w:rPr>
      </w:pPr>
      <w:bookmarkStart w:id="7" w:name="_Toc12653498"/>
      <w:bookmarkStart w:id="8" w:name="_Toc61809165"/>
      <w:r>
        <w:rPr>
          <w:rFonts w:hint="eastAsia"/>
        </w:rPr>
        <w:t>第一項</w:t>
      </w:r>
      <w:r>
        <w:rPr>
          <w:rFonts w:hint="eastAsia"/>
        </w:rPr>
        <w:t xml:space="preserve"> </w:t>
      </w:r>
      <w:r>
        <w:rPr>
          <w:rFonts w:hint="eastAsia"/>
        </w:rPr>
        <w:t>現況整理</w:t>
      </w:r>
      <w:bookmarkEnd w:id="7"/>
      <w:bookmarkEnd w:id="8"/>
    </w:p>
    <w:p w:rsidR="00000000" w:rsidRDefault="00EA2FA8">
      <w:pPr>
        <w:pStyle w:val="22"/>
        <w:ind w:firstLine="560"/>
        <w:rPr>
          <w:rFonts w:hint="eastAsia"/>
        </w:rPr>
      </w:pPr>
      <w:r>
        <w:rPr>
          <w:rFonts w:hint="eastAsia"/>
        </w:rPr>
        <w:t>本法原所稱「</w:t>
      </w:r>
      <w:r>
        <w:t>服務機關所提供之工作條件」</w:t>
      </w:r>
      <w:r>
        <w:rPr>
          <w:rFonts w:hint="eastAsia"/>
        </w:rPr>
        <w:t>（新法改為「工作條件之處置」及「</w:t>
      </w:r>
      <w:r>
        <w:t>服務機關所為之管理</w:t>
      </w:r>
      <w:r>
        <w:rPr>
          <w:rFonts w:hint="eastAsia"/>
        </w:rPr>
        <w:t>」（新法改為「管理措施」）</w:t>
      </w:r>
      <w:r>
        <w:t>，</w:t>
      </w:r>
      <w:r>
        <w:rPr>
          <w:rFonts w:hint="eastAsia"/>
        </w:rPr>
        <w:t>依目前實務之解釋，前者</w:t>
      </w:r>
      <w:r>
        <w:t>如服務機關所提供執行職務必要之機具設備、良好之工作環境、安全及衛生完善措施之提供等均屬之；</w:t>
      </w:r>
      <w:r>
        <w:rPr>
          <w:rFonts w:hint="eastAsia"/>
        </w:rPr>
        <w:t>後者係</w:t>
      </w:r>
      <w:r>
        <w:t>指機關為達行政目的所為之作為或不作為，即除行政處分以外，包括機關內部生效之表意行為或事實行為等，其有具體事實者，均屬管理措施範圍，例如機關長官所為之工作指派</w:t>
      </w:r>
      <w:r>
        <w:t>、不改變公務人員身分關係之記大過、記過、申誡懲處、考績評定、請假之否准或機關長官所發之職務命令</w:t>
      </w:r>
      <w:r>
        <w:rPr>
          <w:rFonts w:hint="eastAsia"/>
        </w:rPr>
        <w:t>等</w:t>
      </w:r>
      <w:r>
        <w:rPr>
          <w:rStyle w:val="a5"/>
          <w:color w:val="000000"/>
        </w:rPr>
        <w:footnoteReference w:id="16"/>
      </w:r>
      <w:r>
        <w:t>。</w:t>
      </w:r>
      <w:r>
        <w:rPr>
          <w:rFonts w:hint="eastAsia"/>
        </w:rPr>
        <w:t>而在申訴實務上，大體有如下的類型：</w:t>
      </w:r>
    </w:p>
    <w:p w:rsidR="00000000" w:rsidRDefault="00EA2FA8">
      <w:pPr>
        <w:pStyle w:val="23"/>
        <w:ind w:firstLine="560"/>
        <w:rPr>
          <w:rFonts w:ascii="新細明體" w:hAnsi="Verdana" w:hint="eastAsia"/>
        </w:rPr>
      </w:pPr>
      <w:r>
        <w:rPr>
          <w:rFonts w:hint="eastAsia"/>
        </w:rPr>
        <w:t>1)</w:t>
      </w:r>
      <w:r>
        <w:rPr>
          <w:rFonts w:hint="eastAsia"/>
        </w:rPr>
        <w:t>申請休假事件</w:t>
      </w:r>
      <w:r>
        <w:rPr>
          <w:rStyle w:val="a5"/>
          <w:color w:val="000000"/>
        </w:rPr>
        <w:footnoteReference w:id="17"/>
      </w:r>
    </w:p>
    <w:p w:rsidR="00000000" w:rsidRDefault="00EA2FA8">
      <w:pPr>
        <w:pStyle w:val="23"/>
        <w:ind w:firstLine="560"/>
        <w:rPr>
          <w:rFonts w:ascii="新細明體" w:hAnsi="Verdana" w:hint="eastAsia"/>
        </w:rPr>
      </w:pPr>
      <w:r>
        <w:rPr>
          <w:rFonts w:hint="eastAsia"/>
          <w:color w:val="000000"/>
        </w:rPr>
        <w:t>2)</w:t>
      </w:r>
      <w:r>
        <w:rPr>
          <w:rFonts w:hint="eastAsia"/>
          <w:color w:val="000000"/>
        </w:rPr>
        <w:t>申請公假事件</w:t>
      </w:r>
      <w:r>
        <w:rPr>
          <w:rStyle w:val="a5"/>
          <w:color w:val="000000"/>
        </w:rPr>
        <w:footnoteReference w:id="18"/>
      </w:r>
    </w:p>
    <w:p w:rsidR="00000000" w:rsidRDefault="00EA2FA8">
      <w:pPr>
        <w:pStyle w:val="23"/>
        <w:ind w:firstLine="560"/>
        <w:rPr>
          <w:rFonts w:ascii="新細明體" w:hAnsi="Verdana" w:hint="eastAsia"/>
        </w:rPr>
      </w:pPr>
      <w:r>
        <w:rPr>
          <w:rFonts w:hint="eastAsia"/>
          <w:color w:val="000000"/>
        </w:rPr>
        <w:t>3)</w:t>
      </w:r>
      <w:r>
        <w:rPr>
          <w:rFonts w:hint="eastAsia"/>
          <w:color w:val="000000"/>
        </w:rPr>
        <w:t>申請帶職帶薪</w:t>
      </w:r>
      <w:r>
        <w:rPr>
          <w:color w:val="000000"/>
        </w:rPr>
        <w:t>(</w:t>
      </w:r>
      <w:r>
        <w:rPr>
          <w:rFonts w:hint="eastAsia"/>
          <w:color w:val="000000"/>
        </w:rPr>
        <w:t>司法官受訓</w:t>
      </w:r>
      <w:r>
        <w:rPr>
          <w:color w:val="000000"/>
        </w:rPr>
        <w:t>)</w:t>
      </w:r>
      <w:r>
        <w:rPr>
          <w:rFonts w:hint="eastAsia"/>
          <w:color w:val="000000"/>
        </w:rPr>
        <w:t>事件</w:t>
      </w:r>
      <w:r>
        <w:rPr>
          <w:rStyle w:val="a5"/>
          <w:color w:val="000000"/>
        </w:rPr>
        <w:footnoteReference w:id="19"/>
      </w:r>
    </w:p>
    <w:p w:rsidR="00000000" w:rsidRDefault="00EA2FA8">
      <w:pPr>
        <w:pStyle w:val="23"/>
        <w:ind w:firstLine="560"/>
        <w:rPr>
          <w:rFonts w:ascii="新細明體" w:hAnsi="Verdana" w:hint="eastAsia"/>
        </w:rPr>
      </w:pPr>
      <w:r>
        <w:rPr>
          <w:rFonts w:hint="eastAsia"/>
          <w:color w:val="000000"/>
        </w:rPr>
        <w:lastRenderedPageBreak/>
        <w:t>4)</w:t>
      </w:r>
      <w:r>
        <w:rPr>
          <w:rFonts w:hint="eastAsia"/>
          <w:color w:val="000000"/>
        </w:rPr>
        <w:t>曠職事件</w:t>
      </w:r>
      <w:r>
        <w:rPr>
          <w:rStyle w:val="a5"/>
          <w:color w:val="000000"/>
        </w:rPr>
        <w:footnoteReference w:id="20"/>
      </w:r>
    </w:p>
    <w:p w:rsidR="00000000" w:rsidRDefault="00EA2FA8">
      <w:pPr>
        <w:pStyle w:val="23"/>
        <w:ind w:firstLine="560"/>
        <w:rPr>
          <w:rFonts w:ascii="新細明體" w:hAnsi="Verdana" w:hint="eastAsia"/>
        </w:rPr>
      </w:pPr>
      <w:r>
        <w:rPr>
          <w:rFonts w:hint="eastAsia"/>
          <w:color w:val="000000"/>
        </w:rPr>
        <w:t>5)</w:t>
      </w:r>
      <w:r>
        <w:rPr>
          <w:rFonts w:hint="eastAsia"/>
          <w:color w:val="000000"/>
        </w:rPr>
        <w:t>考績乙等事件</w:t>
      </w:r>
      <w:r>
        <w:rPr>
          <w:rStyle w:val="a5"/>
          <w:color w:val="000000"/>
        </w:rPr>
        <w:footnoteReference w:id="21"/>
      </w:r>
    </w:p>
    <w:p w:rsidR="00000000" w:rsidRDefault="00EA2FA8">
      <w:pPr>
        <w:pStyle w:val="23"/>
        <w:ind w:firstLine="560"/>
        <w:rPr>
          <w:rFonts w:ascii="新細明體" w:hAnsi="Verdana" w:hint="eastAsia"/>
        </w:rPr>
      </w:pPr>
      <w:r>
        <w:rPr>
          <w:rFonts w:hint="eastAsia"/>
          <w:color w:val="000000"/>
        </w:rPr>
        <w:t>6)</w:t>
      </w:r>
      <w:r>
        <w:rPr>
          <w:rFonts w:hint="eastAsia"/>
          <w:color w:val="000000"/>
        </w:rPr>
        <w:t>考績丙等事件</w:t>
      </w:r>
      <w:r>
        <w:rPr>
          <w:rStyle w:val="a5"/>
          <w:color w:val="000000"/>
        </w:rPr>
        <w:footnoteReference w:id="22"/>
      </w:r>
    </w:p>
    <w:p w:rsidR="00000000" w:rsidRDefault="00EA2FA8">
      <w:pPr>
        <w:pStyle w:val="23"/>
        <w:ind w:firstLine="560"/>
        <w:rPr>
          <w:rFonts w:ascii="新細明體" w:hAnsi="Verdana" w:hint="eastAsia"/>
        </w:rPr>
      </w:pPr>
      <w:r>
        <w:rPr>
          <w:rFonts w:hint="eastAsia"/>
          <w:color w:val="000000"/>
        </w:rPr>
        <w:t>7)</w:t>
      </w:r>
      <w:r>
        <w:rPr>
          <w:color w:val="000000"/>
        </w:rPr>
        <w:t>警察人員考核評鑑</w:t>
      </w:r>
      <w:r>
        <w:rPr>
          <w:rFonts w:hint="eastAsia"/>
          <w:color w:val="000000"/>
        </w:rPr>
        <w:t>事件</w:t>
      </w:r>
      <w:r>
        <w:rPr>
          <w:rStyle w:val="a5"/>
          <w:color w:val="000000"/>
        </w:rPr>
        <w:footnoteReference w:id="23"/>
      </w:r>
    </w:p>
    <w:p w:rsidR="00000000" w:rsidRDefault="00EA2FA8">
      <w:pPr>
        <w:pStyle w:val="23"/>
        <w:ind w:firstLine="560"/>
        <w:rPr>
          <w:rFonts w:ascii="新細明體" w:hAnsi="Verdana" w:hint="eastAsia"/>
        </w:rPr>
      </w:pPr>
      <w:r>
        <w:rPr>
          <w:rFonts w:hint="eastAsia"/>
          <w:color w:val="000000"/>
        </w:rPr>
        <w:t>8)</w:t>
      </w:r>
      <w:r>
        <w:rPr>
          <w:rFonts w:hint="eastAsia"/>
          <w:color w:val="000000"/>
        </w:rPr>
        <w:t>申誡懲處事件</w:t>
      </w:r>
      <w:r>
        <w:rPr>
          <w:rStyle w:val="a5"/>
          <w:color w:val="000000"/>
        </w:rPr>
        <w:footnoteReference w:id="24"/>
      </w:r>
    </w:p>
    <w:p w:rsidR="00000000" w:rsidRDefault="00EA2FA8">
      <w:pPr>
        <w:pStyle w:val="23"/>
        <w:ind w:firstLine="560"/>
        <w:rPr>
          <w:rFonts w:ascii="新細明體" w:hAnsi="Verdana" w:hint="eastAsia"/>
        </w:rPr>
      </w:pPr>
      <w:r>
        <w:rPr>
          <w:rFonts w:hint="eastAsia"/>
          <w:color w:val="000000"/>
        </w:rPr>
        <w:t>9)</w:t>
      </w:r>
      <w:r>
        <w:rPr>
          <w:rFonts w:hint="eastAsia"/>
          <w:color w:val="000000"/>
        </w:rPr>
        <w:t>一次記一大過事件</w:t>
      </w:r>
      <w:r>
        <w:rPr>
          <w:rStyle w:val="a5"/>
          <w:color w:val="000000"/>
        </w:rPr>
        <w:footnoteReference w:id="25"/>
      </w:r>
    </w:p>
    <w:p w:rsidR="00000000" w:rsidRDefault="00EA2FA8">
      <w:pPr>
        <w:pStyle w:val="23"/>
        <w:ind w:firstLine="560"/>
        <w:rPr>
          <w:rFonts w:ascii="新細明體" w:hAnsi="Verdana" w:hint="eastAsia"/>
        </w:rPr>
      </w:pPr>
      <w:r>
        <w:rPr>
          <w:rFonts w:hint="eastAsia"/>
          <w:color w:val="000000"/>
        </w:rPr>
        <w:t>10)</w:t>
      </w:r>
      <w:r>
        <w:rPr>
          <w:rFonts w:hint="eastAsia"/>
          <w:color w:val="000000"/>
        </w:rPr>
        <w:t>請求核發久任獎金事件</w:t>
      </w:r>
      <w:r>
        <w:rPr>
          <w:rStyle w:val="a5"/>
          <w:color w:val="000000"/>
        </w:rPr>
        <w:footnoteReference w:id="26"/>
      </w:r>
    </w:p>
    <w:p w:rsidR="00000000" w:rsidRDefault="00EA2FA8">
      <w:pPr>
        <w:pStyle w:val="23"/>
        <w:ind w:firstLine="560"/>
        <w:rPr>
          <w:rFonts w:ascii="新細明體" w:hAnsi="Verdana" w:hint="eastAsia"/>
        </w:rPr>
      </w:pPr>
      <w:r>
        <w:rPr>
          <w:rFonts w:hint="eastAsia"/>
          <w:color w:val="000000"/>
        </w:rPr>
        <w:t>11)</w:t>
      </w:r>
      <w:r>
        <w:rPr>
          <w:rFonts w:hint="eastAsia"/>
          <w:color w:val="000000"/>
        </w:rPr>
        <w:t>敘獎事件</w:t>
      </w:r>
      <w:r>
        <w:rPr>
          <w:color w:val="000000"/>
        </w:rPr>
        <w:t>(</w:t>
      </w:r>
      <w:r>
        <w:rPr>
          <w:rFonts w:hint="eastAsia"/>
          <w:color w:val="000000"/>
        </w:rPr>
        <w:t>記功</w:t>
      </w:r>
      <w:r>
        <w:rPr>
          <w:color w:val="000000"/>
        </w:rPr>
        <w:t>)</w:t>
      </w:r>
      <w:r>
        <w:rPr>
          <w:rStyle w:val="a5"/>
          <w:color w:val="000000"/>
        </w:rPr>
        <w:footnoteReference w:id="27"/>
      </w:r>
      <w:r>
        <w:rPr>
          <w:rFonts w:ascii="新細明體" w:hAnsi="Verdana" w:hint="eastAsia"/>
        </w:rPr>
        <w:t xml:space="preserve"> </w:t>
      </w:r>
    </w:p>
    <w:p w:rsidR="00000000" w:rsidRDefault="00EA2FA8">
      <w:pPr>
        <w:pStyle w:val="23"/>
        <w:ind w:firstLine="560"/>
        <w:rPr>
          <w:rFonts w:ascii="新細明體" w:hAnsi="Verdana" w:hint="eastAsia"/>
        </w:rPr>
      </w:pPr>
      <w:r>
        <w:rPr>
          <w:rFonts w:hint="eastAsia"/>
          <w:color w:val="000000"/>
        </w:rPr>
        <w:t>12)</w:t>
      </w:r>
      <w:r>
        <w:rPr>
          <w:rFonts w:hint="eastAsia"/>
          <w:color w:val="000000"/>
        </w:rPr>
        <w:t>一次記二大功事件</w:t>
      </w:r>
      <w:r>
        <w:rPr>
          <w:color w:val="000000"/>
        </w:rPr>
        <w:t>(</w:t>
      </w:r>
      <w:r>
        <w:rPr>
          <w:rFonts w:hint="eastAsia"/>
          <w:color w:val="000000"/>
        </w:rPr>
        <w:t>請求辦理特殊功績晉階</w:t>
      </w:r>
      <w:r>
        <w:rPr>
          <w:color w:val="000000"/>
        </w:rPr>
        <w:t>)</w:t>
      </w:r>
      <w:r>
        <w:rPr>
          <w:rFonts w:ascii="新細明體" w:hAnsi="Verdana" w:hint="eastAsia"/>
        </w:rPr>
        <w:t xml:space="preserve"> </w:t>
      </w:r>
    </w:p>
    <w:p w:rsidR="00000000" w:rsidRDefault="00EA2FA8">
      <w:pPr>
        <w:pStyle w:val="23"/>
        <w:ind w:firstLine="560"/>
        <w:rPr>
          <w:rFonts w:ascii="新細明體" w:hAnsi="Verdana" w:hint="eastAsia"/>
        </w:rPr>
      </w:pPr>
      <w:r>
        <w:rPr>
          <w:rFonts w:hint="eastAsia"/>
          <w:color w:val="000000"/>
        </w:rPr>
        <w:lastRenderedPageBreak/>
        <w:t>13)</w:t>
      </w:r>
      <w:r>
        <w:rPr>
          <w:rFonts w:hint="eastAsia"/>
          <w:color w:val="000000"/>
        </w:rPr>
        <w:t>陞遷事件</w:t>
      </w:r>
      <w:r>
        <w:rPr>
          <w:rStyle w:val="a5"/>
          <w:color w:val="000000"/>
        </w:rPr>
        <w:footnoteReference w:id="28"/>
      </w:r>
    </w:p>
    <w:p w:rsidR="00000000" w:rsidRDefault="00EA2FA8">
      <w:pPr>
        <w:pStyle w:val="23"/>
        <w:ind w:firstLine="560"/>
        <w:rPr>
          <w:rFonts w:ascii="新細明體" w:hAnsi="Verdana" w:hint="eastAsia"/>
        </w:rPr>
      </w:pPr>
      <w:r>
        <w:rPr>
          <w:rFonts w:hint="eastAsia"/>
          <w:color w:val="000000"/>
        </w:rPr>
        <w:t>14)</w:t>
      </w:r>
      <w:r>
        <w:rPr>
          <w:rFonts w:hint="eastAsia"/>
          <w:color w:val="000000"/>
        </w:rPr>
        <w:t>申請派任事件</w:t>
      </w:r>
      <w:r>
        <w:rPr>
          <w:rStyle w:val="a5"/>
          <w:color w:val="000000"/>
        </w:rPr>
        <w:footnoteReference w:id="29"/>
      </w:r>
    </w:p>
    <w:p w:rsidR="00000000" w:rsidRDefault="00EA2FA8">
      <w:pPr>
        <w:pStyle w:val="23"/>
        <w:ind w:firstLine="560"/>
        <w:rPr>
          <w:rFonts w:ascii="新細明體" w:hAnsi="Verdana" w:hint="eastAsia"/>
        </w:rPr>
      </w:pPr>
      <w:r>
        <w:rPr>
          <w:rFonts w:hint="eastAsia"/>
          <w:color w:val="000000"/>
        </w:rPr>
        <w:t>15)</w:t>
      </w:r>
      <w:r>
        <w:rPr>
          <w:rFonts w:hint="eastAsia"/>
          <w:color w:val="000000"/>
        </w:rPr>
        <w:t>調遷事件</w:t>
      </w:r>
      <w:r>
        <w:rPr>
          <w:rStyle w:val="a5"/>
          <w:color w:val="000000"/>
        </w:rPr>
        <w:footnoteReference w:id="30"/>
      </w:r>
    </w:p>
    <w:p w:rsidR="00000000" w:rsidRDefault="00EA2FA8">
      <w:pPr>
        <w:pStyle w:val="23"/>
        <w:ind w:firstLine="560"/>
        <w:rPr>
          <w:rFonts w:ascii="新細明體" w:hAnsi="Verdana" w:hint="eastAsia"/>
        </w:rPr>
      </w:pPr>
      <w:r>
        <w:rPr>
          <w:rFonts w:hint="eastAsia"/>
          <w:color w:val="000000"/>
        </w:rPr>
        <w:t>16</w:t>
      </w:r>
      <w:r>
        <w:rPr>
          <w:rFonts w:hint="eastAsia"/>
          <w:color w:val="000000"/>
        </w:rPr>
        <w:t>)</w:t>
      </w:r>
      <w:r>
        <w:rPr>
          <w:rFonts w:hint="eastAsia"/>
          <w:color w:val="000000"/>
        </w:rPr>
        <w:t>調動事件</w:t>
      </w:r>
      <w:r>
        <w:rPr>
          <w:rStyle w:val="a5"/>
          <w:color w:val="000000"/>
        </w:rPr>
        <w:footnoteReference w:id="31"/>
      </w:r>
    </w:p>
    <w:p w:rsidR="00000000" w:rsidRDefault="00EA2FA8">
      <w:pPr>
        <w:pStyle w:val="23"/>
        <w:ind w:firstLine="560"/>
        <w:rPr>
          <w:rFonts w:ascii="新細明體" w:hAnsi="Verdana" w:hint="eastAsia"/>
        </w:rPr>
      </w:pPr>
      <w:r>
        <w:rPr>
          <w:rFonts w:hint="eastAsia"/>
          <w:color w:val="000000"/>
        </w:rPr>
        <w:t>17)</w:t>
      </w:r>
      <w:r>
        <w:rPr>
          <w:rFonts w:hint="eastAsia"/>
          <w:color w:val="000000"/>
        </w:rPr>
        <w:t>調任事件</w:t>
      </w:r>
      <w:r>
        <w:rPr>
          <w:rStyle w:val="a5"/>
          <w:color w:val="000000"/>
        </w:rPr>
        <w:footnoteReference w:id="32"/>
      </w:r>
    </w:p>
    <w:p w:rsidR="00000000" w:rsidRDefault="00EA2FA8">
      <w:pPr>
        <w:pStyle w:val="23"/>
        <w:ind w:firstLine="560"/>
        <w:rPr>
          <w:rFonts w:ascii="新細明體" w:hAnsi="Verdana" w:hint="eastAsia"/>
        </w:rPr>
      </w:pPr>
      <w:r>
        <w:rPr>
          <w:rFonts w:hint="eastAsia"/>
          <w:color w:val="000000"/>
        </w:rPr>
        <w:t>18)</w:t>
      </w:r>
      <w:r>
        <w:rPr>
          <w:rFonts w:hint="eastAsia"/>
          <w:color w:val="000000"/>
        </w:rPr>
        <w:t>請求辦理轉任或派職事件</w:t>
      </w:r>
      <w:r>
        <w:rPr>
          <w:rStyle w:val="a5"/>
          <w:color w:val="000000"/>
        </w:rPr>
        <w:footnoteReference w:id="33"/>
      </w:r>
    </w:p>
    <w:p w:rsidR="00000000" w:rsidRDefault="00EA2FA8">
      <w:pPr>
        <w:pStyle w:val="23"/>
        <w:ind w:firstLine="560"/>
        <w:rPr>
          <w:rFonts w:ascii="新細明體" w:hAnsi="Verdana" w:hint="eastAsia"/>
        </w:rPr>
      </w:pPr>
      <w:r>
        <w:rPr>
          <w:rFonts w:hint="eastAsia"/>
          <w:color w:val="000000"/>
        </w:rPr>
        <w:t>19)</w:t>
      </w:r>
      <w:r>
        <w:rPr>
          <w:rFonts w:hint="eastAsia"/>
          <w:color w:val="000000"/>
        </w:rPr>
        <w:t>註銷出國專題研究資格事件</w:t>
      </w:r>
      <w:r>
        <w:rPr>
          <w:rStyle w:val="a5"/>
          <w:color w:val="000000"/>
        </w:rPr>
        <w:footnoteReference w:id="34"/>
      </w:r>
    </w:p>
    <w:p w:rsidR="00000000" w:rsidRDefault="00EA2FA8">
      <w:pPr>
        <w:pStyle w:val="23"/>
        <w:ind w:firstLine="560"/>
        <w:rPr>
          <w:rFonts w:ascii="新細明體" w:hAnsi="Verdana" w:hint="eastAsia"/>
        </w:rPr>
      </w:pPr>
      <w:r>
        <w:rPr>
          <w:rFonts w:hint="eastAsia"/>
          <w:color w:val="000000"/>
        </w:rPr>
        <w:t>20)</w:t>
      </w:r>
      <w:r>
        <w:rPr>
          <w:rFonts w:hint="eastAsia"/>
          <w:color w:val="000000"/>
        </w:rPr>
        <w:t>交通補助費事件</w:t>
      </w:r>
      <w:r>
        <w:rPr>
          <w:rStyle w:val="a5"/>
          <w:color w:val="000000"/>
        </w:rPr>
        <w:footnoteReference w:id="35"/>
      </w:r>
    </w:p>
    <w:p w:rsidR="00000000" w:rsidRDefault="00EA2FA8">
      <w:pPr>
        <w:pStyle w:val="23"/>
        <w:ind w:firstLine="560"/>
        <w:rPr>
          <w:rFonts w:ascii="新細明體" w:hAnsi="Verdana" w:hint="eastAsia"/>
        </w:rPr>
      </w:pPr>
      <w:r>
        <w:rPr>
          <w:rFonts w:hint="eastAsia"/>
          <w:color w:val="000000"/>
        </w:rPr>
        <w:t>21)</w:t>
      </w:r>
      <w:r>
        <w:rPr>
          <w:rFonts w:hint="eastAsia"/>
          <w:color w:val="000000"/>
        </w:rPr>
        <w:t>不予續聘事件</w:t>
      </w:r>
      <w:r>
        <w:rPr>
          <w:color w:val="000000"/>
        </w:rPr>
        <w:t>(</w:t>
      </w:r>
      <w:r>
        <w:rPr>
          <w:rFonts w:hint="eastAsia"/>
          <w:color w:val="000000"/>
        </w:rPr>
        <w:t>中央研究院</w:t>
      </w:r>
      <w:r>
        <w:rPr>
          <w:color w:val="000000"/>
        </w:rPr>
        <w:t>)</w:t>
      </w:r>
      <w:r>
        <w:rPr>
          <w:rStyle w:val="a5"/>
          <w:color w:val="000000"/>
        </w:rPr>
        <w:footnoteReference w:id="36"/>
      </w:r>
      <w:r>
        <w:rPr>
          <w:rFonts w:ascii="新細明體" w:hAnsi="Verdana" w:hint="eastAsia"/>
        </w:rPr>
        <w:t xml:space="preserve"> </w:t>
      </w:r>
    </w:p>
    <w:p w:rsidR="00000000" w:rsidRDefault="00EA2FA8">
      <w:pPr>
        <w:pStyle w:val="3"/>
        <w:rPr>
          <w:rFonts w:hint="eastAsia"/>
        </w:rPr>
      </w:pPr>
      <w:bookmarkStart w:id="9" w:name="_Toc12653499"/>
      <w:bookmarkStart w:id="10" w:name="_Toc61809166"/>
      <w:r>
        <w:rPr>
          <w:rFonts w:hint="eastAsia"/>
        </w:rPr>
        <w:lastRenderedPageBreak/>
        <w:t>第二項</w:t>
      </w:r>
      <w:r>
        <w:rPr>
          <w:rFonts w:hint="eastAsia"/>
        </w:rPr>
        <w:t xml:space="preserve"> </w:t>
      </w:r>
      <w:r>
        <w:rPr>
          <w:rFonts w:hint="eastAsia"/>
        </w:rPr>
        <w:t>檢討分析</w:t>
      </w:r>
      <w:bookmarkEnd w:id="9"/>
      <w:bookmarkEnd w:id="10"/>
    </w:p>
    <w:p w:rsidR="00000000" w:rsidRDefault="00EA2FA8">
      <w:pPr>
        <w:pStyle w:val="23"/>
        <w:ind w:firstLine="560"/>
        <w:rPr>
          <w:rFonts w:ascii="新細明體" w:hAnsi="Verdana" w:hint="eastAsia"/>
        </w:rPr>
      </w:pPr>
      <w:r>
        <w:rPr>
          <w:rFonts w:hint="eastAsia"/>
          <w:color w:val="000000"/>
        </w:rPr>
        <w:t>上述案型中，除「不予續聘事件」前已論及外，其餘部分，值得探討、說明提者，略有如下：</w:t>
      </w:r>
    </w:p>
    <w:p w:rsidR="00000000" w:rsidRDefault="00EA2FA8">
      <w:pPr>
        <w:pStyle w:val="23"/>
        <w:ind w:firstLine="560"/>
        <w:rPr>
          <w:rFonts w:ascii="新細明體" w:hAnsi="Verdana" w:hint="eastAsia"/>
        </w:rPr>
      </w:pPr>
      <w:r>
        <w:rPr>
          <w:color w:val="000000"/>
        </w:rPr>
        <w:t>1.</w:t>
      </w:r>
      <w:r>
        <w:rPr>
          <w:rFonts w:hint="eastAsia"/>
          <w:color w:val="000000"/>
        </w:rPr>
        <w:t>差假、曠職、記過、扣薪事件</w:t>
      </w:r>
    </w:p>
    <w:p w:rsidR="00000000" w:rsidRDefault="00EA2FA8">
      <w:pPr>
        <w:pStyle w:val="22"/>
        <w:ind w:firstLine="560"/>
        <w:rPr>
          <w:rFonts w:hint="eastAsia"/>
          <w:color w:val="000000"/>
        </w:rPr>
      </w:pPr>
      <w:r>
        <w:rPr>
          <w:rFonts w:hint="eastAsia"/>
        </w:rPr>
        <w:t>基本上，申請休假或公假未獲准許，乃至於曠職及未達免職程度的記過，因尚不至改變公務員身分，故目前實務上僅承認其為申訴標的；反之，扣薪處分則因涉及公法上財產請求權，而得為復審標的。此二領域，分別觀之，似甚清楚。惟查公務人員</w:t>
      </w:r>
      <w:r>
        <w:rPr>
          <w:rFonts w:hint="eastAsia"/>
        </w:rPr>
        <w:t>請假規則第十三條及第十四條規定，</w:t>
      </w:r>
      <w:r>
        <w:t>未辦請假手續而擅離職守或假期已滿仍未銷假，或請假有虛偽情事者，均以曠職論；曠職以時計算，累積滿八小時以一日計</w:t>
      </w:r>
      <w:r>
        <w:rPr>
          <w:rFonts w:hint="eastAsia"/>
        </w:rPr>
        <w:t>。復查</w:t>
      </w:r>
      <w:r>
        <w:t>公務人員俸給法施行細則第十六條規定：「公務人員曠職者，應按日扣除其月俸額三十分之一俸給。法律另有懲處規定者，並從其規定辦理。」</w:t>
      </w:r>
      <w:r>
        <w:rPr>
          <w:rFonts w:hint="eastAsia"/>
        </w:rPr>
        <w:t>由此可知，「</w:t>
      </w:r>
      <w:r>
        <w:t>(</w:t>
      </w:r>
      <w:r>
        <w:rPr>
          <w:rFonts w:hint="eastAsia"/>
        </w:rPr>
        <w:t>未</w:t>
      </w:r>
      <w:r>
        <w:t>)</w:t>
      </w:r>
      <w:r>
        <w:rPr>
          <w:rFonts w:hint="eastAsia"/>
        </w:rPr>
        <w:t>請假」</w:t>
      </w:r>
      <w:r>
        <w:rPr>
          <w:rFonts w:ascii="新細明體" w:hint="eastAsia"/>
        </w:rPr>
        <w:t>→</w:t>
      </w:r>
      <w:r>
        <w:rPr>
          <w:rFonts w:hint="eastAsia"/>
        </w:rPr>
        <w:t>「曠職」</w:t>
      </w:r>
      <w:r>
        <w:rPr>
          <w:rFonts w:ascii="新細明體" w:hint="eastAsia"/>
        </w:rPr>
        <w:t>→</w:t>
      </w:r>
      <w:r>
        <w:rPr>
          <w:rFonts w:hint="eastAsia"/>
        </w:rPr>
        <w:t>「扣薪」，其間互有關聯，且經常是出於同一基礎事實</w:t>
      </w:r>
      <w:r>
        <w:rPr>
          <w:rStyle w:val="a5"/>
          <w:color w:val="000000"/>
        </w:rPr>
        <w:footnoteReference w:id="37"/>
      </w:r>
      <w:r>
        <w:rPr>
          <w:rFonts w:hint="eastAsia"/>
        </w:rPr>
        <w:t>，就此而言，實務上將之割裂為「申訴」與「復審」程序，分途處理，是否妥適，誠值商榷。尤有甚者，其若發生於警察人員身上，依「員警未依規定服勤處分原則」第三點第</w:t>
      </w:r>
      <w:r>
        <w:rPr>
          <w:rFonts w:hint="eastAsia"/>
        </w:rPr>
        <w:t>一款規定：「</w:t>
      </w:r>
      <w:r>
        <w:t>曠職繼續達一日以上未達二日者記過貳次，並</w:t>
      </w:r>
      <w:r>
        <w:lastRenderedPageBreak/>
        <w:t>依規定予以曠職登記、扣薪及年終考績參考，不另依違反勤務紀律議處。」</w:t>
      </w:r>
      <w:r>
        <w:rPr>
          <w:rFonts w:hint="eastAsia"/>
        </w:rPr>
        <w:t>則因請假事件尚可能延伸為記過事件，準此以言，目前實務上於「懲處處分」的復審僅開放「達免職程度」的作法，似乎已到了全面檢討、更張的地步。</w:t>
      </w:r>
    </w:p>
    <w:p w:rsidR="00000000" w:rsidRDefault="00EA2FA8">
      <w:pPr>
        <w:pStyle w:val="23"/>
        <w:ind w:firstLine="560"/>
        <w:rPr>
          <w:rFonts w:ascii="新細明體" w:hAnsi="Verdana" w:hint="eastAsia"/>
        </w:rPr>
      </w:pPr>
      <w:r>
        <w:rPr>
          <w:color w:val="000000"/>
        </w:rPr>
        <w:t>2.</w:t>
      </w:r>
      <w:r>
        <w:rPr>
          <w:rFonts w:hint="eastAsia"/>
          <w:color w:val="000000"/>
        </w:rPr>
        <w:t>敘獎事件</w:t>
      </w:r>
    </w:p>
    <w:p w:rsidR="00000000" w:rsidRDefault="00EA2FA8">
      <w:pPr>
        <w:pStyle w:val="22"/>
        <w:ind w:firstLine="560"/>
        <w:rPr>
          <w:rFonts w:hint="eastAsia"/>
        </w:rPr>
      </w:pPr>
      <w:r>
        <w:rPr>
          <w:rFonts w:hint="eastAsia"/>
        </w:rPr>
        <w:t>關於敘獎事件，如記功、嘉獎等，既未改變公務員身分，且對公務員權益不生不利影響，實務上認為其屬於內部管理措施，自可理解。惟值注意者，保訓會曾於一則申訴決定中謂：「</w:t>
      </w:r>
      <w:r>
        <w:t>本案再申訴人所不服之標的，係台南縣警察局以其捕獲重要案犯而依公務人員考績法及其施行細</w:t>
      </w:r>
      <w:r>
        <w:t>則規定核布</w:t>
      </w:r>
      <w:r>
        <w:rPr>
          <w:rFonts w:hint="eastAsia"/>
        </w:rPr>
        <w:t>『</w:t>
      </w:r>
      <w:r>
        <w:t>一次記二大功</w:t>
      </w:r>
      <w:r>
        <w:rPr>
          <w:rFonts w:hint="eastAsia"/>
        </w:rPr>
        <w:t>』</w:t>
      </w:r>
      <w:r>
        <w:t>之獎勵令，並訴請改依特殊功績晉階，並未就銓敘部對其一次記二大功及專案考績之審定結果表明不服，是再申訴之標的，應屬機關內部管理措施</w:t>
      </w:r>
      <w:r>
        <w:rPr>
          <w:rStyle w:val="a5"/>
          <w:color w:val="000000"/>
        </w:rPr>
        <w:footnoteReference w:id="38"/>
      </w:r>
      <w:r>
        <w:rPr>
          <w:rFonts w:hint="eastAsia"/>
        </w:rPr>
        <w:t>」，言下之意，當事人若「</w:t>
      </w:r>
      <w:r>
        <w:t>就銓敘部對其一次記二大功及專案考績之審定結果表明不服</w:t>
      </w:r>
      <w:r>
        <w:rPr>
          <w:rFonts w:hint="eastAsia"/>
        </w:rPr>
        <w:t>」，即有成為復審標的的可能，其是否著眼於前述「年終考績審定」，不得而知。</w:t>
      </w:r>
    </w:p>
    <w:p w:rsidR="00000000" w:rsidRDefault="00EA2FA8">
      <w:pPr>
        <w:pStyle w:val="23"/>
        <w:ind w:firstLine="560"/>
        <w:rPr>
          <w:rFonts w:ascii="新細明體" w:hAnsi="Verdana" w:hint="eastAsia"/>
        </w:rPr>
      </w:pPr>
      <w:r>
        <w:rPr>
          <w:color w:val="000000"/>
        </w:rPr>
        <w:t>3.</w:t>
      </w:r>
      <w:r>
        <w:rPr>
          <w:rFonts w:hint="eastAsia"/>
          <w:color w:val="000000"/>
        </w:rPr>
        <w:t>交通費補助事件</w:t>
      </w:r>
    </w:p>
    <w:p w:rsidR="00000000" w:rsidRDefault="00EA2FA8">
      <w:pPr>
        <w:pStyle w:val="23"/>
        <w:ind w:firstLine="560"/>
        <w:rPr>
          <w:rFonts w:ascii="新細明體" w:hAnsi="Verdana" w:hint="eastAsia"/>
        </w:rPr>
      </w:pPr>
      <w:r>
        <w:rPr>
          <w:rFonts w:ascii="細明體" w:eastAsia="細明體" w:hint="eastAsia"/>
        </w:rPr>
        <w:t>關於交通費的補助，核其性質，應屬公法上財產請求，惟於保訓會審理實務上，曾有以申訴案件處理者，其決定要旨略以：「</w:t>
      </w:r>
      <w:r>
        <w:rPr>
          <w:rFonts w:ascii="細明體" w:eastAsia="細明體"/>
        </w:rPr>
        <w:t>經濟部</w:t>
      </w:r>
      <w:r>
        <w:rPr>
          <w:rFonts w:ascii="細明體" w:eastAsia="細明體"/>
        </w:rPr>
        <w:lastRenderedPageBreak/>
        <w:t>中央地質調查所八十二年十二月訂定</w:t>
      </w:r>
      <w:r>
        <w:rPr>
          <w:rFonts w:ascii="細明體" w:eastAsia="細明體" w:hint="eastAsia"/>
        </w:rPr>
        <w:t>『</w:t>
      </w:r>
      <w:r>
        <w:rPr>
          <w:rFonts w:ascii="細明體" w:eastAsia="細明體"/>
        </w:rPr>
        <w:t>經濟部中央地質調查所員工請領交通費注</w:t>
      </w:r>
      <w:r>
        <w:rPr>
          <w:rFonts w:ascii="細明體" w:eastAsia="細明體"/>
        </w:rPr>
        <w:t>意事項</w:t>
      </w:r>
      <w:r>
        <w:rPr>
          <w:rFonts w:ascii="細明體" w:eastAsia="細明體" w:hint="eastAsia"/>
        </w:rPr>
        <w:t>』</w:t>
      </w:r>
      <w:r>
        <w:rPr>
          <w:rFonts w:ascii="細明體" w:eastAsia="細明體"/>
        </w:rPr>
        <w:t>，依其第三點規定：</w:t>
      </w:r>
      <w:r>
        <w:rPr>
          <w:rFonts w:ascii="細明體" w:eastAsia="細明體" w:hint="eastAsia"/>
        </w:rPr>
        <w:t>『</w:t>
      </w:r>
      <w:r>
        <w:rPr>
          <w:rFonts w:ascii="細明體" w:eastAsia="細明體"/>
        </w:rPr>
        <w:t>交通費之支給標準以公車票價為準，並以實際住所至本所所需行程核實計算段數，最多以三段為限，住所至本所路程不足一公里者，不得請領。</w:t>
      </w:r>
      <w:r>
        <w:rPr>
          <w:rFonts w:ascii="細明體" w:eastAsia="細明體" w:hint="eastAsia"/>
        </w:rPr>
        <w:t>』</w:t>
      </w:r>
      <w:r>
        <w:rPr>
          <w:rFonts w:ascii="細明體" w:eastAsia="細明體"/>
        </w:rPr>
        <w:t>該注意事項係服務機關參照</w:t>
      </w:r>
      <w:r>
        <w:rPr>
          <w:rFonts w:ascii="細明體" w:eastAsia="細明體" w:hint="eastAsia"/>
        </w:rPr>
        <w:t>『</w:t>
      </w:r>
      <w:r>
        <w:rPr>
          <w:rFonts w:ascii="細明體" w:eastAsia="細明體"/>
        </w:rPr>
        <w:t>事務管理手冊</w:t>
      </w:r>
      <w:r>
        <w:rPr>
          <w:rFonts w:ascii="細明體" w:eastAsia="細明體" w:hint="eastAsia"/>
        </w:rPr>
        <w:t>』</w:t>
      </w:r>
      <w:r>
        <w:rPr>
          <w:rFonts w:ascii="細明體" w:eastAsia="細明體"/>
        </w:rPr>
        <w:t>車輛管理部分之二十三規定，斟酌其預算經費額度、路程情形，所訂定之裁量基準。卷查本案再申訴人住所距離其服務機關辦公地點，經服務機關相關主管駕駛自用小客車及機車實地測量，距離為八百五十公尺，未達該所</w:t>
      </w:r>
      <w:r>
        <w:rPr>
          <w:rFonts w:ascii="細明體" w:eastAsia="細明體" w:hint="eastAsia"/>
        </w:rPr>
        <w:t>『</w:t>
      </w:r>
      <w:r>
        <w:rPr>
          <w:rFonts w:ascii="細明體" w:eastAsia="細明體"/>
        </w:rPr>
        <w:t>員工請領交通費注意事項</w:t>
      </w:r>
      <w:r>
        <w:rPr>
          <w:rFonts w:ascii="細明體" w:eastAsia="細明體" w:hint="eastAsia"/>
        </w:rPr>
        <w:t>』</w:t>
      </w:r>
      <w:r>
        <w:rPr>
          <w:rFonts w:ascii="細明體" w:eastAsia="細明體"/>
        </w:rPr>
        <w:t>規定之一公里；該所基於機關預算經費額度，考量交通費補助之原意及其他因素，拒絕發給再申訴人交通費，</w:t>
      </w:r>
      <w:r>
        <w:rPr>
          <w:rFonts w:ascii="細明體" w:eastAsia="細明體"/>
        </w:rPr>
        <w:t>核無違法或不當之處。</w:t>
      </w:r>
      <w:r>
        <w:rPr>
          <w:rStyle w:val="a5"/>
          <w:color w:val="000000"/>
        </w:rPr>
        <w:footnoteReference w:id="39"/>
      </w:r>
      <w:r>
        <w:rPr>
          <w:rFonts w:ascii="細明體" w:eastAsia="細明體" w:hint="eastAsia"/>
        </w:rPr>
        <w:t>」觀其意旨，保訓會將交通費補助以申訴案處理，似因系爭補助的法律基礎為「行政規則」，且是否核發繫於服務機關的「裁量」，亦即，當事人並無公法上財產的「請求權」。然則，此一觀點似有將「復審是否合法」與「復審有無理由」混為一談的嫌疑，非無商榷的餘地</w:t>
      </w:r>
      <w:r>
        <w:rPr>
          <w:rStyle w:val="a5"/>
          <w:rFonts w:ascii="細明體" w:eastAsia="細明體"/>
        </w:rPr>
        <w:footnoteReference w:id="40"/>
      </w:r>
      <w:r>
        <w:rPr>
          <w:rFonts w:ascii="細明體" w:eastAsia="細明體" w:hint="eastAsia"/>
        </w:rPr>
        <w:t>。</w:t>
      </w:r>
    </w:p>
    <w:p w:rsidR="00000000" w:rsidRDefault="00EA2FA8">
      <w:pPr>
        <w:pStyle w:val="2"/>
        <w:rPr>
          <w:rFonts w:hint="eastAsia"/>
        </w:rPr>
      </w:pPr>
      <w:bookmarkStart w:id="11" w:name="_Toc61809167"/>
      <w:r>
        <w:rPr>
          <w:rFonts w:hint="eastAsia"/>
        </w:rPr>
        <w:t>第三節</w:t>
      </w:r>
      <w:r>
        <w:rPr>
          <w:rFonts w:hint="eastAsia"/>
        </w:rPr>
        <w:t xml:space="preserve"> </w:t>
      </w:r>
      <w:r>
        <w:rPr>
          <w:rFonts w:hint="eastAsia"/>
        </w:rPr>
        <w:t>申訴標的與復審標的之分野：以公務員調職為中心</w:t>
      </w:r>
      <w:bookmarkEnd w:id="11"/>
    </w:p>
    <w:p w:rsidR="00000000" w:rsidRDefault="00EA2FA8">
      <w:pPr>
        <w:pStyle w:val="22"/>
        <w:ind w:firstLine="560"/>
        <w:rPr>
          <w:rFonts w:hint="eastAsia"/>
        </w:rPr>
      </w:pPr>
      <w:r>
        <w:rPr>
          <w:rFonts w:hint="eastAsia"/>
        </w:rPr>
        <w:t>在公務人員權利救濟實務上，系爭案件是否為復審標的，抑或申訴標的，乃至於得否進入司法救濟程序</w:t>
      </w:r>
      <w:r>
        <w:t>(</w:t>
      </w:r>
      <w:r>
        <w:rPr>
          <w:rFonts w:hint="eastAsia"/>
        </w:rPr>
        <w:t>行政訴訟</w:t>
      </w:r>
      <w:r>
        <w:t>)</w:t>
      </w:r>
      <w:r>
        <w:rPr>
          <w:rFonts w:hint="eastAsia"/>
        </w:rPr>
        <w:t>，最具爭議者，厥</w:t>
      </w:r>
      <w:r>
        <w:rPr>
          <w:rFonts w:hint="eastAsia"/>
        </w:rPr>
        <w:lastRenderedPageBreak/>
        <w:t>為職務調動或調任之問題，而其爭議又主要源於司法院大法官釋字第二四三號解釋</w:t>
      </w:r>
      <w:r>
        <w:rPr>
          <w:rFonts w:hint="eastAsia"/>
        </w:rPr>
        <w:t>第三點謂：「</w:t>
      </w:r>
      <w:r>
        <w:t>由上級機關就其監督範圍內所發布之職務命令，並非影響公務員身分關係之不利益處分，公務員自不得訴請救濟</w:t>
      </w:r>
      <w:r>
        <w:rPr>
          <w:rFonts w:hint="eastAsia"/>
        </w:rPr>
        <w:t>。」故實務上多將公務員職務的調動或調整，解釋為「</w:t>
      </w:r>
      <w:r>
        <w:t>上級機關就其監督範圍內所發布之職務命令</w:t>
      </w:r>
      <w:r>
        <w:rPr>
          <w:rFonts w:hint="eastAsia"/>
        </w:rPr>
        <w:t>」，從而否定其得為復審標的。例如，保訓會之基本立場即為：</w:t>
      </w:r>
      <w:r>
        <w:rPr>
          <w:color w:val="000000"/>
        </w:rPr>
        <w:t>公務人員職務之遷調，因係屬機關內部之人事管理事項，公務人員對職務命令有所不服，僅得依公務人員保障法規定提出申訴、再申訴，尚不得以復審、再復審之程序請求救濟</w:t>
      </w:r>
      <w:r>
        <w:rPr>
          <w:rStyle w:val="a5"/>
          <w:color w:val="000000"/>
        </w:rPr>
        <w:footnoteReference w:id="41"/>
      </w:r>
      <w:r>
        <w:rPr>
          <w:rFonts w:hint="eastAsia"/>
          <w:color w:val="000000"/>
        </w:rPr>
        <w:t>。</w:t>
      </w:r>
      <w:r>
        <w:rPr>
          <w:rFonts w:hint="eastAsia"/>
        </w:rPr>
        <w:t>惟近來保訓會已改變見解而認為：應區分不同的公務人員調動、調遷情況而作不同性質之認定與處理，在特定之職務</w:t>
      </w:r>
      <w:r>
        <w:rPr>
          <w:rFonts w:hint="eastAsia"/>
        </w:rPr>
        <w:t>遷調情況（例如主管調任非主管職務或調任同官等不同升遷序列職務），公務人員如有不服仍得提起復審、再復審以求救濟</w:t>
      </w:r>
      <w:r>
        <w:rPr>
          <w:rStyle w:val="a5"/>
        </w:rPr>
        <w:footnoteReference w:id="42"/>
      </w:r>
      <w:r>
        <w:rPr>
          <w:rFonts w:hint="eastAsia"/>
        </w:rPr>
        <w:t>。</w:t>
      </w:r>
    </w:p>
    <w:p w:rsidR="00000000" w:rsidRDefault="00EA2FA8">
      <w:pPr>
        <w:pStyle w:val="22"/>
        <w:ind w:firstLine="560"/>
        <w:rPr>
          <w:rFonts w:hint="eastAsia"/>
          <w:color w:val="000000"/>
        </w:rPr>
      </w:pPr>
      <w:r>
        <w:rPr>
          <w:rFonts w:hint="eastAsia"/>
        </w:rPr>
        <w:t>然而，大法官上開闡釋如何解讀，乃至於在具體個案上如何適用，均非無深究的餘地，特別是所謂公務員職務的「調遷」或「調任」，原因繁多，情節各異，是以，能否一概將之歸為「職務命令」，而否</w:t>
      </w:r>
      <w:r>
        <w:rPr>
          <w:rFonts w:hint="eastAsia"/>
        </w:rPr>
        <w:lastRenderedPageBreak/>
        <w:t>定公務人員提起復審，乃至於行政訴訟的權利，非無探討的空間。惟礙於篇幅，以下僅擇若干重要案例予以討論，並略作評述。</w:t>
      </w:r>
    </w:p>
    <w:p w:rsidR="00000000" w:rsidRDefault="00EA2FA8">
      <w:pPr>
        <w:pStyle w:val="3"/>
      </w:pPr>
      <w:bookmarkStart w:id="12" w:name="_Toc12653501"/>
      <w:bookmarkStart w:id="13" w:name="_Toc61809168"/>
      <w:r>
        <w:rPr>
          <w:rFonts w:hint="eastAsia"/>
        </w:rPr>
        <w:t>第一項</w:t>
      </w:r>
      <w:r>
        <w:rPr>
          <w:rFonts w:hint="eastAsia"/>
        </w:rPr>
        <w:t xml:space="preserve"> </w:t>
      </w:r>
      <w:r>
        <w:rPr>
          <w:rFonts w:hint="eastAsia"/>
        </w:rPr>
        <w:t>公務人員職務調派問題</w:t>
      </w:r>
      <w:bookmarkEnd w:id="12"/>
      <w:bookmarkEnd w:id="13"/>
    </w:p>
    <w:p w:rsidR="00000000" w:rsidRDefault="00EA2FA8">
      <w:pPr>
        <w:pStyle w:val="23"/>
        <w:ind w:firstLine="560"/>
        <w:rPr>
          <w:rFonts w:ascii="新細明體" w:hAnsi="Verdana" w:hint="eastAsia"/>
        </w:rPr>
      </w:pPr>
      <w:r>
        <w:rPr>
          <w:rFonts w:hint="eastAsia"/>
          <w:color w:val="000000"/>
        </w:rPr>
        <w:t>關於公務人員職務調任的問題，大體上有二種情形：一是由公務人員主動請求調任；另</w:t>
      </w:r>
      <w:r>
        <w:rPr>
          <w:rFonts w:hint="eastAsia"/>
          <w:color w:val="000000"/>
        </w:rPr>
        <w:t>一是由服務機關予以調任</w:t>
      </w:r>
      <w:r>
        <w:rPr>
          <w:color w:val="000000"/>
        </w:rPr>
        <w:t>(</w:t>
      </w:r>
      <w:r>
        <w:rPr>
          <w:rFonts w:hint="eastAsia"/>
          <w:color w:val="000000"/>
        </w:rPr>
        <w:t>被動調任</w:t>
      </w:r>
      <w:r>
        <w:rPr>
          <w:color w:val="000000"/>
        </w:rPr>
        <w:t>)</w:t>
      </w:r>
      <w:r>
        <w:rPr>
          <w:rFonts w:hint="eastAsia"/>
          <w:color w:val="000000"/>
        </w:rPr>
        <w:t>。</w:t>
      </w:r>
    </w:p>
    <w:p w:rsidR="00000000" w:rsidRDefault="00EA2FA8">
      <w:pPr>
        <w:pStyle w:val="4"/>
        <w:rPr>
          <w:rFonts w:hint="eastAsia"/>
        </w:rPr>
      </w:pPr>
      <w:bookmarkStart w:id="14" w:name="_Toc12653502"/>
      <w:bookmarkStart w:id="15" w:name="_Toc61809169"/>
      <w:r>
        <w:rPr>
          <w:rFonts w:hint="eastAsia"/>
        </w:rPr>
        <w:t>壹、請求調動職務事件</w:t>
      </w:r>
      <w:bookmarkEnd w:id="14"/>
      <w:bookmarkEnd w:id="15"/>
    </w:p>
    <w:p w:rsidR="00000000" w:rsidRDefault="00EA2FA8">
      <w:pPr>
        <w:pStyle w:val="23"/>
        <w:ind w:firstLine="560"/>
        <w:rPr>
          <w:rFonts w:ascii="新細明體" w:hAnsi="Verdana" w:hint="eastAsia"/>
        </w:rPr>
      </w:pPr>
      <w:r>
        <w:rPr>
          <w:rFonts w:hint="eastAsia"/>
          <w:color w:val="000000"/>
        </w:rPr>
        <w:t>關於主動請調事件，於實務上有二則再申訴決定，值得研究，其事實略以：</w:t>
      </w:r>
    </w:p>
    <w:p w:rsidR="00000000" w:rsidRDefault="00EA2FA8">
      <w:pPr>
        <w:pStyle w:val="22"/>
        <w:ind w:firstLine="560"/>
        <w:rPr>
          <w:rFonts w:hint="eastAsia"/>
        </w:rPr>
      </w:pPr>
      <w:r>
        <w:t>1.</w:t>
      </w:r>
      <w:r>
        <w:rPr>
          <w:rFonts w:hint="eastAsia"/>
        </w:rPr>
        <w:t>某市立職業學校薦任七第職等文教行政幹事，請求調派擔任該校夜間部組長，遭該校否決，而提起復審</w:t>
      </w:r>
      <w:r>
        <w:rPr>
          <w:rStyle w:val="a5"/>
          <w:color w:val="000000"/>
        </w:rPr>
        <w:footnoteReference w:id="43"/>
      </w:r>
      <w:r>
        <w:rPr>
          <w:rFonts w:hint="eastAsia"/>
        </w:rPr>
        <w:t>。</w:t>
      </w:r>
    </w:p>
    <w:p w:rsidR="00000000" w:rsidRDefault="00EA2FA8">
      <w:pPr>
        <w:pStyle w:val="22"/>
        <w:ind w:firstLine="560"/>
        <w:rPr>
          <w:rFonts w:hint="eastAsia"/>
        </w:rPr>
      </w:pPr>
      <w:r>
        <w:t>2.</w:t>
      </w:r>
      <w:r>
        <w:rPr>
          <w:rFonts w:hint="eastAsia"/>
        </w:rPr>
        <w:t>某國立大學工學院技士，原於七十九年任該校技佐職務，於八十二年經教育部審定予以任用，八十三年經銓敘部審定以技術人員任用。八十八年應專門職業及技術人員高考工業安全技師考試及格，爰於九十年經該校工學院院長簽請改派為薦任技士，惟該校以「專門職業及技術人員考試及格人員轉任公務人員考試類科適</w:t>
      </w:r>
      <w:r>
        <w:rPr>
          <w:rFonts w:hint="eastAsia"/>
        </w:rPr>
        <w:t>用職係對照表」</w:t>
      </w:r>
      <w:r>
        <w:t>(</w:t>
      </w:r>
      <w:r>
        <w:rPr>
          <w:rFonts w:hint="eastAsia"/>
        </w:rPr>
        <w:t>以下簡稱職技對照表</w:t>
      </w:r>
      <w:r>
        <w:t>)</w:t>
      </w:r>
      <w:r>
        <w:rPr>
          <w:rFonts w:hint="eastAsia"/>
        </w:rPr>
        <w:t>中並無工業安全技師類科，予以否准，當事人不服，提起復審</w:t>
      </w:r>
      <w:r>
        <w:rPr>
          <w:rStyle w:val="a5"/>
          <w:color w:val="000000"/>
        </w:rPr>
        <w:footnoteReference w:id="44"/>
      </w:r>
      <w:r>
        <w:rPr>
          <w:rFonts w:hint="eastAsia"/>
        </w:rPr>
        <w:t>。</w:t>
      </w:r>
    </w:p>
    <w:p w:rsidR="00000000" w:rsidRDefault="00EA2FA8">
      <w:pPr>
        <w:pStyle w:val="22"/>
        <w:ind w:firstLine="560"/>
        <w:rPr>
          <w:rFonts w:hint="eastAsia"/>
        </w:rPr>
      </w:pPr>
      <w:r>
        <w:rPr>
          <w:rFonts w:hint="eastAsia"/>
        </w:rPr>
        <w:lastRenderedPageBreak/>
        <w:t>對於上述二則復審請求，保訓會均認為：「</w:t>
      </w:r>
      <w:r>
        <w:rPr>
          <w:rFonts w:eastAsia="標楷體" w:hint="eastAsia"/>
        </w:rPr>
        <w:t>職務之調派與否</w:t>
      </w:r>
      <w:r>
        <w:rPr>
          <w:rFonts w:hint="eastAsia"/>
        </w:rPr>
        <w:t>，尚非屬得提起復審、再復審及行政訴訟之範圍，係屬</w:t>
      </w:r>
      <w:r>
        <w:rPr>
          <w:rFonts w:eastAsia="標楷體" w:hint="eastAsia"/>
        </w:rPr>
        <w:t>機關所為之管理措施</w:t>
      </w:r>
      <w:r>
        <w:rPr>
          <w:rFonts w:hint="eastAsia"/>
        </w:rPr>
        <w:t>，核屬申訴、再申訴之範圍」。對於此項見解，保訓會部分委員持不同意見，前者有周世珍、陳淞山、周志宏三位委員提出不同意見書；後者則由周志宏、李英毅二位委員及陳淞山委員各提出一份不同意見書，力主系爭案件應屬復審、再復審的範圍</w:t>
      </w:r>
      <w:r>
        <w:rPr>
          <w:rStyle w:val="a5"/>
          <w:color w:val="000000"/>
        </w:rPr>
        <w:footnoteReference w:id="45"/>
      </w:r>
      <w:r>
        <w:rPr>
          <w:rFonts w:hint="eastAsia"/>
        </w:rPr>
        <w:t>。</w:t>
      </w:r>
    </w:p>
    <w:p w:rsidR="00000000" w:rsidRDefault="00EA2FA8">
      <w:pPr>
        <w:pStyle w:val="22"/>
        <w:ind w:firstLine="560"/>
        <w:rPr>
          <w:rFonts w:hint="eastAsia"/>
        </w:rPr>
      </w:pPr>
      <w:r>
        <w:rPr>
          <w:rFonts w:hint="eastAsia"/>
        </w:rPr>
        <w:t>就上述事實觀之，其共通的特徵為，皆為「同一機關」內部的職務改變，不同之處是</w:t>
      </w:r>
      <w:r>
        <w:rPr>
          <w:rFonts w:hint="eastAsia"/>
        </w:rPr>
        <w:t>，前者為職位的改變</w:t>
      </w:r>
      <w:r>
        <w:t>(</w:t>
      </w:r>
      <w:r>
        <w:rPr>
          <w:rFonts w:hint="eastAsia"/>
        </w:rPr>
        <w:t>行政幹事</w:t>
      </w:r>
      <w:r>
        <w:rPr>
          <w:rFonts w:ascii="新細明體" w:hint="eastAsia"/>
        </w:rPr>
        <w:t>→</w:t>
      </w:r>
      <w:r>
        <w:rPr>
          <w:rFonts w:hint="eastAsia"/>
        </w:rPr>
        <w:t>夜間部組長</w:t>
      </w:r>
      <w:r>
        <w:t>)</w:t>
      </w:r>
      <w:r>
        <w:rPr>
          <w:rFonts w:hint="eastAsia"/>
        </w:rPr>
        <w:t>；後者為職系的改變</w:t>
      </w:r>
      <w:r>
        <w:t>(</w:t>
      </w:r>
      <w:r>
        <w:rPr>
          <w:rFonts w:hint="eastAsia"/>
        </w:rPr>
        <w:t>技術人員</w:t>
      </w:r>
      <w:r>
        <w:rPr>
          <w:rFonts w:ascii="新細明體" w:hint="eastAsia"/>
        </w:rPr>
        <w:t>→</w:t>
      </w:r>
      <w:r>
        <w:rPr>
          <w:rFonts w:hint="eastAsia"/>
        </w:rPr>
        <w:t>薦任技士</w:t>
      </w:r>
      <w:r>
        <w:t>)</w:t>
      </w:r>
      <w:r>
        <w:rPr>
          <w:rFonts w:hint="eastAsia"/>
        </w:rPr>
        <w:t>。</w:t>
      </w:r>
    </w:p>
    <w:p w:rsidR="00000000" w:rsidRDefault="00EA2FA8">
      <w:pPr>
        <w:pStyle w:val="22"/>
        <w:ind w:firstLine="560"/>
        <w:rPr>
          <w:rFonts w:hint="eastAsia"/>
        </w:rPr>
      </w:pPr>
      <w:r>
        <w:rPr>
          <w:rFonts w:hint="eastAsia"/>
          <w:color w:val="000000"/>
        </w:rPr>
        <w:t>一般而言，於同一機關內部不同職位的調整，應屬而為內部管理措施，而就前者而言，當事人所請，似乎僅是工作職務的改變，亦即，</w:t>
      </w:r>
      <w:r>
        <w:rPr>
          <w:color w:val="000000"/>
        </w:rPr>
        <w:t>(</w:t>
      </w:r>
      <w:r>
        <w:rPr>
          <w:rFonts w:hint="eastAsia"/>
          <w:color w:val="000000"/>
        </w:rPr>
        <w:t>行政幹事</w:t>
      </w:r>
      <w:r>
        <w:rPr>
          <w:rFonts w:ascii="新細明體" w:hint="eastAsia"/>
          <w:color w:val="000000"/>
        </w:rPr>
        <w:t>→</w:t>
      </w:r>
      <w:r>
        <w:rPr>
          <w:rFonts w:hint="eastAsia"/>
          <w:color w:val="000000"/>
        </w:rPr>
        <w:t>夜間部組長</w:t>
      </w:r>
      <w:r>
        <w:rPr>
          <w:color w:val="000000"/>
        </w:rPr>
        <w:t>)</w:t>
      </w:r>
      <w:r>
        <w:rPr>
          <w:rFonts w:hint="eastAsia"/>
          <w:color w:val="000000"/>
        </w:rPr>
        <w:t>，就此而言，當事人所請似非具有外部效力的行政處分。然則，就事實深入觀之，</w:t>
      </w:r>
      <w:r>
        <w:t>本案</w:t>
      </w:r>
      <w:r>
        <w:rPr>
          <w:rFonts w:hint="eastAsia"/>
        </w:rPr>
        <w:t>當事人自</w:t>
      </w:r>
      <w:r>
        <w:t>七十四年考試及格，經分發</w:t>
      </w:r>
      <w:r>
        <w:rPr>
          <w:rFonts w:hint="eastAsia"/>
        </w:rPr>
        <w:t>於該校任行政幹事</w:t>
      </w:r>
      <w:r>
        <w:t>已逾十三年，</w:t>
      </w:r>
      <w:r>
        <w:rPr>
          <w:rFonts w:hint="eastAsia"/>
        </w:rPr>
        <w:t>其所</w:t>
      </w:r>
      <w:r>
        <w:t>請求</w:t>
      </w:r>
      <w:r>
        <w:rPr>
          <w:rFonts w:hint="eastAsia"/>
        </w:rPr>
        <w:t>，表面而言，看似</w:t>
      </w:r>
      <w:r>
        <w:t>調派擔任該校夜間部組長職</w:t>
      </w:r>
      <w:r>
        <w:rPr>
          <w:rFonts w:hint="eastAsia"/>
        </w:rPr>
        <w:t>，實際上寓有請求陞任較高職務的用意，是以，該校所為否准決定，名為拒絕調派職位，實為拒絕陞遷，</w:t>
      </w:r>
      <w:r>
        <w:rPr>
          <w:rFonts w:hint="eastAsia"/>
        </w:rPr>
        <w:lastRenderedPageBreak/>
        <w:t>其與單純</w:t>
      </w:r>
      <w:r>
        <w:rPr>
          <w:rFonts w:hint="eastAsia"/>
        </w:rPr>
        <w:t>內部管理措施</w:t>
      </w:r>
      <w:r>
        <w:t>，</w:t>
      </w:r>
      <w:r>
        <w:rPr>
          <w:rFonts w:hint="eastAsia"/>
        </w:rPr>
        <w:t>有所差異。準此以言，當事人得否循復審及行政訴訟，謀求救濟，所應審究者，乃「</w:t>
      </w:r>
      <w:r>
        <w:rPr>
          <w:rFonts w:eastAsia="標楷體" w:hint="eastAsia"/>
        </w:rPr>
        <w:t>公務員的陞遷</w:t>
      </w:r>
      <w:r>
        <w:rPr>
          <w:rFonts w:hint="eastAsia"/>
        </w:rPr>
        <w:t>」是否屬於公務員服公職有重大影響的事項。按</w:t>
      </w:r>
      <w:r>
        <w:t>公務人員之陞遷，除直接影響其官職等及俸級外，並與公務人員將服公職作為一種終身之志業，並藉此充分達成自我實現、獲得自我尊嚴有密切之關係。因此，已擔任公職之公務人員，依其品德、學識、才能、經驗、體格以及對國家之忠誠等條件，在公開、公平、公正之競爭及合理之陞遷制度下，循序陞遷發展，以使其能適才適所、充分實現自我，應屬憲法保障人民服公職權利不可或缺的重要部分</w:t>
      </w:r>
      <w:r>
        <w:rPr>
          <w:rStyle w:val="a5"/>
        </w:rPr>
        <w:footnoteReference w:id="46"/>
      </w:r>
      <w:r>
        <w:rPr>
          <w:rFonts w:hint="eastAsia"/>
        </w:rPr>
        <w:t>。我國於</w:t>
      </w:r>
      <w:r>
        <w:t>2000</w:t>
      </w:r>
      <w:r>
        <w:rPr>
          <w:rFonts w:hint="eastAsia"/>
        </w:rPr>
        <w:t>年</w:t>
      </w:r>
      <w:r>
        <w:t>5</w:t>
      </w:r>
      <w:r>
        <w:rPr>
          <w:rFonts w:hint="eastAsia"/>
        </w:rPr>
        <w:t>月</w:t>
      </w:r>
      <w:r>
        <w:t>17</w:t>
      </w:r>
      <w:r>
        <w:rPr>
          <w:rFonts w:hint="eastAsia"/>
        </w:rPr>
        <w:t>日制頒的「公務人員陞遷法」，亦於第十五條明定：「</w:t>
      </w:r>
      <w:r>
        <w:t>公務人員對本機關辦理之陞遷，如認為有違法致損害其權益者，得依公務人員保障法提起救濟</w:t>
      </w:r>
      <w:r>
        <w:rPr>
          <w:rFonts w:hint="eastAsia"/>
        </w:rPr>
        <w:t>。」是以，系爭案件應</w:t>
      </w:r>
      <w:r>
        <w:t>屬對公務人員服公職權利有重大影響</w:t>
      </w:r>
      <w:r>
        <w:rPr>
          <w:rFonts w:hint="eastAsia"/>
        </w:rPr>
        <w:t>的</w:t>
      </w:r>
      <w:r>
        <w:t>處分，</w:t>
      </w:r>
      <w:r>
        <w:rPr>
          <w:rFonts w:hint="eastAsia"/>
        </w:rPr>
        <w:t>從而</w:t>
      </w:r>
      <w:r>
        <w:t>應</w:t>
      </w:r>
      <w:r>
        <w:rPr>
          <w:rFonts w:hint="eastAsia"/>
        </w:rPr>
        <w:t>可</w:t>
      </w:r>
      <w:r>
        <w:t>依復審、再復審程序</w:t>
      </w:r>
      <w:r>
        <w:rPr>
          <w:rFonts w:hint="eastAsia"/>
        </w:rPr>
        <w:t>，謀求救濟</w:t>
      </w:r>
      <w:r>
        <w:rPr>
          <w:rStyle w:val="a5"/>
        </w:rPr>
        <w:footnoteReference w:id="47"/>
      </w:r>
      <w:r>
        <w:t>。</w:t>
      </w:r>
    </w:p>
    <w:p w:rsidR="00000000" w:rsidRDefault="00EA2FA8">
      <w:pPr>
        <w:pStyle w:val="22"/>
        <w:ind w:firstLine="560"/>
        <w:rPr>
          <w:rFonts w:hint="eastAsia"/>
        </w:rPr>
      </w:pPr>
      <w:r>
        <w:rPr>
          <w:rFonts w:hint="eastAsia"/>
        </w:rPr>
        <w:t>其次，就後一案件而言，其與前者不同之處，當事人所請求者，其實並非職務的變動，而是職系的轉換</w:t>
      </w:r>
      <w:r>
        <w:t>(</w:t>
      </w:r>
      <w:r>
        <w:rPr>
          <w:rFonts w:hint="eastAsia"/>
        </w:rPr>
        <w:t>技術人員</w:t>
      </w:r>
      <w:r>
        <w:rPr>
          <w:rFonts w:ascii="新細明體" w:hint="eastAsia"/>
        </w:rPr>
        <w:t>→</w:t>
      </w:r>
      <w:r>
        <w:rPr>
          <w:rFonts w:hint="eastAsia"/>
        </w:rPr>
        <w:t>薦任技士</w:t>
      </w:r>
      <w:r>
        <w:t>)</w:t>
      </w:r>
      <w:r>
        <w:rPr>
          <w:rFonts w:hint="eastAsia"/>
        </w:rPr>
        <w:t>，甚至是更易為較高職等，此點與前案相較，尤為明顯。再觀其爭執理由，</w:t>
      </w:r>
      <w:r>
        <w:rPr>
          <w:rFonts w:hint="eastAsia"/>
        </w:rPr>
        <w:lastRenderedPageBreak/>
        <w:t>其系爭條文為</w:t>
      </w:r>
      <w:r>
        <w:t>專門職業及技術人員轉任公務人員條例第五條規定：「經專門職業及技術人員高等考試或相</w:t>
      </w:r>
      <w:r>
        <w:t>當之特種考試及格後，曾實際從事相當之專門職業或技術職務二年以上，成績優良有證明文件者，得轉任薦任第六職等職務。」</w:t>
      </w:r>
      <w:r>
        <w:rPr>
          <w:rFonts w:hint="eastAsia"/>
        </w:rPr>
        <w:t>據此規定可知，</w:t>
      </w:r>
      <w:r>
        <w:t>專門職業及技術人員，</w:t>
      </w:r>
      <w:r>
        <w:rPr>
          <w:rFonts w:hint="eastAsia"/>
        </w:rPr>
        <w:t>經</w:t>
      </w:r>
      <w:r>
        <w:t>考試及格</w:t>
      </w:r>
      <w:r>
        <w:rPr>
          <w:rFonts w:hint="eastAsia"/>
        </w:rPr>
        <w:t>，且</w:t>
      </w:r>
      <w:r>
        <w:t>具實際從事相當專門職業或技術職務二年以上年資</w:t>
      </w:r>
      <w:r>
        <w:rPr>
          <w:rFonts w:hint="eastAsia"/>
        </w:rPr>
        <w:t>者，</w:t>
      </w:r>
      <w:r>
        <w:t>即得取得轉任公務人員薦任第六職等職務</w:t>
      </w:r>
      <w:r>
        <w:rPr>
          <w:rFonts w:hint="eastAsia"/>
        </w:rPr>
        <w:t>的</w:t>
      </w:r>
      <w:r>
        <w:t>任用資格。</w:t>
      </w:r>
      <w:r>
        <w:rPr>
          <w:rFonts w:hint="eastAsia"/>
        </w:rPr>
        <w:t>是以，本件的爭執標的實為當事人是</w:t>
      </w:r>
      <w:r>
        <w:t>否具備轉任</w:t>
      </w:r>
      <w:r>
        <w:rPr>
          <w:rFonts w:hint="eastAsia"/>
        </w:rPr>
        <w:t>薦任</w:t>
      </w:r>
      <w:r>
        <w:t>公務人員</w:t>
      </w:r>
      <w:r>
        <w:rPr>
          <w:rFonts w:hint="eastAsia"/>
        </w:rPr>
        <w:t>的</w:t>
      </w:r>
      <w:r>
        <w:t>任用資格</w:t>
      </w:r>
      <w:r>
        <w:rPr>
          <w:rFonts w:hint="eastAsia"/>
        </w:rPr>
        <w:t>，服務機關所為的否准決定，</w:t>
      </w:r>
      <w:r>
        <w:t>參</w:t>
      </w:r>
      <w:r>
        <w:rPr>
          <w:rFonts w:hint="eastAsia"/>
        </w:rPr>
        <w:t>諸</w:t>
      </w:r>
      <w:r>
        <w:t>司法院釋字第三二三號解釋</w:t>
      </w:r>
      <w:r>
        <w:rPr>
          <w:rFonts w:hint="eastAsia"/>
        </w:rPr>
        <w:t>的意旨，應屬</w:t>
      </w:r>
      <w:r>
        <w:t>對公務人員有重大影響</w:t>
      </w:r>
      <w:r>
        <w:rPr>
          <w:rFonts w:hint="eastAsia"/>
        </w:rPr>
        <w:t>的</w:t>
      </w:r>
      <w:r>
        <w:t>行政處分</w:t>
      </w:r>
      <w:r>
        <w:rPr>
          <w:rStyle w:val="a5"/>
          <w:color w:val="000000"/>
        </w:rPr>
        <w:footnoteReference w:id="48"/>
      </w:r>
      <w:r>
        <w:rPr>
          <w:rFonts w:hint="eastAsia"/>
        </w:rPr>
        <w:t>，從而構成</w:t>
      </w:r>
      <w:r>
        <w:t>復審、再復審</w:t>
      </w:r>
      <w:r>
        <w:rPr>
          <w:rFonts w:hint="eastAsia"/>
        </w:rPr>
        <w:t>的</w:t>
      </w:r>
      <w:r>
        <w:t>範圍</w:t>
      </w:r>
      <w:r>
        <w:rPr>
          <w:rStyle w:val="a5"/>
          <w:color w:val="000000"/>
        </w:rPr>
        <w:footnoteReference w:id="49"/>
      </w:r>
      <w:r>
        <w:rPr>
          <w:rFonts w:hint="eastAsia"/>
        </w:rPr>
        <w:t>。</w:t>
      </w:r>
    </w:p>
    <w:p w:rsidR="00000000" w:rsidRDefault="00EA2FA8">
      <w:pPr>
        <w:pStyle w:val="4"/>
        <w:rPr>
          <w:rFonts w:hint="eastAsia"/>
        </w:rPr>
      </w:pPr>
      <w:bookmarkStart w:id="16" w:name="_Toc12653503"/>
      <w:bookmarkStart w:id="17" w:name="_Toc61809170"/>
      <w:r>
        <w:rPr>
          <w:rFonts w:hint="eastAsia"/>
        </w:rPr>
        <w:t>貳、職務受調動事件</w:t>
      </w:r>
      <w:bookmarkEnd w:id="16"/>
      <w:bookmarkEnd w:id="17"/>
    </w:p>
    <w:p w:rsidR="00000000" w:rsidRDefault="00EA2FA8">
      <w:pPr>
        <w:pStyle w:val="23"/>
        <w:ind w:firstLine="560"/>
        <w:rPr>
          <w:rFonts w:hint="eastAsia"/>
        </w:rPr>
      </w:pPr>
      <w:r>
        <w:rPr>
          <w:rFonts w:hint="eastAsia"/>
        </w:rPr>
        <w:t>公務人員因職務受調動而提起救濟者，於實務</w:t>
      </w:r>
      <w:r>
        <w:rPr>
          <w:rFonts w:hint="eastAsia"/>
        </w:rPr>
        <w:t>上數量極夥，保訓會前後決定頗為分歧，茲試擇案例十則，充作比較討論的基礎：</w:t>
      </w:r>
    </w:p>
    <w:p w:rsidR="00000000" w:rsidRDefault="00EA2FA8">
      <w:pPr>
        <w:pStyle w:val="23"/>
        <w:ind w:firstLine="560"/>
      </w:pPr>
      <w:r>
        <w:rPr>
          <w:rFonts w:ascii="新細明體" w:hint="eastAsia"/>
        </w:rPr>
        <w:t>《</w:t>
      </w:r>
      <w:r>
        <w:rPr>
          <w:rFonts w:hint="eastAsia"/>
        </w:rPr>
        <w:t>案</w:t>
      </w:r>
      <w:r>
        <w:t>1</w:t>
      </w:r>
      <w:r>
        <w:rPr>
          <w:rFonts w:hint="eastAsia"/>
        </w:rPr>
        <w:t>》基隆市暖暖區戶政事務所主任被調任為同市中山區公所</w:t>
      </w:r>
      <w:r>
        <w:rPr>
          <w:rFonts w:hint="eastAsia"/>
        </w:rPr>
        <w:lastRenderedPageBreak/>
        <w:t>秘書，當事人不服，提起復審，保訓會改以申訴案處理</w:t>
      </w:r>
      <w:r>
        <w:rPr>
          <w:rStyle w:val="a5"/>
        </w:rPr>
        <w:footnoteReference w:id="50"/>
      </w:r>
      <w:r>
        <w:rPr>
          <w:rFonts w:hint="eastAsia"/>
        </w:rPr>
        <w:t>。</w:t>
      </w:r>
    </w:p>
    <w:p w:rsidR="00000000" w:rsidRDefault="00EA2FA8">
      <w:pPr>
        <w:pStyle w:val="23"/>
        <w:ind w:firstLine="560"/>
      </w:pPr>
      <w:r>
        <w:rPr>
          <w:rFonts w:ascii="新細明體" w:hint="eastAsia"/>
        </w:rPr>
        <w:t>《案</w:t>
      </w:r>
      <w:r>
        <w:t>2</w:t>
      </w:r>
      <w:r>
        <w:rPr>
          <w:rFonts w:hint="eastAsia"/>
        </w:rPr>
        <w:t>》行政院退輔會鳳林榮民醫院簡任第十二職等院長被調任為高雄榮總衛生環保行政職系簡任第十職等秘書，當事人不服，提起申訴，保訓會亦以申訴案處理</w:t>
      </w:r>
      <w:r>
        <w:rPr>
          <w:rStyle w:val="a5"/>
        </w:rPr>
        <w:footnoteReference w:id="51"/>
      </w:r>
      <w:r>
        <w:rPr>
          <w:rFonts w:hint="eastAsia"/>
        </w:rPr>
        <w:t>。</w:t>
      </w:r>
    </w:p>
    <w:p w:rsidR="00000000" w:rsidRDefault="00EA2FA8">
      <w:pPr>
        <w:pStyle w:val="23"/>
        <w:ind w:firstLine="560"/>
        <w:rPr>
          <w:rFonts w:hint="eastAsia"/>
        </w:rPr>
      </w:pPr>
      <w:r>
        <w:rPr>
          <w:rFonts w:ascii="新細明體" w:hint="eastAsia"/>
        </w:rPr>
        <w:t>《案</w:t>
      </w:r>
      <w:r>
        <w:t>3</w:t>
      </w:r>
      <w:r>
        <w:rPr>
          <w:rFonts w:hint="eastAsia"/>
        </w:rPr>
        <w:t>》高雄市政府警察局前鎮分局民防組長被調任為該局一般行政職系薦任科員，當事人不服，提起復審，其服務機關以申訴案處理，保訓會改以復審案處理</w:t>
      </w:r>
      <w:r>
        <w:rPr>
          <w:rStyle w:val="a5"/>
        </w:rPr>
        <w:footnoteReference w:id="52"/>
      </w:r>
      <w:r>
        <w:rPr>
          <w:rFonts w:hint="eastAsia"/>
        </w:rPr>
        <w:t>。</w:t>
      </w:r>
    </w:p>
    <w:p w:rsidR="00000000" w:rsidRDefault="00EA2FA8">
      <w:pPr>
        <w:pStyle w:val="23"/>
        <w:ind w:firstLine="560"/>
      </w:pPr>
      <w:r>
        <w:rPr>
          <w:rFonts w:ascii="新細明體" w:hint="eastAsia"/>
        </w:rPr>
        <w:t>《案</w:t>
      </w:r>
      <w:r>
        <w:t>4</w:t>
      </w:r>
      <w:r>
        <w:rPr>
          <w:rFonts w:hint="eastAsia"/>
        </w:rPr>
        <w:t>》台南市政府建設局公用課薦任</w:t>
      </w:r>
      <w:r>
        <w:rPr>
          <w:rFonts w:hint="eastAsia"/>
        </w:rPr>
        <w:t>第八職等課長被調任為該府交通局薦任第六至第七職等技士，當事人不服，提起申訴，保訓會亦以申訴案處理</w:t>
      </w:r>
      <w:r>
        <w:rPr>
          <w:rStyle w:val="a5"/>
        </w:rPr>
        <w:footnoteReference w:id="53"/>
      </w:r>
      <w:r>
        <w:rPr>
          <w:rFonts w:hint="eastAsia"/>
        </w:rPr>
        <w:t>。</w:t>
      </w:r>
    </w:p>
    <w:p w:rsidR="00000000" w:rsidRDefault="00EA2FA8">
      <w:pPr>
        <w:pStyle w:val="23"/>
        <w:ind w:firstLine="560"/>
      </w:pPr>
      <w:r>
        <w:rPr>
          <w:rFonts w:ascii="新細明體" w:hint="eastAsia"/>
        </w:rPr>
        <w:t>《案</w:t>
      </w:r>
      <w:r>
        <w:t>5</w:t>
      </w:r>
      <w:r>
        <w:rPr>
          <w:rFonts w:hint="eastAsia"/>
        </w:rPr>
        <w:t>》交通部郵政總局北區郵政管理局運輸科轉運股業務佐被調任為同局郵件接送員，當事人不服，提起復審，保訓會改以申訴案處理</w:t>
      </w:r>
      <w:r>
        <w:rPr>
          <w:rStyle w:val="a5"/>
        </w:rPr>
        <w:footnoteReference w:id="54"/>
      </w:r>
      <w:r>
        <w:rPr>
          <w:rFonts w:hint="eastAsia"/>
        </w:rPr>
        <w:t>。</w:t>
      </w:r>
    </w:p>
    <w:p w:rsidR="00000000" w:rsidRDefault="00EA2FA8">
      <w:pPr>
        <w:pStyle w:val="23"/>
        <w:ind w:firstLine="560"/>
      </w:pPr>
      <w:r>
        <w:rPr>
          <w:rFonts w:ascii="新細明體" w:hint="eastAsia"/>
        </w:rPr>
        <w:t>《案</w:t>
      </w:r>
      <w:r>
        <w:t>6</w:t>
      </w:r>
      <w:r>
        <w:rPr>
          <w:rFonts w:hint="eastAsia"/>
        </w:rPr>
        <w:t>》內政部警政署保安警察第五總隊大隊長被調任為同總隊</w:t>
      </w:r>
      <w:r>
        <w:rPr>
          <w:rFonts w:hint="eastAsia"/>
        </w:rPr>
        <w:lastRenderedPageBreak/>
        <w:t>督察，當事人不服，提起申訴，保訓會亦以申訴案處理</w:t>
      </w:r>
      <w:r>
        <w:rPr>
          <w:rStyle w:val="a5"/>
        </w:rPr>
        <w:footnoteReference w:id="55"/>
      </w:r>
      <w:r>
        <w:rPr>
          <w:rFonts w:hint="eastAsia"/>
        </w:rPr>
        <w:t>。</w:t>
      </w:r>
    </w:p>
    <w:p w:rsidR="00000000" w:rsidRDefault="00EA2FA8">
      <w:pPr>
        <w:pStyle w:val="23"/>
        <w:ind w:firstLine="560"/>
        <w:rPr>
          <w:rFonts w:hint="eastAsia"/>
        </w:rPr>
      </w:pPr>
      <w:r>
        <w:rPr>
          <w:rFonts w:ascii="新細明體" w:hint="eastAsia"/>
        </w:rPr>
        <w:t>《案</w:t>
      </w:r>
      <w:r>
        <w:t>7</w:t>
      </w:r>
      <w:r>
        <w:rPr>
          <w:rFonts w:hint="eastAsia"/>
        </w:rPr>
        <w:t>》國立科學工藝博物館薦任第八職等至第九職等電子工程職系技工被調任為薦任第六職等至第七職等電力工程職系技工，當事人不服，提起復審，其服務機關以申訴案處理</w:t>
      </w:r>
      <w:r>
        <w:rPr>
          <w:rStyle w:val="a5"/>
        </w:rPr>
        <w:footnoteReference w:id="56"/>
      </w:r>
      <w:r>
        <w:rPr>
          <w:rFonts w:hint="eastAsia"/>
        </w:rPr>
        <w:t>。</w:t>
      </w:r>
    </w:p>
    <w:p w:rsidR="00000000" w:rsidRDefault="00EA2FA8">
      <w:pPr>
        <w:pStyle w:val="23"/>
        <w:ind w:firstLine="560"/>
        <w:rPr>
          <w:rFonts w:hint="eastAsia"/>
        </w:rPr>
      </w:pPr>
      <w:r>
        <w:rPr>
          <w:rFonts w:ascii="新細明體" w:hint="eastAsia"/>
        </w:rPr>
        <w:t>《案</w:t>
      </w:r>
      <w:r>
        <w:t>8</w:t>
      </w:r>
      <w:r>
        <w:rPr>
          <w:rFonts w:hint="eastAsia"/>
        </w:rPr>
        <w:t>》臺北</w:t>
      </w:r>
      <w:r>
        <w:rPr>
          <w:rFonts w:hint="eastAsia"/>
        </w:rPr>
        <w:t>市政府警察局中山分局主任</w:t>
      </w:r>
      <w:r>
        <w:t>(</w:t>
      </w:r>
      <w:r>
        <w:rPr>
          <w:rFonts w:hint="eastAsia"/>
        </w:rPr>
        <w:t>警正二階</w:t>
      </w:r>
      <w:r>
        <w:t>)</w:t>
      </w:r>
      <w:r>
        <w:rPr>
          <w:rFonts w:hint="eastAsia"/>
        </w:rPr>
        <w:t>被調任為同局科員</w:t>
      </w:r>
      <w:r>
        <w:t>(</w:t>
      </w:r>
      <w:r>
        <w:rPr>
          <w:rFonts w:hint="eastAsia"/>
        </w:rPr>
        <w:t>警佐一階至警正三階</w:t>
      </w:r>
      <w:r>
        <w:t>)</w:t>
      </w:r>
      <w:r>
        <w:rPr>
          <w:rFonts w:hint="eastAsia"/>
        </w:rPr>
        <w:t>，當事人不服，提起申訴，保訓會改以復審案處理</w:t>
      </w:r>
      <w:r>
        <w:rPr>
          <w:rStyle w:val="a5"/>
        </w:rPr>
        <w:footnoteReference w:id="57"/>
      </w:r>
      <w:r>
        <w:rPr>
          <w:rFonts w:hint="eastAsia"/>
        </w:rPr>
        <w:t>。</w:t>
      </w:r>
    </w:p>
    <w:p w:rsidR="00000000" w:rsidRDefault="00EA2FA8">
      <w:pPr>
        <w:pStyle w:val="23"/>
        <w:ind w:firstLine="560"/>
        <w:rPr>
          <w:rFonts w:hint="eastAsia"/>
        </w:rPr>
      </w:pPr>
      <w:r>
        <w:rPr>
          <w:rFonts w:ascii="新細明體" w:hint="eastAsia"/>
        </w:rPr>
        <w:t>《案</w:t>
      </w:r>
      <w:r>
        <w:t>9</w:t>
      </w:r>
      <w:r>
        <w:rPr>
          <w:rFonts w:hint="eastAsia"/>
        </w:rPr>
        <w:t>》花蓮縣警察局刑事警察隊偵查員被調任為同局花蓮分局軒轅派出所警員，當事人不服，提起復審，保訓會改以申訴案處理</w:t>
      </w:r>
      <w:r>
        <w:rPr>
          <w:rStyle w:val="a5"/>
        </w:rPr>
        <w:footnoteReference w:id="58"/>
      </w:r>
      <w:r>
        <w:rPr>
          <w:rFonts w:hint="eastAsia"/>
        </w:rPr>
        <w:t>。</w:t>
      </w:r>
    </w:p>
    <w:p w:rsidR="00000000" w:rsidRDefault="00EA2FA8">
      <w:pPr>
        <w:pStyle w:val="23"/>
        <w:ind w:firstLine="560"/>
        <w:rPr>
          <w:rFonts w:hint="eastAsia"/>
        </w:rPr>
      </w:pPr>
      <w:r>
        <w:rPr>
          <w:rFonts w:ascii="新細明體" w:hint="eastAsia"/>
        </w:rPr>
        <w:t>《案</w:t>
      </w:r>
      <w:r>
        <w:t>10</w:t>
      </w:r>
      <w:r>
        <w:rPr>
          <w:rFonts w:hint="eastAsia"/>
        </w:rPr>
        <w:t>》臺北市政府警察局戶口科註記股股長</w:t>
      </w:r>
      <w:r>
        <w:t>(</w:t>
      </w:r>
      <w:r>
        <w:rPr>
          <w:rFonts w:hint="eastAsia"/>
        </w:rPr>
        <w:t>警政二階</w:t>
      </w:r>
      <w:r>
        <w:t>)</w:t>
      </w:r>
      <w:r>
        <w:rPr>
          <w:rFonts w:hint="eastAsia"/>
        </w:rPr>
        <w:t>被調任為同局秘書室科員</w:t>
      </w:r>
      <w:r>
        <w:t>(</w:t>
      </w:r>
      <w:r>
        <w:rPr>
          <w:rFonts w:hint="eastAsia"/>
        </w:rPr>
        <w:t>警佐一階至警正三階</w:t>
      </w:r>
      <w:r>
        <w:t>)</w:t>
      </w:r>
      <w:r>
        <w:rPr>
          <w:rFonts w:hint="eastAsia"/>
        </w:rPr>
        <w:t>，當事人不服，提起申訴，保訓會改以復審案處理</w:t>
      </w:r>
      <w:r>
        <w:rPr>
          <w:rStyle w:val="a5"/>
        </w:rPr>
        <w:footnoteReference w:id="59"/>
      </w:r>
      <w:r>
        <w:rPr>
          <w:rFonts w:hint="eastAsia"/>
        </w:rPr>
        <w:t>。</w:t>
      </w:r>
    </w:p>
    <w:p w:rsidR="00000000" w:rsidRDefault="00EA2FA8">
      <w:pPr>
        <w:pStyle w:val="23"/>
        <w:ind w:firstLine="560"/>
        <w:rPr>
          <w:rFonts w:hint="eastAsia"/>
        </w:rPr>
      </w:pPr>
      <w:r>
        <w:rPr>
          <w:rFonts w:hint="eastAsia"/>
        </w:rPr>
        <w:t>綜觀上述十則調職案例，就調職的區域而言，可以大別為二類：一、不同機關或行政區之間的職務調動，如</w:t>
      </w:r>
      <w:r>
        <w:rPr>
          <w:rFonts w:ascii="新細明體" w:hint="eastAsia"/>
        </w:rPr>
        <w:t>《</w:t>
      </w:r>
      <w:r>
        <w:rPr>
          <w:rFonts w:hint="eastAsia"/>
        </w:rPr>
        <w:t>案</w:t>
      </w:r>
      <w:r>
        <w:t>1</w:t>
      </w:r>
      <w:r>
        <w:rPr>
          <w:rFonts w:hint="eastAsia"/>
        </w:rPr>
        <w:t>》</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hint="eastAsia"/>
        </w:rPr>
        <w:lastRenderedPageBreak/>
        <w:t>二、同一機關內部的職務調動，如</w:t>
      </w:r>
      <w:r>
        <w:rPr>
          <w:rFonts w:ascii="新細明體" w:hint="eastAsia"/>
        </w:rPr>
        <w:t>《</w:t>
      </w:r>
      <w:r>
        <w:rPr>
          <w:rFonts w:hint="eastAsia"/>
        </w:rPr>
        <w:t>案</w:t>
      </w:r>
      <w:r>
        <w:t>3</w:t>
      </w:r>
      <w:r>
        <w:rPr>
          <w:rFonts w:hint="eastAsia"/>
        </w:rPr>
        <w:t>》</w:t>
      </w:r>
      <w:r>
        <w:rPr>
          <w:rFonts w:ascii="新細明體" w:hint="eastAsia"/>
        </w:rPr>
        <w:t>《</w:t>
      </w:r>
      <w:r>
        <w:rPr>
          <w:rFonts w:hint="eastAsia"/>
        </w:rPr>
        <w:t>案</w:t>
      </w:r>
      <w:r>
        <w:t>1</w:t>
      </w:r>
      <w:r>
        <w:rPr>
          <w:rFonts w:hint="eastAsia"/>
        </w:rPr>
        <w:t>》</w:t>
      </w:r>
      <w:r>
        <w:rPr>
          <w:rFonts w:ascii="新細明體" w:hint="eastAsia"/>
        </w:rPr>
        <w:t>《</w:t>
      </w:r>
      <w:r>
        <w:rPr>
          <w:rFonts w:hint="eastAsia"/>
        </w:rPr>
        <w:t>案</w:t>
      </w:r>
      <w:r>
        <w:t>5</w:t>
      </w:r>
      <w:r>
        <w:rPr>
          <w:rFonts w:hint="eastAsia"/>
        </w:rPr>
        <w:t>》</w:t>
      </w:r>
      <w:r>
        <w:rPr>
          <w:rFonts w:ascii="新細明體" w:hint="eastAsia"/>
        </w:rPr>
        <w:t>《</w:t>
      </w:r>
      <w:r>
        <w:rPr>
          <w:rFonts w:hint="eastAsia"/>
        </w:rPr>
        <w:t>案</w:t>
      </w:r>
      <w:r>
        <w:t>6</w:t>
      </w:r>
      <w:r>
        <w:rPr>
          <w:rFonts w:hint="eastAsia"/>
        </w:rPr>
        <w:t>》</w:t>
      </w:r>
      <w:r>
        <w:rPr>
          <w:rFonts w:ascii="新細明體" w:hint="eastAsia"/>
        </w:rPr>
        <w:t>《</w:t>
      </w:r>
      <w:r>
        <w:rPr>
          <w:rFonts w:hint="eastAsia"/>
        </w:rPr>
        <w:t>案</w:t>
      </w:r>
      <w:r>
        <w:t>7</w:t>
      </w:r>
      <w:r>
        <w:rPr>
          <w:rFonts w:hint="eastAsia"/>
        </w:rPr>
        <w:t>》</w:t>
      </w:r>
      <w:r>
        <w:rPr>
          <w:rFonts w:ascii="新細明體" w:hint="eastAsia"/>
        </w:rPr>
        <w:t>《</w:t>
      </w:r>
      <w:r>
        <w:rPr>
          <w:rFonts w:hint="eastAsia"/>
        </w:rPr>
        <w:t>案</w:t>
      </w:r>
      <w:r>
        <w:t>8</w:t>
      </w:r>
      <w:r>
        <w:rPr>
          <w:rFonts w:hint="eastAsia"/>
        </w:rPr>
        <w:t>》</w:t>
      </w:r>
      <w:r>
        <w:rPr>
          <w:rFonts w:ascii="新細明體" w:hint="eastAsia"/>
        </w:rPr>
        <w:t>《</w:t>
      </w:r>
      <w:r>
        <w:rPr>
          <w:rFonts w:hint="eastAsia"/>
        </w:rPr>
        <w:t>案</w:t>
      </w:r>
      <w:r>
        <w:t>9</w:t>
      </w:r>
      <w:r>
        <w:rPr>
          <w:rFonts w:hint="eastAsia"/>
        </w:rPr>
        <w:t>》</w:t>
      </w:r>
      <w:r>
        <w:rPr>
          <w:rFonts w:ascii="新細明體" w:hint="eastAsia"/>
        </w:rPr>
        <w:t>《</w:t>
      </w:r>
      <w:r>
        <w:rPr>
          <w:rFonts w:hint="eastAsia"/>
        </w:rPr>
        <w:t>案</w:t>
      </w:r>
      <w:r>
        <w:t>10</w:t>
      </w:r>
      <w:r>
        <w:rPr>
          <w:rFonts w:hint="eastAsia"/>
        </w:rPr>
        <w:t>》。其次，就調任令的內容觀之，又可分為三類：一、不改變職等的調動，如</w:t>
      </w:r>
      <w:r>
        <w:rPr>
          <w:rFonts w:ascii="新細明體" w:hint="eastAsia"/>
        </w:rPr>
        <w:t>《</w:t>
      </w:r>
      <w:r>
        <w:rPr>
          <w:rFonts w:hint="eastAsia"/>
        </w:rPr>
        <w:t>案</w:t>
      </w:r>
      <w:r>
        <w:t>1</w:t>
      </w:r>
      <w:r>
        <w:rPr>
          <w:rFonts w:hint="eastAsia"/>
        </w:rPr>
        <w:t>》</w:t>
      </w:r>
      <w:r>
        <w:rPr>
          <w:rFonts w:ascii="新細明體" w:hint="eastAsia"/>
        </w:rPr>
        <w:t>《</w:t>
      </w:r>
      <w:r>
        <w:rPr>
          <w:rFonts w:hint="eastAsia"/>
        </w:rPr>
        <w:t>案</w:t>
      </w:r>
      <w:r>
        <w:t>5</w:t>
      </w:r>
      <w:r>
        <w:rPr>
          <w:rFonts w:hint="eastAsia"/>
        </w:rPr>
        <w:t>》</w:t>
      </w:r>
      <w:r>
        <w:rPr>
          <w:rFonts w:ascii="新細明體" w:hint="eastAsia"/>
        </w:rPr>
        <w:t>《</w:t>
      </w:r>
      <w:r>
        <w:rPr>
          <w:rFonts w:hint="eastAsia"/>
        </w:rPr>
        <w:t>案</w:t>
      </w:r>
      <w:r>
        <w:t>6</w:t>
      </w:r>
      <w:r>
        <w:rPr>
          <w:rFonts w:hint="eastAsia"/>
        </w:rPr>
        <w:t>》</w:t>
      </w:r>
      <w:r>
        <w:rPr>
          <w:rFonts w:ascii="新細明體" w:hint="eastAsia"/>
        </w:rPr>
        <w:t>《</w:t>
      </w:r>
      <w:r>
        <w:rPr>
          <w:rFonts w:hint="eastAsia"/>
        </w:rPr>
        <w:t>案</w:t>
      </w:r>
      <w:r>
        <w:t>9</w:t>
      </w:r>
      <w:r>
        <w:rPr>
          <w:rFonts w:hint="eastAsia"/>
        </w:rPr>
        <w:t>》；二、改變職等的調動，如</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ascii="新細明體" w:hint="eastAsia"/>
        </w:rPr>
        <w:t>《</w:t>
      </w:r>
      <w:r>
        <w:rPr>
          <w:rFonts w:hint="eastAsia"/>
        </w:rPr>
        <w:t>案</w:t>
      </w:r>
      <w:r>
        <w:t>7</w:t>
      </w:r>
      <w:r>
        <w:rPr>
          <w:rFonts w:hint="eastAsia"/>
        </w:rPr>
        <w:t>》</w:t>
      </w:r>
      <w:r>
        <w:rPr>
          <w:rFonts w:ascii="新細明體" w:hint="eastAsia"/>
        </w:rPr>
        <w:t>《</w:t>
      </w:r>
      <w:r>
        <w:rPr>
          <w:rFonts w:hint="eastAsia"/>
        </w:rPr>
        <w:t>案</w:t>
      </w:r>
      <w:r>
        <w:t>8</w:t>
      </w:r>
      <w:r>
        <w:rPr>
          <w:rFonts w:hint="eastAsia"/>
        </w:rPr>
        <w:t>》</w:t>
      </w:r>
      <w:r>
        <w:rPr>
          <w:rFonts w:ascii="新細明體" w:hint="eastAsia"/>
        </w:rPr>
        <w:t>《</w:t>
      </w:r>
      <w:r>
        <w:rPr>
          <w:rFonts w:hint="eastAsia"/>
        </w:rPr>
        <w:t>案</w:t>
      </w:r>
      <w:r>
        <w:t>10</w:t>
      </w:r>
      <w:r>
        <w:rPr>
          <w:rFonts w:hint="eastAsia"/>
        </w:rPr>
        <w:t>》三、改變職系的調動，如</w:t>
      </w:r>
      <w:r>
        <w:rPr>
          <w:rFonts w:ascii="新細明體" w:hint="eastAsia"/>
        </w:rPr>
        <w:t>《</w:t>
      </w:r>
      <w:r>
        <w:rPr>
          <w:rFonts w:hint="eastAsia"/>
        </w:rPr>
        <w:t>案</w:t>
      </w:r>
      <w:r>
        <w:t>3</w:t>
      </w:r>
      <w:r>
        <w:rPr>
          <w:rFonts w:hint="eastAsia"/>
        </w:rPr>
        <w:t>》。</w:t>
      </w:r>
    </w:p>
    <w:p w:rsidR="00000000" w:rsidRDefault="00EA2FA8">
      <w:pPr>
        <w:pStyle w:val="23"/>
        <w:ind w:firstLine="560"/>
        <w:rPr>
          <w:rFonts w:hint="eastAsia"/>
        </w:rPr>
      </w:pPr>
      <w:r>
        <w:rPr>
          <w:rFonts w:hint="eastAsia"/>
        </w:rPr>
        <w:t>細查保訓會決定書內容，其多半以申訴案件處理</w:t>
      </w:r>
      <w:r>
        <w:rPr>
          <w:rStyle w:val="a5"/>
          <w:color w:val="000000"/>
        </w:rPr>
        <w:footnoteReference w:id="60"/>
      </w:r>
      <w:r>
        <w:rPr>
          <w:rFonts w:hint="eastAsia"/>
        </w:rPr>
        <w:t>，僅</w:t>
      </w:r>
      <w:r>
        <w:rPr>
          <w:rFonts w:ascii="新細明體" w:hint="eastAsia"/>
        </w:rPr>
        <w:t>《</w:t>
      </w:r>
      <w:r>
        <w:rPr>
          <w:rFonts w:hint="eastAsia"/>
        </w:rPr>
        <w:t>案</w:t>
      </w:r>
      <w:r>
        <w:t>3</w:t>
      </w:r>
      <w:r>
        <w:rPr>
          <w:rFonts w:hint="eastAsia"/>
        </w:rPr>
        <w:t>》</w:t>
      </w:r>
      <w:r>
        <w:rPr>
          <w:rFonts w:ascii="新細明體" w:hint="eastAsia"/>
        </w:rPr>
        <w:t>《</w:t>
      </w:r>
      <w:r>
        <w:rPr>
          <w:rFonts w:hint="eastAsia"/>
        </w:rPr>
        <w:t>案</w:t>
      </w:r>
      <w:r>
        <w:t>8</w:t>
      </w:r>
      <w:r>
        <w:rPr>
          <w:rFonts w:hint="eastAsia"/>
        </w:rPr>
        <w:t>》</w:t>
      </w:r>
      <w:r>
        <w:rPr>
          <w:rFonts w:ascii="新細明體" w:hint="eastAsia"/>
        </w:rPr>
        <w:t>《</w:t>
      </w:r>
      <w:r>
        <w:rPr>
          <w:rFonts w:hint="eastAsia"/>
        </w:rPr>
        <w:t>案</w:t>
      </w:r>
      <w:r>
        <w:t>10</w:t>
      </w:r>
      <w:r>
        <w:rPr>
          <w:rFonts w:hint="eastAsia"/>
        </w:rPr>
        <w:t>》三則，其主要引據司法院大法官釋字第四八三號解釋，認為調任為「同官等低職等」職位，調任後俸額較原敘俸額為低，且無晉級機會，對於當事人俸給產生類似減</w:t>
      </w:r>
      <w:r>
        <w:rPr>
          <w:rFonts w:hint="eastAsia"/>
        </w:rPr>
        <w:t>薪效果，故屬對公務員有重大影響的處分。換言之，保訓會認定的標準，係取決於「職等」或「職系」的改變，此一觀點，衡之釋字第四八三解釋，固有所據，惟須指出者，同屬職等改變的</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ascii="新細明體" w:hint="eastAsia"/>
        </w:rPr>
        <w:t>《</w:t>
      </w:r>
      <w:r>
        <w:rPr>
          <w:rFonts w:hint="eastAsia"/>
        </w:rPr>
        <w:t>案</w:t>
      </w:r>
      <w:r>
        <w:t>7</w:t>
      </w:r>
      <w:r>
        <w:rPr>
          <w:rFonts w:hint="eastAsia"/>
        </w:rPr>
        <w:t>》，似亦應作相同處理才是</w:t>
      </w:r>
      <w:r>
        <w:rPr>
          <w:rStyle w:val="a5"/>
        </w:rPr>
        <w:footnoteReference w:id="61"/>
      </w:r>
      <w:r>
        <w:rPr>
          <w:rFonts w:hint="eastAsia"/>
        </w:rPr>
        <w:t>。</w:t>
      </w:r>
    </w:p>
    <w:p w:rsidR="00000000" w:rsidRDefault="00EA2FA8">
      <w:pPr>
        <w:pStyle w:val="22"/>
        <w:ind w:firstLine="560"/>
        <w:rPr>
          <w:rFonts w:hint="eastAsia"/>
        </w:rPr>
      </w:pPr>
      <w:r>
        <w:rPr>
          <w:rFonts w:hint="eastAsia"/>
        </w:rPr>
        <w:t>實則，公務人員職務的調動，屬於服務機關內部管理措施者，係指同一機關內部的職務調動，且不影響其官等或職等者，是以，不同</w:t>
      </w:r>
      <w:r>
        <w:rPr>
          <w:rFonts w:hint="eastAsia"/>
        </w:rPr>
        <w:lastRenderedPageBreak/>
        <w:t>機關間的調動，或改變職等或職系的調動，俱已超出內部管理措施的範疇，從而構成具有「外部效力」的行政處分。於此前提下，在上舉的十個案例中，本文認為，除</w:t>
      </w:r>
      <w:r>
        <w:rPr>
          <w:rFonts w:ascii="新細明體" w:hint="eastAsia"/>
        </w:rPr>
        <w:t>《</w:t>
      </w:r>
      <w:r>
        <w:rPr>
          <w:rFonts w:hint="eastAsia"/>
        </w:rPr>
        <w:t>案</w:t>
      </w:r>
      <w:r>
        <w:t>5</w:t>
      </w:r>
      <w:r>
        <w:rPr>
          <w:rFonts w:hint="eastAsia"/>
        </w:rPr>
        <w:t>》</w:t>
      </w:r>
      <w:r>
        <w:rPr>
          <w:rFonts w:ascii="新細明體" w:hint="eastAsia"/>
        </w:rPr>
        <w:t>《</w:t>
      </w:r>
      <w:r>
        <w:rPr>
          <w:rFonts w:hint="eastAsia"/>
        </w:rPr>
        <w:t>案</w:t>
      </w:r>
      <w:r>
        <w:t>6</w:t>
      </w:r>
      <w:r>
        <w:rPr>
          <w:rFonts w:hint="eastAsia"/>
        </w:rPr>
        <w:t>》</w:t>
      </w:r>
      <w:r>
        <w:rPr>
          <w:rFonts w:ascii="新細明體" w:hint="eastAsia"/>
        </w:rPr>
        <w:t>《</w:t>
      </w:r>
      <w:r>
        <w:rPr>
          <w:rFonts w:hint="eastAsia"/>
        </w:rPr>
        <w:t>案</w:t>
      </w:r>
      <w:r>
        <w:t>9</w:t>
      </w:r>
      <w:r>
        <w:rPr>
          <w:rFonts w:hint="eastAsia"/>
        </w:rPr>
        <w:t>》外，其餘</w:t>
      </w:r>
      <w:r>
        <w:rPr>
          <w:rFonts w:hint="eastAsia"/>
        </w:rPr>
        <w:t>皆應屬於復審案件。</w:t>
      </w:r>
    </w:p>
    <w:p w:rsidR="00000000" w:rsidRDefault="00EA2FA8">
      <w:pPr>
        <w:pStyle w:val="3"/>
      </w:pPr>
      <w:bookmarkStart w:id="18" w:name="_Toc12653504"/>
      <w:bookmarkStart w:id="19" w:name="_Toc61809171"/>
      <w:r>
        <w:rPr>
          <w:rFonts w:hint="eastAsia"/>
        </w:rPr>
        <w:t>第二項</w:t>
      </w:r>
      <w:r>
        <w:rPr>
          <w:rFonts w:hint="eastAsia"/>
        </w:rPr>
        <w:t xml:space="preserve"> </w:t>
      </w:r>
      <w:r>
        <w:rPr>
          <w:rFonts w:hint="eastAsia"/>
        </w:rPr>
        <w:t>法官免兼庭長問題</w:t>
      </w:r>
      <w:bookmarkEnd w:id="18"/>
      <w:bookmarkEnd w:id="19"/>
    </w:p>
    <w:p w:rsidR="00000000" w:rsidRDefault="00EA2FA8">
      <w:pPr>
        <w:pStyle w:val="4"/>
        <w:rPr>
          <w:rFonts w:hint="eastAsia"/>
        </w:rPr>
      </w:pPr>
      <w:bookmarkStart w:id="20" w:name="_Toc12653505"/>
      <w:bookmarkStart w:id="21" w:name="_Toc61809172"/>
      <w:r>
        <w:rPr>
          <w:rFonts w:hint="eastAsia"/>
        </w:rPr>
        <w:t>壹、問題緣起</w:t>
      </w:r>
      <w:bookmarkEnd w:id="20"/>
      <w:bookmarkEnd w:id="21"/>
    </w:p>
    <w:p w:rsidR="00000000" w:rsidRDefault="00EA2FA8">
      <w:pPr>
        <w:pStyle w:val="23"/>
        <w:ind w:firstLine="560"/>
        <w:rPr>
          <w:rFonts w:hint="eastAsia"/>
        </w:rPr>
      </w:pPr>
      <w:r>
        <w:rPr>
          <w:rFonts w:hint="eastAsia"/>
        </w:rPr>
        <w:t>關於公務人員的職務調動，另一具爭議性的問題，為免除法官兼任庭長的職務。此一爭議緣於司法院為建立庭長任期制，於</w:t>
      </w:r>
      <w:r>
        <w:t>1998</w:t>
      </w:r>
      <w:r>
        <w:rPr>
          <w:rFonts w:hint="eastAsia"/>
        </w:rPr>
        <w:t>年間依據「高等法院以下各級法院及其分院法官兼庭長職期調任實施要點」</w:t>
      </w:r>
      <w:r>
        <w:rPr>
          <w:rStyle w:val="a5"/>
        </w:rPr>
        <w:footnoteReference w:id="62"/>
      </w:r>
      <w:r>
        <w:t>(</w:t>
      </w:r>
      <w:r>
        <w:rPr>
          <w:rFonts w:hint="eastAsia"/>
        </w:rPr>
        <w:t>以下簡稱實施要點</w:t>
      </w:r>
      <w:r>
        <w:t>)</w:t>
      </w:r>
      <w:r>
        <w:rPr>
          <w:rFonts w:hint="eastAsia"/>
        </w:rPr>
        <w:t>將「法官兼庭長」調為「法官」，亦即「法官免兼庭長職務」。部分法官不服此項調任令，循序提起復審及行政訴訟，遞遭駁回，其主要理由即是系爭調任令並非行政處分。部分法官於爭訟事件確定後，復以上開實施要點牴觸憲法為由向大法官聲請解釋。嗣大法官作成釋字第五三九</w:t>
      </w:r>
      <w:r>
        <w:rPr>
          <w:rFonts w:hint="eastAsia"/>
        </w:rPr>
        <w:t>號解釋，其雖未明白對調任令是否為行政處分一節有所闡釋，惟於解釋文提及：「…</w:t>
      </w:r>
      <w:r>
        <w:t>令免兼庭長之人事行政行為，僅免除庭長之行政兼職，於其擔任法官職司審判之本職無損，對其既有之官等、職等、俸給亦無不利之影響，故</w:t>
      </w:r>
      <w:r>
        <w:rPr>
          <w:rFonts w:eastAsia="標楷體"/>
        </w:rPr>
        <w:t>性質上僅屬機</w:t>
      </w:r>
      <w:r>
        <w:rPr>
          <w:rFonts w:eastAsia="標楷體"/>
        </w:rPr>
        <w:lastRenderedPageBreak/>
        <w:t>關行政業務之調整</w:t>
      </w:r>
      <w:r>
        <w:t>。</w:t>
      </w:r>
      <w:r>
        <w:rPr>
          <w:rFonts w:hint="eastAsia"/>
        </w:rPr>
        <w:t>…」此一說明是否意味免兼令不具行政處分性質，有待研究。在目前行政爭訟實務上，保訓會係持「非行政處分說」；最高行政法院則見解分歧，茲先分述其所持理由，再略陳本文觀點。</w:t>
      </w:r>
    </w:p>
    <w:p w:rsidR="00000000" w:rsidRDefault="00EA2FA8">
      <w:pPr>
        <w:pStyle w:val="4"/>
        <w:rPr>
          <w:rFonts w:hint="eastAsia"/>
        </w:rPr>
      </w:pPr>
      <w:bookmarkStart w:id="22" w:name="_Toc12653506"/>
      <w:bookmarkStart w:id="23" w:name="_Toc61809173"/>
      <w:r>
        <w:rPr>
          <w:rFonts w:hint="eastAsia"/>
        </w:rPr>
        <w:t>貳、見解整理</w:t>
      </w:r>
      <w:bookmarkEnd w:id="22"/>
      <w:bookmarkEnd w:id="23"/>
    </w:p>
    <w:p w:rsidR="00000000" w:rsidRDefault="00EA2FA8">
      <w:pPr>
        <w:pStyle w:val="23"/>
        <w:ind w:firstLine="560"/>
        <w:rPr>
          <w:rFonts w:ascii="新細明體" w:hAnsi="Verdana" w:hint="eastAsia"/>
        </w:rPr>
      </w:pPr>
      <w:bookmarkStart w:id="24" w:name="_Toc12653507"/>
      <w:r>
        <w:rPr>
          <w:rFonts w:hint="eastAsia"/>
        </w:rPr>
        <w:t>一、非行政處分說</w:t>
      </w:r>
      <w:r>
        <w:t>(</w:t>
      </w:r>
      <w:r>
        <w:rPr>
          <w:rFonts w:hint="eastAsia"/>
        </w:rPr>
        <w:t>申訴標的</w:t>
      </w:r>
      <w:r>
        <w:t>)</w:t>
      </w:r>
      <w:bookmarkEnd w:id="24"/>
      <w:r>
        <w:rPr>
          <w:rFonts w:ascii="新細明體" w:hAnsi="Verdana" w:hint="eastAsia"/>
        </w:rPr>
        <w:t xml:space="preserve"> </w:t>
      </w:r>
    </w:p>
    <w:p w:rsidR="00000000" w:rsidRDefault="00EA2FA8">
      <w:pPr>
        <w:pStyle w:val="23"/>
        <w:ind w:firstLine="560"/>
        <w:rPr>
          <w:rFonts w:hint="eastAsia"/>
        </w:rPr>
      </w:pPr>
      <w:r>
        <w:rPr>
          <w:rFonts w:hint="eastAsia"/>
        </w:rPr>
        <w:t>此說認為由「法官兼庭長」調為「法官」，該調任並未改變公務人員身分，且無損</w:t>
      </w:r>
      <w:r>
        <w:rPr>
          <w:rFonts w:hint="eastAsia"/>
        </w:rPr>
        <w:t>其經銓敘審定之官職等級及所支俸給，僅屬內部管理事項之職務調動，僅得申訴、再申訴，不得提起復審或行政救濟，理由如下</w:t>
      </w:r>
      <w:r>
        <w:rPr>
          <w:rStyle w:val="a5"/>
        </w:rPr>
        <w:footnoteReference w:id="63"/>
      </w:r>
      <w:r>
        <w:rPr>
          <w:rFonts w:hint="eastAsia"/>
        </w:rPr>
        <w:t>：</w:t>
      </w:r>
    </w:p>
    <w:p w:rsidR="00000000" w:rsidRDefault="00EA2FA8">
      <w:pPr>
        <w:pStyle w:val="23"/>
        <w:ind w:firstLine="560"/>
        <w:rPr>
          <w:rFonts w:hint="eastAsia"/>
        </w:rPr>
      </w:pPr>
      <w:r>
        <w:rPr>
          <w:rFonts w:hint="eastAsia"/>
        </w:rPr>
        <w:t>1</w:t>
      </w:r>
      <w:r>
        <w:t>)</w:t>
      </w:r>
      <w:r>
        <w:rPr>
          <w:rFonts w:hint="eastAsia"/>
        </w:rPr>
        <w:t>依據法院組織法第四條之規定，庭長非即等同於審判長，故對於庭長職務之派免，應僅屬機關內部行政兼職之調整。依司法院組織法第八條、第二十條及司法院人事審議委員會審議規則第八條等規定，司法院院長本有職權為其所屬人員之任免、遷調。且有關「庭長任期」之規劃，亦為法院內部行政職權之行使，屬機關內部關係，因未涉及人民權利義務，司法院自得本其職權訂定規則以為準據，此與中央法規標準法第五條第二款所稱關於人民</w:t>
      </w:r>
      <w:r>
        <w:rPr>
          <w:rFonts w:hint="eastAsia"/>
        </w:rPr>
        <w:t>權利義務事項應以法律</w:t>
      </w:r>
      <w:r>
        <w:rPr>
          <w:rFonts w:hint="eastAsia"/>
        </w:rPr>
        <w:lastRenderedPageBreak/>
        <w:t>明定之情形有別。</w:t>
      </w:r>
    </w:p>
    <w:p w:rsidR="00000000" w:rsidRDefault="00EA2FA8">
      <w:pPr>
        <w:pStyle w:val="23"/>
        <w:ind w:firstLine="560"/>
        <w:rPr>
          <w:rFonts w:hint="eastAsia"/>
        </w:rPr>
      </w:pPr>
      <w:r>
        <w:rPr>
          <w:rFonts w:hint="eastAsia"/>
        </w:rPr>
        <w:t>2)</w:t>
      </w:r>
      <w:r>
        <w:rPr>
          <w:rFonts w:hint="eastAsia"/>
        </w:rPr>
        <w:t>司法院令當事人免兼庭長職務，既未改變其「法官」身分，亦未降低原經銓敘審定之官職等級，所支領之本俸、年功俸、加給等待遇亦為一致，自與憲法第八十一條有關「法官終身職」之保障無涉。</w:t>
      </w:r>
    </w:p>
    <w:p w:rsidR="00000000" w:rsidRDefault="00EA2FA8">
      <w:pPr>
        <w:pStyle w:val="23"/>
        <w:ind w:firstLine="560"/>
        <w:rPr>
          <w:rFonts w:ascii="新細明體" w:hAnsi="Verdana" w:hint="eastAsia"/>
        </w:rPr>
      </w:pPr>
      <w:bookmarkStart w:id="25" w:name="_Toc12653508"/>
      <w:r>
        <w:rPr>
          <w:rFonts w:hint="eastAsia"/>
        </w:rPr>
        <w:t>二、行政處分說</w:t>
      </w:r>
      <w:r>
        <w:t>(</w:t>
      </w:r>
      <w:r>
        <w:rPr>
          <w:rFonts w:hint="eastAsia"/>
        </w:rPr>
        <w:t>復審標的</w:t>
      </w:r>
      <w:r>
        <w:t>)</w:t>
      </w:r>
      <w:bookmarkEnd w:id="25"/>
      <w:r>
        <w:rPr>
          <w:rFonts w:hint="eastAsia"/>
        </w:rPr>
        <w:t xml:space="preserve"> </w:t>
      </w:r>
    </w:p>
    <w:p w:rsidR="00000000" w:rsidRDefault="00EA2FA8">
      <w:pPr>
        <w:pStyle w:val="23"/>
        <w:ind w:firstLine="560"/>
        <w:rPr>
          <w:rFonts w:hint="eastAsia"/>
        </w:rPr>
      </w:pPr>
      <w:r>
        <w:rPr>
          <w:rFonts w:hint="eastAsia"/>
        </w:rPr>
        <w:t>此說認為將庭長改調為不兼任庭長之「法官」，則喪失其當然充任審判長之權利，無法行使訴訟指揮權與裁判權，已屬重大影響於其審判上之權利而具有行政處分之性質，其理由如下</w:t>
      </w:r>
      <w:r>
        <w:rPr>
          <w:rStyle w:val="a5"/>
        </w:rPr>
        <w:footnoteReference w:id="64"/>
      </w:r>
      <w:r>
        <w:rPr>
          <w:rFonts w:hint="eastAsia"/>
        </w:rPr>
        <w:t>：</w:t>
      </w:r>
    </w:p>
    <w:p w:rsidR="00000000" w:rsidRDefault="00EA2FA8">
      <w:pPr>
        <w:pStyle w:val="23"/>
        <w:ind w:firstLine="560"/>
        <w:rPr>
          <w:rFonts w:ascii="新細明體" w:hAnsi="Verdana" w:hint="eastAsia"/>
        </w:rPr>
      </w:pPr>
      <w:r>
        <w:rPr>
          <w:rFonts w:hint="eastAsia"/>
          <w:color w:val="000000"/>
        </w:rPr>
        <w:t>1)</w:t>
      </w:r>
      <w:r>
        <w:rPr>
          <w:rFonts w:hint="eastAsia"/>
          <w:color w:val="000000"/>
        </w:rPr>
        <w:t>依高等法院及其分院處務規程第十五條所定「庭長職掌」，縱然可認為係司法行政性質之職務，惟依法院組</w:t>
      </w:r>
      <w:r>
        <w:rPr>
          <w:rFonts w:hint="eastAsia"/>
          <w:color w:val="000000"/>
        </w:rPr>
        <w:t>織法第四條第一項規定，兼任庭長之法官，在其所屬審判庭合議審判案件時，不論其資歷深淺，當然充任該審判庭之審判長，依民事訴訟法或刑事訴訟法相關規定，行使訴訟指揮權與裁判權，故如改調為不兼任庭長之「法官」，則喪失其當然充任審判長之權利，能否謂非屬重大影響於其審判上之權利而非屬行政處分，不無商榷餘地。</w:t>
      </w:r>
    </w:p>
    <w:p w:rsidR="00000000" w:rsidRDefault="00EA2FA8">
      <w:pPr>
        <w:pStyle w:val="23"/>
        <w:ind w:firstLine="560"/>
        <w:rPr>
          <w:rFonts w:ascii="新細明體" w:hAnsi="Verdana" w:hint="eastAsia"/>
        </w:rPr>
      </w:pPr>
      <w:r>
        <w:rPr>
          <w:rFonts w:hint="eastAsia"/>
          <w:color w:val="000000"/>
        </w:rPr>
        <w:t>2)</w:t>
      </w:r>
      <w:r>
        <w:rPr>
          <w:rFonts w:hint="eastAsia"/>
          <w:color w:val="000000"/>
        </w:rPr>
        <w:t>參酌司法院發布之「高等法院以下各級法院及其分院、高等行政法院法官兼庭長職期調任實施要點」規定，高等法院法官兼庭長之職期為四年，得連任（第二點）；職期屆滿之庭長，應就品德、才能</w:t>
      </w:r>
      <w:r>
        <w:rPr>
          <w:rFonts w:hint="eastAsia"/>
          <w:color w:val="000000"/>
        </w:rPr>
        <w:lastRenderedPageBreak/>
        <w:t>及工作績效等項，綜合考評其服務成績，並</w:t>
      </w:r>
      <w:r>
        <w:rPr>
          <w:rFonts w:hint="eastAsia"/>
          <w:color w:val="000000"/>
        </w:rPr>
        <w:t>視業務需要，分別予以連任、調任上級審或同級審法院法官（第四點）；其是否連任，由司法院秘書長為主席，召開審查委員會，予以縝密審查決定（第六至十二點），其任用資格亦於「高等法院及其分院法官、庭長暨高等行政法院、地方法院及其分院庭長遴選資格標準」作嚴密之規定。足見遴任兼庭長法官者，俱為司法精英，得獲任兼庭長法官者，莫不引為其司法生涯之重大成就與榮譽。如驟予改調不兼任庭長之法官又不予調陞，能否謂對其聲望名譽與工作士氣不發生重大影響，亦有推敲餘地；則依司法院釋字第二四三號、第四九一號解釋意旨，似難謂調派兼任庭長之法官</w:t>
      </w:r>
      <w:r>
        <w:rPr>
          <w:rFonts w:hint="eastAsia"/>
          <w:color w:val="000000"/>
        </w:rPr>
        <w:t>為不兼任庭長之法官，非屬行政處分而不得提起行政救濟。</w:t>
      </w:r>
    </w:p>
    <w:p w:rsidR="00000000" w:rsidRDefault="00EA2FA8">
      <w:pPr>
        <w:pStyle w:val="4"/>
        <w:rPr>
          <w:rFonts w:hint="eastAsia"/>
        </w:rPr>
      </w:pPr>
      <w:bookmarkStart w:id="26" w:name="_Toc12653509"/>
      <w:bookmarkStart w:id="27" w:name="_Toc61809174"/>
      <w:r>
        <w:rPr>
          <w:rFonts w:hint="eastAsia"/>
        </w:rPr>
        <w:t>參、檢討分析</w:t>
      </w:r>
      <w:bookmarkEnd w:id="26"/>
      <w:bookmarkEnd w:id="27"/>
    </w:p>
    <w:p w:rsidR="00000000" w:rsidRDefault="00EA2FA8">
      <w:pPr>
        <w:pStyle w:val="22"/>
        <w:ind w:firstLine="560"/>
        <w:rPr>
          <w:rFonts w:hint="eastAsia"/>
        </w:rPr>
      </w:pPr>
      <w:r>
        <w:rPr>
          <w:rFonts w:hint="eastAsia"/>
          <w:color w:val="000000"/>
        </w:rPr>
        <w:t>基本上，免除庭長的兼職，在性質上屬於一種公務人員職務的調動，類此人事行政行為是否僅屬機關內部的管理措施，抑或具有外部效力的行政處分，在判斷上著實是一項難題。</w:t>
      </w:r>
      <w:r>
        <w:rPr>
          <w:rFonts w:hint="eastAsia"/>
        </w:rPr>
        <w:t>根據德國學說與實務的見解，行政處分的主要特徵之一為「直接發生法律上對外效力」</w:t>
      </w:r>
      <w:r>
        <w:t>(die unmittelbare rechtliche Außenwirkung)</w:t>
      </w:r>
      <w:r>
        <w:rPr>
          <w:rFonts w:hint="eastAsia"/>
        </w:rPr>
        <w:t>，而此一要素的判別，應從客觀規範內容的目標設定，而非取決於各該措施的事實上效應</w:t>
      </w:r>
      <w:r>
        <w:rPr>
          <w:rStyle w:val="a5"/>
        </w:rPr>
        <w:footnoteReference w:id="65"/>
      </w:r>
      <w:r>
        <w:rPr>
          <w:rFonts w:hint="eastAsia"/>
        </w:rPr>
        <w:t>。是以，</w:t>
      </w:r>
      <w:r>
        <w:rPr>
          <w:rFonts w:hint="eastAsia"/>
        </w:rPr>
        <w:lastRenderedPageBreak/>
        <w:t>公務員的職務調動</w:t>
      </w:r>
      <w:r>
        <w:t>(Umsetzung)</w:t>
      </w:r>
      <w:r>
        <w:rPr>
          <w:rFonts w:hint="eastAsia"/>
        </w:rPr>
        <w:t>，</w:t>
      </w:r>
      <w:r>
        <w:rPr>
          <w:rFonts w:hint="eastAsia"/>
        </w:rPr>
        <w:t>依其客觀的規制內涵，若未涉及公務員個人權利領域，而只是「機關內部」職務的轉換，則為機關內部的組織措施</w:t>
      </w:r>
      <w:r>
        <w:t>(innerbehördliche Organisationsmaßnahme)</w:t>
      </w:r>
      <w:r>
        <w:rPr>
          <w:rFonts w:hint="eastAsia"/>
        </w:rPr>
        <w:t>，而非行政處分</w:t>
      </w:r>
      <w:r>
        <w:rPr>
          <w:rStyle w:val="a5"/>
          <w:color w:val="000000"/>
        </w:rPr>
        <w:footnoteReference w:id="66"/>
      </w:r>
      <w:r>
        <w:rPr>
          <w:rFonts w:hint="eastAsia"/>
        </w:rPr>
        <w:t>。吾人若以此一見解為基礎，至少可以將「機關內部」與「涉及權利」兩個要素作為判別的切入點，從而可以初步歸整出如下的判別基準：</w:t>
      </w:r>
    </w:p>
    <w:p w:rsidR="00000000" w:rsidRDefault="00EA2FA8">
      <w:pPr>
        <w:pStyle w:val="22"/>
        <w:ind w:firstLine="560"/>
        <w:rPr>
          <w:rFonts w:hint="eastAsia"/>
        </w:rPr>
      </w:pPr>
      <w:r>
        <w:t>1.</w:t>
      </w:r>
      <w:r>
        <w:rPr>
          <w:rFonts w:hint="eastAsia"/>
        </w:rPr>
        <w:t>公務人員的調職，若屬</w:t>
      </w:r>
      <w:r>
        <w:rPr>
          <w:rFonts w:eastAsia="標楷體" w:hint="eastAsia"/>
        </w:rPr>
        <w:t>不同機關之間</w:t>
      </w:r>
      <w:r>
        <w:rPr>
          <w:rFonts w:hint="eastAsia"/>
        </w:rPr>
        <w:t>的調動者，因其已逸出所謂「機關內部」的範疇，故屬於具有外部效力的行政處分。</w:t>
      </w:r>
    </w:p>
    <w:p w:rsidR="00000000" w:rsidRDefault="00EA2FA8">
      <w:pPr>
        <w:pStyle w:val="22"/>
        <w:ind w:firstLine="560"/>
        <w:rPr>
          <w:rFonts w:hint="eastAsia"/>
        </w:rPr>
      </w:pPr>
      <w:r>
        <w:t>2.</w:t>
      </w:r>
      <w:r>
        <w:rPr>
          <w:rFonts w:hint="eastAsia"/>
        </w:rPr>
        <w:t>公務人員的調職，雖於同一機關之內為之，惟若</w:t>
      </w:r>
      <w:r>
        <w:rPr>
          <w:rFonts w:eastAsia="標楷體" w:hint="eastAsia"/>
        </w:rPr>
        <w:t>改變職等或職系</w:t>
      </w:r>
      <w:r>
        <w:rPr>
          <w:rFonts w:eastAsia="細明體" w:hint="eastAsia"/>
        </w:rPr>
        <w:t>者</w:t>
      </w:r>
      <w:r>
        <w:rPr>
          <w:rFonts w:hint="eastAsia"/>
        </w:rPr>
        <w:t>，則非僅單純「內部</w:t>
      </w:r>
      <w:r>
        <w:rPr>
          <w:rFonts w:hint="eastAsia"/>
        </w:rPr>
        <w:t>管理」的措施，而屬於行政處分。</w:t>
      </w:r>
    </w:p>
    <w:p w:rsidR="00000000" w:rsidRDefault="00EA2FA8">
      <w:pPr>
        <w:pStyle w:val="22"/>
        <w:ind w:firstLine="560"/>
        <w:rPr>
          <w:rFonts w:hint="eastAsia"/>
        </w:rPr>
      </w:pPr>
      <w:r>
        <w:t>3.</w:t>
      </w:r>
      <w:r>
        <w:rPr>
          <w:rFonts w:hint="eastAsia"/>
        </w:rPr>
        <w:t>公務人員的調職，雖於同一機關之內，且未改變職等或職系，其若影響到公務員的權益者，為行政處分；反之，則僅是機關內部的管理措施，而非行政處分。至於是否影響公務員的權益，則須從系爭決定的規範內涵，並參酌相關規定及事實綜合判斷之。惟須指出者，行政處分的判定，應依其客觀的內涵，審究其是否僅是機關內部的職務調整，抑或以形成或改變公務員個人權利地位為目的，至於「事實</w:t>
      </w:r>
      <w:r>
        <w:rPr>
          <w:rFonts w:hint="eastAsia"/>
        </w:rPr>
        <w:lastRenderedPageBreak/>
        <w:t>上」的效應，非在考量之列。</w:t>
      </w:r>
    </w:p>
    <w:p w:rsidR="00000000" w:rsidRDefault="00EA2FA8">
      <w:pPr>
        <w:pStyle w:val="22"/>
        <w:ind w:firstLine="560"/>
        <w:rPr>
          <w:rFonts w:hint="eastAsia"/>
          <w:color w:val="000000"/>
        </w:rPr>
      </w:pPr>
      <w:r>
        <w:rPr>
          <w:rFonts w:hint="eastAsia"/>
          <w:color w:val="000000"/>
        </w:rPr>
        <w:t>在上述基礎下，首先可資肯認者，乃</w:t>
      </w:r>
      <w:r>
        <w:rPr>
          <w:rFonts w:hint="eastAsia"/>
        </w:rPr>
        <w:t>司法院於免除法官庭長兼職時，若同時作不同法院之間的職務調動，例</w:t>
      </w:r>
      <w:r>
        <w:rPr>
          <w:rFonts w:hint="eastAsia"/>
        </w:rPr>
        <w:t>如將之從地方法院法官調為高等法院法官，或調為其他地方法院法官，則此一職務調動的決定，實已非同一機關內部的職務調整，而為具有外部效力的行政處分。</w:t>
      </w:r>
    </w:p>
    <w:p w:rsidR="00000000" w:rsidRDefault="00EA2FA8">
      <w:pPr>
        <w:pStyle w:val="22"/>
        <w:ind w:firstLine="560"/>
        <w:rPr>
          <w:rFonts w:hint="eastAsia"/>
        </w:rPr>
      </w:pPr>
      <w:r>
        <w:rPr>
          <w:rFonts w:hint="eastAsia"/>
        </w:rPr>
        <w:t>較難索解者，乃免除庭長兼職後，調任為同法院法官者，其是否僅為內部的管理措施？本文幾經思索後，認為其應屬具有外部效力之行政處分，其理由如下</w:t>
      </w:r>
      <w:r>
        <w:rPr>
          <w:rStyle w:val="a5"/>
          <w:color w:val="000000"/>
        </w:rPr>
        <w:footnoteReference w:id="67"/>
      </w:r>
      <w:r>
        <w:rPr>
          <w:rFonts w:hint="eastAsia"/>
        </w:rPr>
        <w:t>：</w:t>
      </w:r>
    </w:p>
    <w:p w:rsidR="00000000" w:rsidRDefault="00EA2FA8">
      <w:pPr>
        <w:pStyle w:val="23"/>
        <w:ind w:firstLine="560"/>
        <w:rPr>
          <w:rFonts w:ascii="新細明體" w:hAnsi="Verdana" w:hint="eastAsia"/>
        </w:rPr>
      </w:pPr>
      <w:r>
        <w:rPr>
          <w:color w:val="000000"/>
        </w:rPr>
        <w:t>1.</w:t>
      </w:r>
      <w:r>
        <w:rPr>
          <w:rFonts w:hint="eastAsia"/>
          <w:color w:val="000000"/>
        </w:rPr>
        <w:t>「庭長」乃是法院組織法及行政法院組織法所明定的職位（「法定職位」），而非司法行政機關本於其組織權限所設置，是以，有關庭長職位的任免（儘管其僅是兼任），自有別於單純職務的分配或公務員任務範圍的改變，難謂只是機關內部的管理措施</w:t>
      </w:r>
      <w:r>
        <w:rPr>
          <w:rFonts w:hint="eastAsia"/>
          <w:color w:val="000000"/>
        </w:rPr>
        <w:t>。</w:t>
      </w:r>
    </w:p>
    <w:p w:rsidR="00000000" w:rsidRDefault="00EA2FA8">
      <w:pPr>
        <w:pStyle w:val="23"/>
        <w:ind w:firstLine="560"/>
      </w:pPr>
      <w:r>
        <w:rPr>
          <w:color w:val="000000"/>
        </w:rPr>
        <w:t>2.</w:t>
      </w:r>
      <w:r>
        <w:rPr>
          <w:rFonts w:hint="eastAsia"/>
          <w:color w:val="000000"/>
        </w:rPr>
        <w:t>免除</w:t>
      </w:r>
      <w:r>
        <w:rPr>
          <w:rFonts w:hint="eastAsia"/>
        </w:rPr>
        <w:t>法官的庭長兼職，旨在建立「庭長任期制」，促進法院內部行政事務執事者的輪替，與法官本職無涉，且未更動既有的官等、職等及俸給，就此而言，免兼令似僅是職務命令，而非行政處分。然則，就法官作為一項「公職」予以整體觀察，庭長職位的有無與任免，</w:t>
      </w:r>
      <w:r>
        <w:rPr>
          <w:rFonts w:hint="eastAsia"/>
        </w:rPr>
        <w:lastRenderedPageBreak/>
        <w:t>實關乎法官的職等高低及陞遷問題。蓋</w:t>
      </w:r>
      <w:r>
        <w:rPr>
          <w:rFonts w:ascii="細明體" w:eastAsia="細明體" w:hAnsi="Courier New" w:hint="eastAsia"/>
        </w:rPr>
        <w:t>晉敘的起點上，庭長較一般法官為高，在晉敘的先後順序上，有所差異</w:t>
      </w:r>
      <w:r>
        <w:rPr>
          <w:rStyle w:val="a5"/>
          <w:rFonts w:ascii="細明體" w:eastAsia="細明體" w:hAnsi="Courier New"/>
        </w:rPr>
        <w:footnoteReference w:id="68"/>
      </w:r>
      <w:r>
        <w:rPr>
          <w:rFonts w:ascii="細明體" w:eastAsia="細明體" w:hAnsi="Courier New" w:hint="eastAsia"/>
        </w:rPr>
        <w:t>，其對人民服公職權利自有影響。</w:t>
      </w:r>
    </w:p>
    <w:p w:rsidR="00EA2FA8" w:rsidRDefault="00EA2FA8">
      <w:pPr>
        <w:pStyle w:val="22"/>
        <w:ind w:firstLine="560"/>
        <w:rPr>
          <w:rFonts w:hint="eastAsia"/>
        </w:rPr>
      </w:pPr>
      <w:r>
        <w:t>3.</w:t>
      </w:r>
      <w:r>
        <w:rPr>
          <w:rFonts w:hint="eastAsia"/>
        </w:rPr>
        <w:t>能擔任庭長職位者，通常被視為一種榮譽，庭長職位的免除，對於當事人的外在觀瞻，難免有所影響，誠如前舉肯定見解所言：「遴任兼庭長法官者，俱</w:t>
      </w:r>
      <w:r>
        <w:rPr>
          <w:rFonts w:hint="eastAsia"/>
        </w:rPr>
        <w:t>為司法精英，得獲任兼庭長法官者，莫不引為其司法生涯之重大成就與榮譽。如驟予改調不兼任庭長之法官又不予調陞，能否謂對其聲望名譽與工作士氣不發生重大影響」，尤須強調者，此種影響並非僅是單純的事實上效應，而是本於免兼職令規範內涵所衍生而出，蓋依照實施要點第五點規定：「職期屆滿之庭長，應就其品德、學識、才能及工作績效等項，綜合考評其服務成績，並視業務需要，分別予以調任上級審或同級審院法官。」是以，庭長的解任並</w:t>
      </w:r>
      <w:r>
        <w:rPr>
          <w:rFonts w:hint="eastAsia"/>
        </w:rPr>
        <w:lastRenderedPageBreak/>
        <w:t>非僅僅任期屆至，其同時伴隨對當事人品德、學識、才能及工作績效的考評，並牽動法官的升遷與職等高低等問題。</w:t>
      </w:r>
    </w:p>
    <w:sectPr w:rsidR="00EA2F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A8" w:rsidRDefault="00EA2FA8">
      <w:pPr>
        <w:spacing w:line="240" w:lineRule="auto"/>
        <w:ind w:firstLine="480"/>
      </w:pPr>
      <w:r>
        <w:separator/>
      </w:r>
    </w:p>
  </w:endnote>
  <w:endnote w:type="continuationSeparator" w:id="0">
    <w:p w:rsidR="00EA2FA8" w:rsidRDefault="00EA2FA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FA8">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EA2FA8">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FA8">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E52CB9">
      <w:rPr>
        <w:rStyle w:val="a9"/>
        <w:noProof/>
      </w:rPr>
      <w:t>1</w:t>
    </w:r>
    <w:r>
      <w:rPr>
        <w:rStyle w:val="a9"/>
      </w:rPr>
      <w:fldChar w:fldCharType="end"/>
    </w:r>
  </w:p>
  <w:p w:rsidR="00000000" w:rsidRDefault="00EA2FA8">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FA8">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A8" w:rsidRDefault="00EA2FA8">
      <w:pPr>
        <w:spacing w:line="240" w:lineRule="auto"/>
        <w:ind w:firstLine="480"/>
      </w:pPr>
      <w:r>
        <w:separator/>
      </w:r>
    </w:p>
  </w:footnote>
  <w:footnote w:type="continuationSeparator" w:id="0">
    <w:p w:rsidR="00EA2FA8" w:rsidRDefault="00EA2FA8">
      <w:pPr>
        <w:spacing w:line="240" w:lineRule="auto"/>
        <w:ind w:firstLine="480"/>
      </w:pPr>
      <w:r>
        <w:continuationSeparator/>
      </w:r>
    </w:p>
  </w:footnote>
  <w:footnote w:id="1">
    <w:p w:rsidR="00000000" w:rsidRDefault="00EA2FA8">
      <w:pPr>
        <w:pStyle w:val="a6"/>
        <w:ind w:firstLine="360"/>
        <w:rPr>
          <w:rFonts w:hint="eastAsia"/>
        </w:rPr>
      </w:pPr>
      <w:r>
        <w:rPr>
          <w:rStyle w:val="a5"/>
        </w:rPr>
        <w:footnoteRef/>
      </w:r>
      <w:r>
        <w:t xml:space="preserve"> </w:t>
      </w:r>
      <w:r>
        <w:rPr>
          <w:rFonts w:hint="eastAsia"/>
        </w:rPr>
        <w:t>本條規定現已移為第七十三條，其內容修改為：「</w:t>
      </w:r>
      <w:r>
        <w:rPr>
          <w:sz w:val="24"/>
        </w:rPr>
        <w:t>復審事件有下列情形之一者，不予處理：</w:t>
      </w:r>
      <w:r>
        <w:t>一</w:t>
      </w:r>
      <w:r>
        <w:rPr>
          <w:rFonts w:hint="eastAsia"/>
        </w:rPr>
        <w:t>、</w:t>
      </w:r>
      <w:r>
        <w:t>無具體之事實內容者。</w:t>
      </w:r>
      <w:r>
        <w:rPr>
          <w:rFonts w:hAnsi="細明體"/>
        </w:rPr>
        <w:t>二</w:t>
      </w:r>
      <w:r>
        <w:rPr>
          <w:rFonts w:hAnsi="細明體" w:hint="eastAsia"/>
        </w:rPr>
        <w:t>、</w:t>
      </w:r>
      <w:r>
        <w:rPr>
          <w:rFonts w:hAnsi="細明體"/>
        </w:rPr>
        <w:t>未具真實姓名、服務機關或住所者。</w:t>
      </w:r>
      <w:r>
        <w:rPr>
          <w:rFonts w:hAnsi="細明體" w:hint="eastAsia"/>
        </w:rPr>
        <w:t>」並依本法第八十四條準用於申訴、再申訴程序。</w:t>
      </w:r>
    </w:p>
  </w:footnote>
  <w:footnote w:id="2">
    <w:p w:rsidR="00000000" w:rsidRDefault="00EA2FA8">
      <w:pPr>
        <w:pStyle w:val="a6"/>
        <w:ind w:firstLine="360"/>
      </w:pPr>
      <w:r>
        <w:rPr>
          <w:rStyle w:val="a5"/>
        </w:rPr>
        <w:footnoteRef/>
      </w:r>
      <w:r>
        <w:rPr>
          <w:rFonts w:hint="eastAsia"/>
        </w:rPr>
        <w:t xml:space="preserve"> </w:t>
      </w:r>
      <w:r>
        <w:t>公務人員保障暨培訓委員</w:t>
      </w:r>
      <w:r>
        <w:rPr>
          <w:rFonts w:hint="eastAsia"/>
        </w:rPr>
        <w:t>會八六公保字第</w:t>
      </w:r>
      <w:r>
        <w:rPr>
          <w:rFonts w:ascii="細明體" w:hint="eastAsia"/>
        </w:rPr>
        <w:t>○四○三○、○六二三三</w:t>
      </w:r>
      <w:r>
        <w:rPr>
          <w:rFonts w:hint="eastAsia"/>
        </w:rPr>
        <w:t>號函。</w:t>
      </w:r>
    </w:p>
  </w:footnote>
  <w:footnote w:id="3">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0200</w:t>
      </w:r>
      <w:r>
        <w:rPr>
          <w:rFonts w:hint="eastAsia"/>
        </w:rPr>
        <w:t>號再申訴決定書謂：「</w:t>
      </w:r>
      <w:r>
        <w:rPr>
          <w:color w:val="000000"/>
        </w:rPr>
        <w:t>行政機關乃行政主體為實現其行政職務，並行使權利負擔義務，所設置之獨立組織體，為實現國家或地方自治團體之目標，有行使公權力並代表國家或地方自治團體為各種行為之權限，故行政組織並非目的，</w:t>
      </w:r>
      <w:r>
        <w:rPr>
          <w:color w:val="000000"/>
        </w:rPr>
        <w:t>而是手段，須隨國家社會環境的變遷而不斷的調整，以求服務效能之提昇，是機關之設立、職權授予、內部編制及人員任用，均應基於實際需要，從事規範設計與調整，準此，每一機關，有其設立目的，依此目的而賦予各項職掌，組織法規乃為規範機關之地位、權限、編制及其構成分子而訂定，組織之本質乃屬政策手段，是以，有關各機關組織編制修正案，核其性質，非屬上開所稱行政處分、工作條件或管理措施，尚非得依本法請求救濟</w:t>
      </w:r>
      <w:r>
        <w:rPr>
          <w:rFonts w:hint="eastAsia"/>
          <w:color w:val="000000"/>
        </w:rPr>
        <w:t>。」</w:t>
      </w:r>
    </w:p>
  </w:footnote>
  <w:footnote w:id="4">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0147</w:t>
      </w:r>
      <w:r>
        <w:rPr>
          <w:rFonts w:hint="eastAsia"/>
        </w:rPr>
        <w:t>號再申訴決定書。</w:t>
      </w:r>
    </w:p>
  </w:footnote>
  <w:footnote w:id="5">
    <w:p w:rsidR="00000000" w:rsidRDefault="00EA2FA8">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0161</w:t>
      </w:r>
      <w:r>
        <w:rPr>
          <w:rFonts w:hint="eastAsia"/>
        </w:rPr>
        <w:t>號再申訴決定書。</w:t>
      </w:r>
    </w:p>
  </w:footnote>
  <w:footnote w:id="6">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0175</w:t>
      </w:r>
      <w:r>
        <w:rPr>
          <w:rFonts w:hint="eastAsia"/>
        </w:rPr>
        <w:t>號再申訴決定書。</w:t>
      </w:r>
    </w:p>
  </w:footnote>
  <w:footnote w:id="7">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0026</w:t>
      </w:r>
      <w:r>
        <w:rPr>
          <w:rFonts w:hint="eastAsia"/>
        </w:rPr>
        <w:t>號再申訴決定書。</w:t>
      </w:r>
    </w:p>
  </w:footnote>
  <w:footnote w:id="8">
    <w:p w:rsidR="00000000" w:rsidRDefault="00EA2FA8">
      <w:pPr>
        <w:pStyle w:val="a6"/>
        <w:ind w:firstLine="360"/>
        <w:rPr>
          <w:rFonts w:hint="eastAsia"/>
        </w:rPr>
      </w:pPr>
      <w:r>
        <w:rPr>
          <w:rStyle w:val="a5"/>
        </w:rPr>
        <w:footnoteRef/>
      </w:r>
      <w:r>
        <w:t xml:space="preserve"> </w:t>
      </w:r>
      <w:r>
        <w:rPr>
          <w:rFonts w:hint="eastAsia"/>
        </w:rPr>
        <w:t>請參閱林明鏘，</w:t>
      </w:r>
      <w:r>
        <w:rPr>
          <w:rFonts w:ascii="細明體" w:hAnsi="細明體" w:hint="eastAsia"/>
        </w:rPr>
        <w:t>〈我國公務人員保障法之研究〉，《公務員法研究</w:t>
      </w:r>
      <w:r>
        <w:rPr>
          <w:rFonts w:hint="eastAsia"/>
        </w:rPr>
        <w:t>(</w:t>
      </w:r>
      <w:r>
        <w:rPr>
          <w:rFonts w:hint="eastAsia"/>
        </w:rPr>
        <w:t>一</w:t>
      </w:r>
      <w:r>
        <w:rPr>
          <w:rFonts w:hint="eastAsia"/>
        </w:rPr>
        <w:t>)</w:t>
      </w:r>
      <w:r>
        <w:rPr>
          <w:rFonts w:hint="eastAsia"/>
        </w:rPr>
        <w:t>》，頁</w:t>
      </w:r>
      <w:r>
        <w:t>166-167</w:t>
      </w:r>
      <w:r>
        <w:rPr>
          <w:rFonts w:hint="eastAsia"/>
        </w:rPr>
        <w:t>。</w:t>
      </w:r>
    </w:p>
  </w:footnote>
  <w:footnote w:id="9">
    <w:p w:rsidR="00000000" w:rsidRDefault="00EA2FA8">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0017</w:t>
      </w:r>
      <w:r>
        <w:rPr>
          <w:rFonts w:hint="eastAsia"/>
        </w:rPr>
        <w:t>號再申訴決定書謂：</w:t>
      </w:r>
      <w:r>
        <w:rPr>
          <w:rFonts w:hint="eastAsia"/>
          <w:color w:val="000000"/>
        </w:rPr>
        <w:t>「</w:t>
      </w:r>
      <w:r>
        <w:rPr>
          <w:color w:val="000000"/>
        </w:rPr>
        <w:t>類此考評工作，富高度屬人性，主管長官對部屬考評之判斷餘地固應予以尊重，惟是類考評如具有法定程序上之瑕疵、對事實認定有違誤、未遵守一般公認價值判斷之標準、有與事件無關之考慮牽涉在</w:t>
      </w:r>
      <w:r>
        <w:rPr>
          <w:color w:val="000000"/>
        </w:rPr>
        <w:t>內及有違反平等原則等情事時，本會仍得予以審究並予撤銷</w:t>
      </w:r>
      <w:r>
        <w:rPr>
          <w:rFonts w:hint="eastAsia"/>
          <w:color w:val="000000"/>
        </w:rPr>
        <w:t>。」可資參照</w:t>
      </w:r>
      <w:r>
        <w:rPr>
          <w:rFonts w:hint="eastAsia"/>
        </w:rPr>
        <w:t>。</w:t>
      </w:r>
    </w:p>
  </w:footnote>
  <w:footnote w:id="10">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0145</w:t>
      </w:r>
      <w:r>
        <w:rPr>
          <w:rFonts w:hint="eastAsia"/>
        </w:rPr>
        <w:t>號再申訴決定書。</w:t>
      </w:r>
    </w:p>
  </w:footnote>
  <w:footnote w:id="11">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0108</w:t>
      </w:r>
      <w:r>
        <w:rPr>
          <w:rFonts w:hint="eastAsia"/>
        </w:rPr>
        <w:t>號再申訴決定書。</w:t>
      </w:r>
    </w:p>
  </w:footnote>
  <w:footnote w:id="12">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0011</w:t>
      </w:r>
      <w:r>
        <w:rPr>
          <w:rFonts w:hint="eastAsia"/>
        </w:rPr>
        <w:t>、</w:t>
      </w:r>
      <w:r>
        <w:t>0104</w:t>
      </w:r>
      <w:r>
        <w:rPr>
          <w:rFonts w:hint="eastAsia"/>
        </w:rPr>
        <w:t>號再申訴決定書。</w:t>
      </w:r>
    </w:p>
  </w:footnote>
  <w:footnote w:id="13">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0002</w:t>
      </w:r>
      <w:r>
        <w:rPr>
          <w:rFonts w:hint="eastAsia"/>
        </w:rPr>
        <w:t>號再申訴決定書。</w:t>
      </w:r>
    </w:p>
  </w:footnote>
  <w:footnote w:id="14">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0018</w:t>
      </w:r>
      <w:r>
        <w:rPr>
          <w:rFonts w:hint="eastAsia"/>
        </w:rPr>
        <w:t>號再申訴決定書。</w:t>
      </w:r>
    </w:p>
  </w:footnote>
  <w:footnote w:id="15">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0189</w:t>
      </w:r>
      <w:r>
        <w:rPr>
          <w:rFonts w:hint="eastAsia"/>
        </w:rPr>
        <w:t>號再申訴決定書。</w:t>
      </w:r>
    </w:p>
  </w:footnote>
  <w:footnote w:id="16">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0011</w:t>
      </w:r>
      <w:r>
        <w:rPr>
          <w:rFonts w:hint="eastAsia"/>
        </w:rPr>
        <w:t>、</w:t>
      </w:r>
      <w:r>
        <w:t>0104</w:t>
      </w:r>
      <w:r>
        <w:rPr>
          <w:rFonts w:hint="eastAsia"/>
        </w:rPr>
        <w:t>號再申訴決定書。</w:t>
      </w:r>
    </w:p>
  </w:footnote>
  <w:footnote w:id="17">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0206</w:t>
      </w:r>
      <w:r>
        <w:rPr>
          <w:rFonts w:hint="eastAsia"/>
        </w:rPr>
        <w:t>號再申訴決定書、</w:t>
      </w:r>
      <w:r>
        <w:rPr>
          <w:rFonts w:hint="eastAsia"/>
        </w:rPr>
        <w:t>(91)</w:t>
      </w:r>
      <w:r>
        <w:rPr>
          <w:rFonts w:hint="eastAsia"/>
        </w:rPr>
        <w:t>公申決字第</w:t>
      </w:r>
      <w:r>
        <w:rPr>
          <w:rFonts w:hint="eastAsia"/>
        </w:rPr>
        <w:t>0110</w:t>
      </w:r>
      <w:r>
        <w:rPr>
          <w:rFonts w:hint="eastAsia"/>
        </w:rPr>
        <w:t>號再申訴決定書。</w:t>
      </w:r>
    </w:p>
  </w:footnote>
  <w:footnote w:id="18">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0053</w:t>
      </w:r>
      <w:r>
        <w:rPr>
          <w:rFonts w:hint="eastAsia"/>
        </w:rPr>
        <w:t>號、</w:t>
      </w:r>
      <w:r>
        <w:rPr>
          <w:rFonts w:hint="eastAsia"/>
        </w:rPr>
        <w:t>(91)</w:t>
      </w:r>
      <w:r>
        <w:rPr>
          <w:rFonts w:hint="eastAsia"/>
        </w:rPr>
        <w:t>公申決字第</w:t>
      </w:r>
      <w:r>
        <w:rPr>
          <w:rFonts w:hint="eastAsia"/>
        </w:rPr>
        <w:t>0132</w:t>
      </w:r>
      <w:r>
        <w:rPr>
          <w:rFonts w:hint="eastAsia"/>
        </w:rPr>
        <w:t>號再申訴決定書。</w:t>
      </w:r>
    </w:p>
  </w:footnote>
  <w:footnote w:id="19">
    <w:p w:rsidR="00000000" w:rsidRDefault="00EA2FA8">
      <w:pPr>
        <w:pStyle w:val="a6"/>
        <w:ind w:firstLine="360"/>
        <w:rPr>
          <w:rFonts w:hint="eastAsia"/>
        </w:rPr>
      </w:pPr>
      <w:r>
        <w:rPr>
          <w:rStyle w:val="a5"/>
        </w:rPr>
        <w:footnoteRef/>
      </w:r>
      <w:r>
        <w:t xml:space="preserve"> </w:t>
      </w:r>
      <w:r>
        <w:rPr>
          <w:rFonts w:hint="eastAsia"/>
        </w:rPr>
        <w:t>公務人員保障暨培訓委員會</w:t>
      </w:r>
      <w:r>
        <w:t>(86)</w:t>
      </w:r>
      <w:r>
        <w:rPr>
          <w:rFonts w:hint="eastAsia"/>
        </w:rPr>
        <w:t>公申決字第</w:t>
      </w:r>
      <w:r>
        <w:t>0014</w:t>
      </w:r>
      <w:r>
        <w:rPr>
          <w:rFonts w:hint="eastAsia"/>
        </w:rPr>
        <w:t>號再申訴決定書。惟近來保訓會於處理公務人員申請「留職停薪」遭否准等事件時，業已循復審程序辦理，請參考：公務人員保障暨培訓委員會</w:t>
      </w:r>
      <w:r>
        <w:rPr>
          <w:rFonts w:hint="eastAsia"/>
        </w:rPr>
        <w:t>(91)</w:t>
      </w:r>
      <w:r>
        <w:rPr>
          <w:rFonts w:hint="eastAsia"/>
        </w:rPr>
        <w:t>公申決字第</w:t>
      </w:r>
      <w:r>
        <w:rPr>
          <w:rFonts w:hint="eastAsia"/>
        </w:rPr>
        <w:t>0306</w:t>
      </w:r>
      <w:r>
        <w:rPr>
          <w:rFonts w:hint="eastAsia"/>
        </w:rPr>
        <w:t>號再申訴決</w:t>
      </w:r>
      <w:r>
        <w:rPr>
          <w:rFonts w:hint="eastAsia"/>
        </w:rPr>
        <w:t>定書及</w:t>
      </w:r>
      <w:r>
        <w:rPr>
          <w:rFonts w:hint="eastAsia"/>
        </w:rPr>
        <w:t>(92)</w:t>
      </w:r>
      <w:r>
        <w:rPr>
          <w:rFonts w:hint="eastAsia"/>
        </w:rPr>
        <w:t>公審決字第</w:t>
      </w:r>
      <w:r>
        <w:rPr>
          <w:rFonts w:hint="eastAsia"/>
        </w:rPr>
        <w:t>0168</w:t>
      </w:r>
      <w:r>
        <w:rPr>
          <w:rFonts w:hint="eastAsia"/>
        </w:rPr>
        <w:t>號再復審決定書。</w:t>
      </w:r>
    </w:p>
  </w:footnote>
  <w:footnote w:id="20">
    <w:p w:rsidR="00000000" w:rsidRDefault="00EA2FA8">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0108</w:t>
      </w:r>
      <w:r>
        <w:rPr>
          <w:rFonts w:hint="eastAsia"/>
        </w:rPr>
        <w:t>號、</w:t>
      </w:r>
      <w:r>
        <w:t>(91)</w:t>
      </w:r>
      <w:r>
        <w:rPr>
          <w:rFonts w:hint="eastAsia"/>
        </w:rPr>
        <w:t>公申決字第</w:t>
      </w:r>
      <w:r>
        <w:t>0013</w:t>
      </w:r>
      <w:r>
        <w:rPr>
          <w:rFonts w:hint="eastAsia"/>
        </w:rPr>
        <w:t>號、</w:t>
      </w:r>
      <w:r>
        <w:rPr>
          <w:rFonts w:hint="eastAsia"/>
        </w:rPr>
        <w:t>(91)</w:t>
      </w:r>
      <w:r>
        <w:rPr>
          <w:rFonts w:hint="eastAsia"/>
        </w:rPr>
        <w:t>公申決字第</w:t>
      </w:r>
      <w:r>
        <w:rPr>
          <w:rFonts w:hint="eastAsia"/>
        </w:rPr>
        <w:t>0311</w:t>
      </w:r>
      <w:r>
        <w:rPr>
          <w:rFonts w:hint="eastAsia"/>
        </w:rPr>
        <w:t>號、</w:t>
      </w:r>
      <w:r>
        <w:rPr>
          <w:rFonts w:hint="eastAsia"/>
        </w:rPr>
        <w:t>(92)</w:t>
      </w:r>
      <w:r>
        <w:rPr>
          <w:rFonts w:hint="eastAsia"/>
        </w:rPr>
        <w:t>公申決字第</w:t>
      </w:r>
      <w:r>
        <w:rPr>
          <w:rFonts w:hint="eastAsia"/>
        </w:rPr>
        <w:t>0280</w:t>
      </w:r>
      <w:r>
        <w:rPr>
          <w:rFonts w:hint="eastAsia"/>
        </w:rPr>
        <w:t>號再申訴決定書。</w:t>
      </w:r>
    </w:p>
  </w:footnote>
  <w:footnote w:id="21">
    <w:p w:rsidR="00000000" w:rsidRDefault="00EA2FA8">
      <w:pPr>
        <w:pStyle w:val="a6"/>
        <w:ind w:firstLine="360"/>
        <w:rPr>
          <w:rFonts w:hint="eastAsia"/>
        </w:rPr>
      </w:pPr>
      <w:r>
        <w:rPr>
          <w:rStyle w:val="a5"/>
        </w:rPr>
        <w:footnoteRef/>
      </w:r>
      <w:r>
        <w:t xml:space="preserve"> </w:t>
      </w:r>
      <w:r>
        <w:rPr>
          <w:rFonts w:hint="eastAsia"/>
        </w:rPr>
        <w:t>公務人員保障暨培訓委員會</w:t>
      </w:r>
      <w:r>
        <w:t>(86)</w:t>
      </w:r>
      <w:r>
        <w:rPr>
          <w:rFonts w:hint="eastAsia"/>
        </w:rPr>
        <w:t>公申決字第</w:t>
      </w:r>
      <w:r>
        <w:t>0063</w:t>
      </w:r>
      <w:r>
        <w:rPr>
          <w:rFonts w:hint="eastAsia"/>
        </w:rPr>
        <w:t>號、</w:t>
      </w:r>
      <w:r>
        <w:t>(90)</w:t>
      </w:r>
      <w:r>
        <w:rPr>
          <w:rFonts w:hint="eastAsia"/>
        </w:rPr>
        <w:t>公申決字第</w:t>
      </w:r>
      <w:r>
        <w:t>0017</w:t>
      </w:r>
      <w:r>
        <w:rPr>
          <w:rFonts w:hint="eastAsia"/>
        </w:rPr>
        <w:t>號、</w:t>
      </w:r>
      <w:r>
        <w:t>(91)</w:t>
      </w:r>
      <w:r>
        <w:rPr>
          <w:rFonts w:hint="eastAsia"/>
        </w:rPr>
        <w:t>公申決字第</w:t>
      </w:r>
      <w:r>
        <w:t>0097</w:t>
      </w:r>
      <w:r>
        <w:rPr>
          <w:rFonts w:hint="eastAsia"/>
        </w:rPr>
        <w:t>號、</w:t>
      </w:r>
      <w:r>
        <w:rPr>
          <w:rFonts w:hint="eastAsia"/>
        </w:rPr>
        <w:t>0150</w:t>
      </w:r>
      <w:r>
        <w:rPr>
          <w:rFonts w:hint="eastAsia"/>
        </w:rPr>
        <w:t>號、</w:t>
      </w:r>
      <w:r>
        <w:rPr>
          <w:rFonts w:hint="eastAsia"/>
        </w:rPr>
        <w:t>(92)</w:t>
      </w:r>
      <w:r>
        <w:rPr>
          <w:rFonts w:hint="eastAsia"/>
        </w:rPr>
        <w:t>公申決字第</w:t>
      </w:r>
      <w:r>
        <w:rPr>
          <w:rFonts w:hint="eastAsia"/>
        </w:rPr>
        <w:t>0279</w:t>
      </w:r>
      <w:r>
        <w:rPr>
          <w:rFonts w:hint="eastAsia"/>
        </w:rPr>
        <w:t>號再申訴決定書；</w:t>
      </w:r>
      <w:r>
        <w:rPr>
          <w:rFonts w:hint="eastAsia"/>
        </w:rPr>
        <w:t>(92)</w:t>
      </w:r>
      <w:r>
        <w:rPr>
          <w:rFonts w:hint="eastAsia"/>
        </w:rPr>
        <w:t>公審決字第</w:t>
      </w:r>
      <w:r>
        <w:rPr>
          <w:rFonts w:hint="eastAsia"/>
        </w:rPr>
        <w:t>0011</w:t>
      </w:r>
      <w:r>
        <w:rPr>
          <w:rFonts w:hint="eastAsia"/>
        </w:rPr>
        <w:t>號再復審決定書。</w:t>
      </w:r>
    </w:p>
  </w:footnote>
  <w:footnote w:id="22">
    <w:p w:rsidR="00000000" w:rsidRDefault="00EA2FA8">
      <w:pPr>
        <w:pStyle w:val="a6"/>
        <w:ind w:firstLine="360"/>
        <w:rPr>
          <w:rFonts w:hint="eastAsia"/>
        </w:rPr>
      </w:pPr>
      <w:r>
        <w:rPr>
          <w:rStyle w:val="a5"/>
        </w:rPr>
        <w:footnoteRef/>
      </w:r>
      <w:r>
        <w:t xml:space="preserve"> </w:t>
      </w:r>
      <w:r>
        <w:rPr>
          <w:rFonts w:hint="eastAsia"/>
        </w:rPr>
        <w:t>公務人員保障暨培訓委員會</w:t>
      </w:r>
      <w:r>
        <w:t>(86)</w:t>
      </w:r>
      <w:r>
        <w:rPr>
          <w:rFonts w:hint="eastAsia"/>
        </w:rPr>
        <w:t>公申決字第</w:t>
      </w:r>
      <w:r>
        <w:t>0064</w:t>
      </w:r>
      <w:r>
        <w:rPr>
          <w:rFonts w:hint="eastAsia"/>
        </w:rPr>
        <w:t>號、</w:t>
      </w:r>
      <w:r>
        <w:rPr>
          <w:rFonts w:hint="eastAsia"/>
        </w:rPr>
        <w:t>(91)</w:t>
      </w:r>
      <w:r>
        <w:rPr>
          <w:rFonts w:hint="eastAsia"/>
        </w:rPr>
        <w:t>公申決字第</w:t>
      </w:r>
      <w:r>
        <w:rPr>
          <w:rFonts w:hint="eastAsia"/>
        </w:rPr>
        <w:t>0136</w:t>
      </w:r>
      <w:r>
        <w:rPr>
          <w:rFonts w:hint="eastAsia"/>
        </w:rPr>
        <w:t>號、</w:t>
      </w:r>
      <w:r>
        <w:rPr>
          <w:rFonts w:hint="eastAsia"/>
        </w:rPr>
        <w:t>(92)</w:t>
      </w:r>
      <w:r>
        <w:rPr>
          <w:rFonts w:hint="eastAsia"/>
        </w:rPr>
        <w:t>公申決字第</w:t>
      </w:r>
      <w:r>
        <w:rPr>
          <w:rFonts w:hint="eastAsia"/>
        </w:rPr>
        <w:t>0241</w:t>
      </w:r>
      <w:r>
        <w:rPr>
          <w:rFonts w:hint="eastAsia"/>
        </w:rPr>
        <w:t>號再申訴決定書。</w:t>
      </w:r>
    </w:p>
  </w:footnote>
  <w:footnote w:id="23">
    <w:p w:rsidR="00000000" w:rsidRDefault="00EA2FA8">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0295</w:t>
      </w:r>
      <w:r>
        <w:rPr>
          <w:rFonts w:hint="eastAsia"/>
        </w:rPr>
        <w:t>號再申訴決定書。</w:t>
      </w:r>
    </w:p>
  </w:footnote>
  <w:footnote w:id="24">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0151</w:t>
      </w:r>
      <w:r>
        <w:rPr>
          <w:rFonts w:hint="eastAsia"/>
        </w:rPr>
        <w:t>號、</w:t>
      </w:r>
      <w:r>
        <w:rPr>
          <w:rFonts w:hint="eastAsia"/>
        </w:rPr>
        <w:t>(91)</w:t>
      </w:r>
      <w:r>
        <w:rPr>
          <w:rFonts w:hint="eastAsia"/>
        </w:rPr>
        <w:t>公申決字第</w:t>
      </w:r>
      <w:r>
        <w:rPr>
          <w:rFonts w:hint="eastAsia"/>
        </w:rPr>
        <w:t>0319</w:t>
      </w:r>
      <w:r>
        <w:rPr>
          <w:rFonts w:hint="eastAsia"/>
        </w:rPr>
        <w:t>號、</w:t>
      </w:r>
      <w:r>
        <w:rPr>
          <w:rFonts w:hint="eastAsia"/>
        </w:rPr>
        <w:t>(92)</w:t>
      </w:r>
      <w:r>
        <w:rPr>
          <w:rFonts w:hint="eastAsia"/>
        </w:rPr>
        <w:t>公申決字第</w:t>
      </w:r>
      <w:r>
        <w:rPr>
          <w:rFonts w:hint="eastAsia"/>
        </w:rPr>
        <w:t>0268</w:t>
      </w:r>
      <w:r>
        <w:rPr>
          <w:rFonts w:hint="eastAsia"/>
        </w:rPr>
        <w:t>號再申訴決定書；</w:t>
      </w:r>
      <w:r>
        <w:rPr>
          <w:rFonts w:hint="eastAsia"/>
        </w:rPr>
        <w:t>(92)</w:t>
      </w:r>
      <w:r>
        <w:rPr>
          <w:rFonts w:hint="eastAsia"/>
        </w:rPr>
        <w:t>公審決字第</w:t>
      </w:r>
      <w:r>
        <w:rPr>
          <w:rFonts w:hint="eastAsia"/>
        </w:rPr>
        <w:t>0167</w:t>
      </w:r>
      <w:r>
        <w:rPr>
          <w:rFonts w:hint="eastAsia"/>
        </w:rPr>
        <w:t>、</w:t>
      </w:r>
      <w:r>
        <w:rPr>
          <w:rFonts w:hint="eastAsia"/>
        </w:rPr>
        <w:t>0041</w:t>
      </w:r>
      <w:r>
        <w:rPr>
          <w:rFonts w:hint="eastAsia"/>
        </w:rPr>
        <w:t>號再復審決定書。</w:t>
      </w:r>
    </w:p>
  </w:footnote>
  <w:footnote w:id="25">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0058</w:t>
      </w:r>
      <w:r>
        <w:rPr>
          <w:rFonts w:hint="eastAsia"/>
        </w:rPr>
        <w:t>、</w:t>
      </w:r>
      <w:r>
        <w:t>0021</w:t>
      </w:r>
      <w:r>
        <w:rPr>
          <w:rFonts w:hint="eastAsia"/>
        </w:rPr>
        <w:t>號、</w:t>
      </w:r>
      <w:r>
        <w:t>(91)</w:t>
      </w:r>
      <w:r>
        <w:rPr>
          <w:rFonts w:hint="eastAsia"/>
        </w:rPr>
        <w:t>公申決字第</w:t>
      </w:r>
      <w:r>
        <w:t>0107</w:t>
      </w:r>
      <w:r>
        <w:rPr>
          <w:rFonts w:hint="eastAsia"/>
        </w:rPr>
        <w:t>、</w:t>
      </w:r>
      <w:r>
        <w:t>0190</w:t>
      </w:r>
      <w:r>
        <w:rPr>
          <w:rFonts w:hint="eastAsia"/>
        </w:rPr>
        <w:t>號再申訴決定書。</w:t>
      </w:r>
    </w:p>
  </w:footnote>
  <w:footnote w:id="26">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0032</w:t>
      </w:r>
      <w:r>
        <w:rPr>
          <w:rFonts w:hint="eastAsia"/>
        </w:rPr>
        <w:t>號再復審決定書。</w:t>
      </w:r>
    </w:p>
  </w:footnote>
  <w:footnote w:id="27">
    <w:p w:rsidR="00000000" w:rsidRDefault="00EA2FA8">
      <w:pPr>
        <w:pStyle w:val="a6"/>
        <w:ind w:firstLine="360"/>
        <w:rPr>
          <w:rFonts w:hint="eastAsia"/>
        </w:rPr>
      </w:pPr>
      <w:r>
        <w:rPr>
          <w:rStyle w:val="a5"/>
        </w:rPr>
        <w:footnoteRef/>
      </w:r>
      <w:r>
        <w:t xml:space="preserve"> </w:t>
      </w:r>
      <w:r>
        <w:rPr>
          <w:rFonts w:hint="eastAsia"/>
        </w:rPr>
        <w:t>公務人員保</w:t>
      </w:r>
      <w:r>
        <w:rPr>
          <w:rFonts w:hint="eastAsia"/>
        </w:rPr>
        <w:t>障暨培訓委員會</w:t>
      </w:r>
      <w:r>
        <w:t>(88)</w:t>
      </w:r>
      <w:r>
        <w:rPr>
          <w:rFonts w:hint="eastAsia"/>
        </w:rPr>
        <w:t>公申決字第</w:t>
      </w:r>
      <w:r>
        <w:t>0082</w:t>
      </w:r>
      <w:r>
        <w:rPr>
          <w:rFonts w:hint="eastAsia"/>
        </w:rPr>
        <w:t>號、</w:t>
      </w:r>
      <w:r>
        <w:t>(90)</w:t>
      </w:r>
      <w:r>
        <w:rPr>
          <w:rFonts w:hint="eastAsia"/>
        </w:rPr>
        <w:t>公申決字第</w:t>
      </w:r>
      <w:r>
        <w:t>0044</w:t>
      </w:r>
      <w:r>
        <w:rPr>
          <w:rFonts w:hint="eastAsia"/>
        </w:rPr>
        <w:t>號、</w:t>
      </w:r>
      <w:r>
        <w:rPr>
          <w:rFonts w:hint="eastAsia"/>
        </w:rPr>
        <w:t>(91)</w:t>
      </w:r>
      <w:r>
        <w:rPr>
          <w:rFonts w:hint="eastAsia"/>
        </w:rPr>
        <w:t>公申決字第</w:t>
      </w:r>
      <w:r>
        <w:rPr>
          <w:rFonts w:hint="eastAsia"/>
        </w:rPr>
        <w:t>0148</w:t>
      </w:r>
      <w:r>
        <w:rPr>
          <w:rFonts w:hint="eastAsia"/>
        </w:rPr>
        <w:t>號、</w:t>
      </w:r>
      <w:r>
        <w:rPr>
          <w:rFonts w:hint="eastAsia"/>
        </w:rPr>
        <w:t>(92)</w:t>
      </w:r>
      <w:r>
        <w:rPr>
          <w:rFonts w:hint="eastAsia"/>
        </w:rPr>
        <w:t>公申決字第</w:t>
      </w:r>
      <w:r>
        <w:rPr>
          <w:rFonts w:hint="eastAsia"/>
        </w:rPr>
        <w:t>0200</w:t>
      </w:r>
      <w:r>
        <w:rPr>
          <w:rFonts w:hint="eastAsia"/>
        </w:rPr>
        <w:t>號再申訴決定書。</w:t>
      </w:r>
    </w:p>
  </w:footnote>
  <w:footnote w:id="28">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0174</w:t>
      </w:r>
      <w:r>
        <w:rPr>
          <w:rFonts w:hint="eastAsia"/>
        </w:rPr>
        <w:t>號、</w:t>
      </w:r>
      <w:r>
        <w:t>(90)</w:t>
      </w:r>
      <w:r>
        <w:rPr>
          <w:rFonts w:hint="eastAsia"/>
        </w:rPr>
        <w:t>公申決字第</w:t>
      </w:r>
      <w:r>
        <w:t>0042</w:t>
      </w:r>
      <w:r>
        <w:rPr>
          <w:rFonts w:hint="eastAsia"/>
        </w:rPr>
        <w:t>、</w:t>
      </w:r>
      <w:r>
        <w:t>0221</w:t>
      </w:r>
      <w:r>
        <w:rPr>
          <w:rFonts w:hint="eastAsia"/>
        </w:rPr>
        <w:t>號、</w:t>
      </w:r>
      <w:r>
        <w:rPr>
          <w:rFonts w:hint="eastAsia"/>
        </w:rPr>
        <w:t>(91)</w:t>
      </w:r>
      <w:r>
        <w:rPr>
          <w:rFonts w:hint="eastAsia"/>
        </w:rPr>
        <w:t>公申決字第</w:t>
      </w:r>
      <w:r>
        <w:rPr>
          <w:rFonts w:hint="eastAsia"/>
        </w:rPr>
        <w:t>0343</w:t>
      </w:r>
      <w:r>
        <w:rPr>
          <w:rFonts w:hint="eastAsia"/>
        </w:rPr>
        <w:t>號、</w:t>
      </w:r>
      <w:r>
        <w:rPr>
          <w:rFonts w:hint="eastAsia"/>
        </w:rPr>
        <w:t>(92)</w:t>
      </w:r>
      <w:r>
        <w:rPr>
          <w:rFonts w:hint="eastAsia"/>
        </w:rPr>
        <w:t>公申決字第</w:t>
      </w:r>
      <w:r>
        <w:rPr>
          <w:rFonts w:hint="eastAsia"/>
        </w:rPr>
        <w:t>0258</w:t>
      </w:r>
      <w:r>
        <w:rPr>
          <w:rFonts w:hint="eastAsia"/>
        </w:rPr>
        <w:t>號再申訴決定書；</w:t>
      </w:r>
      <w:r>
        <w:rPr>
          <w:rFonts w:hint="eastAsia"/>
        </w:rPr>
        <w:t>(91)</w:t>
      </w:r>
      <w:r>
        <w:rPr>
          <w:rFonts w:hint="eastAsia"/>
        </w:rPr>
        <w:t>公審決字第</w:t>
      </w:r>
      <w:r>
        <w:rPr>
          <w:rFonts w:hint="eastAsia"/>
        </w:rPr>
        <w:t>0140</w:t>
      </w:r>
      <w:r>
        <w:rPr>
          <w:rFonts w:hint="eastAsia"/>
        </w:rPr>
        <w:t>號再復審決定書。</w:t>
      </w:r>
    </w:p>
  </w:footnote>
  <w:footnote w:id="29">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0004</w:t>
      </w:r>
      <w:r>
        <w:rPr>
          <w:rFonts w:hint="eastAsia"/>
        </w:rPr>
        <w:t>號、</w:t>
      </w:r>
      <w:r>
        <w:t>(90)</w:t>
      </w:r>
      <w:r>
        <w:rPr>
          <w:rFonts w:hint="eastAsia"/>
        </w:rPr>
        <w:t>公審決字第</w:t>
      </w:r>
      <w:r>
        <w:t>0038</w:t>
      </w:r>
      <w:r>
        <w:rPr>
          <w:rFonts w:hint="eastAsia"/>
        </w:rPr>
        <w:t>號、</w:t>
      </w:r>
      <w:r>
        <w:rPr>
          <w:rFonts w:hint="eastAsia"/>
        </w:rPr>
        <w:t>(91)</w:t>
      </w:r>
      <w:r>
        <w:rPr>
          <w:rFonts w:hint="eastAsia"/>
        </w:rPr>
        <w:t>公審決字第</w:t>
      </w:r>
      <w:r>
        <w:rPr>
          <w:rFonts w:hint="eastAsia"/>
        </w:rPr>
        <w:t>0104</w:t>
      </w:r>
      <w:r>
        <w:rPr>
          <w:rFonts w:hint="eastAsia"/>
        </w:rPr>
        <w:t>號再復審決定書；</w:t>
      </w:r>
      <w:r>
        <w:rPr>
          <w:rFonts w:hint="eastAsia"/>
        </w:rPr>
        <w:t>(92)</w:t>
      </w:r>
      <w:r>
        <w:rPr>
          <w:rFonts w:hint="eastAsia"/>
        </w:rPr>
        <w:t>公申決字第</w:t>
      </w:r>
      <w:r>
        <w:rPr>
          <w:rFonts w:hint="eastAsia"/>
        </w:rPr>
        <w:t>0</w:t>
      </w:r>
      <w:r>
        <w:rPr>
          <w:rFonts w:hint="eastAsia"/>
        </w:rPr>
        <w:t>006</w:t>
      </w:r>
      <w:r>
        <w:rPr>
          <w:rFonts w:hint="eastAsia"/>
        </w:rPr>
        <w:t>、</w:t>
      </w:r>
      <w:r>
        <w:rPr>
          <w:rFonts w:hint="eastAsia"/>
        </w:rPr>
        <w:t xml:space="preserve">0109 </w:t>
      </w:r>
      <w:r>
        <w:rPr>
          <w:rFonts w:hint="eastAsia"/>
        </w:rPr>
        <w:t>號再申訴決定書。惟保訓會亦有將「請求派任事件」適用復審、再復審程序予以處理，請見：</w:t>
      </w:r>
      <w:r>
        <w:rPr>
          <w:rFonts w:hint="eastAsia"/>
        </w:rPr>
        <w:t>(92)</w:t>
      </w:r>
      <w:r>
        <w:rPr>
          <w:rFonts w:hint="eastAsia"/>
        </w:rPr>
        <w:t>公審決字第</w:t>
      </w:r>
      <w:r>
        <w:rPr>
          <w:rFonts w:hint="eastAsia"/>
        </w:rPr>
        <w:t>0271</w:t>
      </w:r>
      <w:r>
        <w:rPr>
          <w:rFonts w:hint="eastAsia"/>
        </w:rPr>
        <w:t>號再復審決定書。</w:t>
      </w:r>
    </w:p>
  </w:footnote>
  <w:footnote w:id="30">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0061</w:t>
      </w:r>
      <w:r>
        <w:rPr>
          <w:rFonts w:hint="eastAsia"/>
        </w:rPr>
        <w:t>號再復審決定書；</w:t>
      </w:r>
      <w:r>
        <w:t>(91)</w:t>
      </w:r>
      <w:r>
        <w:rPr>
          <w:rFonts w:hint="eastAsia"/>
        </w:rPr>
        <w:t>公申決字第</w:t>
      </w:r>
      <w:r>
        <w:t>0040</w:t>
      </w:r>
      <w:r>
        <w:rPr>
          <w:rFonts w:hint="eastAsia"/>
        </w:rPr>
        <w:t>號再申訴決定書。</w:t>
      </w:r>
    </w:p>
  </w:footnote>
  <w:footnote w:id="31">
    <w:p w:rsidR="00000000" w:rsidRDefault="00EA2FA8">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0041</w:t>
      </w:r>
      <w:r>
        <w:rPr>
          <w:rFonts w:hint="eastAsia"/>
        </w:rPr>
        <w:t>、</w:t>
      </w:r>
      <w:r>
        <w:t>0052</w:t>
      </w:r>
      <w:r>
        <w:rPr>
          <w:rFonts w:hint="eastAsia"/>
        </w:rPr>
        <w:t>號再申訴決定書。</w:t>
      </w:r>
    </w:p>
  </w:footnote>
  <w:footnote w:id="32">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0229</w:t>
      </w:r>
      <w:r>
        <w:rPr>
          <w:rFonts w:hint="eastAsia"/>
        </w:rPr>
        <w:t>號、</w:t>
      </w:r>
      <w:r>
        <w:t>(90)</w:t>
      </w:r>
      <w:r>
        <w:rPr>
          <w:rFonts w:hint="eastAsia"/>
        </w:rPr>
        <w:t>公申決字第</w:t>
      </w:r>
      <w:r>
        <w:t>0291</w:t>
      </w:r>
      <w:r>
        <w:rPr>
          <w:rFonts w:hint="eastAsia"/>
        </w:rPr>
        <w:t>號、</w:t>
      </w:r>
      <w:r>
        <w:rPr>
          <w:rFonts w:hint="eastAsia"/>
        </w:rPr>
        <w:t>(91)</w:t>
      </w:r>
      <w:r>
        <w:rPr>
          <w:rFonts w:hint="eastAsia"/>
        </w:rPr>
        <w:t>公申決字第</w:t>
      </w:r>
      <w:r>
        <w:rPr>
          <w:rFonts w:hint="eastAsia"/>
        </w:rPr>
        <w:t>0098</w:t>
      </w:r>
      <w:r>
        <w:rPr>
          <w:rFonts w:hint="eastAsia"/>
        </w:rPr>
        <w:t>號、</w:t>
      </w:r>
      <w:r>
        <w:rPr>
          <w:rFonts w:hint="eastAsia"/>
        </w:rPr>
        <w:t>(92)</w:t>
      </w:r>
      <w:r>
        <w:rPr>
          <w:rFonts w:hint="eastAsia"/>
        </w:rPr>
        <w:t>公申決字第</w:t>
      </w:r>
      <w:r>
        <w:rPr>
          <w:rFonts w:hint="eastAsia"/>
        </w:rPr>
        <w:t>0243</w:t>
      </w:r>
      <w:r>
        <w:rPr>
          <w:rFonts w:hint="eastAsia"/>
        </w:rPr>
        <w:t>號再申訴決定書；</w:t>
      </w:r>
      <w:r>
        <w:rPr>
          <w:rFonts w:hint="eastAsia"/>
        </w:rPr>
        <w:t>(91)</w:t>
      </w:r>
      <w:r>
        <w:rPr>
          <w:rFonts w:hint="eastAsia"/>
        </w:rPr>
        <w:t>公審</w:t>
      </w:r>
      <w:r>
        <w:rPr>
          <w:rFonts w:hint="eastAsia"/>
        </w:rPr>
        <w:t>決字第</w:t>
      </w:r>
      <w:r>
        <w:rPr>
          <w:rFonts w:hint="eastAsia"/>
        </w:rPr>
        <w:t>0073</w:t>
      </w:r>
      <w:r>
        <w:rPr>
          <w:rFonts w:hint="eastAsia"/>
        </w:rPr>
        <w:t>號、</w:t>
      </w:r>
      <w:r>
        <w:rPr>
          <w:rFonts w:hint="eastAsia"/>
        </w:rPr>
        <w:t>(92)</w:t>
      </w:r>
      <w:r>
        <w:rPr>
          <w:rFonts w:hint="eastAsia"/>
        </w:rPr>
        <w:t>公審決字第</w:t>
      </w:r>
      <w:r>
        <w:rPr>
          <w:rFonts w:hint="eastAsia"/>
        </w:rPr>
        <w:t>0019</w:t>
      </w:r>
      <w:r>
        <w:rPr>
          <w:rFonts w:hint="eastAsia"/>
        </w:rPr>
        <w:t>號再復審決定書。惟保訓會亦有將調任事件以復審程序處理者，請參：</w:t>
      </w:r>
      <w:r>
        <w:t>(90)</w:t>
      </w:r>
      <w:r>
        <w:rPr>
          <w:rFonts w:hint="eastAsia"/>
        </w:rPr>
        <w:t>公申決字第</w:t>
      </w:r>
      <w:r>
        <w:t>0225</w:t>
      </w:r>
      <w:r>
        <w:rPr>
          <w:rFonts w:hint="eastAsia"/>
        </w:rPr>
        <w:t>號再申訴決定書及</w:t>
      </w:r>
      <w:r>
        <w:rPr>
          <w:rFonts w:hint="eastAsia"/>
        </w:rPr>
        <w:t>(91)</w:t>
      </w:r>
      <w:r>
        <w:rPr>
          <w:rFonts w:hint="eastAsia"/>
        </w:rPr>
        <w:t>公審決字第</w:t>
      </w:r>
      <w:r>
        <w:rPr>
          <w:rFonts w:hint="eastAsia"/>
        </w:rPr>
        <w:t>0128</w:t>
      </w:r>
      <w:r>
        <w:rPr>
          <w:rFonts w:hint="eastAsia"/>
        </w:rPr>
        <w:t>號再復審決定書。</w:t>
      </w:r>
    </w:p>
  </w:footnote>
  <w:footnote w:id="33">
    <w:p w:rsidR="00000000" w:rsidRDefault="00EA2FA8">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0028</w:t>
      </w:r>
      <w:r>
        <w:rPr>
          <w:rFonts w:hint="eastAsia"/>
        </w:rPr>
        <w:t>號再復審決定書。</w:t>
      </w:r>
    </w:p>
  </w:footnote>
  <w:footnote w:id="34">
    <w:p w:rsidR="00000000" w:rsidRDefault="00EA2FA8">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0123</w:t>
      </w:r>
      <w:r>
        <w:rPr>
          <w:rFonts w:hint="eastAsia"/>
        </w:rPr>
        <w:t>號再復審決定書。</w:t>
      </w:r>
    </w:p>
  </w:footnote>
  <w:footnote w:id="35">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0156</w:t>
      </w:r>
      <w:r>
        <w:rPr>
          <w:rFonts w:hint="eastAsia"/>
        </w:rPr>
        <w:t>號再申訴決定書。惟保訓會對於請領兼職交通費准否一事乃認屬復審標的，詳細請見：</w:t>
      </w:r>
      <w:r>
        <w:rPr>
          <w:rFonts w:hint="eastAsia"/>
        </w:rPr>
        <w:t>(91)</w:t>
      </w:r>
      <w:r>
        <w:rPr>
          <w:rFonts w:hint="eastAsia"/>
        </w:rPr>
        <w:t>公審決字第</w:t>
      </w:r>
      <w:r>
        <w:rPr>
          <w:rFonts w:hint="eastAsia"/>
        </w:rPr>
        <w:t>0198</w:t>
      </w:r>
      <w:r>
        <w:rPr>
          <w:rFonts w:hint="eastAsia"/>
        </w:rPr>
        <w:t>號再復審決定書。</w:t>
      </w:r>
    </w:p>
  </w:footnote>
  <w:footnote w:id="36">
    <w:p w:rsidR="00000000" w:rsidRDefault="00EA2FA8">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0285</w:t>
      </w:r>
      <w:r>
        <w:rPr>
          <w:rFonts w:hint="eastAsia"/>
        </w:rPr>
        <w:t>號、</w:t>
      </w:r>
      <w:r>
        <w:rPr>
          <w:rFonts w:hint="eastAsia"/>
        </w:rPr>
        <w:t>(91)</w:t>
      </w:r>
      <w:r>
        <w:rPr>
          <w:rFonts w:hint="eastAsia"/>
        </w:rPr>
        <w:t>公申決字第</w:t>
      </w:r>
      <w:r>
        <w:rPr>
          <w:rFonts w:hint="eastAsia"/>
        </w:rPr>
        <w:t>0348</w:t>
      </w:r>
      <w:r>
        <w:rPr>
          <w:rFonts w:hint="eastAsia"/>
        </w:rPr>
        <w:t>號再申訴決定書。</w:t>
      </w:r>
    </w:p>
  </w:footnote>
  <w:footnote w:id="37">
    <w:p w:rsidR="00000000" w:rsidRDefault="00EA2FA8">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0011</w:t>
      </w:r>
      <w:r>
        <w:rPr>
          <w:rFonts w:hint="eastAsia"/>
        </w:rPr>
        <w:t>號再申訴決定書。</w:t>
      </w:r>
    </w:p>
  </w:footnote>
  <w:footnote w:id="38">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0227</w:t>
      </w:r>
      <w:r>
        <w:rPr>
          <w:rFonts w:hint="eastAsia"/>
        </w:rPr>
        <w:t>號再申訴決定書。</w:t>
      </w:r>
    </w:p>
  </w:footnote>
  <w:footnote w:id="39">
    <w:p w:rsidR="00000000" w:rsidRDefault="00EA2FA8">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0156</w:t>
      </w:r>
      <w:r>
        <w:rPr>
          <w:rFonts w:hint="eastAsia"/>
        </w:rPr>
        <w:t>號再申訴決定書。</w:t>
      </w:r>
    </w:p>
  </w:footnote>
  <w:footnote w:id="40">
    <w:p w:rsidR="00000000" w:rsidRDefault="00EA2FA8">
      <w:pPr>
        <w:pStyle w:val="a6"/>
        <w:ind w:firstLine="360"/>
        <w:rPr>
          <w:rFonts w:hint="eastAsia"/>
        </w:rPr>
      </w:pPr>
      <w:r>
        <w:rPr>
          <w:rStyle w:val="a5"/>
        </w:rPr>
        <w:footnoteRef/>
      </w:r>
      <w:r>
        <w:t xml:space="preserve"> </w:t>
      </w:r>
      <w:r>
        <w:rPr>
          <w:rFonts w:hint="eastAsia"/>
        </w:rPr>
        <w:t>近來保訓會對於請領交通費遭否准一事之性質認定似已改變見解而認應屬復審標的，詳細請見：</w:t>
      </w:r>
      <w:r>
        <w:rPr>
          <w:rFonts w:hint="eastAsia"/>
        </w:rPr>
        <w:t>(91)</w:t>
      </w:r>
      <w:r>
        <w:rPr>
          <w:rFonts w:hint="eastAsia"/>
        </w:rPr>
        <w:t>公審決字第</w:t>
      </w:r>
      <w:r>
        <w:rPr>
          <w:rFonts w:hint="eastAsia"/>
        </w:rPr>
        <w:t>0198</w:t>
      </w:r>
      <w:r>
        <w:rPr>
          <w:rFonts w:hint="eastAsia"/>
        </w:rPr>
        <w:t>號再復審決定書。</w:t>
      </w:r>
    </w:p>
  </w:footnote>
  <w:footnote w:id="41">
    <w:p w:rsidR="00000000" w:rsidRDefault="00EA2FA8">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0065</w:t>
      </w:r>
      <w:r>
        <w:rPr>
          <w:rFonts w:hint="eastAsia"/>
        </w:rPr>
        <w:t>號再復審決</w:t>
      </w:r>
      <w:r>
        <w:rPr>
          <w:rFonts w:hint="eastAsia"/>
        </w:rPr>
        <w:t>定書。</w:t>
      </w:r>
    </w:p>
  </w:footnote>
  <w:footnote w:id="42">
    <w:p w:rsidR="00000000" w:rsidRDefault="00EA2FA8">
      <w:pPr>
        <w:pStyle w:val="a6"/>
        <w:ind w:firstLine="360"/>
      </w:pPr>
      <w:r>
        <w:rPr>
          <w:rStyle w:val="a5"/>
        </w:rPr>
        <w:footnoteRef/>
      </w:r>
      <w:r>
        <w:rPr>
          <w:rFonts w:hint="eastAsia"/>
        </w:rPr>
        <w:t xml:space="preserve"> </w:t>
      </w:r>
      <w:r>
        <w:rPr>
          <w:rFonts w:hint="eastAsia"/>
        </w:rPr>
        <w:t>關於公務人員職務之調動、調整其性質究竟為何，當事人如有不服應尋何種程序進行救濟，保訓會業已於</w:t>
      </w:r>
      <w:r>
        <w:rPr>
          <w:rFonts w:hint="eastAsia"/>
        </w:rPr>
        <w:t>92</w:t>
      </w:r>
      <w:r>
        <w:rPr>
          <w:rFonts w:hint="eastAsia"/>
        </w:rPr>
        <w:t>年</w:t>
      </w:r>
      <w:r>
        <w:rPr>
          <w:rFonts w:hint="eastAsia"/>
        </w:rPr>
        <w:t>10</w:t>
      </w:r>
      <w:r>
        <w:rPr>
          <w:rFonts w:hint="eastAsia"/>
        </w:rPr>
        <w:t>年</w:t>
      </w:r>
      <w:r>
        <w:rPr>
          <w:rFonts w:hint="eastAsia"/>
        </w:rPr>
        <w:t>17</w:t>
      </w:r>
      <w:r>
        <w:rPr>
          <w:rFonts w:hint="eastAsia"/>
        </w:rPr>
        <w:t>日邀集學者開會討論之。而於該次會議中亦已作成應針對不同類型之遷調情形而作不同處理之決議，詳細請參考由公務人員保障暨培訓委員會於民國</w:t>
      </w:r>
      <w:r>
        <w:rPr>
          <w:rFonts w:hint="eastAsia"/>
        </w:rPr>
        <w:t>92</w:t>
      </w:r>
      <w:r>
        <w:rPr>
          <w:rFonts w:hint="eastAsia"/>
        </w:rPr>
        <w:t>年</w:t>
      </w:r>
      <w:r>
        <w:rPr>
          <w:rFonts w:hint="eastAsia"/>
        </w:rPr>
        <w:t>10</w:t>
      </w:r>
      <w:r>
        <w:rPr>
          <w:rFonts w:hint="eastAsia"/>
        </w:rPr>
        <w:t>年</w:t>
      </w:r>
      <w:r>
        <w:rPr>
          <w:rFonts w:hint="eastAsia"/>
        </w:rPr>
        <w:t>17</w:t>
      </w:r>
      <w:r>
        <w:rPr>
          <w:rFonts w:hint="eastAsia"/>
        </w:rPr>
        <w:t>日針對「調任、請求派任、工作指派等事件究應適用復審或申訴程序疑義」及「對於屬申訴事件，公務人員提起復審者應如何處理疑義」等議題所辦座談會之會議記錄。</w:t>
      </w:r>
    </w:p>
  </w:footnote>
  <w:footnote w:id="43">
    <w:p w:rsidR="00000000" w:rsidRDefault="00EA2FA8">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公申決字第</w:t>
      </w:r>
      <w:r>
        <w:t>0229</w:t>
      </w:r>
      <w:r>
        <w:rPr>
          <w:rFonts w:hint="eastAsia"/>
        </w:rPr>
        <w:t>號再申訴決定書。</w:t>
      </w:r>
    </w:p>
  </w:footnote>
  <w:footnote w:id="44">
    <w:p w:rsidR="00000000" w:rsidRDefault="00EA2FA8">
      <w:pPr>
        <w:pStyle w:val="a6"/>
        <w:ind w:firstLine="360"/>
      </w:pPr>
      <w:r>
        <w:rPr>
          <w:rStyle w:val="a5"/>
        </w:rPr>
        <w:footnoteRef/>
      </w:r>
      <w:r>
        <w:rPr>
          <w:rFonts w:hint="eastAsia"/>
        </w:rPr>
        <w:t xml:space="preserve"> </w:t>
      </w:r>
      <w:r>
        <w:rPr>
          <w:rFonts w:hint="eastAsia"/>
        </w:rPr>
        <w:t>公務人員保障暨培訓委</w:t>
      </w:r>
      <w:r>
        <w:rPr>
          <w:rFonts w:hint="eastAsia"/>
        </w:rPr>
        <w:t>員會</w:t>
      </w:r>
      <w:r>
        <w:t>(91)</w:t>
      </w:r>
      <w:r>
        <w:rPr>
          <w:rFonts w:hint="eastAsia"/>
        </w:rPr>
        <w:t>公申決字第</w:t>
      </w:r>
      <w:r>
        <w:t>0003</w:t>
      </w:r>
      <w:r>
        <w:rPr>
          <w:rFonts w:hint="eastAsia"/>
        </w:rPr>
        <w:t>號再申訴決定書。</w:t>
      </w:r>
    </w:p>
  </w:footnote>
  <w:footnote w:id="45">
    <w:p w:rsidR="00000000" w:rsidRDefault="00EA2FA8">
      <w:pPr>
        <w:pStyle w:val="a6"/>
        <w:ind w:firstLine="360"/>
        <w:rPr>
          <w:rFonts w:hint="eastAsia"/>
        </w:rPr>
      </w:pPr>
      <w:r>
        <w:rPr>
          <w:rStyle w:val="a5"/>
        </w:rPr>
        <w:footnoteRef/>
      </w:r>
      <w:r>
        <w:t xml:space="preserve"> </w:t>
      </w:r>
      <w:r>
        <w:rPr>
          <w:rFonts w:hint="eastAsia"/>
        </w:rPr>
        <w:t>保訓會對於公務人員主動請求派任主管或較高官等、職等職務而遭否准等事件，業已改變過去見解而認為應視當事人不同之主張而作不同之處理，非一律視為機關內部之管理措施而依申訴、再申訴程序予以處理，詳細請參由公務人員保障暨培訓委員會於民國</w:t>
      </w:r>
      <w:r>
        <w:rPr>
          <w:rFonts w:hint="eastAsia"/>
        </w:rPr>
        <w:t>92</w:t>
      </w:r>
      <w:r>
        <w:rPr>
          <w:rFonts w:hint="eastAsia"/>
        </w:rPr>
        <w:t>年</w:t>
      </w:r>
      <w:r>
        <w:rPr>
          <w:rFonts w:hint="eastAsia"/>
        </w:rPr>
        <w:t>10</w:t>
      </w:r>
      <w:r>
        <w:rPr>
          <w:rFonts w:hint="eastAsia"/>
        </w:rPr>
        <w:t>年</w:t>
      </w:r>
      <w:r>
        <w:rPr>
          <w:rFonts w:hint="eastAsia"/>
        </w:rPr>
        <w:t>17</w:t>
      </w:r>
      <w:r>
        <w:rPr>
          <w:rFonts w:hint="eastAsia"/>
        </w:rPr>
        <w:t>日針對「調任、請求派任、工作指派等事件究應適用復審或申訴程序疑義」及「對於屬申訴事件，公務人員提起復審者應如何處理疑義」等議題所辦座談會之會議記錄（九）。</w:t>
      </w:r>
    </w:p>
  </w:footnote>
  <w:footnote w:id="46">
    <w:p w:rsidR="00000000" w:rsidRDefault="00EA2FA8">
      <w:pPr>
        <w:pStyle w:val="a6"/>
        <w:ind w:firstLine="360"/>
        <w:rPr>
          <w:rFonts w:hint="eastAsia"/>
        </w:rPr>
      </w:pPr>
      <w:r>
        <w:rPr>
          <w:rStyle w:val="a5"/>
        </w:rPr>
        <w:footnoteRef/>
      </w:r>
      <w:r>
        <w:t xml:space="preserve"> </w:t>
      </w:r>
      <w:r>
        <w:rPr>
          <w:rFonts w:hint="eastAsia"/>
        </w:rPr>
        <w:t>請參閱周世珍、陳淞山、周志宏委員所提不同意見書。</w:t>
      </w:r>
    </w:p>
  </w:footnote>
  <w:footnote w:id="47">
    <w:p w:rsidR="00000000" w:rsidRDefault="00EA2FA8">
      <w:pPr>
        <w:pStyle w:val="a6"/>
        <w:ind w:firstLine="360"/>
        <w:rPr>
          <w:rFonts w:hint="eastAsia"/>
        </w:rPr>
      </w:pPr>
      <w:r>
        <w:rPr>
          <w:rStyle w:val="a5"/>
        </w:rPr>
        <w:footnoteRef/>
      </w:r>
      <w:r>
        <w:t xml:space="preserve"> </w:t>
      </w:r>
      <w:r>
        <w:rPr>
          <w:rFonts w:hint="eastAsia"/>
        </w:rPr>
        <w:t>當然</w:t>
      </w:r>
      <w:r>
        <w:rPr>
          <w:rFonts w:hint="eastAsia"/>
        </w:rPr>
        <w:t>，並非所有與「公務人員陞遷」有關的事務，皆構成行政處分，例如公務人員未獲列入陞任或遷調名冊，因尚不具外部法律效力，故非屬行政處分，請參閱公務人員保障暨培訓委員會</w:t>
      </w:r>
      <w:r>
        <w:t>(91)</w:t>
      </w:r>
      <w:r>
        <w:rPr>
          <w:rFonts w:hint="eastAsia"/>
        </w:rPr>
        <w:t>公申決字第</w:t>
      </w:r>
      <w:r>
        <w:t>0061</w:t>
      </w:r>
      <w:r>
        <w:rPr>
          <w:rFonts w:hint="eastAsia"/>
        </w:rPr>
        <w:t>號再申訴決定書。</w:t>
      </w:r>
    </w:p>
  </w:footnote>
  <w:footnote w:id="48">
    <w:p w:rsidR="00000000" w:rsidRDefault="00EA2FA8">
      <w:pPr>
        <w:pStyle w:val="a6"/>
        <w:ind w:firstLine="360"/>
        <w:rPr>
          <w:rFonts w:hint="eastAsia"/>
        </w:rPr>
      </w:pPr>
      <w:r>
        <w:rPr>
          <w:rStyle w:val="a5"/>
        </w:rPr>
        <w:footnoteRef/>
      </w:r>
      <w:r>
        <w:t xml:space="preserve"> </w:t>
      </w:r>
      <w:r>
        <w:rPr>
          <w:rFonts w:hint="eastAsia"/>
        </w:rPr>
        <w:t>另請參照</w:t>
      </w:r>
      <w:r>
        <w:rPr>
          <w:color w:val="000000"/>
        </w:rPr>
        <w:t>最高行政法院八十六年度判字第五八七號判決</w:t>
      </w:r>
      <w:r>
        <w:rPr>
          <w:rFonts w:hint="eastAsia"/>
          <w:color w:val="000000"/>
        </w:rPr>
        <w:t>。</w:t>
      </w:r>
    </w:p>
  </w:footnote>
  <w:footnote w:id="49">
    <w:p w:rsidR="00000000" w:rsidRDefault="00EA2FA8">
      <w:pPr>
        <w:pStyle w:val="a6"/>
        <w:ind w:firstLine="360"/>
        <w:rPr>
          <w:rFonts w:hint="eastAsia"/>
        </w:rPr>
      </w:pPr>
      <w:r>
        <w:rPr>
          <w:rStyle w:val="a5"/>
        </w:rPr>
        <w:footnoteRef/>
      </w:r>
      <w:r>
        <w:t xml:space="preserve"> </w:t>
      </w:r>
      <w:r>
        <w:rPr>
          <w:rFonts w:hint="eastAsia"/>
        </w:rPr>
        <w:t>關於主動請調事件應循何種程序救濟，最高行政法院見解亦非一致，例如於八十九年度裁字第一五四六號及九十二年度裁字第六００號裁定中即認為學校中之文教行政幹事請求調任同校夜間部組長事件因不影響現行職務及公務員身分而屬管理措施應尋申訴、再申訴程序救濟；惟於九</w:t>
      </w:r>
      <w:r>
        <w:rPr>
          <w:rFonts w:hint="eastAsia"/>
        </w:rPr>
        <w:t>十年度判字第二二三八號判決中則認為委任五職等通譯請求派任薦任第六職等通譯遭否准之事件應適用復審、再復審之程序。</w:t>
      </w:r>
    </w:p>
  </w:footnote>
  <w:footnote w:id="50">
    <w:p w:rsidR="00000000" w:rsidRDefault="00EA2FA8">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公申決字第</w:t>
      </w:r>
      <w:r>
        <w:t>0052</w:t>
      </w:r>
      <w:r>
        <w:rPr>
          <w:rFonts w:hint="eastAsia"/>
        </w:rPr>
        <w:t>號再申訴決定書；同類型事件尚可見</w:t>
      </w:r>
      <w:r>
        <w:rPr>
          <w:rFonts w:hint="eastAsia"/>
        </w:rPr>
        <w:t>(91)</w:t>
      </w:r>
      <w:r>
        <w:rPr>
          <w:rFonts w:hint="eastAsia"/>
        </w:rPr>
        <w:t>公審決字第</w:t>
      </w:r>
      <w:r>
        <w:rPr>
          <w:rFonts w:hint="eastAsia"/>
        </w:rPr>
        <w:t>0073</w:t>
      </w:r>
      <w:r>
        <w:rPr>
          <w:rFonts w:hint="eastAsia"/>
        </w:rPr>
        <w:t>號再復審決定書。</w:t>
      </w:r>
    </w:p>
  </w:footnote>
  <w:footnote w:id="51">
    <w:p w:rsidR="00000000" w:rsidRDefault="00EA2FA8">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公申決字第</w:t>
      </w:r>
      <w:r>
        <w:t>0241</w:t>
      </w:r>
      <w:r>
        <w:rPr>
          <w:rFonts w:hint="eastAsia"/>
        </w:rPr>
        <w:t>號再申訴決定書。</w:t>
      </w:r>
    </w:p>
  </w:footnote>
  <w:footnote w:id="52">
    <w:p w:rsidR="00000000" w:rsidRDefault="00EA2FA8">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公申決字第</w:t>
      </w:r>
      <w:r>
        <w:t>0146</w:t>
      </w:r>
      <w:r>
        <w:rPr>
          <w:rFonts w:hint="eastAsia"/>
        </w:rPr>
        <w:t>號再申訴決定書；</w:t>
      </w:r>
      <w:r>
        <w:t>(89)</w:t>
      </w:r>
      <w:r>
        <w:rPr>
          <w:rFonts w:hint="eastAsia"/>
        </w:rPr>
        <w:t>公審決字第</w:t>
      </w:r>
      <w:r>
        <w:t>0048</w:t>
      </w:r>
      <w:r>
        <w:rPr>
          <w:rFonts w:hint="eastAsia"/>
        </w:rPr>
        <w:t>號再復審決定書。</w:t>
      </w:r>
    </w:p>
  </w:footnote>
  <w:footnote w:id="53">
    <w:p w:rsidR="00000000" w:rsidRDefault="00EA2FA8">
      <w:pPr>
        <w:pStyle w:val="a6"/>
        <w:ind w:firstLine="360"/>
      </w:pPr>
      <w:r>
        <w:rPr>
          <w:rStyle w:val="a5"/>
        </w:rPr>
        <w:footnoteRef/>
      </w:r>
      <w:r>
        <w:rPr>
          <w:rFonts w:hint="eastAsia"/>
        </w:rPr>
        <w:t xml:space="preserve"> </w:t>
      </w:r>
      <w:r>
        <w:rPr>
          <w:rFonts w:hint="eastAsia"/>
        </w:rPr>
        <w:t>公務人員保障暨培訓委員會</w:t>
      </w:r>
      <w:r>
        <w:t>(89)</w:t>
      </w:r>
      <w:r>
        <w:rPr>
          <w:rFonts w:hint="eastAsia"/>
        </w:rPr>
        <w:t>公申決字第</w:t>
      </w:r>
      <w:r>
        <w:t>0210</w:t>
      </w:r>
      <w:r>
        <w:rPr>
          <w:rFonts w:hint="eastAsia"/>
        </w:rPr>
        <w:t>號再申訴決定書。</w:t>
      </w:r>
    </w:p>
  </w:footnote>
  <w:footnote w:id="54">
    <w:p w:rsidR="00000000" w:rsidRDefault="00EA2FA8">
      <w:pPr>
        <w:pStyle w:val="a6"/>
        <w:ind w:firstLine="360"/>
      </w:pPr>
      <w:r>
        <w:rPr>
          <w:rStyle w:val="a5"/>
        </w:rPr>
        <w:footnoteRef/>
      </w:r>
      <w:r>
        <w:rPr>
          <w:rFonts w:hint="eastAsia"/>
        </w:rPr>
        <w:t xml:space="preserve"> </w:t>
      </w:r>
      <w:r>
        <w:rPr>
          <w:rFonts w:hint="eastAsia"/>
        </w:rPr>
        <w:t>公務人員</w:t>
      </w:r>
      <w:r>
        <w:rPr>
          <w:rFonts w:hint="eastAsia"/>
        </w:rPr>
        <w:t>保障暨培訓委員會</w:t>
      </w:r>
      <w:r>
        <w:t>(89)</w:t>
      </w:r>
      <w:r>
        <w:rPr>
          <w:rFonts w:hint="eastAsia"/>
        </w:rPr>
        <w:t>公申決字第</w:t>
      </w:r>
      <w:r>
        <w:t>0120</w:t>
      </w:r>
      <w:r>
        <w:rPr>
          <w:rFonts w:hint="eastAsia"/>
        </w:rPr>
        <w:t>號再申訴決定書；同類型事件尚可見（</w:t>
      </w:r>
      <w:r>
        <w:rPr>
          <w:rFonts w:hint="eastAsia"/>
        </w:rPr>
        <w:t>91</w:t>
      </w:r>
      <w:r>
        <w:rPr>
          <w:rFonts w:hint="eastAsia"/>
        </w:rPr>
        <w:t>）公申決字第</w:t>
      </w:r>
      <w:r>
        <w:rPr>
          <w:rFonts w:hint="eastAsia"/>
        </w:rPr>
        <w:t>0036</w:t>
      </w:r>
      <w:r>
        <w:rPr>
          <w:rFonts w:hint="eastAsia"/>
        </w:rPr>
        <w:t>號再申訴決定書。</w:t>
      </w:r>
    </w:p>
  </w:footnote>
  <w:footnote w:id="55">
    <w:p w:rsidR="00000000" w:rsidRDefault="00EA2FA8">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0041</w:t>
      </w:r>
      <w:r>
        <w:rPr>
          <w:rFonts w:hint="eastAsia"/>
        </w:rPr>
        <w:t>號再申訴決定書。</w:t>
      </w:r>
    </w:p>
  </w:footnote>
  <w:footnote w:id="56">
    <w:p w:rsidR="00000000" w:rsidRDefault="00EA2FA8">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0193</w:t>
      </w:r>
      <w:r>
        <w:rPr>
          <w:rFonts w:hint="eastAsia"/>
        </w:rPr>
        <w:t>號再申訴決定書；惟保訓會對於相同類型之事件亦有採復審、再復審程序處理者，請參（</w:t>
      </w:r>
      <w:r>
        <w:rPr>
          <w:rFonts w:hint="eastAsia"/>
        </w:rPr>
        <w:t>91</w:t>
      </w:r>
      <w:r>
        <w:rPr>
          <w:rFonts w:hint="eastAsia"/>
        </w:rPr>
        <w:t>）公審決字第</w:t>
      </w:r>
      <w:r>
        <w:rPr>
          <w:rFonts w:hint="eastAsia"/>
        </w:rPr>
        <w:t>0128</w:t>
      </w:r>
      <w:r>
        <w:rPr>
          <w:rFonts w:hint="eastAsia"/>
        </w:rPr>
        <w:t>號再復審決定書。</w:t>
      </w:r>
    </w:p>
  </w:footnote>
  <w:footnote w:id="57">
    <w:p w:rsidR="00000000" w:rsidRDefault="00EA2FA8">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0225</w:t>
      </w:r>
      <w:r>
        <w:rPr>
          <w:rFonts w:hint="eastAsia"/>
        </w:rPr>
        <w:t>號再申訴決定書。</w:t>
      </w:r>
    </w:p>
  </w:footnote>
  <w:footnote w:id="58">
    <w:p w:rsidR="00000000" w:rsidRDefault="00EA2FA8">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0291</w:t>
      </w:r>
      <w:r>
        <w:rPr>
          <w:rFonts w:hint="eastAsia"/>
        </w:rPr>
        <w:t>號再申訴決定書；同類型</w:t>
      </w:r>
      <w:r>
        <w:rPr>
          <w:rFonts w:hint="eastAsia"/>
        </w:rPr>
        <w:t>事件尚可見（</w:t>
      </w:r>
      <w:r>
        <w:rPr>
          <w:rFonts w:hint="eastAsia"/>
        </w:rPr>
        <w:t>90</w:t>
      </w:r>
      <w:r>
        <w:rPr>
          <w:rFonts w:hint="eastAsia"/>
        </w:rPr>
        <w:t>）公申決字第</w:t>
      </w:r>
      <w:r>
        <w:rPr>
          <w:rFonts w:hint="eastAsia"/>
        </w:rPr>
        <w:t>0193</w:t>
      </w:r>
      <w:r>
        <w:rPr>
          <w:rFonts w:hint="eastAsia"/>
        </w:rPr>
        <w:t>號再申訴決定書。</w:t>
      </w:r>
    </w:p>
  </w:footnote>
  <w:footnote w:id="59">
    <w:p w:rsidR="00000000" w:rsidRDefault="00EA2FA8">
      <w:pPr>
        <w:pStyle w:val="a6"/>
        <w:ind w:firstLine="360"/>
      </w:pPr>
      <w:r>
        <w:rPr>
          <w:rStyle w:val="a5"/>
        </w:rPr>
        <w:footnoteRef/>
      </w:r>
      <w:r>
        <w:rPr>
          <w:rFonts w:hint="eastAsia"/>
        </w:rPr>
        <w:t xml:space="preserve"> </w:t>
      </w:r>
      <w:r>
        <w:rPr>
          <w:rFonts w:hint="eastAsia"/>
        </w:rPr>
        <w:t>公務人員保障暨培訓委員會</w:t>
      </w:r>
      <w:r>
        <w:t>(91)</w:t>
      </w:r>
      <w:r>
        <w:rPr>
          <w:rFonts w:hint="eastAsia"/>
        </w:rPr>
        <w:t>公申決字第</w:t>
      </w:r>
      <w:r>
        <w:t>0040</w:t>
      </w:r>
      <w:r>
        <w:rPr>
          <w:rFonts w:hint="eastAsia"/>
        </w:rPr>
        <w:t>號再申訴決定書；同類型事件尚可見（</w:t>
      </w:r>
      <w:r>
        <w:rPr>
          <w:rFonts w:hint="eastAsia"/>
        </w:rPr>
        <w:t>91</w:t>
      </w:r>
      <w:r>
        <w:rPr>
          <w:rFonts w:hint="eastAsia"/>
        </w:rPr>
        <w:t>）公審決字第</w:t>
      </w:r>
      <w:r>
        <w:rPr>
          <w:rFonts w:hint="eastAsia"/>
        </w:rPr>
        <w:t>0128</w:t>
      </w:r>
      <w:r>
        <w:rPr>
          <w:rFonts w:hint="eastAsia"/>
        </w:rPr>
        <w:t>號再申訴決定書。</w:t>
      </w:r>
    </w:p>
  </w:footnote>
  <w:footnote w:id="60">
    <w:p w:rsidR="00000000" w:rsidRDefault="00EA2FA8">
      <w:pPr>
        <w:pStyle w:val="a6"/>
        <w:ind w:firstLine="360"/>
        <w:rPr>
          <w:rFonts w:hint="eastAsia"/>
        </w:rPr>
      </w:pPr>
      <w:r>
        <w:rPr>
          <w:rStyle w:val="a5"/>
        </w:rPr>
        <w:footnoteRef/>
      </w:r>
      <w:r>
        <w:rPr>
          <w:rFonts w:hint="eastAsia"/>
        </w:rPr>
        <w:t xml:space="preserve"> </w:t>
      </w:r>
      <w:r>
        <w:rPr>
          <w:rFonts w:hint="eastAsia"/>
        </w:rPr>
        <w:t>行政法院的裁判，截至目前為止，亦以否定其為行政處分居多，請參閱最高行政法院九十年度裁字第八五二號裁定、最高行政法院八十九年度裁字第一○三二號裁定、最高行政法院八十八年度裁字第三三七號裁定、最高行政法院八十七年度裁字第三八五六號裁定。</w:t>
      </w:r>
    </w:p>
  </w:footnote>
  <w:footnote w:id="61">
    <w:p w:rsidR="00000000" w:rsidRDefault="00EA2FA8">
      <w:pPr>
        <w:pStyle w:val="a6"/>
        <w:ind w:firstLine="360"/>
        <w:rPr>
          <w:rFonts w:hint="eastAsia"/>
        </w:rPr>
      </w:pPr>
      <w:r>
        <w:rPr>
          <w:rStyle w:val="a5"/>
        </w:rPr>
        <w:footnoteRef/>
      </w:r>
      <w:r>
        <w:t xml:space="preserve"> </w:t>
      </w:r>
      <w:r>
        <w:rPr>
          <w:rFonts w:hint="eastAsia"/>
        </w:rPr>
        <w:t>若依保訓會於民國</w:t>
      </w:r>
      <w:r>
        <w:rPr>
          <w:rFonts w:hint="eastAsia"/>
        </w:rPr>
        <w:t>92</w:t>
      </w:r>
      <w:r>
        <w:rPr>
          <w:rFonts w:hint="eastAsia"/>
        </w:rPr>
        <w:t>年</w:t>
      </w:r>
      <w:r>
        <w:rPr>
          <w:rFonts w:hint="eastAsia"/>
        </w:rPr>
        <w:t>10</w:t>
      </w:r>
      <w:r>
        <w:rPr>
          <w:rFonts w:hint="eastAsia"/>
        </w:rPr>
        <w:t>年</w:t>
      </w:r>
      <w:r>
        <w:rPr>
          <w:rFonts w:hint="eastAsia"/>
        </w:rPr>
        <w:t>17</w:t>
      </w:r>
      <w:r>
        <w:rPr>
          <w:rFonts w:hint="eastAsia"/>
        </w:rPr>
        <w:t>日針對「調任、請求派任、工作指派等事件究應適用復審或申</w:t>
      </w:r>
      <w:r>
        <w:rPr>
          <w:rFonts w:hint="eastAsia"/>
        </w:rPr>
        <w:t>訴程序疑義」議題所作成之決議（三）—調任同官等不同陞遷序列職務者，已影響公務人員之地位、尊榮及陞遷與級俸之晉敘—觀之，則</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ascii="新細明體" w:hint="eastAsia"/>
        </w:rPr>
        <w:t>《</w:t>
      </w:r>
      <w:r>
        <w:rPr>
          <w:rFonts w:hint="eastAsia"/>
        </w:rPr>
        <w:t>案</w:t>
      </w:r>
      <w:r>
        <w:t>7</w:t>
      </w:r>
      <w:r>
        <w:rPr>
          <w:rFonts w:hint="eastAsia"/>
        </w:rPr>
        <w:t>》等調任「同官等、低職等」事件類型於日後似應亦將改依復審、再復審程序處理。</w:t>
      </w:r>
    </w:p>
  </w:footnote>
  <w:footnote w:id="62">
    <w:p w:rsidR="00000000" w:rsidRDefault="00EA2FA8">
      <w:pPr>
        <w:pStyle w:val="a6"/>
        <w:ind w:firstLine="360"/>
      </w:pPr>
      <w:r>
        <w:rPr>
          <w:rStyle w:val="a5"/>
        </w:rPr>
        <w:footnoteRef/>
      </w:r>
      <w:r>
        <w:t xml:space="preserve"> 2000</w:t>
      </w:r>
      <w:r>
        <w:rPr>
          <w:rFonts w:hint="eastAsia"/>
        </w:rPr>
        <w:t>年修正為「高等法院以下各級法院及其分院、高等行政法院法官兼庭長職期調任實施要點」。</w:t>
      </w:r>
    </w:p>
  </w:footnote>
  <w:footnote w:id="63">
    <w:p w:rsidR="00000000" w:rsidRDefault="00EA2FA8">
      <w:pPr>
        <w:pStyle w:val="a6"/>
        <w:ind w:firstLine="360"/>
        <w:rPr>
          <w:rFonts w:hint="eastAsia"/>
        </w:rPr>
      </w:pPr>
      <w:r>
        <w:rPr>
          <w:rStyle w:val="a5"/>
        </w:rPr>
        <w:footnoteRef/>
      </w:r>
      <w:r>
        <w:t xml:space="preserve"> </w:t>
      </w:r>
      <w:r>
        <w:rPr>
          <w:rFonts w:hint="eastAsia"/>
        </w:rPr>
        <w:t>最高行政法院九十年度裁字第一○八六號裁定、最高行政法院八十九年度裁字第一七二三號裁定；公務人員保障暨培訓委員會</w:t>
      </w:r>
      <w:r>
        <w:t>(88)</w:t>
      </w:r>
      <w:r>
        <w:rPr>
          <w:rFonts w:hint="eastAsia"/>
        </w:rPr>
        <w:t>公申決字第</w:t>
      </w:r>
      <w:r>
        <w:t>0035</w:t>
      </w:r>
      <w:r>
        <w:rPr>
          <w:rFonts w:hint="eastAsia"/>
        </w:rPr>
        <w:t>號再申訴決定書、</w:t>
      </w:r>
      <w:r>
        <w:t>(87)</w:t>
      </w:r>
      <w:r>
        <w:rPr>
          <w:rFonts w:hint="eastAsia"/>
        </w:rPr>
        <w:t>公申決字第</w:t>
      </w:r>
      <w:r>
        <w:t>0041</w:t>
      </w:r>
      <w:r>
        <w:rPr>
          <w:rFonts w:hint="eastAsia"/>
        </w:rPr>
        <w:t>號再申訴決定書；</w:t>
      </w:r>
      <w:r>
        <w:t>(88)</w:t>
      </w:r>
      <w:r>
        <w:rPr>
          <w:rFonts w:hint="eastAsia"/>
        </w:rPr>
        <w:t>公審決字第</w:t>
      </w:r>
      <w:r>
        <w:t>0160</w:t>
      </w:r>
      <w:r>
        <w:rPr>
          <w:rFonts w:hint="eastAsia"/>
        </w:rPr>
        <w:t>號、</w:t>
      </w:r>
      <w:r>
        <w:t>(87)</w:t>
      </w:r>
      <w:r>
        <w:rPr>
          <w:rFonts w:hint="eastAsia"/>
        </w:rPr>
        <w:t>公審決字第</w:t>
      </w:r>
      <w:r>
        <w:t>0119</w:t>
      </w:r>
      <w:r>
        <w:rPr>
          <w:rFonts w:hint="eastAsia"/>
        </w:rPr>
        <w:t>號、</w:t>
      </w:r>
      <w:r>
        <w:t>(8</w:t>
      </w:r>
      <w:r>
        <w:rPr>
          <w:rFonts w:hint="eastAsia"/>
        </w:rPr>
        <w:t>7</w:t>
      </w:r>
      <w:r>
        <w:t>)</w:t>
      </w:r>
      <w:r>
        <w:rPr>
          <w:rFonts w:hint="eastAsia"/>
        </w:rPr>
        <w:t>公審決字第</w:t>
      </w:r>
      <w:r>
        <w:rPr>
          <w:rFonts w:hint="eastAsia"/>
        </w:rPr>
        <w:t>0135</w:t>
      </w:r>
      <w:r>
        <w:rPr>
          <w:rFonts w:hint="eastAsia"/>
        </w:rPr>
        <w:t>號、</w:t>
      </w:r>
      <w:r>
        <w:t>(8</w:t>
      </w:r>
      <w:r>
        <w:rPr>
          <w:rFonts w:hint="eastAsia"/>
        </w:rPr>
        <w:t>7</w:t>
      </w:r>
      <w:r>
        <w:t>)</w:t>
      </w:r>
      <w:r>
        <w:rPr>
          <w:rFonts w:hint="eastAsia"/>
        </w:rPr>
        <w:t>公審決字第</w:t>
      </w:r>
      <w:r>
        <w:rPr>
          <w:rFonts w:hint="eastAsia"/>
        </w:rPr>
        <w:t>0126</w:t>
      </w:r>
      <w:r>
        <w:rPr>
          <w:rFonts w:hint="eastAsia"/>
        </w:rPr>
        <w:t>號。</w:t>
      </w:r>
    </w:p>
  </w:footnote>
  <w:footnote w:id="64">
    <w:p w:rsidR="00000000" w:rsidRDefault="00EA2FA8">
      <w:pPr>
        <w:pStyle w:val="a6"/>
        <w:ind w:firstLine="360"/>
      </w:pPr>
      <w:r>
        <w:rPr>
          <w:rStyle w:val="a5"/>
        </w:rPr>
        <w:footnoteRef/>
      </w:r>
      <w:r>
        <w:t xml:space="preserve"> </w:t>
      </w:r>
      <w:r>
        <w:rPr>
          <w:rFonts w:hint="eastAsia"/>
        </w:rPr>
        <w:t>最高行政法院九十年度判字第一七七四號判決。</w:t>
      </w:r>
    </w:p>
  </w:footnote>
  <w:footnote w:id="65">
    <w:p w:rsidR="00000000" w:rsidRDefault="00EA2FA8">
      <w:pPr>
        <w:pStyle w:val="a6"/>
        <w:ind w:firstLine="360"/>
      </w:pPr>
      <w:r>
        <w:rPr>
          <w:rStyle w:val="a5"/>
        </w:rPr>
        <w:footnoteRef/>
      </w:r>
      <w:r>
        <w:t xml:space="preserve"> </w:t>
      </w:r>
      <w:r>
        <w:rPr>
          <w:rFonts w:hint="eastAsia"/>
        </w:rPr>
        <w:t>請參閱</w:t>
      </w:r>
      <w:r>
        <w:rPr>
          <w:i/>
        </w:rPr>
        <w:t>Eberhard Schwerdtner</w:t>
      </w:r>
      <w:r>
        <w:t>, Die Weisung – innerdienstlicher Rechtsakt oder anfechtbarer Verwaltungsakt?, VBlBW 1996, 209.</w:t>
      </w:r>
    </w:p>
  </w:footnote>
  <w:footnote w:id="66">
    <w:p w:rsidR="00000000" w:rsidRDefault="00EA2FA8">
      <w:pPr>
        <w:pStyle w:val="a6"/>
        <w:ind w:firstLine="360"/>
      </w:pPr>
      <w:r>
        <w:rPr>
          <w:rStyle w:val="a5"/>
        </w:rPr>
        <w:footnoteRef/>
      </w:r>
      <w:r>
        <w:t xml:space="preserve"> </w:t>
      </w:r>
      <w:r>
        <w:rPr>
          <w:rFonts w:hint="eastAsia"/>
        </w:rPr>
        <w:t>請參閱</w:t>
      </w:r>
      <w:r>
        <w:t>BVerwGE, 41, 253/258;</w:t>
      </w:r>
      <w:r>
        <w:rPr>
          <w:rFonts w:hint="eastAsia"/>
        </w:rPr>
        <w:t xml:space="preserve"> </w:t>
      </w:r>
      <w:r>
        <w:t xml:space="preserve">60, 144 (146 f.); </w:t>
      </w:r>
      <w:r>
        <w:rPr>
          <w:rFonts w:hint="eastAsia"/>
          <w:i/>
        </w:rPr>
        <w:t>E</w:t>
      </w:r>
      <w:r>
        <w:rPr>
          <w:i/>
        </w:rPr>
        <w:t>rber</w:t>
      </w:r>
      <w:r>
        <w:rPr>
          <w:i/>
        </w:rPr>
        <w:t>hard Schmidt-Aßmann</w:t>
      </w:r>
      <w:r>
        <w:t xml:space="preserve">, Die Lehre von den Rechtsformen des Verwaltungshandelns, DVBl. 1989, 533 (538); </w:t>
      </w:r>
      <w:r>
        <w:rPr>
          <w:i/>
        </w:rPr>
        <w:t>Ulruch Battis</w:t>
      </w:r>
      <w:r>
        <w:t>, Änderung des Aufgabenbereichs eines Beamten durch Organistionsverfügung kein Verwaltungsakt, NVwZ 1982, 87 ff.</w:t>
      </w:r>
    </w:p>
  </w:footnote>
  <w:footnote w:id="67">
    <w:p w:rsidR="00000000" w:rsidRDefault="00EA2FA8">
      <w:pPr>
        <w:pStyle w:val="a6"/>
        <w:ind w:firstLine="360"/>
        <w:rPr>
          <w:rFonts w:hint="eastAsia"/>
        </w:rPr>
      </w:pPr>
      <w:r>
        <w:rPr>
          <w:rStyle w:val="a5"/>
        </w:rPr>
        <w:footnoteRef/>
      </w:r>
      <w:r>
        <w:t xml:space="preserve"> </w:t>
      </w:r>
      <w:r>
        <w:rPr>
          <w:rFonts w:hint="eastAsia"/>
        </w:rPr>
        <w:t>另請參閱李建良，</w:t>
      </w:r>
      <w:r>
        <w:rPr>
          <w:rFonts w:ascii="細明體" w:hAnsi="細明體"/>
        </w:rPr>
        <w:t>〈</w:t>
      </w:r>
      <w:r>
        <w:rPr>
          <w:rFonts w:ascii="細明體" w:hAnsi="細明體" w:hint="eastAsia"/>
        </w:rPr>
        <w:t>法官人事行政、法律保留與司法救濟</w:t>
      </w:r>
      <w:r>
        <w:rPr>
          <w:rFonts w:ascii="細明體" w:hAnsi="細明體"/>
        </w:rPr>
        <w:t>—</w:t>
      </w:r>
      <w:r>
        <w:rPr>
          <w:rFonts w:ascii="細明體" w:hAnsi="細明體" w:hint="eastAsia"/>
        </w:rPr>
        <w:t>以司</w:t>
      </w:r>
      <w:r>
        <w:rPr>
          <w:rFonts w:ascii="細明體" w:hAnsi="細明體" w:hint="eastAsia"/>
        </w:rPr>
        <w:t>法院大</w:t>
      </w:r>
      <w:r>
        <w:t>法官釋字第五三九號解釋為中心〉，《行政訴訟論文彙編》，</w:t>
      </w:r>
      <w:r>
        <w:rPr>
          <w:rFonts w:hint="eastAsia"/>
        </w:rPr>
        <w:t>第三輯，</w:t>
      </w:r>
      <w:r>
        <w:t>司法院印行，</w:t>
      </w:r>
      <w:r>
        <w:t>2002</w:t>
      </w:r>
      <w:r>
        <w:t>年</w:t>
      </w:r>
      <w:r>
        <w:t>11</w:t>
      </w:r>
      <w:r>
        <w:t>月，頁</w:t>
      </w:r>
      <w:r>
        <w:t>41</w:t>
      </w:r>
      <w:r>
        <w:rPr>
          <w:rFonts w:hint="eastAsia"/>
        </w:rPr>
        <w:t>以下；林明鏘，</w:t>
      </w:r>
      <w:r>
        <w:rPr>
          <w:rFonts w:ascii="細明體" w:hint="eastAsia"/>
        </w:rPr>
        <w:t>〈公務員之權利與保障：以法官免兼庭長之職務調整談起〉，《公務員法與地方制度法》，台灣行政法學會學術研討會論文集</w:t>
      </w:r>
      <w:r>
        <w:t>(2002)</w:t>
      </w:r>
      <w:r>
        <w:rPr>
          <w:rFonts w:hint="eastAsia"/>
        </w:rPr>
        <w:t>，頁</w:t>
      </w:r>
      <w:r>
        <w:t>43</w:t>
      </w:r>
      <w:r>
        <w:rPr>
          <w:rFonts w:hint="eastAsia"/>
        </w:rPr>
        <w:t>以下；程明修，</w:t>
      </w:r>
      <w:r>
        <w:rPr>
          <w:rFonts w:ascii="細明體" w:hint="eastAsia"/>
        </w:rPr>
        <w:t>〈對公務人員職務調動處分的行政訴訟〉，《法學講座》，</w:t>
      </w:r>
      <w:r>
        <w:rPr>
          <w:rFonts w:hint="eastAsia"/>
        </w:rPr>
        <w:t>第十六期，</w:t>
      </w:r>
      <w:r>
        <w:t>2003</w:t>
      </w:r>
      <w:r>
        <w:rPr>
          <w:rFonts w:hint="eastAsia"/>
        </w:rPr>
        <w:t>年</w:t>
      </w:r>
      <w:r>
        <w:t>4</w:t>
      </w:r>
      <w:r>
        <w:rPr>
          <w:rFonts w:hint="eastAsia"/>
        </w:rPr>
        <w:t>月，頁</w:t>
      </w:r>
      <w:r>
        <w:t>18</w:t>
      </w:r>
      <w:r>
        <w:rPr>
          <w:rFonts w:hint="eastAsia"/>
        </w:rPr>
        <w:t>以下</w:t>
      </w:r>
      <w:r>
        <w:rPr>
          <w:rFonts w:ascii="細明體" w:hAnsi="細明體" w:hint="eastAsia"/>
        </w:rPr>
        <w:t>。</w:t>
      </w:r>
    </w:p>
  </w:footnote>
  <w:footnote w:id="68">
    <w:p w:rsidR="00000000" w:rsidRDefault="00EA2FA8">
      <w:pPr>
        <w:pStyle w:val="a6"/>
        <w:ind w:firstLine="360"/>
      </w:pPr>
      <w:r>
        <w:rPr>
          <w:rStyle w:val="a5"/>
        </w:rPr>
        <w:footnoteRef/>
      </w:r>
      <w:r>
        <w:t xml:space="preserve"> </w:t>
      </w:r>
      <w:r>
        <w:rPr>
          <w:rFonts w:hint="eastAsia"/>
        </w:rPr>
        <w:t>依</w:t>
      </w:r>
      <w:r>
        <w:t>法院組織法</w:t>
      </w:r>
      <w:r>
        <w:rPr>
          <w:rFonts w:hint="eastAsia"/>
        </w:rPr>
        <w:t>第十二條第一項規定，</w:t>
      </w:r>
      <w:r>
        <w:t>地方法院法官薦任第八職等至第九職等或簡任第十職等至第十一職等</w:t>
      </w:r>
      <w:r>
        <w:rPr>
          <w:rFonts w:hint="eastAsia"/>
        </w:rPr>
        <w:t>；而同法第十五條第一項規定，</w:t>
      </w:r>
      <w:r>
        <w:t>庭長簡任第十職等至第十一職等或薦任</w:t>
      </w:r>
      <w:r>
        <w:t>第九職等。</w:t>
      </w:r>
      <w:r>
        <w:rPr>
          <w:rFonts w:hint="eastAsia"/>
        </w:rPr>
        <w:t>二者相較，地方法院</w:t>
      </w:r>
      <w:r>
        <w:t>法官</w:t>
      </w:r>
      <w:r>
        <w:rPr>
          <w:rFonts w:hint="eastAsia"/>
        </w:rPr>
        <w:t>的職等終點雖與庭長同，惟其起敘則顯然</w:t>
      </w:r>
      <w:r>
        <w:t>低於庭長。</w:t>
      </w:r>
      <w:r>
        <w:rPr>
          <w:rFonts w:hint="eastAsia"/>
        </w:rPr>
        <w:t>再依法院組織法第三十四條第一項規定，高等法院</w:t>
      </w:r>
      <w:r>
        <w:t>法官簡任第十職等至第十一職等或薦任第九職等</w:t>
      </w:r>
      <w:r>
        <w:rPr>
          <w:rFonts w:hint="eastAsia"/>
        </w:rPr>
        <w:t>；而同法第三十六條第一項規定</w:t>
      </w:r>
      <w:r>
        <w:t>，庭長簡任第十一職等至第十三職等</w:t>
      </w:r>
      <w:r>
        <w:rPr>
          <w:rFonts w:hint="eastAsia"/>
        </w:rPr>
        <w:t>，顯見高等法院</w:t>
      </w:r>
      <w:r>
        <w:t>庭長</w:t>
      </w:r>
      <w:r>
        <w:rPr>
          <w:rFonts w:hint="eastAsia"/>
        </w:rPr>
        <w:t>的職等無論在</w:t>
      </w:r>
      <w:r>
        <w:t>起點</w:t>
      </w:r>
      <w:r>
        <w:rPr>
          <w:rFonts w:hint="eastAsia"/>
        </w:rPr>
        <w:t>或</w:t>
      </w:r>
      <w:r>
        <w:t>終點</w:t>
      </w:r>
      <w:r>
        <w:rPr>
          <w:rFonts w:hint="eastAsia"/>
        </w:rPr>
        <w:t>上，</w:t>
      </w:r>
      <w:r>
        <w:t>均高於</w:t>
      </w:r>
      <w:r>
        <w:rPr>
          <w:rFonts w:hint="eastAsia"/>
        </w:rPr>
        <w:t>一般</w:t>
      </w:r>
      <w:r>
        <w:t>法官。</w:t>
      </w:r>
      <w:r>
        <w:rPr>
          <w:rFonts w:hint="eastAsia"/>
        </w:rPr>
        <w:t>固然，同法第三十四條第二項規定：「高等法院法官，繼續服務二年以上，得晉敘至簡任第十二職等至第十四職等。」惟其以「繼續服務二年以上」為條件，未若庭長一旦任職即可達</w:t>
      </w:r>
      <w:r>
        <w:t>簡任第十三職等。</w:t>
      </w:r>
      <w:r>
        <w:rPr>
          <w:rFonts w:hint="eastAsia"/>
        </w:rPr>
        <w:t>由此可知，庭長一職在整個法官公務生涯上，較之通常法官</w:t>
      </w:r>
      <w:r>
        <w:rPr>
          <w:rFonts w:hint="eastAsia"/>
        </w:rPr>
        <w:t>具有較高的職等。司法院釋字第五三九號解釋雖亦指出：「</w:t>
      </w:r>
      <w:r>
        <w:rPr>
          <w:rFonts w:ascii="細明體" w:hAnsi="Courier New"/>
        </w:rPr>
        <w:t>兼任庭長者之職等起敘雖亦較法官為高</w:t>
      </w:r>
      <w:r>
        <w:rPr>
          <w:rFonts w:ascii="細明體" w:hAnsi="Courier New" w:hint="eastAsia"/>
        </w:rPr>
        <w:t>」</w:t>
      </w:r>
      <w:r>
        <w:rPr>
          <w:rFonts w:ascii="細明體" w:hAnsi="Courier New"/>
        </w:rPr>
        <w:t>，</w:t>
      </w:r>
      <w:r>
        <w:rPr>
          <w:rFonts w:ascii="細明體" w:hAnsi="Courier New" w:hint="eastAsia"/>
        </w:rPr>
        <w:t>卻謂：「</w:t>
      </w:r>
      <w:r>
        <w:rPr>
          <w:rFonts w:ascii="標楷體" w:eastAsia="標楷體" w:hAnsi="Courier New"/>
        </w:rPr>
        <w:t>二者就法官本職所得晉敘之最高職等並無軒輊</w:t>
      </w:r>
      <w:r>
        <w:rPr>
          <w:rFonts w:ascii="細明體" w:hAnsi="Courier New"/>
        </w:rPr>
        <w:t>，其在法律上得享有之權利及利益皆無差異</w:t>
      </w:r>
      <w:r>
        <w:rPr>
          <w:rFonts w:ascii="細明體" w:hAnsi="Courier New" w:hint="eastAsia"/>
        </w:rPr>
        <w:t>。」然則，在晉敘的起點上，庭長既較一般法官為高，則在晉敘的先後順序上，即有差異，縱使兼任庭長與法官本職所得晉敘的「最高職等」相同，亦難謂與人民服公職權利全無干係。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FA8">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FA8">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FA8">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B9"/>
    <w:rsid w:val="00E52CB9"/>
    <w:rsid w:val="00EA2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D9B88F-7EB0-4704-97F9-C356B5BA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1413</Words>
  <Characters>8057</Characters>
  <Application>Microsoft Office Word</Application>
  <DocSecurity>0</DocSecurity>
  <Lines>67</Lines>
  <Paragraphs>18</Paragraphs>
  <ScaleCrop>false</ScaleCrop>
  <Company>sinica</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2021-09-22T10:54:00Z</dcterms:created>
  <dcterms:modified xsi:type="dcterms:W3CDTF">2021-09-22T10:54:00Z</dcterms:modified>
</cp:coreProperties>
</file>