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E136B">
      <w:pPr>
        <w:pStyle w:val="1"/>
        <w:rPr>
          <w:rFonts w:hint="eastAsia"/>
        </w:rPr>
      </w:pPr>
      <w:bookmarkStart w:id="0" w:name="_Toc12653469"/>
      <w:bookmarkStart w:id="1" w:name="_Toc61809102"/>
      <w:bookmarkStart w:id="2" w:name="_GoBack"/>
      <w:bookmarkEnd w:id="2"/>
      <w:r>
        <w:rPr>
          <w:rFonts w:hint="eastAsia"/>
        </w:rPr>
        <w:t>第三章</w:t>
      </w:r>
      <w:r>
        <w:rPr>
          <w:rFonts w:hint="eastAsia"/>
        </w:rPr>
        <w:t xml:space="preserve"> </w:t>
      </w:r>
      <w:r>
        <w:rPr>
          <w:rFonts w:hint="eastAsia"/>
        </w:rPr>
        <w:t>德國公務員權利保障及其救濟制度之研究</w:t>
      </w:r>
      <w:bookmarkEnd w:id="1"/>
    </w:p>
    <w:p w:rsidR="00000000" w:rsidRDefault="000E136B">
      <w:pPr>
        <w:pStyle w:val="2"/>
        <w:rPr>
          <w:rFonts w:hint="eastAsia"/>
        </w:rPr>
      </w:pPr>
      <w:bookmarkStart w:id="3" w:name="_Toc61809103"/>
      <w:r>
        <w:rPr>
          <w:rFonts w:hint="eastAsia"/>
        </w:rPr>
        <w:t>第一節</w:t>
      </w:r>
      <w:r>
        <w:rPr>
          <w:rFonts w:hint="eastAsia"/>
        </w:rPr>
        <w:t xml:space="preserve"> </w:t>
      </w:r>
      <w:r>
        <w:rPr>
          <w:rFonts w:hint="eastAsia"/>
        </w:rPr>
        <w:t>基本規範</w:t>
      </w:r>
      <w:bookmarkEnd w:id="3"/>
    </w:p>
    <w:p w:rsidR="00000000" w:rsidRDefault="000E136B">
      <w:pPr>
        <w:pStyle w:val="23"/>
        <w:ind w:firstLine="560"/>
        <w:rPr>
          <w:rFonts w:hint="eastAsia"/>
        </w:rPr>
      </w:pPr>
      <w:r>
        <w:rPr>
          <w:rFonts w:hint="eastAsia"/>
        </w:rPr>
        <w:t>按德國公務員法制之法律體系，乃先由聯邦制定「公務員法基準法」</w:t>
      </w:r>
      <w:r>
        <w:rPr>
          <w:rFonts w:hint="eastAsia"/>
        </w:rPr>
        <w:t>(Beamtenrechtsrah-mengesetz,</w:t>
      </w:r>
      <w:r>
        <w:rPr>
          <w:rFonts w:hint="eastAsia"/>
        </w:rPr>
        <w:t>簡稱</w:t>
      </w:r>
      <w:r>
        <w:rPr>
          <w:rFonts w:hint="eastAsia"/>
        </w:rPr>
        <w:t>BRRG)</w:t>
      </w:r>
      <w:r>
        <w:rPr>
          <w:rFonts w:hint="eastAsia"/>
        </w:rPr>
        <w:t>，再由聯邦及各邦依基準法所定之原則，分別對其所屬公務員制定相關公務員法。目前有聯邦所訂之「聯邦公務員法」</w:t>
      </w:r>
      <w:r>
        <w:rPr>
          <w:rFonts w:hint="eastAsia"/>
        </w:rPr>
        <w:t>(Bundesbeamtengesetz,</w:t>
      </w:r>
      <w:r>
        <w:rPr>
          <w:rFonts w:hint="eastAsia"/>
        </w:rPr>
        <w:t>簡稱</w:t>
      </w:r>
      <w:r>
        <w:rPr>
          <w:rFonts w:hint="eastAsia"/>
        </w:rPr>
        <w:t>BBG)</w:t>
      </w:r>
      <w:r>
        <w:rPr>
          <w:rFonts w:hint="eastAsia"/>
        </w:rPr>
        <w:t>及「聯邦公務員任職資歷命令」</w:t>
      </w:r>
      <w:r>
        <w:t>(Bundeslaufbahnverordnung</w:t>
      </w:r>
      <w:r>
        <w:rPr>
          <w:rFonts w:hint="eastAsia"/>
        </w:rPr>
        <w:t>,</w:t>
      </w:r>
      <w:r>
        <w:rPr>
          <w:rFonts w:hint="eastAsia"/>
        </w:rPr>
        <w:t>簡稱</w:t>
      </w:r>
      <w:r>
        <w:t xml:space="preserve"> BLV)</w:t>
      </w:r>
      <w:r>
        <w:rPr>
          <w:rFonts w:hint="eastAsia"/>
        </w:rPr>
        <w:t>，另各邦則定有公務員法，例如「柏林邦公務員法」或「下薩克森邦公務員</w:t>
      </w:r>
      <w:r>
        <w:rPr>
          <w:rFonts w:hint="eastAsia"/>
        </w:rPr>
        <w:t>法」等（以下僅以柏林邦公務員法為例），以資規範。</w:t>
      </w:r>
    </w:p>
    <w:p w:rsidR="00000000" w:rsidRDefault="000E136B">
      <w:pPr>
        <w:pStyle w:val="2"/>
      </w:pPr>
      <w:bookmarkStart w:id="4" w:name="_Toc61809104"/>
      <w:r>
        <w:rPr>
          <w:rFonts w:hint="eastAsia"/>
        </w:rPr>
        <w:t>第二節</w:t>
      </w:r>
      <w:r>
        <w:rPr>
          <w:rFonts w:hint="eastAsia"/>
        </w:rPr>
        <w:t xml:space="preserve"> </w:t>
      </w:r>
      <w:r>
        <w:rPr>
          <w:rFonts w:hint="eastAsia"/>
        </w:rPr>
        <w:t>公務員法律關係之成立與公務員之任用</w:t>
      </w:r>
      <w:bookmarkEnd w:id="4"/>
    </w:p>
    <w:p w:rsidR="00000000" w:rsidRDefault="000E136B">
      <w:pPr>
        <w:pStyle w:val="3"/>
        <w:rPr>
          <w:rFonts w:hint="eastAsia"/>
        </w:rPr>
      </w:pPr>
      <w:bookmarkStart w:id="5" w:name="_Toc61809105"/>
      <w:r>
        <w:rPr>
          <w:rFonts w:hint="eastAsia"/>
        </w:rPr>
        <w:t>第一項</w:t>
      </w:r>
      <w:r>
        <w:rPr>
          <w:rFonts w:hint="eastAsia"/>
        </w:rPr>
        <w:t xml:space="preserve"> </w:t>
      </w:r>
      <w:r>
        <w:rPr>
          <w:rFonts w:hint="eastAsia"/>
        </w:rPr>
        <w:t>概說</w:t>
      </w:r>
      <w:bookmarkEnd w:id="5"/>
    </w:p>
    <w:p w:rsidR="00000000" w:rsidRDefault="000E136B">
      <w:pPr>
        <w:pStyle w:val="23"/>
        <w:ind w:firstLine="560"/>
        <w:rPr>
          <w:rFonts w:hint="eastAsia"/>
        </w:rPr>
      </w:pPr>
      <w:r>
        <w:rPr>
          <w:rFonts w:hint="eastAsia"/>
        </w:rPr>
        <w:t>關於公務員任命</w:t>
      </w:r>
      <w:r>
        <w:t>(Ernennung)</w:t>
      </w:r>
      <w:r>
        <w:rPr>
          <w:rFonts w:hint="eastAsia"/>
        </w:rPr>
        <w:t>之概念，主要規定於公務員法基準法第五條第一項、聯邦公務員法第六條第一項及聯邦公務員任職資歷命令第三條、第十條第一項、第十二條第一項第一句。依據上開規定，於下列情形，須以任命處分為之：</w:t>
      </w:r>
    </w:p>
    <w:p w:rsidR="00000000" w:rsidRDefault="000E136B">
      <w:pPr>
        <w:pStyle w:val="23"/>
        <w:ind w:firstLine="560"/>
        <w:rPr>
          <w:rFonts w:hint="eastAsia"/>
        </w:rPr>
      </w:pPr>
      <w:r>
        <w:rPr>
          <w:rFonts w:ascii="新細明體" w:hint="eastAsia"/>
        </w:rPr>
        <w:t>—</w:t>
      </w:r>
      <w:r>
        <w:rPr>
          <w:rFonts w:hint="eastAsia"/>
        </w:rPr>
        <w:t>公務員關係之成立</w:t>
      </w:r>
      <w:r>
        <w:t>(Begründung eines Beamtenverhältnisses)</w:t>
      </w:r>
      <w:r>
        <w:rPr>
          <w:rFonts w:hint="eastAsia"/>
        </w:rPr>
        <w:t>：錄用</w:t>
      </w:r>
      <w:r>
        <w:t>(Einstellung)</w:t>
      </w:r>
      <w:r>
        <w:rPr>
          <w:rFonts w:hint="eastAsia"/>
        </w:rPr>
        <w:t>。</w:t>
      </w:r>
    </w:p>
    <w:p w:rsidR="00000000" w:rsidRDefault="000E136B">
      <w:pPr>
        <w:pStyle w:val="23"/>
        <w:ind w:firstLine="560"/>
        <w:rPr>
          <w:rFonts w:hint="eastAsia"/>
        </w:rPr>
      </w:pPr>
      <w:r>
        <w:rPr>
          <w:rFonts w:ascii="新細明體" w:hint="eastAsia"/>
        </w:rPr>
        <w:t>—</w:t>
      </w:r>
      <w:r>
        <w:rPr>
          <w:rFonts w:hint="eastAsia"/>
        </w:rPr>
        <w:t>職務之第一次授與</w:t>
      </w:r>
      <w:r>
        <w:t>(erste Verleihung</w:t>
      </w:r>
      <w:r>
        <w:t xml:space="preserve"> eines Amtes)</w:t>
      </w:r>
      <w:r>
        <w:rPr>
          <w:rFonts w:hint="eastAsia"/>
        </w:rPr>
        <w:t>：任用</w:t>
      </w:r>
      <w:r>
        <w:lastRenderedPageBreak/>
        <w:t>(Anstellung)</w:t>
      </w:r>
      <w:r>
        <w:rPr>
          <w:rFonts w:hint="eastAsia"/>
        </w:rPr>
        <w:t>。</w:t>
      </w:r>
    </w:p>
    <w:p w:rsidR="00000000" w:rsidRDefault="000E136B">
      <w:pPr>
        <w:pStyle w:val="23"/>
        <w:ind w:firstLine="560"/>
        <w:rPr>
          <w:rFonts w:hint="eastAsia"/>
        </w:rPr>
      </w:pPr>
      <w:r>
        <w:rPr>
          <w:rFonts w:ascii="新細明體" w:hint="eastAsia"/>
        </w:rPr>
        <w:t>—</w:t>
      </w:r>
      <w:r>
        <w:rPr>
          <w:rFonts w:hint="eastAsia"/>
        </w:rPr>
        <w:t>其他職務之授與，若該職務之俸級高於現職者，即屬升遷</w:t>
      </w:r>
      <w:r>
        <w:t>(Beförderung)</w:t>
      </w:r>
      <w:r>
        <w:rPr>
          <w:rFonts w:hint="eastAsia"/>
        </w:rPr>
        <w:t>。</w:t>
      </w:r>
    </w:p>
    <w:p w:rsidR="00000000" w:rsidRDefault="000E136B">
      <w:pPr>
        <w:pStyle w:val="23"/>
        <w:ind w:firstLine="560"/>
      </w:pPr>
      <w:r>
        <w:rPr>
          <w:rFonts w:hint="eastAsia"/>
        </w:rPr>
        <w:t>任命，在性質上，屬形成權利、不得附具條件之行政處分</w:t>
      </w:r>
      <w:r>
        <w:t>(ein rechtgestaltender, bedingungsfeindlicher Verwaltungsakt)</w:t>
      </w:r>
      <w:r>
        <w:rPr>
          <w:rFonts w:hint="eastAsia"/>
        </w:rPr>
        <w:t>其生效要件為被任用者之同意</w:t>
      </w:r>
      <w:r>
        <w:rPr>
          <w:rStyle w:val="a5"/>
          <w:color w:val="000000"/>
        </w:rPr>
        <w:footnoteReference w:id="1"/>
      </w:r>
      <w:r>
        <w:rPr>
          <w:rFonts w:hint="eastAsia"/>
        </w:rPr>
        <w:t>及任用證書</w:t>
      </w:r>
      <w:r>
        <w:t>(Ernennungsurkunde)</w:t>
      </w:r>
      <w:r>
        <w:rPr>
          <w:rFonts w:hint="eastAsia"/>
        </w:rPr>
        <w:t>之交付（聯邦公務員法第六條第二項第二句、公務員法基準法第五條第二項第二句）。一般而言，受任用者若無保留地接受任用證書，即可</w:t>
      </w:r>
      <w:r>
        <w:rPr>
          <w:rFonts w:hint="eastAsia"/>
        </w:rPr>
        <w:t>推定其已為同意接受任用之意思表示</w:t>
      </w:r>
      <w:r>
        <w:rPr>
          <w:rStyle w:val="a5"/>
          <w:color w:val="000000"/>
        </w:rPr>
        <w:footnoteReference w:id="2"/>
      </w:r>
      <w:r>
        <w:rPr>
          <w:rFonts w:hint="eastAsia"/>
        </w:rPr>
        <w:t>。反之，受任用者於交付任用證書時，不知悉該證書之內容，且於認知該證書之內容後，立即將之退還，並表示異議，則不得推定其已為同意之表示</w:t>
      </w:r>
      <w:r>
        <w:rPr>
          <w:rStyle w:val="a5"/>
          <w:color w:val="000000"/>
        </w:rPr>
        <w:footnoteReference w:id="3"/>
      </w:r>
      <w:r>
        <w:rPr>
          <w:rFonts w:hint="eastAsia"/>
        </w:rPr>
        <w:t>。</w:t>
      </w:r>
    </w:p>
    <w:p w:rsidR="00000000" w:rsidRDefault="000E136B">
      <w:pPr>
        <w:pStyle w:val="23"/>
        <w:ind w:firstLine="560"/>
        <w:rPr>
          <w:rFonts w:hint="eastAsia"/>
        </w:rPr>
      </w:pPr>
      <w:r>
        <w:rPr>
          <w:rFonts w:hint="eastAsia"/>
        </w:rPr>
        <w:t>同意接受任用之意思表示，屬於行政法上之意思表示，如有錯誤或受脅迫之情事，得類推適用德國民法第一百十九條以下有關意思表示撤銷</w:t>
      </w:r>
      <w:r>
        <w:t>(Anfechtung)</w:t>
      </w:r>
      <w:r>
        <w:rPr>
          <w:rFonts w:hint="eastAsia"/>
        </w:rPr>
        <w:t>之規定</w:t>
      </w:r>
      <w:r>
        <w:rPr>
          <w:rStyle w:val="a5"/>
          <w:color w:val="000000"/>
        </w:rPr>
        <w:footnoteReference w:id="4"/>
      </w:r>
      <w:r>
        <w:rPr>
          <w:rFonts w:hint="eastAsia"/>
        </w:rPr>
        <w:t>。意思表示之撤銷，包括於被詐欺或被脅</w:t>
      </w:r>
      <w:r>
        <w:rPr>
          <w:rFonts w:hint="eastAsia"/>
        </w:rPr>
        <w:lastRenderedPageBreak/>
        <w:t>迫之情形，應於錯誤原因或強制狀態消滅後，立即向任用機關為之（德國民法第一百二十一條第一項第一句）；德國民法第一百二十四條第一項規定不再類推適用之列。</w:t>
      </w:r>
    </w:p>
    <w:p w:rsidR="00000000" w:rsidRDefault="000E136B">
      <w:pPr>
        <w:pStyle w:val="23"/>
        <w:ind w:firstLine="560"/>
        <w:rPr>
          <w:rFonts w:hint="eastAsia"/>
        </w:rPr>
      </w:pPr>
      <w:r>
        <w:rPr>
          <w:rFonts w:hint="eastAsia"/>
        </w:rPr>
        <w:t>任</w:t>
      </w:r>
      <w:r>
        <w:rPr>
          <w:rFonts w:hint="eastAsia"/>
        </w:rPr>
        <w:t>命處分若未經擬被任用人之同意，或該同意之表示經撤銷而自始失效者（德國民法第一百四十二條第一項），蓋該任用處分無效。擬被任用人未受交付任用證書，或該證書未載必要內容者，該任用處分亦屬無效（聯邦公務員法第六條第二項第三句、公務員法基準法第五條第三項第一句；聯邦行政程序法第四十四條第二項第二款</w:t>
      </w:r>
      <w:r>
        <w:rPr>
          <w:rStyle w:val="a5"/>
          <w:color w:val="000000"/>
        </w:rPr>
        <w:footnoteReference w:id="5"/>
      </w:r>
      <w:r>
        <w:rPr>
          <w:rFonts w:hint="eastAsia"/>
        </w:rPr>
        <w:t>）；此一瑕疵無法經事後之補正而治癒（聯邦公務員法第十條第二項第二句、公務員法基準法第五條第四項）。</w:t>
      </w:r>
    </w:p>
    <w:p w:rsidR="00000000" w:rsidRDefault="000E136B">
      <w:pPr>
        <w:pStyle w:val="23"/>
        <w:ind w:firstLine="560"/>
        <w:rPr>
          <w:rFonts w:hint="eastAsia"/>
        </w:rPr>
      </w:pPr>
      <w:r>
        <w:rPr>
          <w:rFonts w:hint="eastAsia"/>
        </w:rPr>
        <w:t>另外，聯邦公務員法第十一條以下及公務員法基準法第八條以下，對於任命處分之無效及撤銷原因，設有列舉規定，屬於聯邦行政程序法之</w:t>
      </w:r>
      <w:r>
        <w:rPr>
          <w:rFonts w:hint="eastAsia"/>
        </w:rPr>
        <w:t>特別規定，應優先適用</w:t>
      </w:r>
      <w:r>
        <w:rPr>
          <w:rStyle w:val="a5"/>
          <w:color w:val="000000"/>
        </w:rPr>
        <w:footnoteReference w:id="6"/>
      </w:r>
      <w:r>
        <w:rPr>
          <w:rFonts w:hint="eastAsia"/>
        </w:rPr>
        <w:t>。</w:t>
      </w:r>
    </w:p>
    <w:p w:rsidR="00000000" w:rsidRDefault="000E136B">
      <w:pPr>
        <w:pStyle w:val="23"/>
        <w:ind w:firstLine="560"/>
        <w:rPr>
          <w:rFonts w:ascii="新細明體" w:hAnsi="Verdana" w:hint="eastAsia"/>
        </w:rPr>
      </w:pPr>
      <w:r>
        <w:rPr>
          <w:rFonts w:hint="eastAsia"/>
          <w:color w:val="000000"/>
        </w:rPr>
        <w:t>依據公務員法基準法第五條第一項第三款及聯邦公務員法第六條第一項第三款規定，公職之第一次授與</w:t>
      </w:r>
      <w:r>
        <w:rPr>
          <w:color w:val="000000"/>
        </w:rPr>
        <w:t>(die erste Verleihung eines Amtes)</w:t>
      </w:r>
      <w:r>
        <w:rPr>
          <w:rFonts w:hint="eastAsia"/>
          <w:color w:val="000000"/>
        </w:rPr>
        <w:t>，原則上在試用期滿及格之後為之（公務員任職資歷命令第十</w:t>
      </w:r>
      <w:r>
        <w:rPr>
          <w:rFonts w:hint="eastAsia"/>
          <w:color w:val="000000"/>
        </w:rPr>
        <w:lastRenderedPageBreak/>
        <w:t>條第二項第一句）。</w:t>
      </w:r>
    </w:p>
    <w:p w:rsidR="00000000" w:rsidRDefault="000E136B">
      <w:pPr>
        <w:pStyle w:val="3"/>
        <w:rPr>
          <w:rFonts w:hint="eastAsia"/>
        </w:rPr>
      </w:pPr>
      <w:bookmarkStart w:id="6" w:name="_Toc61809106"/>
      <w:r>
        <w:rPr>
          <w:rFonts w:hint="eastAsia"/>
        </w:rPr>
        <w:t>第二項</w:t>
      </w:r>
      <w:r>
        <w:rPr>
          <w:rFonts w:hint="eastAsia"/>
        </w:rPr>
        <w:t xml:space="preserve"> </w:t>
      </w:r>
      <w:r>
        <w:rPr>
          <w:rFonts w:hint="eastAsia"/>
        </w:rPr>
        <w:t>公務員關係之種類</w:t>
      </w:r>
      <w:bookmarkEnd w:id="6"/>
    </w:p>
    <w:p w:rsidR="00000000" w:rsidRDefault="000E136B">
      <w:pPr>
        <w:pStyle w:val="23"/>
        <w:ind w:firstLine="560"/>
        <w:rPr>
          <w:rFonts w:hint="eastAsia"/>
        </w:rPr>
      </w:pPr>
      <w:r>
        <w:rPr>
          <w:rFonts w:hint="eastAsia"/>
        </w:rPr>
        <w:t>德國公務員法基準法第三條暨聯邦公務員法第五條對於公務員關係</w:t>
      </w:r>
      <w:r>
        <w:rPr>
          <w:rFonts w:hint="eastAsia"/>
        </w:rPr>
        <w:t>(Beamtenverh</w:t>
      </w:r>
      <w:r>
        <w:t>ä</w:t>
      </w:r>
      <w:r>
        <w:rPr>
          <w:rFonts w:hint="eastAsia"/>
        </w:rPr>
        <w:t>ltnisse)</w:t>
      </w:r>
      <w:r>
        <w:rPr>
          <w:rFonts w:hint="eastAsia"/>
        </w:rPr>
        <w:t>設有列舉性之規定，計有：</w:t>
      </w:r>
    </w:p>
    <w:p w:rsidR="00000000" w:rsidRDefault="000E136B">
      <w:pPr>
        <w:pStyle w:val="23"/>
        <w:ind w:firstLine="560"/>
        <w:rPr>
          <w:rFonts w:hint="eastAsia"/>
        </w:rPr>
      </w:pPr>
      <w:r>
        <w:rPr>
          <w:rFonts w:hint="eastAsia"/>
        </w:rPr>
        <w:t>「終身職之公務員關係」</w:t>
      </w:r>
      <w:r>
        <w:rPr>
          <w:rFonts w:hint="eastAsia"/>
        </w:rPr>
        <w:t>(Beamtenverh</w:t>
      </w:r>
      <w:r>
        <w:t>ä</w:t>
      </w:r>
      <w:r>
        <w:rPr>
          <w:rFonts w:hint="eastAsia"/>
        </w:rPr>
        <w:t>ltnis auf Lebenszeit)</w:t>
      </w:r>
      <w:r>
        <w:rPr>
          <w:rFonts w:hint="eastAsia"/>
        </w:rPr>
        <w:t>，此類公務員</w:t>
      </w:r>
      <w:r>
        <w:rPr>
          <w:rFonts w:hint="eastAsia"/>
        </w:rPr>
        <w:t>關係承襲傳統職業公務員制度，於基本法第三十三條第五項定有明文。</w:t>
      </w:r>
    </w:p>
    <w:p w:rsidR="00000000" w:rsidRDefault="000E136B">
      <w:pPr>
        <w:pStyle w:val="23"/>
        <w:ind w:firstLine="560"/>
        <w:rPr>
          <w:rFonts w:hint="eastAsia"/>
        </w:rPr>
      </w:pPr>
      <w:r>
        <w:rPr>
          <w:rFonts w:hint="eastAsia"/>
        </w:rPr>
        <w:t>「定期職之公務員關係」</w:t>
      </w:r>
      <w:r>
        <w:rPr>
          <w:rFonts w:hint="eastAsia"/>
        </w:rPr>
        <w:t>(Beamtenverh</w:t>
      </w:r>
      <w:r>
        <w:t>ä</w:t>
      </w:r>
      <w:r>
        <w:rPr>
          <w:rFonts w:hint="eastAsia"/>
        </w:rPr>
        <w:t>ltnis auf Zeit)</w:t>
      </w:r>
      <w:r>
        <w:rPr>
          <w:rFonts w:hint="eastAsia"/>
        </w:rPr>
        <w:t>，即僅於一定期間內從事法定任務之公務員。</w:t>
      </w:r>
    </w:p>
    <w:p w:rsidR="00000000" w:rsidRDefault="000E136B">
      <w:pPr>
        <w:pStyle w:val="23"/>
        <w:ind w:firstLine="560"/>
        <w:rPr>
          <w:rFonts w:hint="eastAsia"/>
        </w:rPr>
      </w:pPr>
      <w:r>
        <w:rPr>
          <w:rFonts w:hint="eastAsia"/>
        </w:rPr>
        <w:t>「試用職之公務員關係」</w:t>
      </w:r>
      <w:r>
        <w:rPr>
          <w:rFonts w:hint="eastAsia"/>
        </w:rPr>
        <w:t>(Beamtenverh</w:t>
      </w:r>
      <w:r>
        <w:t>ä</w:t>
      </w:r>
      <w:r>
        <w:rPr>
          <w:rFonts w:hint="eastAsia"/>
        </w:rPr>
        <w:t>ltnis auf Probe)</w:t>
      </w:r>
      <w:r>
        <w:rPr>
          <w:rFonts w:hint="eastAsia"/>
        </w:rPr>
        <w:t>，即為日後成為終身職公務員而須試用一定期間之公務員或授與主管職之公務員。</w:t>
      </w:r>
    </w:p>
    <w:p w:rsidR="00000000" w:rsidRDefault="000E136B">
      <w:pPr>
        <w:pStyle w:val="23"/>
        <w:ind w:firstLine="560"/>
        <w:rPr>
          <w:rFonts w:hint="eastAsia"/>
        </w:rPr>
      </w:pPr>
      <w:r>
        <w:rPr>
          <w:rFonts w:hint="eastAsia"/>
        </w:rPr>
        <w:t>「臨時職之公務員關係」</w:t>
      </w:r>
      <w:r>
        <w:rPr>
          <w:rFonts w:hint="eastAsia"/>
        </w:rPr>
        <w:t>(Beamtenverh</w:t>
      </w:r>
      <w:r>
        <w:t>ä</w:t>
      </w:r>
      <w:r>
        <w:rPr>
          <w:rFonts w:hint="eastAsia"/>
        </w:rPr>
        <w:t>ltnis auf Widerruf)</w:t>
      </w:r>
      <w:r>
        <w:rPr>
          <w:rFonts w:hint="eastAsia"/>
        </w:rPr>
        <w:t>，即從事實習、培訓或基本養成訓練職務之工作，或僅附帶或暫時從事高權任務之公務員。後者有時</w:t>
      </w:r>
      <w:r>
        <w:rPr>
          <w:rFonts w:hint="eastAsia"/>
        </w:rPr>
        <w:t>被派用擔任鐵路售票或郵差之工作。惟在郵政與鐵路運輸民營化之後，以臨時職公務員從事此類工作，已漸失其實務之功能</w:t>
      </w:r>
      <w:r>
        <w:rPr>
          <w:rStyle w:val="a5"/>
        </w:rPr>
        <w:footnoteReference w:id="7"/>
      </w:r>
      <w:r>
        <w:rPr>
          <w:rFonts w:hint="eastAsia"/>
        </w:rPr>
        <w:t>。</w:t>
      </w:r>
    </w:p>
    <w:p w:rsidR="00000000" w:rsidRDefault="000E136B">
      <w:pPr>
        <w:pStyle w:val="3"/>
        <w:rPr>
          <w:rFonts w:hint="eastAsia"/>
        </w:rPr>
      </w:pPr>
      <w:bookmarkStart w:id="7" w:name="_Toc61809107"/>
      <w:r>
        <w:rPr>
          <w:rFonts w:hint="eastAsia"/>
        </w:rPr>
        <w:lastRenderedPageBreak/>
        <w:t>第三項</w:t>
      </w:r>
      <w:r>
        <w:rPr>
          <w:rFonts w:hint="eastAsia"/>
        </w:rPr>
        <w:t xml:space="preserve"> </w:t>
      </w:r>
      <w:r>
        <w:rPr>
          <w:rFonts w:hint="eastAsia"/>
        </w:rPr>
        <w:t>公務員之任用與職位之概念</w:t>
      </w:r>
      <w:bookmarkEnd w:id="7"/>
    </w:p>
    <w:p w:rsidR="00000000" w:rsidRDefault="000E136B">
      <w:pPr>
        <w:pStyle w:val="23"/>
        <w:ind w:firstLine="560"/>
      </w:pPr>
      <w:r>
        <w:rPr>
          <w:rFonts w:hint="eastAsia"/>
        </w:rPr>
        <w:t>「職位」</w:t>
      </w:r>
      <w:r>
        <w:t>(Amt)</w:t>
      </w:r>
      <w:r>
        <w:rPr>
          <w:rFonts w:hint="eastAsia"/>
        </w:rPr>
        <w:t>之概念，在聯邦公務員法、公務員法基準法及各邦之公務員法中，具有不同之意涵。聯邦行政法院援引</w:t>
      </w:r>
      <w:r>
        <w:rPr>
          <w:i/>
        </w:rPr>
        <w:t>H. J. Wolff</w:t>
      </w:r>
      <w:r>
        <w:rPr>
          <w:rFonts w:hint="eastAsia"/>
        </w:rPr>
        <w:t>之學說</w:t>
      </w:r>
      <w:r>
        <w:rPr>
          <w:rStyle w:val="a5"/>
          <w:color w:val="000000"/>
        </w:rPr>
        <w:footnoteReference w:id="8"/>
      </w:r>
      <w:r>
        <w:rPr>
          <w:rFonts w:hint="eastAsia"/>
        </w:rPr>
        <w:t>，將職位區分為「地位法上意義之職位」</w:t>
      </w:r>
      <w:r>
        <w:t>(Amt im statusrechtlichen Sinne)</w:t>
      </w:r>
      <w:r>
        <w:rPr>
          <w:rFonts w:hint="eastAsia"/>
        </w:rPr>
        <w:t>與「功能上意義之職位」</w:t>
      </w:r>
      <w:r>
        <w:t>(Amt im funktionellen Sinne)</w:t>
      </w:r>
      <w:r>
        <w:rPr>
          <w:rFonts w:hint="eastAsia"/>
        </w:rPr>
        <w:t>二種，前者指俸級（特別是最高俸點）、職位名稱、職</w:t>
      </w:r>
      <w:r>
        <w:rPr>
          <w:rFonts w:hint="eastAsia"/>
        </w:rPr>
        <w:t>系等屬於公務員之法律地位</w:t>
      </w:r>
      <w:r>
        <w:rPr>
          <w:rStyle w:val="a5"/>
          <w:color w:val="000000"/>
        </w:rPr>
        <w:footnoteReference w:id="9"/>
      </w:r>
      <w:r>
        <w:rPr>
          <w:rFonts w:hint="eastAsia"/>
        </w:rPr>
        <w:t>；後者一方面係指抽象之任務領域，另方面則指經由組織編制或職務分配計畫所賦予之具體職務</w:t>
      </w:r>
      <w:r>
        <w:rPr>
          <w:rStyle w:val="a5"/>
          <w:color w:val="000000"/>
        </w:rPr>
        <w:footnoteReference w:id="10"/>
      </w:r>
      <w:r>
        <w:rPr>
          <w:rFonts w:hint="eastAsia"/>
        </w:rPr>
        <w:t>。</w:t>
      </w:r>
    </w:p>
    <w:p w:rsidR="00000000" w:rsidRDefault="000E136B">
      <w:pPr>
        <w:pStyle w:val="23"/>
        <w:ind w:firstLine="560"/>
        <w:rPr>
          <w:rFonts w:hint="eastAsia"/>
        </w:rPr>
      </w:pPr>
      <w:r>
        <w:rPr>
          <w:rFonts w:hint="eastAsia"/>
        </w:rPr>
        <w:t>公務員法基準法第五條第一項第三款及聯邦公務員法第六條第一項第三款規定所稱之職位，係指地位法上意義之職位而言</w:t>
      </w:r>
      <w:r>
        <w:rPr>
          <w:rStyle w:val="a5"/>
          <w:color w:val="000000"/>
        </w:rPr>
        <w:footnoteReference w:id="11"/>
      </w:r>
      <w:r>
        <w:rPr>
          <w:rFonts w:hint="eastAsia"/>
        </w:rPr>
        <w:t>。在任職之前，試用公務員</w:t>
      </w:r>
      <w:r>
        <w:rPr>
          <w:rFonts w:hint="eastAsia"/>
        </w:rPr>
        <w:t>(Beamte auf Probe)</w:t>
      </w:r>
      <w:r>
        <w:rPr>
          <w:rFonts w:hint="eastAsia"/>
        </w:rPr>
        <w:t>並不具有身分法上之職位，而僅功能上之職位；其不得使用「職位名稱」</w:t>
      </w:r>
      <w:r>
        <w:rPr>
          <w:rFonts w:hint="eastAsia"/>
        </w:rPr>
        <w:t>(Amtsbezeichnung)</w:t>
      </w:r>
      <w:r>
        <w:rPr>
          <w:rFonts w:hint="eastAsia"/>
        </w:rPr>
        <w:t>，而僅能使用「職務名稱」</w:t>
      </w:r>
      <w:r>
        <w:rPr>
          <w:rFonts w:hint="eastAsia"/>
        </w:rPr>
        <w:t>(Dienstbezeichnung)</w:t>
      </w:r>
      <w:r>
        <w:rPr>
          <w:rFonts w:hint="eastAsia"/>
        </w:rPr>
        <w:t>。至於在訓練期間之公務員，即臨時職（得予廢止錄用）之公務員</w:t>
      </w:r>
      <w:r>
        <w:rPr>
          <w:rFonts w:hint="eastAsia"/>
        </w:rPr>
        <w:t>(Beam</w:t>
      </w:r>
      <w:r>
        <w:rPr>
          <w:rFonts w:hint="eastAsia"/>
        </w:rPr>
        <w:t>te auf Widerruf)</w:t>
      </w:r>
      <w:r>
        <w:rPr>
          <w:rFonts w:hint="eastAsia"/>
        </w:rPr>
        <w:t>，則連功能上之職位均不具備</w:t>
      </w:r>
      <w:r>
        <w:rPr>
          <w:rStyle w:val="a5"/>
          <w:color w:val="000000"/>
        </w:rPr>
        <w:footnoteReference w:id="12"/>
      </w:r>
      <w:r>
        <w:rPr>
          <w:rFonts w:hint="eastAsia"/>
        </w:rPr>
        <w:t>。</w:t>
      </w:r>
    </w:p>
    <w:p w:rsidR="00000000" w:rsidRDefault="000E136B">
      <w:pPr>
        <w:pStyle w:val="23"/>
        <w:ind w:firstLine="560"/>
        <w:rPr>
          <w:rFonts w:hint="eastAsia"/>
        </w:rPr>
      </w:pPr>
      <w:r>
        <w:rPr>
          <w:rFonts w:hint="eastAsia"/>
        </w:rPr>
        <w:lastRenderedPageBreak/>
        <w:t>公務員職位之授與，基本上屬於職務長官</w:t>
      </w:r>
      <w:r>
        <w:rPr>
          <w:rFonts w:hint="eastAsia"/>
        </w:rPr>
        <w:t>(Dienstherr)</w:t>
      </w:r>
      <w:r>
        <w:rPr>
          <w:rFonts w:hint="eastAsia"/>
        </w:rPr>
        <w:t>合目的裁量之事項，公務員任職資歷命令第十條第二項規定，並未賦予任職之請求權。按公務員任職履歷命令第十條第一項規定：「任職</w:t>
      </w:r>
      <w:r>
        <w:rPr>
          <w:rFonts w:hint="eastAsia"/>
        </w:rPr>
        <w:t>(Anstellung)</w:t>
      </w:r>
      <w:r>
        <w:rPr>
          <w:rFonts w:hint="eastAsia"/>
        </w:rPr>
        <w:t>，指授與第一次之任用，該職位於俸級法有所規定，或經聯邦總統確認其職位名稱者。」同條第二項規定：「公務員於試用期滿及格後，於可占缺之計畫職位範圍內</w:t>
      </w:r>
      <w:r>
        <w:rPr>
          <w:rFonts w:hint="eastAsia"/>
        </w:rPr>
        <w:t>(im Rahmen der besetzbaren Planstellen)</w:t>
      </w:r>
      <w:r>
        <w:rPr>
          <w:rFonts w:hint="eastAsia"/>
        </w:rPr>
        <w:t>，授與職位。於決定時，</w:t>
      </w:r>
      <w:r>
        <w:rPr>
          <w:rFonts w:hint="eastAsia"/>
        </w:rPr>
        <w:t>應考量依第七條第三項所為確認之結果、試用期滿後之專業能力及服務時間、資歷審查或同等審查之結果。」由於該項係以「於可占缺之計畫職位範圍內」作為任職之要件，故除非有聯邦行政程序法第三十八條第一項第一句「承諾」</w:t>
      </w:r>
      <w:r>
        <w:rPr>
          <w:rFonts w:hint="eastAsia"/>
        </w:rPr>
        <w:t>(Zusicherung)</w:t>
      </w:r>
      <w:r>
        <w:rPr>
          <w:rFonts w:hint="eastAsia"/>
        </w:rPr>
        <w:t>之情形，或基於平等原則所導出之裁量縮減，或基於最優選擇（基本法第三十三條第二項等情形，而享有任職請求權外，任用機關對於擔任何一職務之決定，享有裁量權。</w:t>
      </w:r>
    </w:p>
    <w:p w:rsidR="00000000" w:rsidRDefault="000E136B">
      <w:pPr>
        <w:pStyle w:val="3"/>
        <w:rPr>
          <w:rFonts w:hint="eastAsia"/>
        </w:rPr>
      </w:pPr>
      <w:bookmarkStart w:id="8" w:name="_Toc61809108"/>
      <w:r>
        <w:rPr>
          <w:rFonts w:hint="eastAsia"/>
        </w:rPr>
        <w:t>第四項</w:t>
      </w:r>
      <w:r>
        <w:rPr>
          <w:rFonts w:hint="eastAsia"/>
        </w:rPr>
        <w:t xml:space="preserve"> </w:t>
      </w:r>
      <w:r>
        <w:rPr>
          <w:rFonts w:hint="eastAsia"/>
        </w:rPr>
        <w:t>行政救濟</w:t>
      </w:r>
      <w:bookmarkEnd w:id="8"/>
    </w:p>
    <w:p w:rsidR="00000000" w:rsidRDefault="000E136B">
      <w:pPr>
        <w:pStyle w:val="4"/>
        <w:rPr>
          <w:rFonts w:hint="eastAsia"/>
        </w:rPr>
      </w:pPr>
      <w:bookmarkStart w:id="9" w:name="_Toc61809109"/>
      <w:r>
        <w:rPr>
          <w:rFonts w:hint="eastAsia"/>
        </w:rPr>
        <w:t>壹、救濟管道</w:t>
      </w:r>
      <w:bookmarkEnd w:id="9"/>
    </w:p>
    <w:p w:rsidR="00000000" w:rsidRDefault="000E136B">
      <w:pPr>
        <w:pStyle w:val="23"/>
        <w:ind w:firstLine="560"/>
        <w:rPr>
          <w:rFonts w:hint="eastAsia"/>
        </w:rPr>
      </w:pPr>
      <w:r>
        <w:rPr>
          <w:rFonts w:hint="eastAsia"/>
        </w:rPr>
        <w:t>擬任公務員之人，未獲任用者，其救濟管道厥為行政訴訟程序</w:t>
      </w:r>
      <w:r>
        <w:rPr>
          <w:rStyle w:val="a5"/>
        </w:rPr>
        <w:footnoteReference w:id="13"/>
      </w:r>
      <w:r>
        <w:rPr>
          <w:rFonts w:hint="eastAsia"/>
        </w:rPr>
        <w:t>，此係準用公務員法基準法第一百二十六條第一</w:t>
      </w:r>
      <w:r>
        <w:rPr>
          <w:rFonts w:hint="eastAsia"/>
        </w:rPr>
        <w:t>項</w:t>
      </w:r>
      <w:r>
        <w:rPr>
          <w:rStyle w:val="a5"/>
          <w:color w:val="000000"/>
        </w:rPr>
        <w:footnoteReference w:id="14"/>
      </w:r>
      <w:r>
        <w:rPr>
          <w:rFonts w:hint="eastAsia"/>
        </w:rPr>
        <w:t>所致</w:t>
      </w:r>
      <w:r>
        <w:rPr>
          <w:rStyle w:val="a5"/>
          <w:color w:val="000000"/>
        </w:rPr>
        <w:footnoteReference w:id="15"/>
      </w:r>
      <w:r>
        <w:rPr>
          <w:rFonts w:hint="eastAsia"/>
        </w:rPr>
        <w:t>，否則應依</w:t>
      </w:r>
      <w:r>
        <w:rPr>
          <w:rFonts w:hint="eastAsia"/>
        </w:rPr>
        <w:lastRenderedPageBreak/>
        <w:t>據行政法院法</w:t>
      </w:r>
      <w:r>
        <w:t>(Verwaltungsgerichtsord</w:t>
      </w:r>
      <w:r>
        <w:rPr>
          <w:rFonts w:hint="eastAsia"/>
        </w:rPr>
        <w:t>n</w:t>
      </w:r>
      <w:r>
        <w:t>ung = VwGO)</w:t>
      </w:r>
      <w:r>
        <w:rPr>
          <w:rFonts w:hint="eastAsia"/>
        </w:rPr>
        <w:t>第四十條第一項規定。訴訟類型為課予義務訴訟</w:t>
      </w:r>
      <w:r>
        <w:t>(Verpflichtungsklage)</w:t>
      </w:r>
      <w:r>
        <w:rPr>
          <w:rFonts w:hint="eastAsia"/>
        </w:rPr>
        <w:t>，亦即請求命被告為成立公務員關係之行政處分，此類訴訟與基於公務員關係之訴訟，頗為類似</w:t>
      </w:r>
      <w:r>
        <w:rPr>
          <w:rStyle w:val="a5"/>
          <w:color w:val="000000"/>
        </w:rPr>
        <w:footnoteReference w:id="16"/>
      </w:r>
      <w:r>
        <w:rPr>
          <w:rFonts w:hint="eastAsia"/>
        </w:rPr>
        <w:t>。</w:t>
      </w:r>
    </w:p>
    <w:p w:rsidR="00000000" w:rsidRDefault="000E136B">
      <w:pPr>
        <w:pStyle w:val="4"/>
        <w:rPr>
          <w:rFonts w:hint="eastAsia"/>
        </w:rPr>
      </w:pPr>
      <w:bookmarkStart w:id="10" w:name="_Toc61809110"/>
      <w:r>
        <w:rPr>
          <w:rFonts w:hint="eastAsia"/>
        </w:rPr>
        <w:t>貳、訴訟類型</w:t>
      </w:r>
      <w:bookmarkEnd w:id="10"/>
    </w:p>
    <w:p w:rsidR="00000000" w:rsidRDefault="000E136B">
      <w:pPr>
        <w:pStyle w:val="23"/>
        <w:ind w:firstLine="560"/>
      </w:pPr>
      <w:r>
        <w:rPr>
          <w:rFonts w:hint="eastAsia"/>
        </w:rPr>
        <w:t>由於公務員之任用具有行政處分之性質，故請求任用為公務員之爭訟程序，其訴訟種類為課予義務訴訟（行政法院法第四十二條第一項、第一百十三條第五項第二句）。未獲任用者若以「不作為請求訴訟」（一般給付訴訟之一種）之方式，請求判令被告</w:t>
      </w:r>
      <w:r>
        <w:rPr>
          <w:rFonts w:hint="eastAsia"/>
        </w:rPr>
        <w:t>機關不得基於特定理由（例如欠缺特定能力或資格）拒絕任用，原則上不具權利保護之必要</w:t>
      </w:r>
      <w:r>
        <w:rPr>
          <w:rStyle w:val="a5"/>
          <w:color w:val="000000"/>
        </w:rPr>
        <w:footnoteReference w:id="17"/>
      </w:r>
      <w:r>
        <w:rPr>
          <w:rFonts w:hint="eastAsia"/>
        </w:rPr>
        <w:t>，蓋該未獲任用者得直接提起課予義務訴訟，請求被告機關作成任用之處分；反之，不作為請求訴訟尚無法獲得任用之行政處分。又未獲任用者亦不得提起確認訴訟</w:t>
      </w:r>
      <w:r>
        <w:t>(Feststellungsklage)</w:t>
      </w:r>
      <w:r>
        <w:rPr>
          <w:rFonts w:hint="eastAsia"/>
        </w:rPr>
        <w:t>，據以確認其具有特定之任用資格，蓋人民依法所取得之任公職資格（公務員法基準法第一百二十二條第二項參照），並非行政法上之法律關係，而</w:t>
      </w:r>
      <w:r>
        <w:rPr>
          <w:rFonts w:hint="eastAsia"/>
        </w:rPr>
        <w:lastRenderedPageBreak/>
        <w:t>僅是判斷是否任用的一項個別法律上要素</w:t>
      </w:r>
      <w:r>
        <w:t>(rechtliches Element)</w:t>
      </w:r>
      <w:r>
        <w:rPr>
          <w:rStyle w:val="a5"/>
          <w:color w:val="000000"/>
        </w:rPr>
        <w:footnoteReference w:id="18"/>
      </w:r>
      <w:r>
        <w:rPr>
          <w:rFonts w:hint="eastAsia"/>
        </w:rPr>
        <w:t>。</w:t>
      </w:r>
    </w:p>
    <w:p w:rsidR="00000000" w:rsidRDefault="000E136B">
      <w:pPr>
        <w:pStyle w:val="23"/>
        <w:ind w:firstLine="560"/>
        <w:rPr>
          <w:rFonts w:hint="eastAsia"/>
        </w:rPr>
      </w:pPr>
      <w:r>
        <w:rPr>
          <w:rFonts w:hint="eastAsia"/>
        </w:rPr>
        <w:t>請求任用之行政爭訟進行中，若因原</w:t>
      </w:r>
      <w:r>
        <w:rPr>
          <w:rFonts w:hint="eastAsia"/>
        </w:rPr>
        <w:t>告被任用為公務員，或所請求之職位已被佔用，且無其他同等職缺時，該訟爭請求即告「解決」</w:t>
      </w:r>
      <w:r>
        <w:t>(erledigt)</w:t>
      </w:r>
      <w:r>
        <w:rPr>
          <w:rFonts w:hint="eastAsia"/>
        </w:rPr>
        <w:t>，於此可資考量者，乃原告能否依行政法院法第一百十三條第一項第四句之規定，將原本之課予義務訴訟轉換</w:t>
      </w:r>
      <w:r>
        <w:t>(umstellen)</w:t>
      </w:r>
      <w:r>
        <w:rPr>
          <w:rFonts w:hint="eastAsia"/>
        </w:rPr>
        <w:t>為「續行確認訴訟（違法確認訴訟）」</w:t>
      </w:r>
      <w:r>
        <w:t>(Fortsetzungsfeststellumgsklage)</w:t>
      </w:r>
      <w:r>
        <w:rPr>
          <w:rFonts w:hint="eastAsia"/>
        </w:rPr>
        <w:t>，或是依據行政法院法第一百六十一條第二項規定，將本案訴訟為「解決之宣告」</w:t>
      </w:r>
      <w:r>
        <w:t>(für erledigt erklären)</w:t>
      </w:r>
      <w:r>
        <w:rPr>
          <w:rFonts w:hint="eastAsia"/>
        </w:rPr>
        <w:t>？按行政法院法第一百十三條第一項第四句有關續行確認訴訟之規定，原本僅針對撤</w:t>
      </w:r>
      <w:r>
        <w:rPr>
          <w:rFonts w:hint="eastAsia"/>
        </w:rPr>
        <w:t>銷訴訟而為設計，惟此一規定亦得類推適用於課予義務訴訟之上，為德國學說及實務所肯認</w:t>
      </w:r>
      <w:r>
        <w:rPr>
          <w:rStyle w:val="a5"/>
          <w:color w:val="000000"/>
        </w:rPr>
        <w:footnoteReference w:id="19"/>
      </w:r>
      <w:r>
        <w:rPr>
          <w:rFonts w:hint="eastAsia"/>
        </w:rPr>
        <w:t>，有問題者，僅原告是否具有確認利益？原告如因未獲任用或延遲任用而受有損害者，得依基本法第三十四條暨民法第八百三十九條規定請求國家賠償，而此項損害賠償之成立，以拒絕任用違法為前提，是以，除此一要件顯然不具備，從而國家賠償請求權顯不存在者外，否則原告提起確認拒絕處分違法，應具有確認利益</w:t>
      </w:r>
      <w:r>
        <w:rPr>
          <w:rStyle w:val="a5"/>
          <w:color w:val="000000"/>
        </w:rPr>
        <w:footnoteReference w:id="20"/>
      </w:r>
      <w:r>
        <w:rPr>
          <w:rFonts w:hint="eastAsia"/>
        </w:rPr>
        <w:t>。</w:t>
      </w:r>
    </w:p>
    <w:p w:rsidR="00000000" w:rsidRDefault="000E136B">
      <w:pPr>
        <w:pStyle w:val="23"/>
        <w:ind w:firstLine="560"/>
        <w:rPr>
          <w:rFonts w:hint="eastAsia"/>
        </w:rPr>
      </w:pPr>
      <w:r>
        <w:rPr>
          <w:rFonts w:hint="eastAsia"/>
        </w:rPr>
        <w:lastRenderedPageBreak/>
        <w:t>另外，尚值探討者，乃未獲任用者得否對於任用處分提起第三人撤銷訴訟，亦即所謂「競爭者訴訟」</w:t>
      </w:r>
      <w:r>
        <w:t>(Konkurrentenklage)</w:t>
      </w:r>
      <w:r>
        <w:rPr>
          <w:rFonts w:hint="eastAsia"/>
        </w:rPr>
        <w:t>，此類訴訟常見於</w:t>
      </w:r>
      <w:r>
        <w:rPr>
          <w:rFonts w:hint="eastAsia"/>
        </w:rPr>
        <w:t>公務員之升遷爭議</w:t>
      </w:r>
      <w:r>
        <w:rPr>
          <w:rStyle w:val="a5"/>
          <w:color w:val="000000"/>
        </w:rPr>
        <w:footnoteReference w:id="21"/>
      </w:r>
      <w:r>
        <w:rPr>
          <w:rFonts w:hint="eastAsia"/>
        </w:rPr>
        <w:t>。對此聯邦行政法院持否定見解，其謂：任用處分對於未獲任用者而言，並非影響其權利之行政處分，且該任用程序因任用處分之作成而「終結」</w:t>
      </w:r>
      <w:r>
        <w:rPr>
          <w:rStyle w:val="a5"/>
          <w:color w:val="000000"/>
        </w:rPr>
        <w:footnoteReference w:id="22"/>
      </w:r>
      <w:r>
        <w:rPr>
          <w:rFonts w:hint="eastAsia"/>
        </w:rPr>
        <w:t>。是以，對於未獲任用者而言，可資運用之救濟管道，厥為依行政法院法第一百二十三條第三項規定，請求行政法院作成「暫時之保全處分（假處分）」</w:t>
      </w:r>
      <w:r>
        <w:t>(einstweilige Sicherungsanordnung)</w:t>
      </w:r>
      <w:r>
        <w:rPr>
          <w:rFonts w:hint="eastAsia"/>
        </w:rPr>
        <w:t>，命任用機關暫時不作成任用處分，以免既成事實之成就</w:t>
      </w:r>
      <w:r>
        <w:rPr>
          <w:rStyle w:val="a5"/>
          <w:color w:val="000000"/>
        </w:rPr>
        <w:footnoteReference w:id="23"/>
      </w:r>
      <w:r>
        <w:rPr>
          <w:rFonts w:hint="eastAsia"/>
        </w:rPr>
        <w:t>。此種保全處分之作成，須有事實足認為任用程序在程序上或實體上並非毫無瑕疵，程序上之瑕疵，例如：任用機關並未履行</w:t>
      </w:r>
      <w:r>
        <w:rPr>
          <w:rFonts w:hint="eastAsia"/>
        </w:rPr>
        <w:t>公開徵選義務、任用機關未使人事代表</w:t>
      </w:r>
      <w:r>
        <w:t>(Personalvertretung)</w:t>
      </w:r>
      <w:r>
        <w:rPr>
          <w:rFonts w:hint="eastAsia"/>
        </w:rPr>
        <w:t>參與任用程序，或任用機關未給予參與競爭者（相對於其他之參與者）表現自己之機會。實體上之瑕疵，例如：違反「最佳選擇原則」</w:t>
      </w:r>
      <w:r>
        <w:t>(Bestenausleseprinzip)</w:t>
      </w:r>
      <w:r>
        <w:rPr>
          <w:rFonts w:hint="eastAsia"/>
        </w:rPr>
        <w:t>或「歧視禁止原則」</w:t>
      </w:r>
      <w:r>
        <w:rPr>
          <w:rStyle w:val="a5"/>
          <w:color w:val="000000"/>
        </w:rPr>
        <w:footnoteReference w:id="24"/>
      </w:r>
      <w:r>
        <w:rPr>
          <w:rFonts w:hint="eastAsia"/>
        </w:rPr>
        <w:t>。</w:t>
      </w:r>
    </w:p>
    <w:p w:rsidR="00000000" w:rsidRDefault="000E136B">
      <w:pPr>
        <w:pStyle w:val="4"/>
        <w:rPr>
          <w:rFonts w:hint="eastAsia"/>
        </w:rPr>
      </w:pPr>
      <w:bookmarkStart w:id="11" w:name="_Toc61809111"/>
      <w:r>
        <w:rPr>
          <w:rFonts w:hint="eastAsia"/>
        </w:rPr>
        <w:lastRenderedPageBreak/>
        <w:t>參、先行程序</w:t>
      </w:r>
      <w:bookmarkEnd w:id="11"/>
    </w:p>
    <w:p w:rsidR="00000000" w:rsidRDefault="000E136B">
      <w:pPr>
        <w:pStyle w:val="23"/>
        <w:ind w:firstLine="560"/>
        <w:rPr>
          <w:rFonts w:ascii="新細明體" w:hAnsi="Verdana" w:hint="eastAsia"/>
        </w:rPr>
      </w:pPr>
      <w:r>
        <w:rPr>
          <w:rFonts w:hint="eastAsia"/>
          <w:color w:val="000000"/>
        </w:rPr>
        <w:t>請求任用者對於拒絕任用之處分，應先提起異議</w:t>
      </w:r>
      <w:r>
        <w:rPr>
          <w:color w:val="000000"/>
        </w:rPr>
        <w:t>(Widerspruch)</w:t>
      </w:r>
      <w:r>
        <w:rPr>
          <w:rFonts w:hint="eastAsia"/>
          <w:color w:val="000000"/>
        </w:rPr>
        <w:t>（公務員法基準法第一百二十六條第三項、行政法院法第六十八條以下），並於遭異議駁回時，始得提起行政訴訟（行政法院法第七十四條）。欲任公務員之人提出申請或提起異議之後，任用機</w:t>
      </w:r>
      <w:r>
        <w:rPr>
          <w:rFonts w:hint="eastAsia"/>
          <w:color w:val="000000"/>
        </w:rPr>
        <w:t>關或異議機關若無正當理由而未於適當期間內</w:t>
      </w:r>
      <w:r>
        <w:rPr>
          <w:color w:val="000000"/>
        </w:rPr>
        <w:t>(in angemessener Frist)</w:t>
      </w:r>
      <w:r>
        <w:rPr>
          <w:rFonts w:hint="eastAsia"/>
          <w:color w:val="000000"/>
        </w:rPr>
        <w:t>作成決定者，得逕行提起行政訴訟（行政法院法第七十五條第一句）。惟提起異議或任職申請之後，如逾三個月者，不得提起行政訴訟（行政法院法第七十五條第二句）。</w:t>
      </w:r>
    </w:p>
    <w:p w:rsidR="00000000" w:rsidRDefault="000E136B">
      <w:pPr>
        <w:pStyle w:val="2"/>
        <w:rPr>
          <w:rFonts w:hint="eastAsia"/>
        </w:rPr>
      </w:pPr>
      <w:bookmarkStart w:id="12" w:name="_Toc61809112"/>
      <w:r>
        <w:rPr>
          <w:rFonts w:hint="eastAsia"/>
        </w:rPr>
        <w:t>第三節</w:t>
      </w:r>
      <w:r>
        <w:rPr>
          <w:rFonts w:hint="eastAsia"/>
        </w:rPr>
        <w:t xml:space="preserve"> </w:t>
      </w:r>
      <w:r>
        <w:rPr>
          <w:rFonts w:hint="eastAsia"/>
        </w:rPr>
        <w:t>公務員之升遷</w:t>
      </w:r>
      <w:bookmarkEnd w:id="12"/>
    </w:p>
    <w:p w:rsidR="00000000" w:rsidRDefault="000E136B">
      <w:pPr>
        <w:pStyle w:val="3"/>
        <w:rPr>
          <w:rFonts w:hint="eastAsia"/>
        </w:rPr>
      </w:pPr>
      <w:bookmarkStart w:id="13" w:name="_Toc61809113"/>
      <w:r>
        <w:rPr>
          <w:rFonts w:hint="eastAsia"/>
        </w:rPr>
        <w:t>第一項</w:t>
      </w:r>
      <w:r>
        <w:rPr>
          <w:rFonts w:hint="eastAsia"/>
        </w:rPr>
        <w:t xml:space="preserve"> </w:t>
      </w:r>
      <w:r>
        <w:rPr>
          <w:rFonts w:hint="eastAsia"/>
        </w:rPr>
        <w:t>升遷之意義與法律性質</w:t>
      </w:r>
      <w:bookmarkEnd w:id="13"/>
    </w:p>
    <w:p w:rsidR="00000000" w:rsidRDefault="000E136B">
      <w:pPr>
        <w:pStyle w:val="23"/>
        <w:ind w:firstLine="560"/>
        <w:rPr>
          <w:rFonts w:hint="eastAsia"/>
        </w:rPr>
      </w:pPr>
      <w:r>
        <w:rPr>
          <w:rFonts w:hint="eastAsia"/>
        </w:rPr>
        <w:t>公務員之升遷，係指授與公務員較高之最高本俸</w:t>
      </w:r>
      <w:r>
        <w:rPr>
          <w:rFonts w:hint="eastAsia"/>
        </w:rPr>
        <w:t>(Endgrundgehalt)</w:t>
      </w:r>
      <w:r>
        <w:rPr>
          <w:rFonts w:hint="eastAsia"/>
        </w:rPr>
        <w:t>及不同名稱之職位。公務員之升遷亦須以任命處分</w:t>
      </w:r>
      <w:r>
        <w:rPr>
          <w:rFonts w:hint="eastAsia"/>
        </w:rPr>
        <w:t>(Ernennung)</w:t>
      </w:r>
      <w:r>
        <w:rPr>
          <w:rFonts w:hint="eastAsia"/>
        </w:rPr>
        <w:t>為之。此所指「職位」者，乃指身分法上意義之職位而言，至於功能上意義職位是否改變，則</w:t>
      </w:r>
      <w:r>
        <w:rPr>
          <w:rFonts w:hint="eastAsia"/>
        </w:rPr>
        <w:t>非所問。依據公務員任職資歷命令第第十一條及第十二條第一項第一句規定，公務員於擔任「升遷職缺」</w:t>
      </w:r>
      <w:r>
        <w:t>(Beförderungsdienstposten)</w:t>
      </w:r>
      <w:r>
        <w:rPr>
          <w:rFonts w:hint="eastAsia"/>
        </w:rPr>
        <w:t>之任務，經證明具備該職務之能力者，應授予該升遷之職位。是以，公務員若僅取得「升遷職缺」，但尚未受領升遷之任命處分者，僅係一種「調職」</w:t>
      </w:r>
      <w:r>
        <w:t>(</w:t>
      </w:r>
      <w:r>
        <w:rPr>
          <w:rFonts w:hint="eastAsia"/>
        </w:rPr>
        <w:t>Umsetzung</w:t>
      </w:r>
      <w:r>
        <w:t>)</w:t>
      </w:r>
      <w:r>
        <w:rPr>
          <w:rFonts w:hint="eastAsia"/>
        </w:rPr>
        <w:t>，其性質非屬行</w:t>
      </w:r>
      <w:r>
        <w:rPr>
          <w:rFonts w:hint="eastAsia"/>
        </w:rPr>
        <w:lastRenderedPageBreak/>
        <w:t>政處分之任命</w:t>
      </w:r>
      <w:r>
        <w:rPr>
          <w:rStyle w:val="a5"/>
          <w:color w:val="000000"/>
        </w:rPr>
        <w:footnoteReference w:id="25"/>
      </w:r>
      <w:r>
        <w:rPr>
          <w:rFonts w:hint="eastAsia"/>
        </w:rPr>
        <w:t>。</w:t>
      </w:r>
    </w:p>
    <w:p w:rsidR="00000000" w:rsidRDefault="000E136B">
      <w:pPr>
        <w:pStyle w:val="23"/>
        <w:ind w:firstLine="560"/>
        <w:rPr>
          <w:rFonts w:hint="eastAsia"/>
        </w:rPr>
      </w:pPr>
      <w:r>
        <w:rPr>
          <w:rFonts w:hint="eastAsia"/>
        </w:rPr>
        <w:t>公務員之職位名稱未改變，而僅給予較高「本俸」</w:t>
      </w:r>
      <w:r>
        <w:t>(Grundgehalt)</w:t>
      </w:r>
      <w:r>
        <w:rPr>
          <w:rFonts w:hint="eastAsia"/>
        </w:rPr>
        <w:t>之職位，亦屬一種升遷（公務員任職資歷命令第十二條第一項第二句）。此種升遷之決定，亦屬行政處分，但不具任命之性質</w:t>
      </w:r>
      <w:r>
        <w:rPr>
          <w:rStyle w:val="a5"/>
          <w:color w:val="000000"/>
        </w:rPr>
        <w:footnoteReference w:id="26"/>
      </w:r>
      <w:r>
        <w:rPr>
          <w:rFonts w:hint="eastAsia"/>
        </w:rPr>
        <w:t>。於此所稱「本俸」，包括「職位加給」</w:t>
      </w:r>
      <w:r>
        <w:t>(Amtszulagen)</w:t>
      </w:r>
      <w:r>
        <w:rPr>
          <w:rStyle w:val="a5"/>
          <w:color w:val="000000"/>
        </w:rPr>
        <w:footnoteReference w:id="27"/>
      </w:r>
      <w:r>
        <w:rPr>
          <w:rFonts w:hint="eastAsia"/>
        </w:rPr>
        <w:t>，惟不含「單位加給」</w:t>
      </w:r>
      <w:r>
        <w:t>(Stellenzulagen)</w:t>
      </w:r>
      <w:r>
        <w:rPr>
          <w:rStyle w:val="a5"/>
          <w:color w:val="000000"/>
        </w:rPr>
        <w:t xml:space="preserve"> </w:t>
      </w:r>
      <w:r>
        <w:rPr>
          <w:rStyle w:val="a5"/>
          <w:color w:val="000000"/>
        </w:rPr>
        <w:footnoteReference w:id="28"/>
      </w:r>
      <w:r>
        <w:rPr>
          <w:rFonts w:hint="eastAsia"/>
        </w:rPr>
        <w:t>。</w:t>
      </w:r>
    </w:p>
    <w:p w:rsidR="00000000" w:rsidRDefault="000E136B">
      <w:pPr>
        <w:pStyle w:val="3"/>
        <w:rPr>
          <w:rFonts w:hint="eastAsia"/>
        </w:rPr>
      </w:pPr>
      <w:bookmarkStart w:id="14" w:name="_Toc61809114"/>
      <w:r>
        <w:rPr>
          <w:rFonts w:hint="eastAsia"/>
        </w:rPr>
        <w:t>第二項</w:t>
      </w:r>
      <w:r>
        <w:rPr>
          <w:rFonts w:hint="eastAsia"/>
        </w:rPr>
        <w:t xml:space="preserve"> </w:t>
      </w:r>
      <w:r>
        <w:rPr>
          <w:rFonts w:hint="eastAsia"/>
        </w:rPr>
        <w:t>升遷之標準：擇優選任原則及輔助標準</w:t>
      </w:r>
      <w:bookmarkEnd w:id="14"/>
    </w:p>
    <w:p w:rsidR="00000000" w:rsidRDefault="000E136B">
      <w:pPr>
        <w:pStyle w:val="23"/>
        <w:ind w:firstLine="560"/>
        <w:rPr>
          <w:rFonts w:ascii="新細明體" w:hAnsi="Verdana" w:hint="eastAsia"/>
        </w:rPr>
      </w:pPr>
      <w:r>
        <w:rPr>
          <w:rFonts w:hint="eastAsia"/>
          <w:color w:val="000000"/>
        </w:rPr>
        <w:t>基本法第三十三條第二項所稱之「公職」</w:t>
      </w:r>
      <w:r>
        <w:rPr>
          <w:rFonts w:hint="eastAsia"/>
          <w:color w:val="000000"/>
        </w:rPr>
        <w:t>(</w:t>
      </w:r>
      <w:r>
        <w:rPr>
          <w:color w:val="000000"/>
        </w:rPr>
        <w:t>ö</w:t>
      </w:r>
      <w:r>
        <w:rPr>
          <w:rFonts w:hint="eastAsia"/>
          <w:color w:val="000000"/>
        </w:rPr>
        <w:t>ffentliches Amt)</w:t>
      </w:r>
      <w:r>
        <w:rPr>
          <w:rFonts w:hint="eastAsia"/>
          <w:color w:val="000000"/>
        </w:rPr>
        <w:t>，除初任之公職外，尚包括晉升之公職</w:t>
      </w:r>
      <w:r>
        <w:rPr>
          <w:rFonts w:hint="eastAsia"/>
          <w:color w:val="000000"/>
        </w:rPr>
        <w:t>(Bef</w:t>
      </w:r>
      <w:r>
        <w:rPr>
          <w:color w:val="000000"/>
        </w:rPr>
        <w:t>ö</w:t>
      </w:r>
      <w:r>
        <w:rPr>
          <w:rFonts w:hint="eastAsia"/>
          <w:color w:val="000000"/>
        </w:rPr>
        <w:t>rderungs</w:t>
      </w:r>
      <w:r>
        <w:rPr>
          <w:color w:val="000000"/>
        </w:rPr>
        <w:t>ä</w:t>
      </w:r>
      <w:r>
        <w:rPr>
          <w:rFonts w:hint="eastAsia"/>
          <w:color w:val="000000"/>
        </w:rPr>
        <w:t xml:space="preserve">mter) </w:t>
      </w:r>
      <w:r>
        <w:rPr>
          <w:rFonts w:hint="eastAsia"/>
          <w:color w:val="000000"/>
        </w:rPr>
        <w:t>在內，亦即：所有德國人依其資格、能力及專業亦有擔任晉升公職之相同機會。聯邦公務員法第二十三條準用第八條第一項規定之原則，於作成升遷之決定時，應衡酌其資格、能力及專業表現，而不考量其性別、種族、信仰或</w:t>
      </w:r>
      <w:r>
        <w:rPr>
          <w:rFonts w:hint="eastAsia"/>
          <w:color w:val="000000"/>
        </w:rPr>
        <w:t>政治觀等因素。</w:t>
      </w:r>
    </w:p>
    <w:p w:rsidR="00000000" w:rsidRDefault="000E136B">
      <w:pPr>
        <w:pStyle w:val="3"/>
        <w:rPr>
          <w:rFonts w:hint="eastAsia"/>
        </w:rPr>
      </w:pPr>
      <w:bookmarkStart w:id="15" w:name="_Toc61809115"/>
      <w:r>
        <w:rPr>
          <w:rFonts w:hint="eastAsia"/>
        </w:rPr>
        <w:t>第三項</w:t>
      </w:r>
      <w:r>
        <w:rPr>
          <w:rFonts w:hint="eastAsia"/>
        </w:rPr>
        <w:t xml:space="preserve"> </w:t>
      </w:r>
      <w:r>
        <w:rPr>
          <w:rFonts w:hint="eastAsia"/>
        </w:rPr>
        <w:t>請求升遷之權利</w:t>
      </w:r>
      <w:bookmarkEnd w:id="15"/>
    </w:p>
    <w:p w:rsidR="00000000" w:rsidRDefault="000E136B">
      <w:pPr>
        <w:pStyle w:val="23"/>
        <w:ind w:firstLine="560"/>
        <w:rPr>
          <w:rFonts w:hint="eastAsia"/>
        </w:rPr>
      </w:pPr>
      <w:r>
        <w:rPr>
          <w:rFonts w:hint="eastAsia"/>
        </w:rPr>
        <w:t>關於公務員升遷之行政救濟問題，首應確認者，乃公務員是否享</w:t>
      </w:r>
      <w:r>
        <w:rPr>
          <w:rFonts w:hint="eastAsia"/>
        </w:rPr>
        <w:lastRenderedPageBreak/>
        <w:t>有請求升遷之權利</w:t>
      </w:r>
      <w:r>
        <w:t>(Rechtsanspruch auf Beförderung)</w:t>
      </w:r>
      <w:r>
        <w:rPr>
          <w:rFonts w:hint="eastAsia"/>
        </w:rPr>
        <w:t>，而其爭點則在於，德國基本法第三十三條第二項規定是否僅具有保護公共利益之作用，抑或兼及擬任較高職位者之利益</w:t>
      </w:r>
      <w:r>
        <w:rPr>
          <w:rStyle w:val="a5"/>
          <w:color w:val="000000"/>
        </w:rPr>
        <w:footnoteReference w:id="29"/>
      </w:r>
      <w:r>
        <w:rPr>
          <w:rFonts w:hint="eastAsia"/>
        </w:rPr>
        <w:t>？德國聯邦行政法院最初認為，基於上開憲法規定所訂定之相關升遷法律規定，僅在確保擇優升任公職之公共利益</w:t>
      </w:r>
      <w:r>
        <w:rPr>
          <w:rStyle w:val="a5"/>
          <w:color w:val="000000"/>
        </w:rPr>
        <w:footnoteReference w:id="30"/>
      </w:r>
      <w:r>
        <w:rPr>
          <w:rFonts w:hint="eastAsia"/>
        </w:rPr>
        <w:t>。嗣後變更見解表示：公共利益雖為上開憲法規定之「第一」</w:t>
      </w:r>
      <w:r>
        <w:t>(in erster Linie)</w:t>
      </w:r>
      <w:r>
        <w:rPr>
          <w:rFonts w:hint="eastAsia"/>
        </w:rPr>
        <w:t>目的，惟公務員於具備一定之能力，並在職</w:t>
      </w:r>
      <w:r>
        <w:rPr>
          <w:rFonts w:hint="eastAsia"/>
        </w:rPr>
        <w:t>務法上及預算法上容許之範圍內所享有之升遷合法權利，亦屬其「第二」</w:t>
      </w:r>
      <w:r>
        <w:t>(in zweiter Linie)</w:t>
      </w:r>
      <w:r>
        <w:rPr>
          <w:rFonts w:hint="eastAsia"/>
        </w:rPr>
        <w:t>之保護目的</w:t>
      </w:r>
      <w:r>
        <w:rPr>
          <w:rStyle w:val="a5"/>
          <w:color w:val="000000"/>
        </w:rPr>
        <w:footnoteReference w:id="31"/>
      </w:r>
      <w:r>
        <w:rPr>
          <w:rFonts w:hint="eastAsia"/>
        </w:rPr>
        <w:t>。對此德國學者亦多持肯定見解</w:t>
      </w:r>
      <w:r>
        <w:rPr>
          <w:rStyle w:val="a5"/>
          <w:color w:val="000000"/>
        </w:rPr>
        <w:footnoteReference w:id="32"/>
      </w:r>
      <w:r>
        <w:rPr>
          <w:rFonts w:hint="eastAsia"/>
        </w:rPr>
        <w:t>，並強調此二利益同等重要</w:t>
      </w:r>
      <w:r>
        <w:rPr>
          <w:rStyle w:val="a5"/>
          <w:color w:val="000000"/>
        </w:rPr>
        <w:footnoteReference w:id="33"/>
      </w:r>
      <w:r>
        <w:rPr>
          <w:rFonts w:hint="eastAsia"/>
        </w:rPr>
        <w:t>。於此基礎下，若具備下述要件，公務員即享有請求升遷之權利</w:t>
      </w:r>
      <w:r>
        <w:rPr>
          <w:rStyle w:val="a5"/>
          <w:color w:val="000000"/>
        </w:rPr>
        <w:footnoteReference w:id="34"/>
      </w:r>
      <w:r>
        <w:rPr>
          <w:rFonts w:hint="eastAsia"/>
        </w:rPr>
        <w:t>：</w:t>
      </w:r>
    </w:p>
    <w:p w:rsidR="00000000" w:rsidRDefault="000E136B">
      <w:pPr>
        <w:pStyle w:val="23"/>
        <w:ind w:firstLine="560"/>
        <w:rPr>
          <w:rFonts w:hint="eastAsia"/>
        </w:rPr>
      </w:pPr>
      <w:r>
        <w:rPr>
          <w:rFonts w:ascii="新細明體" w:hint="eastAsia"/>
        </w:rPr>
        <w:t>—</w:t>
      </w:r>
      <w:r>
        <w:rPr>
          <w:rFonts w:hint="eastAsia"/>
        </w:rPr>
        <w:t>存在有得予升遷之職位。</w:t>
      </w:r>
    </w:p>
    <w:p w:rsidR="00000000" w:rsidRDefault="000E136B">
      <w:pPr>
        <w:pStyle w:val="23"/>
        <w:ind w:firstLine="560"/>
        <w:rPr>
          <w:rFonts w:hint="eastAsia"/>
        </w:rPr>
      </w:pPr>
      <w:r>
        <w:rPr>
          <w:rFonts w:ascii="新細明體" w:hint="eastAsia"/>
        </w:rPr>
        <w:t>—</w:t>
      </w:r>
      <w:r>
        <w:rPr>
          <w:rFonts w:hint="eastAsia"/>
        </w:rPr>
        <w:t>依照行政部門之規劃，此一職位應予補實。</w:t>
      </w:r>
    </w:p>
    <w:p w:rsidR="00000000" w:rsidRDefault="000E136B">
      <w:pPr>
        <w:pStyle w:val="23"/>
        <w:ind w:firstLine="560"/>
        <w:rPr>
          <w:rFonts w:hint="eastAsia"/>
        </w:rPr>
      </w:pPr>
      <w:r>
        <w:rPr>
          <w:rFonts w:ascii="新細明體" w:hint="eastAsia"/>
        </w:rPr>
        <w:t>—</w:t>
      </w:r>
      <w:r>
        <w:rPr>
          <w:rFonts w:hint="eastAsia"/>
        </w:rPr>
        <w:t>擬升任之公務員經由其主管長官評定具有擔任該職位之能力。</w:t>
      </w:r>
    </w:p>
    <w:p w:rsidR="00000000" w:rsidRDefault="000E136B">
      <w:pPr>
        <w:pStyle w:val="23"/>
        <w:ind w:firstLine="560"/>
        <w:rPr>
          <w:rFonts w:hint="eastAsia"/>
        </w:rPr>
      </w:pPr>
      <w:r>
        <w:rPr>
          <w:rFonts w:hint="eastAsia"/>
        </w:rPr>
        <w:t>惟若遇有多位同時適任蓋該職位之公務員時，學說及實務認為，</w:t>
      </w:r>
      <w:r>
        <w:rPr>
          <w:rFonts w:hint="eastAsia"/>
        </w:rPr>
        <w:lastRenderedPageBreak/>
        <w:t>可援引基本法第三十三條第五項所定照顧及保護公務員之原則</w:t>
      </w:r>
      <w:r>
        <w:t>(Grundsatz der Fürsorge</w:t>
      </w:r>
      <w:r>
        <w:t xml:space="preserve"> und des Schutzes)</w:t>
      </w:r>
      <w:r>
        <w:rPr>
          <w:rFonts w:hint="eastAsia"/>
        </w:rPr>
        <w:t>暨聯邦公務員法第七十九條及公務員法基準法第四十八條所定之照顧及保護義務，擇其中最適任之人員</w:t>
      </w:r>
      <w:r>
        <w:rPr>
          <w:rStyle w:val="a5"/>
          <w:color w:val="000000"/>
        </w:rPr>
        <w:footnoteReference w:id="35"/>
      </w:r>
      <w:r>
        <w:rPr>
          <w:rFonts w:hint="eastAsia"/>
        </w:rPr>
        <w:t>。</w:t>
      </w:r>
    </w:p>
    <w:p w:rsidR="00000000" w:rsidRDefault="000E136B">
      <w:pPr>
        <w:pStyle w:val="3"/>
        <w:rPr>
          <w:rFonts w:hint="eastAsia"/>
        </w:rPr>
      </w:pPr>
      <w:bookmarkStart w:id="16" w:name="_Toc61809116"/>
      <w:r>
        <w:rPr>
          <w:rFonts w:hint="eastAsia"/>
          <w:color w:val="000000"/>
        </w:rPr>
        <w:t>第四項</w:t>
      </w:r>
      <w:r>
        <w:rPr>
          <w:rFonts w:hint="eastAsia"/>
          <w:color w:val="000000"/>
        </w:rPr>
        <w:t xml:space="preserve"> </w:t>
      </w:r>
      <w:r>
        <w:rPr>
          <w:rFonts w:hint="eastAsia"/>
          <w:color w:val="000000"/>
        </w:rPr>
        <w:t>損害賠償（國家賠償）</w:t>
      </w:r>
      <w:bookmarkEnd w:id="16"/>
    </w:p>
    <w:p w:rsidR="00000000" w:rsidRDefault="000E136B">
      <w:pPr>
        <w:pStyle w:val="23"/>
        <w:ind w:firstLine="560"/>
        <w:rPr>
          <w:rFonts w:hint="eastAsia"/>
        </w:rPr>
      </w:pPr>
      <w:r>
        <w:rPr>
          <w:rFonts w:hint="eastAsia"/>
        </w:rPr>
        <w:t>公務員若享有請求升遷之權利，於該權利未獲實現時，可轉換為損害賠償請求權</w:t>
      </w:r>
      <w:r>
        <w:rPr>
          <w:rStyle w:val="a5"/>
          <w:color w:val="000000"/>
        </w:rPr>
        <w:footnoteReference w:id="36"/>
      </w:r>
      <w:r>
        <w:rPr>
          <w:rFonts w:hint="eastAsia"/>
        </w:rPr>
        <w:t>，其要件如下：</w:t>
      </w:r>
    </w:p>
    <w:p w:rsidR="00000000" w:rsidRDefault="000E136B">
      <w:pPr>
        <w:pStyle w:val="23"/>
        <w:ind w:firstLine="560"/>
        <w:rPr>
          <w:rFonts w:hint="eastAsia"/>
        </w:rPr>
      </w:pPr>
      <w:r>
        <w:rPr>
          <w:rFonts w:ascii="新細明體" w:hint="eastAsia"/>
        </w:rPr>
        <w:t>—</w:t>
      </w:r>
      <w:r>
        <w:rPr>
          <w:rFonts w:hint="eastAsia"/>
        </w:rPr>
        <w:t>主管長官違反擇優選任義務。</w:t>
      </w:r>
    </w:p>
    <w:p w:rsidR="00000000" w:rsidRDefault="000E136B">
      <w:pPr>
        <w:pStyle w:val="23"/>
        <w:ind w:firstLine="560"/>
        <w:rPr>
          <w:rFonts w:ascii="新細明體" w:hAnsi="Verdana" w:hint="eastAsia"/>
        </w:rPr>
      </w:pPr>
      <w:r>
        <w:rPr>
          <w:rFonts w:ascii="新細明體" w:hint="eastAsia"/>
          <w:color w:val="000000"/>
        </w:rPr>
        <w:t>—上述違法情事，主管長官具有故意或過失。</w:t>
      </w:r>
    </w:p>
    <w:p w:rsidR="00000000" w:rsidRDefault="000E136B">
      <w:pPr>
        <w:pStyle w:val="23"/>
        <w:ind w:firstLine="560"/>
      </w:pPr>
      <w:r>
        <w:rPr>
          <w:rFonts w:hint="eastAsia"/>
        </w:rPr>
        <w:t>—違反擇優選任義務與公務員未受升遷或遲延升遷之間，具有相當因果關係</w:t>
      </w:r>
      <w:r>
        <w:rPr>
          <w:rStyle w:val="a5"/>
          <w:rFonts w:ascii="新細明體"/>
          <w:color w:val="000000"/>
        </w:rPr>
        <w:footnoteReference w:id="37"/>
      </w:r>
      <w:r>
        <w:rPr>
          <w:rFonts w:hint="eastAsia"/>
        </w:rPr>
        <w:t>。</w:t>
      </w:r>
    </w:p>
    <w:p w:rsidR="00000000" w:rsidRDefault="000E136B">
      <w:pPr>
        <w:pStyle w:val="3"/>
        <w:rPr>
          <w:rFonts w:hint="eastAsia"/>
        </w:rPr>
      </w:pPr>
      <w:bookmarkStart w:id="17" w:name="_Toc61809117"/>
      <w:r>
        <w:rPr>
          <w:rFonts w:hint="eastAsia"/>
          <w:color w:val="000000"/>
        </w:rPr>
        <w:t>第五項</w:t>
      </w:r>
      <w:r>
        <w:rPr>
          <w:rFonts w:hint="eastAsia"/>
          <w:color w:val="000000"/>
        </w:rPr>
        <w:t xml:space="preserve"> </w:t>
      </w:r>
      <w:r>
        <w:rPr>
          <w:rFonts w:hint="eastAsia"/>
          <w:color w:val="000000"/>
        </w:rPr>
        <w:t>行政救濟</w:t>
      </w:r>
      <w:bookmarkEnd w:id="17"/>
    </w:p>
    <w:p w:rsidR="00000000" w:rsidRDefault="000E136B">
      <w:pPr>
        <w:pStyle w:val="23"/>
        <w:ind w:firstLine="560"/>
        <w:rPr>
          <w:rFonts w:ascii="新細明體" w:hAnsi="Verdana" w:hint="eastAsia"/>
        </w:rPr>
      </w:pPr>
      <w:r>
        <w:rPr>
          <w:rFonts w:hint="eastAsia"/>
          <w:color w:val="000000"/>
        </w:rPr>
        <w:t>關於公務員升遷之行政救濟管道，主要有二：就請求升遷一節為行政訴訟程序（公務員法基準法第一百二十六條第</w:t>
      </w:r>
      <w:r>
        <w:rPr>
          <w:rFonts w:hint="eastAsia"/>
          <w:color w:val="000000"/>
        </w:rPr>
        <w:t>一項）；就請求損害賠償一節，則是民事訴訟程序（基本法第三十四條暨民法第八百三十九條）。</w:t>
      </w:r>
    </w:p>
    <w:p w:rsidR="00000000" w:rsidRDefault="000E136B">
      <w:pPr>
        <w:pStyle w:val="23"/>
        <w:ind w:firstLine="560"/>
        <w:rPr>
          <w:rFonts w:hint="eastAsia"/>
        </w:rPr>
      </w:pPr>
      <w:r>
        <w:rPr>
          <w:rFonts w:hint="eastAsia"/>
        </w:rPr>
        <w:lastRenderedPageBreak/>
        <w:t>在訴訟類型上，請求升遷係透過行政法院法第四十二條第一項之「課予義務訴訟」</w:t>
      </w:r>
      <w:r>
        <w:t>(Verpflichtitungsklage)</w:t>
      </w:r>
      <w:r>
        <w:rPr>
          <w:rFonts w:hint="eastAsia"/>
        </w:rPr>
        <w:t>。公務員若認為拒絕其升遷之請求違法，惟尚未至毫無裁量之空間，則可提起「命為決定之訴訟」</w:t>
      </w:r>
      <w:r>
        <w:t>(Bescheidungsklage)</w:t>
      </w:r>
      <w:r>
        <w:rPr>
          <w:rFonts w:hint="eastAsia"/>
        </w:rPr>
        <w:t>。前開訴訟提起後，若該公務員獲得晉升，或其所請求升遷之職位已為其他公務員所佔，即發生本案訴訟解決之問題</w:t>
      </w:r>
      <w:r>
        <w:rPr>
          <w:rStyle w:val="a5"/>
          <w:color w:val="000000"/>
        </w:rPr>
        <w:footnoteReference w:id="38"/>
      </w:r>
      <w:r>
        <w:rPr>
          <w:rFonts w:hint="eastAsia"/>
        </w:rPr>
        <w:t>。於此情形下，該公務員得轉而依行政法院法第一百十三條第一項第四句規定提起「續行</w:t>
      </w:r>
      <w:r>
        <w:rPr>
          <w:rFonts w:hint="eastAsia"/>
        </w:rPr>
        <w:t>確認訴訟」</w:t>
      </w:r>
      <w:r>
        <w:t>(Fortsetzungsfeststellungsklage)</w:t>
      </w:r>
      <w:r>
        <w:rPr>
          <w:rFonts w:hint="eastAsia"/>
        </w:rPr>
        <w:t>，惟須具備「確認利益」</w:t>
      </w:r>
      <w:r>
        <w:t>(Feststellungsinteresse)</w:t>
      </w:r>
      <w:r>
        <w:rPr>
          <w:rFonts w:hint="eastAsia"/>
        </w:rPr>
        <w:t>，例如將作為提起國家賠償之準備</w:t>
      </w:r>
      <w:r>
        <w:rPr>
          <w:rStyle w:val="a5"/>
          <w:color w:val="000000"/>
        </w:rPr>
        <w:footnoteReference w:id="39"/>
      </w:r>
      <w:r>
        <w:rPr>
          <w:rFonts w:hint="eastAsia"/>
        </w:rPr>
        <w:t>，或有重複發生類似拒絕升遷之危險</w:t>
      </w:r>
      <w:r>
        <w:rPr>
          <w:rStyle w:val="a5"/>
          <w:color w:val="000000"/>
        </w:rPr>
        <w:footnoteReference w:id="40"/>
      </w:r>
      <w:r>
        <w:rPr>
          <w:rFonts w:hint="eastAsia"/>
        </w:rPr>
        <w:t>。</w:t>
      </w:r>
    </w:p>
    <w:p w:rsidR="00000000" w:rsidRDefault="000E136B">
      <w:pPr>
        <w:pStyle w:val="2"/>
      </w:pPr>
      <w:bookmarkStart w:id="18" w:name="_Toc61809118"/>
      <w:r>
        <w:rPr>
          <w:rFonts w:hint="eastAsia"/>
        </w:rPr>
        <w:t>第四節</w:t>
      </w:r>
      <w:r>
        <w:rPr>
          <w:rFonts w:hint="eastAsia"/>
        </w:rPr>
        <w:t xml:space="preserve"> </w:t>
      </w:r>
      <w:r>
        <w:rPr>
          <w:rFonts w:hint="eastAsia"/>
        </w:rPr>
        <w:t>公務員之調任、暫調與調職</w:t>
      </w:r>
      <w:bookmarkEnd w:id="18"/>
    </w:p>
    <w:p w:rsidR="00000000" w:rsidRDefault="000E136B">
      <w:pPr>
        <w:pStyle w:val="3"/>
        <w:rPr>
          <w:rFonts w:hint="eastAsia"/>
        </w:rPr>
      </w:pPr>
      <w:bookmarkStart w:id="19" w:name="_Toc61809119"/>
      <w:r>
        <w:rPr>
          <w:rFonts w:hint="eastAsia"/>
        </w:rPr>
        <w:t>第一項</w:t>
      </w:r>
      <w:r>
        <w:rPr>
          <w:rFonts w:hint="eastAsia"/>
        </w:rPr>
        <w:t xml:space="preserve"> </w:t>
      </w:r>
      <w:r>
        <w:rPr>
          <w:rFonts w:hint="eastAsia"/>
        </w:rPr>
        <w:t>概念辨異</w:t>
      </w:r>
      <w:bookmarkEnd w:id="19"/>
    </w:p>
    <w:p w:rsidR="00000000" w:rsidRDefault="000E136B">
      <w:pPr>
        <w:pStyle w:val="23"/>
        <w:ind w:firstLine="560"/>
        <w:rPr>
          <w:rFonts w:hint="eastAsia"/>
        </w:rPr>
      </w:pPr>
      <w:r>
        <w:rPr>
          <w:rFonts w:hint="eastAsia"/>
        </w:rPr>
        <w:t>如前所述，在德國公務員法上有所謂</w:t>
      </w:r>
      <w:r>
        <w:rPr>
          <w:rFonts w:hint="eastAsia"/>
          <w:color w:val="000000"/>
        </w:rPr>
        <w:t>「地位法上意義之職位」</w:t>
      </w:r>
      <w:r>
        <w:rPr>
          <w:color w:val="000000"/>
        </w:rPr>
        <w:t>(Amt im statusrechtlichen Sinne)</w:t>
      </w:r>
      <w:r>
        <w:rPr>
          <w:rFonts w:hint="eastAsia"/>
          <w:color w:val="000000"/>
        </w:rPr>
        <w:t>與「功能上意義之職位」</w:t>
      </w:r>
      <w:r>
        <w:rPr>
          <w:color w:val="000000"/>
        </w:rPr>
        <w:t>(Amt im funktionellen Sinne)</w:t>
      </w:r>
      <w:r>
        <w:rPr>
          <w:rFonts w:hint="eastAsia"/>
        </w:rPr>
        <w:t>之區分。原則上，地位法上之職位僅能透過「任命處分」</w:t>
      </w:r>
      <w:r>
        <w:t>(Ernennung)</w:t>
      </w:r>
      <w:r>
        <w:rPr>
          <w:rFonts w:hint="eastAsia"/>
        </w:rPr>
        <w:t>或懲戒法上之降級處分</w:t>
      </w:r>
      <w:r>
        <w:t xml:space="preserve">(disziplinarische </w:t>
      </w:r>
      <w:r>
        <w:lastRenderedPageBreak/>
        <w:t>Dienstgradherabsetzung)</w:t>
      </w:r>
      <w:r>
        <w:rPr>
          <w:rFonts w:hint="eastAsia"/>
        </w:rPr>
        <w:t>予以變動</w:t>
      </w:r>
      <w:r>
        <w:rPr>
          <w:rStyle w:val="a5"/>
        </w:rPr>
        <w:footnoteReference w:id="41"/>
      </w:r>
      <w:r>
        <w:rPr>
          <w:rFonts w:hint="eastAsia"/>
        </w:rPr>
        <w:t>，其特徵為「本俸」及「職位名稱」皆有變動；反之，若僅改變功能法上之職位，則不須任命處分。在此非此則彼之間，尚存有一種「影響地位之職務賦予」</w:t>
      </w:r>
      <w:r>
        <w:t>(statusberührende Übertragungen)</w:t>
      </w:r>
      <w:r>
        <w:rPr>
          <w:rFonts w:hint="eastAsia"/>
        </w:rPr>
        <w:t>，即：</w:t>
      </w:r>
    </w:p>
    <w:p w:rsidR="00000000" w:rsidRDefault="000E136B">
      <w:pPr>
        <w:pStyle w:val="23"/>
        <w:ind w:firstLine="560"/>
        <w:rPr>
          <w:rFonts w:hint="eastAsia"/>
        </w:rPr>
      </w:pPr>
      <w:r>
        <w:rPr>
          <w:rFonts w:ascii="新細明體" w:hint="eastAsia"/>
        </w:rPr>
        <w:t>—</w:t>
      </w:r>
      <w:r>
        <w:rPr>
          <w:rFonts w:hint="eastAsia"/>
        </w:rPr>
        <w:t>改變其本俸，但未改變職位名稱。</w:t>
      </w:r>
    </w:p>
    <w:p w:rsidR="00000000" w:rsidRDefault="000E136B">
      <w:pPr>
        <w:pStyle w:val="23"/>
        <w:ind w:firstLine="560"/>
        <w:rPr>
          <w:rFonts w:hint="eastAsia"/>
        </w:rPr>
      </w:pPr>
      <w:r>
        <w:rPr>
          <w:rFonts w:ascii="新細明體" w:hint="eastAsia"/>
        </w:rPr>
        <w:t>—</w:t>
      </w:r>
      <w:r>
        <w:rPr>
          <w:rFonts w:hint="eastAsia"/>
        </w:rPr>
        <w:t>改變職位名稱，但未改變其本俸</w:t>
      </w:r>
      <w:r>
        <w:rPr>
          <w:rStyle w:val="a5"/>
        </w:rPr>
        <w:footnoteReference w:id="42"/>
      </w:r>
      <w:r>
        <w:rPr>
          <w:rFonts w:hint="eastAsia"/>
        </w:rPr>
        <w:t>。</w:t>
      </w:r>
    </w:p>
    <w:p w:rsidR="00000000" w:rsidRDefault="000E136B">
      <w:pPr>
        <w:pStyle w:val="23"/>
        <w:ind w:firstLine="560"/>
      </w:pPr>
      <w:r>
        <w:rPr>
          <w:rFonts w:hint="eastAsia"/>
        </w:rPr>
        <w:t>上述二種情形，雖無須以「任命處分」為之，惟其職務改變之措施，均具有行政處分之性質，一般稱為「</w:t>
      </w:r>
      <w:r>
        <w:rPr>
          <w:rFonts w:eastAsia="標楷體" w:hint="eastAsia"/>
        </w:rPr>
        <w:t>影響地</w:t>
      </w:r>
      <w:r>
        <w:rPr>
          <w:rFonts w:eastAsia="標楷體" w:hint="eastAsia"/>
        </w:rPr>
        <w:t>位之調任</w:t>
      </w:r>
      <w:r>
        <w:rPr>
          <w:rFonts w:hint="eastAsia"/>
        </w:rPr>
        <w:t>」</w:t>
      </w:r>
      <w:r>
        <w:t>(berührende Versetzung)</w:t>
      </w:r>
      <w:r>
        <w:rPr>
          <w:rFonts w:hint="eastAsia"/>
        </w:rPr>
        <w:t>。德國現行法上對於此類調任，並無明文規定，實務上認為得類推適用有關公務員法基準法第十八條、聯邦公務員法第二十六條之規定</w:t>
      </w:r>
      <w:r>
        <w:rPr>
          <w:rStyle w:val="a5"/>
        </w:rPr>
        <w:footnoteReference w:id="43"/>
      </w:r>
      <w:r>
        <w:rPr>
          <w:rFonts w:hint="eastAsia"/>
        </w:rPr>
        <w:t>（詳如後述）。</w:t>
      </w:r>
    </w:p>
    <w:p w:rsidR="00000000" w:rsidRDefault="000E136B">
      <w:pPr>
        <w:pStyle w:val="23"/>
        <w:ind w:firstLine="560"/>
        <w:rPr>
          <w:rFonts w:hint="eastAsia"/>
        </w:rPr>
      </w:pPr>
      <w:r>
        <w:rPr>
          <w:rFonts w:hint="eastAsia"/>
        </w:rPr>
        <w:t>於上述不同者，乃某一公務員若被</w:t>
      </w:r>
      <w:r>
        <w:rPr>
          <w:rFonts w:eastAsia="標楷體" w:hint="eastAsia"/>
        </w:rPr>
        <w:t>長時間</w:t>
      </w:r>
      <w:r>
        <w:rPr>
          <w:rFonts w:hint="eastAsia"/>
        </w:rPr>
        <w:t>賦予另一「功能法上之</w:t>
      </w:r>
      <w:r>
        <w:rPr>
          <w:rFonts w:eastAsia="標楷體" w:hint="eastAsia"/>
        </w:rPr>
        <w:t>抽象</w:t>
      </w:r>
      <w:r>
        <w:rPr>
          <w:rFonts w:hint="eastAsia"/>
        </w:rPr>
        <w:t>職位」</w:t>
      </w:r>
      <w:r>
        <w:t>(Amt im abstrakt-funktionellen Sinne)</w:t>
      </w:r>
      <w:r>
        <w:rPr>
          <w:rFonts w:hint="eastAsia"/>
        </w:rPr>
        <w:t>，不問是否在同一主管長官之下，一般稱為「</w:t>
      </w:r>
      <w:r>
        <w:rPr>
          <w:rFonts w:eastAsia="標楷體" w:hint="eastAsia"/>
        </w:rPr>
        <w:t>組織法上之調任</w:t>
      </w:r>
      <w:r>
        <w:rPr>
          <w:rFonts w:hint="eastAsia"/>
        </w:rPr>
        <w:t>」</w:t>
      </w:r>
      <w:r>
        <w:t>(organisationsrechtliche Versetzung)</w:t>
      </w:r>
      <w:r>
        <w:rPr>
          <w:rFonts w:hint="eastAsia"/>
        </w:rPr>
        <w:t>，其主要規定於公務員法基準法第十八條、聯邦公務員法第</w:t>
      </w:r>
      <w:r>
        <w:rPr>
          <w:rFonts w:hint="eastAsia"/>
        </w:rPr>
        <w:t>二十六條。</w:t>
      </w:r>
    </w:p>
    <w:p w:rsidR="00000000" w:rsidRDefault="000E136B">
      <w:pPr>
        <w:pStyle w:val="23"/>
        <w:ind w:firstLine="560"/>
        <w:rPr>
          <w:rFonts w:hint="eastAsia"/>
        </w:rPr>
      </w:pPr>
      <w:r>
        <w:rPr>
          <w:rFonts w:hint="eastAsia"/>
        </w:rPr>
        <w:t>其次，公務員若未被</w:t>
      </w:r>
      <w:r>
        <w:rPr>
          <w:rFonts w:eastAsia="細明體" w:hint="eastAsia"/>
        </w:rPr>
        <w:t>長時間</w:t>
      </w:r>
      <w:r>
        <w:rPr>
          <w:rFonts w:hint="eastAsia"/>
        </w:rPr>
        <w:t>賦予另一「功能法上之</w:t>
      </w:r>
      <w:r>
        <w:rPr>
          <w:rFonts w:eastAsia="標楷體" w:hint="eastAsia"/>
        </w:rPr>
        <w:t>抽象</w:t>
      </w:r>
      <w:r>
        <w:rPr>
          <w:rFonts w:hint="eastAsia"/>
        </w:rPr>
        <w:t>職位」，</w:t>
      </w:r>
      <w:r>
        <w:rPr>
          <w:rFonts w:hint="eastAsia"/>
        </w:rPr>
        <w:lastRenderedPageBreak/>
        <w:t>而僅被暫時賦予另一「功能法上之</w:t>
      </w:r>
      <w:r>
        <w:rPr>
          <w:rFonts w:eastAsia="標楷體" w:hint="eastAsia"/>
        </w:rPr>
        <w:t>具體</w:t>
      </w:r>
      <w:r>
        <w:rPr>
          <w:rFonts w:hint="eastAsia"/>
        </w:rPr>
        <w:t>職位」</w:t>
      </w:r>
      <w:r>
        <w:t>(Amt im konkretfunktionellen Sinne)</w:t>
      </w:r>
      <w:r>
        <w:rPr>
          <w:rFonts w:hint="eastAsia"/>
        </w:rPr>
        <w:t>，且不問是否仍在同一主管長官之下，謂之「</w:t>
      </w:r>
      <w:r>
        <w:rPr>
          <w:rFonts w:eastAsia="標楷體" w:hint="eastAsia"/>
        </w:rPr>
        <w:t>暫職</w:t>
      </w:r>
      <w:r>
        <w:rPr>
          <w:rFonts w:hint="eastAsia"/>
        </w:rPr>
        <w:t>」</w:t>
      </w:r>
      <w:r>
        <w:t>(Abordnung)</w:t>
      </w:r>
      <w:r>
        <w:rPr>
          <w:rFonts w:hint="eastAsia"/>
        </w:rPr>
        <w:t>，</w:t>
      </w:r>
      <w:r>
        <w:rPr>
          <w:rFonts w:hint="eastAsia"/>
        </w:rPr>
        <w:t xml:space="preserve"> </w:t>
      </w:r>
      <w:r>
        <w:rPr>
          <w:rFonts w:hint="eastAsia"/>
        </w:rPr>
        <w:t>其主要規定於公務員法基準法第十七條、聯邦公務員法第二十七條；反之，公務員於其地位未受影響之前提下，在其受任之機關內，被賦予另一「功能法上之</w:t>
      </w:r>
      <w:r>
        <w:rPr>
          <w:rFonts w:eastAsia="標楷體" w:hint="eastAsia"/>
        </w:rPr>
        <w:t>具體</w:t>
      </w:r>
      <w:r>
        <w:rPr>
          <w:rFonts w:hint="eastAsia"/>
        </w:rPr>
        <w:t>職位」</w:t>
      </w:r>
      <w:r>
        <w:t>(Amt im konkretfunktionellen Sinne)</w:t>
      </w:r>
      <w:r>
        <w:rPr>
          <w:rFonts w:hint="eastAsia"/>
        </w:rPr>
        <w:t>，則為「</w:t>
      </w:r>
      <w:r>
        <w:rPr>
          <w:rFonts w:eastAsia="標楷體" w:hint="eastAsia"/>
        </w:rPr>
        <w:t>調職</w:t>
      </w:r>
      <w:r>
        <w:rPr>
          <w:rFonts w:hint="eastAsia"/>
        </w:rPr>
        <w:t>」</w:t>
      </w:r>
      <w:r>
        <w:t>(Umsetzung)</w:t>
      </w:r>
      <w:r>
        <w:rPr>
          <w:rStyle w:val="a5"/>
        </w:rPr>
        <w:footnoteReference w:id="44"/>
      </w:r>
      <w:r>
        <w:rPr>
          <w:rFonts w:hint="eastAsia"/>
        </w:rPr>
        <w:t>。</w:t>
      </w:r>
    </w:p>
    <w:p w:rsidR="00000000" w:rsidRDefault="000E136B">
      <w:pPr>
        <w:pStyle w:val="23"/>
        <w:ind w:firstLine="560"/>
        <w:rPr>
          <w:rFonts w:hint="eastAsia"/>
        </w:rPr>
      </w:pPr>
      <w:r>
        <w:rPr>
          <w:rFonts w:hint="eastAsia"/>
        </w:rPr>
        <w:t>與</w:t>
      </w:r>
      <w:r>
        <w:rPr>
          <w:rFonts w:hint="eastAsia"/>
        </w:rPr>
        <w:t>「調任」、「暫調」、「調職」應予區隔者，乃所謂主管長官對於屬官所為之「職務履行之指令」</w:t>
      </w:r>
      <w:r>
        <w:t>(Dienstausübungsanweisungen)</w:t>
      </w:r>
      <w:r>
        <w:rPr>
          <w:rFonts w:hint="eastAsia"/>
        </w:rPr>
        <w:t>，此於公務員法基準法第三十七條第二句、聯邦公務員法第五十五條有所規定。</w:t>
      </w:r>
    </w:p>
    <w:p w:rsidR="00000000" w:rsidRDefault="000E136B">
      <w:pPr>
        <w:pStyle w:val="3"/>
      </w:pPr>
      <w:bookmarkStart w:id="20" w:name="_Toc61809120"/>
      <w:r>
        <w:rPr>
          <w:rFonts w:hint="eastAsia"/>
        </w:rPr>
        <w:t>第二項</w:t>
      </w:r>
      <w:r>
        <w:rPr>
          <w:rFonts w:hint="eastAsia"/>
        </w:rPr>
        <w:t xml:space="preserve"> </w:t>
      </w:r>
      <w:r>
        <w:rPr>
          <w:rFonts w:hint="eastAsia"/>
        </w:rPr>
        <w:t>調任</w:t>
      </w:r>
      <w:r>
        <w:t>(Versetzung)</w:t>
      </w:r>
      <w:bookmarkEnd w:id="20"/>
    </w:p>
    <w:p w:rsidR="00000000" w:rsidRDefault="000E136B">
      <w:pPr>
        <w:pStyle w:val="4"/>
        <w:rPr>
          <w:rFonts w:hint="eastAsia"/>
        </w:rPr>
      </w:pPr>
      <w:bookmarkStart w:id="21" w:name="_Toc61809121"/>
      <w:r>
        <w:rPr>
          <w:rFonts w:hint="eastAsia"/>
        </w:rPr>
        <w:t>壹、基本概念</w:t>
      </w:r>
      <w:bookmarkEnd w:id="21"/>
    </w:p>
    <w:p w:rsidR="00000000" w:rsidRDefault="000E136B">
      <w:pPr>
        <w:pStyle w:val="22"/>
        <w:ind w:firstLine="560"/>
        <w:rPr>
          <w:rFonts w:hint="eastAsia"/>
        </w:rPr>
      </w:pPr>
      <w:r>
        <w:rPr>
          <w:rFonts w:hint="eastAsia"/>
        </w:rPr>
        <w:t>關於公務員組織法上之調任，主要是規定在公務員法基準法第十八條、聯邦公務員法第二十六條及柏林邦公務員法第三十二條規定，茲臚列其內容如下：</w:t>
      </w:r>
    </w:p>
    <w:p w:rsidR="00000000" w:rsidRDefault="000E136B">
      <w:pPr>
        <w:pStyle w:val="23"/>
        <w:ind w:firstLine="560"/>
        <w:rPr>
          <w:rFonts w:hint="eastAsia"/>
        </w:rPr>
      </w:pPr>
      <w:r>
        <w:rPr>
          <w:rFonts w:hint="eastAsia"/>
        </w:rPr>
        <w:t>公務員法基準法第十八條：</w:t>
      </w:r>
    </w:p>
    <w:p w:rsidR="00000000" w:rsidRDefault="000E136B">
      <w:pPr>
        <w:pStyle w:val="22"/>
        <w:ind w:firstLine="560"/>
        <w:rPr>
          <w:rFonts w:hint="eastAsia"/>
        </w:rPr>
      </w:pPr>
      <w:r>
        <w:rPr>
          <w:rFonts w:hint="eastAsia"/>
        </w:rPr>
        <w:t>1.</w:t>
      </w:r>
      <w:r>
        <w:rPr>
          <w:rFonts w:hint="eastAsia"/>
        </w:rPr>
        <w:t>因公務員之申請或基於職務上之需要得於所屬職務主體</w:t>
      </w:r>
      <w:r>
        <w:rPr>
          <w:rFonts w:hint="eastAsia"/>
        </w:rPr>
        <w:t>(Dienstherr)</w:t>
      </w:r>
      <w:r>
        <w:rPr>
          <w:rFonts w:hint="eastAsia"/>
        </w:rPr>
        <w:t>之行政區</w:t>
      </w:r>
      <w:r>
        <w:rPr>
          <w:rFonts w:hint="eastAsia"/>
        </w:rPr>
        <w:t>域內，對公務員作符合其能力之職位調動。未經</w:t>
      </w:r>
      <w:r>
        <w:rPr>
          <w:rFonts w:hint="eastAsia"/>
        </w:rPr>
        <w:lastRenderedPageBreak/>
        <w:t>公務員同意之調職，以新職位與原職位之資歷相同或相當，且其基本薪俸相等者為限；職務加給及可計入退休金之職位加給，視為基本薪俸之部分。</w:t>
      </w:r>
    </w:p>
    <w:p w:rsidR="00000000" w:rsidRDefault="000E136B">
      <w:pPr>
        <w:pStyle w:val="22"/>
        <w:ind w:firstLine="560"/>
        <w:rPr>
          <w:rFonts w:hint="eastAsia"/>
        </w:rPr>
      </w:pPr>
      <w:r>
        <w:rPr>
          <w:rFonts w:hint="eastAsia"/>
        </w:rPr>
        <w:t>2.</w:t>
      </w:r>
      <w:r>
        <w:rPr>
          <w:rFonts w:hint="eastAsia"/>
        </w:rPr>
        <w:t>調任至其他職務主體（第二條）之行政區域者，以經該公務員同意者為限。於前段情形，公務員法律關係繼續存在於新職務主體；關於該公務員之公務員法上及俸給法上之地位，適用新職務主體之現行規定。</w:t>
      </w:r>
    </w:p>
    <w:p w:rsidR="00000000" w:rsidRDefault="000E136B">
      <w:pPr>
        <w:pStyle w:val="23"/>
        <w:ind w:firstLine="560"/>
        <w:rPr>
          <w:rFonts w:hint="eastAsia"/>
        </w:rPr>
      </w:pPr>
      <w:r>
        <w:rPr>
          <w:rFonts w:hint="eastAsia"/>
        </w:rPr>
        <w:t>聯邦公務員法第二十六條規定：</w:t>
      </w:r>
    </w:p>
    <w:p w:rsidR="00000000" w:rsidRDefault="000E136B">
      <w:pPr>
        <w:pStyle w:val="22"/>
        <w:ind w:firstLine="560"/>
        <w:rPr>
          <w:rFonts w:hint="eastAsia"/>
        </w:rPr>
      </w:pPr>
      <w:r>
        <w:rPr>
          <w:rFonts w:hint="eastAsia"/>
        </w:rPr>
        <w:t>1.</w:t>
      </w:r>
      <w:r>
        <w:rPr>
          <w:rFonts w:hint="eastAsia"/>
        </w:rPr>
        <w:t>除法律另有規定外，因公務員之申請或基於職務上之需要，得於所屬職務主體</w:t>
      </w:r>
      <w:r>
        <w:rPr>
          <w:rFonts w:hint="eastAsia"/>
        </w:rPr>
        <w:t>(Dienstherr)</w:t>
      </w:r>
      <w:r>
        <w:rPr>
          <w:rFonts w:hint="eastAsia"/>
        </w:rPr>
        <w:t>之行政區域內，對公務員予</w:t>
      </w:r>
      <w:r>
        <w:rPr>
          <w:rFonts w:hint="eastAsia"/>
        </w:rPr>
        <w:t>以調任。未經公務員同意之調任，以新職位與原職位之資歷相同或相當，且其基本薪俸相等者為限；職務加給及可計入退休金之職位加給，視為基本薪俸之部分。職務之調動如變更行政職系者，應聽取該公務員之意見。</w:t>
      </w:r>
    </w:p>
    <w:p w:rsidR="00000000" w:rsidRDefault="000E136B">
      <w:pPr>
        <w:pStyle w:val="22"/>
        <w:ind w:firstLine="560"/>
        <w:rPr>
          <w:rFonts w:hint="eastAsia"/>
        </w:rPr>
      </w:pPr>
      <w:r>
        <w:rPr>
          <w:rFonts w:hint="eastAsia"/>
        </w:rPr>
        <w:t>2.</w:t>
      </w:r>
      <w:r>
        <w:rPr>
          <w:rFonts w:hint="eastAsia"/>
        </w:rPr>
        <w:t>機關經裁撤，或依法律或邦政府法規命令之規定而經重大改組或與其他機關合併，因裁撤或改組而影響公務員之職務範圍者，如其原來職位無維持之必要者，得不經該公務員之同意而將之轉調至其他相同或相當資歷且最後基本薪俸較少之職位。</w:t>
      </w:r>
    </w:p>
    <w:p w:rsidR="00000000" w:rsidRDefault="000E136B">
      <w:pPr>
        <w:pStyle w:val="22"/>
        <w:ind w:firstLine="560"/>
        <w:rPr>
          <w:rFonts w:hint="eastAsia"/>
        </w:rPr>
      </w:pPr>
      <w:r>
        <w:rPr>
          <w:rFonts w:hint="eastAsia"/>
        </w:rPr>
        <w:t>3.</w:t>
      </w:r>
      <w:r>
        <w:rPr>
          <w:rFonts w:hint="eastAsia"/>
        </w:rPr>
        <w:t>於調任前，應聽取公務員之意見。調任至其他職務主體（第二條）之行政區域者，以經該公務員同意者為限</w:t>
      </w:r>
      <w:r>
        <w:rPr>
          <w:rFonts w:hint="eastAsia"/>
        </w:rPr>
        <w:t>。</w:t>
      </w:r>
    </w:p>
    <w:p w:rsidR="00000000" w:rsidRDefault="000E136B">
      <w:pPr>
        <w:pStyle w:val="23"/>
        <w:ind w:firstLine="560"/>
        <w:rPr>
          <w:rFonts w:hint="eastAsia"/>
        </w:rPr>
      </w:pPr>
      <w:r>
        <w:rPr>
          <w:rFonts w:hint="eastAsia"/>
        </w:rPr>
        <w:lastRenderedPageBreak/>
        <w:t>柏林邦公務員法第三十二條規定：</w:t>
      </w:r>
    </w:p>
    <w:p w:rsidR="00000000" w:rsidRDefault="000E136B">
      <w:pPr>
        <w:pStyle w:val="22"/>
        <w:ind w:firstLine="560"/>
        <w:rPr>
          <w:rFonts w:hint="eastAsia"/>
        </w:rPr>
      </w:pPr>
      <w:r>
        <w:rPr>
          <w:rFonts w:hint="eastAsia"/>
        </w:rPr>
        <w:t xml:space="preserve">1. </w:t>
      </w:r>
      <w:r>
        <w:rPr>
          <w:rFonts w:hint="eastAsia"/>
        </w:rPr>
        <w:t>除法律另有規定外，因公務員之申請或基於職務上之需要，得於所屬職務主體</w:t>
      </w:r>
      <w:r>
        <w:rPr>
          <w:rFonts w:hint="eastAsia"/>
        </w:rPr>
        <w:t>(Dienstherr)</w:t>
      </w:r>
      <w:r>
        <w:rPr>
          <w:rFonts w:hint="eastAsia"/>
        </w:rPr>
        <w:t>之行政區域內，對公務員作符合其能力之職位調動。未經公務員同意之調任，以新職位與原職位之資歷相同或相當，且其基本薪俸相等者為限；職務加給及可計入退休金之職位加給，視為基本薪俸之部分。</w:t>
      </w:r>
    </w:p>
    <w:p w:rsidR="00000000" w:rsidRDefault="000E136B">
      <w:pPr>
        <w:pStyle w:val="22"/>
        <w:ind w:firstLine="560"/>
        <w:rPr>
          <w:rFonts w:hint="eastAsia"/>
        </w:rPr>
      </w:pPr>
      <w:r>
        <w:rPr>
          <w:rFonts w:hint="eastAsia"/>
        </w:rPr>
        <w:t xml:space="preserve">2. </w:t>
      </w:r>
      <w:r>
        <w:rPr>
          <w:rFonts w:hint="eastAsia"/>
        </w:rPr>
        <w:t>機關經裁撤，或依法律或邦政府法規命令之規定而經重大改組或與其他機關合併，因裁撤或改組而影響公務員之職務範圍者，如其原來職位無維持之必要者，得不經該公務員之同意而將之轉調至其他相同或相當資歷但</w:t>
      </w:r>
      <w:r>
        <w:rPr>
          <w:rFonts w:hint="eastAsia"/>
        </w:rPr>
        <w:t>最後基本薪俸較少之職位。</w:t>
      </w:r>
    </w:p>
    <w:p w:rsidR="00000000" w:rsidRDefault="000E136B">
      <w:pPr>
        <w:pStyle w:val="22"/>
        <w:ind w:firstLine="560"/>
        <w:rPr>
          <w:rFonts w:hint="eastAsia"/>
        </w:rPr>
      </w:pPr>
      <w:r>
        <w:rPr>
          <w:rFonts w:hint="eastAsia"/>
        </w:rPr>
        <w:t xml:space="preserve">3. </w:t>
      </w:r>
      <w:r>
        <w:rPr>
          <w:rFonts w:hint="eastAsia"/>
        </w:rPr>
        <w:t>於調任前，應給予公務員表達意見之機會。調任至其他職務主體（第二條）之行政區域者，以經該公務員同意者為限。</w:t>
      </w:r>
    </w:p>
    <w:p w:rsidR="00000000" w:rsidRDefault="000E136B">
      <w:pPr>
        <w:pStyle w:val="4"/>
        <w:rPr>
          <w:rFonts w:hint="eastAsia"/>
        </w:rPr>
      </w:pPr>
      <w:r>
        <w:rPr>
          <w:rFonts w:hint="eastAsia"/>
        </w:rPr>
        <w:t xml:space="preserve"> </w:t>
      </w:r>
      <w:bookmarkStart w:id="22" w:name="_Toc61809122"/>
      <w:r>
        <w:rPr>
          <w:rFonts w:hint="eastAsia"/>
        </w:rPr>
        <w:t>貳、要件與程序</w:t>
      </w:r>
      <w:bookmarkEnd w:id="22"/>
    </w:p>
    <w:p w:rsidR="00000000" w:rsidRDefault="000E136B">
      <w:pPr>
        <w:pStyle w:val="22"/>
        <w:ind w:firstLine="560"/>
        <w:rPr>
          <w:rFonts w:hint="eastAsia"/>
        </w:rPr>
      </w:pPr>
      <w:r>
        <w:rPr>
          <w:rFonts w:hint="eastAsia"/>
        </w:rPr>
        <w:t>依上開規定，關於公務員調任之法定原因及其程序要件，吾人可歸納為如下數點：</w:t>
      </w:r>
    </w:p>
    <w:p w:rsidR="00000000" w:rsidRDefault="000E136B">
      <w:pPr>
        <w:pStyle w:val="22"/>
        <w:ind w:firstLine="560"/>
        <w:rPr>
          <w:rFonts w:hint="eastAsia"/>
        </w:rPr>
      </w:pPr>
      <w:r>
        <w:rPr>
          <w:rFonts w:hint="eastAsia"/>
        </w:rPr>
        <w:t>一、調任之法定原因</w:t>
      </w:r>
    </w:p>
    <w:p w:rsidR="00000000" w:rsidRDefault="000E136B">
      <w:pPr>
        <w:pStyle w:val="22"/>
        <w:ind w:firstLine="560"/>
        <w:rPr>
          <w:rFonts w:hint="eastAsia"/>
        </w:rPr>
      </w:pPr>
      <w:r>
        <w:rPr>
          <w:rFonts w:hint="eastAsia"/>
        </w:rPr>
        <w:t>1.</w:t>
      </w:r>
      <w:r>
        <w:rPr>
          <w:rFonts w:hint="eastAsia"/>
        </w:rPr>
        <w:t>基於公務員之申請。</w:t>
      </w:r>
    </w:p>
    <w:p w:rsidR="00000000" w:rsidRDefault="000E136B">
      <w:pPr>
        <w:pStyle w:val="22"/>
        <w:ind w:firstLine="560"/>
        <w:rPr>
          <w:rFonts w:hint="eastAsia"/>
        </w:rPr>
      </w:pPr>
      <w:r>
        <w:rPr>
          <w:rFonts w:hint="eastAsia"/>
        </w:rPr>
        <w:t>2.</w:t>
      </w:r>
      <w:r>
        <w:rPr>
          <w:rFonts w:hint="eastAsia"/>
        </w:rPr>
        <w:t>基於職務上之需要</w:t>
      </w:r>
      <w:r>
        <w:rPr>
          <w:rFonts w:hint="eastAsia"/>
        </w:rPr>
        <w:t>(ein dienstliches Bed</w:t>
      </w:r>
      <w:r>
        <w:t>ü</w:t>
      </w:r>
      <w:r>
        <w:rPr>
          <w:rFonts w:hint="eastAsia"/>
        </w:rPr>
        <w:t>rfnis)</w:t>
      </w:r>
      <w:r>
        <w:rPr>
          <w:rFonts w:hint="eastAsia"/>
        </w:rPr>
        <w:t>。</w:t>
      </w:r>
    </w:p>
    <w:p w:rsidR="00000000" w:rsidRDefault="000E136B">
      <w:pPr>
        <w:pStyle w:val="22"/>
        <w:ind w:firstLine="560"/>
        <w:rPr>
          <w:rFonts w:hint="eastAsia"/>
        </w:rPr>
      </w:pPr>
      <w:r>
        <w:rPr>
          <w:rFonts w:hint="eastAsia"/>
        </w:rPr>
        <w:t>3.</w:t>
      </w:r>
      <w:r>
        <w:rPr>
          <w:rFonts w:hint="eastAsia"/>
        </w:rPr>
        <w:t>因機關組織裁撤、改組或合併。</w:t>
      </w:r>
    </w:p>
    <w:p w:rsidR="00000000" w:rsidRDefault="000E136B">
      <w:pPr>
        <w:pStyle w:val="22"/>
        <w:ind w:firstLine="560"/>
        <w:rPr>
          <w:rFonts w:hint="eastAsia"/>
        </w:rPr>
      </w:pPr>
      <w:r>
        <w:rPr>
          <w:rFonts w:hint="eastAsia"/>
        </w:rPr>
        <w:lastRenderedPageBreak/>
        <w:t>其中所稱「職務上之需要」者，為不確定之法律概念，其是否存在，乃屬法律概念之解釋與適用上之問題，主管機關並無裁量權，其所為之認</w:t>
      </w:r>
      <w:r>
        <w:rPr>
          <w:rFonts w:hint="eastAsia"/>
        </w:rPr>
        <w:t>定得由行政法院作完全之審查。所謂「職務上之需求」者，主要是指職務作業上</w:t>
      </w:r>
      <w:r>
        <w:rPr>
          <w:rFonts w:hint="eastAsia"/>
        </w:rPr>
        <w:t>(Dienstbetrieb)</w:t>
      </w:r>
      <w:r>
        <w:rPr>
          <w:rFonts w:hint="eastAsia"/>
        </w:rPr>
        <w:t>所必要者，例如為了維持良好的工作氣氛</w:t>
      </w:r>
      <w:r>
        <w:rPr>
          <w:rFonts w:hint="eastAsia"/>
        </w:rPr>
        <w:t>(Betriebsklima)</w:t>
      </w:r>
      <w:r>
        <w:rPr>
          <w:rFonts w:hint="eastAsia"/>
        </w:rPr>
        <w:t>，而將某些可能破壞工作氣氛之公務員予以調職，為法之所許，至於當事人是否出於故意或過失，則非所問。惟造成工作氣氛不良之公務員有多位時，責任之輕重自可作為選擇調動對象之考量因素（選擇裁量）。此外，因調動而對該公務員生活上所生之問題，以及新職位是否符合該公務員之能力（如柏林邦公務員法之規定），亦為考量之因素。</w:t>
      </w:r>
    </w:p>
    <w:p w:rsidR="00000000" w:rsidRDefault="000E136B">
      <w:pPr>
        <w:pStyle w:val="22"/>
        <w:ind w:firstLine="560"/>
        <w:rPr>
          <w:rFonts w:hint="eastAsia"/>
        </w:rPr>
      </w:pPr>
      <w:r>
        <w:rPr>
          <w:rFonts w:hint="eastAsia"/>
        </w:rPr>
        <w:t>二、調任之程序要件</w:t>
      </w:r>
    </w:p>
    <w:p w:rsidR="00000000" w:rsidRDefault="000E136B">
      <w:pPr>
        <w:pStyle w:val="22"/>
        <w:ind w:firstLine="560"/>
        <w:rPr>
          <w:rFonts w:hint="eastAsia"/>
        </w:rPr>
      </w:pPr>
      <w:r>
        <w:rPr>
          <w:rFonts w:hint="eastAsia"/>
        </w:rPr>
        <w:t>公務員之調任，如符合</w:t>
      </w:r>
      <w:r>
        <w:rPr>
          <w:rFonts w:hint="eastAsia"/>
        </w:rPr>
        <w:t>法定原因時，除有下列情形之一，原則上無須經當事人之同意：</w:t>
      </w:r>
    </w:p>
    <w:p w:rsidR="00000000" w:rsidRDefault="000E136B">
      <w:pPr>
        <w:pStyle w:val="23"/>
        <w:ind w:firstLine="560"/>
        <w:rPr>
          <w:rFonts w:ascii="新細明體" w:hAnsi="Verdana" w:hint="eastAsia"/>
        </w:rPr>
      </w:pPr>
      <w:r>
        <w:rPr>
          <w:rFonts w:hint="eastAsia"/>
        </w:rPr>
        <w:t>1.</w:t>
      </w:r>
      <w:r>
        <w:rPr>
          <w:rFonts w:hint="eastAsia"/>
        </w:rPr>
        <w:t>新職位與職位之資歷不相同或不相當，且其基本薪俸不相等者；</w:t>
      </w:r>
    </w:p>
    <w:p w:rsidR="00000000" w:rsidRDefault="000E136B">
      <w:pPr>
        <w:pStyle w:val="23"/>
        <w:ind w:firstLine="560"/>
        <w:rPr>
          <w:rFonts w:ascii="新細明體" w:hAnsi="Verdana" w:hint="eastAsia"/>
        </w:rPr>
      </w:pPr>
      <w:r>
        <w:rPr>
          <w:rFonts w:hint="eastAsia"/>
        </w:rPr>
        <w:t>2.</w:t>
      </w:r>
      <w:r>
        <w:rPr>
          <w:rFonts w:hint="eastAsia"/>
        </w:rPr>
        <w:t>調任至其他職務主體之職務區域者；</w:t>
      </w:r>
    </w:p>
    <w:p w:rsidR="00000000" w:rsidRDefault="000E136B">
      <w:pPr>
        <w:pStyle w:val="22"/>
        <w:ind w:firstLine="560"/>
        <w:rPr>
          <w:rFonts w:hint="eastAsia"/>
        </w:rPr>
      </w:pPr>
      <w:r>
        <w:rPr>
          <w:rFonts w:hint="eastAsia"/>
        </w:rPr>
        <w:t>又公務員之調職，事前須聽取當事人之意見，惟聯邦公務員之調任，僅於變更行政職系之調任，始必須聽取該公務員之意見。</w:t>
      </w:r>
    </w:p>
    <w:p w:rsidR="00000000" w:rsidRDefault="000E136B">
      <w:pPr>
        <w:pStyle w:val="4"/>
        <w:rPr>
          <w:rFonts w:hint="eastAsia"/>
        </w:rPr>
      </w:pPr>
      <w:bookmarkStart w:id="23" w:name="_Toc61809123"/>
      <w:r>
        <w:rPr>
          <w:rFonts w:hint="eastAsia"/>
        </w:rPr>
        <w:t>參、行政救濟</w:t>
      </w:r>
      <w:bookmarkEnd w:id="23"/>
    </w:p>
    <w:p w:rsidR="00000000" w:rsidRDefault="000E136B">
      <w:pPr>
        <w:pStyle w:val="23"/>
        <w:ind w:firstLine="560"/>
      </w:pPr>
      <w:r>
        <w:rPr>
          <w:rFonts w:hint="eastAsia"/>
        </w:rPr>
        <w:lastRenderedPageBreak/>
        <w:t>依德國學界及實務界之見解，公務員之調任處分，在性質上屬於「行政處分」</w:t>
      </w:r>
      <w:r>
        <w:rPr>
          <w:rStyle w:val="a5"/>
        </w:rPr>
        <w:footnoteReference w:id="45"/>
      </w:r>
      <w:r>
        <w:rPr>
          <w:rFonts w:hint="eastAsia"/>
        </w:rPr>
        <w:t>。是以，公務員對於調任處分如有不服者，得依法提起訴願及行政訴訟，請求撤銷調任處分，以謀救濟。經提起訴願及行政訴訟者，除原處分機關基於公益之考量而為立即執行之宣</w:t>
      </w:r>
      <w:r>
        <w:rPr>
          <w:rFonts w:hint="eastAsia"/>
        </w:rPr>
        <w:t>告外，該調任處分原則上發生停止之效力（行政法院法第八十條第一項、第二項第四款）。調任之原因，除經公務員申請外，須基於職務上之需要。而所謂「職務上之需要」者，乃屬不確定法律概念，其是否確實存在，行政法院有完全之審查權。至於調任之要件該當時，主管機關得依其裁量權，決定是否予以調任。惟行政裁量權之行使並非毫無界限，而須受到法的制約，是謂「合乎義務之裁量」。是以，行政裁量之行使若違背法令授權之目的或超越授權之範圍，或違背比例原則、平等原則等一般法律原則者，即屬「裁量瑕疵」或「裁量失誤」，而構成違法，亦為行政法院所得</w:t>
      </w:r>
      <w:r>
        <w:rPr>
          <w:rFonts w:hint="eastAsia"/>
        </w:rPr>
        <w:t>加以審究者</w:t>
      </w:r>
      <w:r>
        <w:rPr>
          <w:rStyle w:val="a5"/>
        </w:rPr>
        <w:footnoteReference w:id="46"/>
      </w:r>
      <w:r>
        <w:rPr>
          <w:rFonts w:hint="eastAsia"/>
        </w:rPr>
        <w:t>。</w:t>
      </w:r>
    </w:p>
    <w:p w:rsidR="00000000" w:rsidRDefault="000E136B">
      <w:pPr>
        <w:pStyle w:val="3"/>
      </w:pPr>
      <w:bookmarkStart w:id="24" w:name="_Toc61809124"/>
      <w:r>
        <w:rPr>
          <w:rFonts w:hint="eastAsia"/>
        </w:rPr>
        <w:t>第三項</w:t>
      </w:r>
      <w:r>
        <w:rPr>
          <w:rFonts w:hint="eastAsia"/>
        </w:rPr>
        <w:t xml:space="preserve"> </w:t>
      </w:r>
      <w:r>
        <w:rPr>
          <w:rFonts w:hint="eastAsia"/>
        </w:rPr>
        <w:t>暫調</w:t>
      </w:r>
      <w:r>
        <w:t>(</w:t>
      </w:r>
      <w:r>
        <w:rPr>
          <w:rFonts w:hint="eastAsia"/>
        </w:rPr>
        <w:t>A</w:t>
      </w:r>
      <w:r>
        <w:t>bordnung)</w:t>
      </w:r>
      <w:bookmarkEnd w:id="24"/>
    </w:p>
    <w:p w:rsidR="00000000" w:rsidRDefault="000E136B">
      <w:pPr>
        <w:pStyle w:val="4"/>
        <w:rPr>
          <w:rFonts w:hint="eastAsia"/>
        </w:rPr>
      </w:pPr>
      <w:bookmarkStart w:id="25" w:name="_Toc61809125"/>
      <w:r>
        <w:rPr>
          <w:rFonts w:hint="eastAsia"/>
        </w:rPr>
        <w:t>壹、基本概念</w:t>
      </w:r>
      <w:bookmarkEnd w:id="25"/>
    </w:p>
    <w:p w:rsidR="00000000" w:rsidRDefault="000E136B">
      <w:pPr>
        <w:pStyle w:val="23"/>
        <w:ind w:firstLine="560"/>
        <w:rPr>
          <w:rFonts w:hint="eastAsia"/>
        </w:rPr>
      </w:pPr>
      <w:r>
        <w:rPr>
          <w:rFonts w:hint="eastAsia"/>
        </w:rPr>
        <w:t>公務員之暫調</w:t>
      </w:r>
      <w:r>
        <w:t>(</w:t>
      </w:r>
      <w:r>
        <w:rPr>
          <w:rFonts w:hint="eastAsia"/>
        </w:rPr>
        <w:t>A</w:t>
      </w:r>
      <w:r>
        <w:t>bordnung)</w:t>
      </w:r>
      <w:r>
        <w:rPr>
          <w:rFonts w:hint="eastAsia"/>
        </w:rPr>
        <w:t>，乃指公務員被</w:t>
      </w:r>
      <w:r>
        <w:rPr>
          <w:rFonts w:eastAsia="標楷體" w:hint="eastAsia"/>
        </w:rPr>
        <w:t>暫時地</w:t>
      </w:r>
      <w:r>
        <w:rPr>
          <w:rFonts w:hint="eastAsia"/>
        </w:rPr>
        <w:t>賦予另一具體</w:t>
      </w:r>
      <w:r>
        <w:rPr>
          <w:rFonts w:hint="eastAsia"/>
        </w:rPr>
        <w:lastRenderedPageBreak/>
        <w:t>及功能上意義之職位（公務員法基準法第十七條、聯邦公務員法第二十七條）。暫調之公務員與其先前所屬機關</w:t>
      </w:r>
      <w:r>
        <w:t>(Stammbehörde)</w:t>
      </w:r>
      <w:r>
        <w:rPr>
          <w:rFonts w:hint="eastAsia"/>
        </w:rPr>
        <w:t>之職務關係，仍繼續存在。是以，除直接與暫調職務相關之事務外，涉及該暫調公務員之人事決定，仍由其原主管長官為之（聯邦公務員法第三條第二項第一句）。</w:t>
      </w:r>
    </w:p>
    <w:p w:rsidR="00000000" w:rsidRDefault="000E136B">
      <w:pPr>
        <w:pStyle w:val="4"/>
        <w:rPr>
          <w:rFonts w:hint="eastAsia"/>
        </w:rPr>
      </w:pPr>
      <w:bookmarkStart w:id="26" w:name="_Toc61809126"/>
      <w:r>
        <w:rPr>
          <w:rFonts w:hint="eastAsia"/>
        </w:rPr>
        <w:t>貳、要件與程序</w:t>
      </w:r>
      <w:bookmarkEnd w:id="26"/>
    </w:p>
    <w:p w:rsidR="00000000" w:rsidRDefault="000E136B">
      <w:pPr>
        <w:pStyle w:val="23"/>
        <w:ind w:firstLine="560"/>
        <w:rPr>
          <w:rFonts w:hint="eastAsia"/>
        </w:rPr>
      </w:pPr>
      <w:r>
        <w:rPr>
          <w:rFonts w:hint="eastAsia"/>
        </w:rPr>
        <w:t>暫調，原則上須經公務員之同意，且應聽取該公務員之意見。但於法律有特別規定之情形，則例外不須經</w:t>
      </w:r>
      <w:r>
        <w:rPr>
          <w:rFonts w:hint="eastAsia"/>
        </w:rPr>
        <w:t>公務員同意。於暫調時，雙方之主管長官須以書面同意之（公務員法基準法第一百二十三條第二項第一句）。</w:t>
      </w:r>
    </w:p>
    <w:p w:rsidR="00000000" w:rsidRDefault="000E136B">
      <w:pPr>
        <w:pStyle w:val="23"/>
        <w:ind w:firstLine="560"/>
        <w:rPr>
          <w:rFonts w:hint="eastAsia"/>
        </w:rPr>
      </w:pPr>
      <w:r>
        <w:rPr>
          <w:rFonts w:hint="eastAsia"/>
        </w:rPr>
        <w:t>公務員之暫調，以有職務上之需要為</w:t>
      </w:r>
      <w:r>
        <w:t>(dienstliches Bedürfnis)</w:t>
      </w:r>
      <w:r>
        <w:rPr>
          <w:rFonts w:hint="eastAsia"/>
        </w:rPr>
        <w:t>要件，並由該公務員之主管長官決定是否暫調，公務員並無請求暫調之權利。惟公務員若提出暫調他職之申請者，基於照顧及保護公務員之原則，其主管長官應為無瑕疵之裁量決定之</w:t>
      </w:r>
      <w:r>
        <w:rPr>
          <w:rStyle w:val="a5"/>
        </w:rPr>
        <w:footnoteReference w:id="47"/>
      </w:r>
      <w:r>
        <w:rPr>
          <w:rFonts w:hint="eastAsia"/>
        </w:rPr>
        <w:t>。暫調之期間，無須事前確定，於終身職之公務員，甚至可以達五年以上</w:t>
      </w:r>
      <w:r>
        <w:rPr>
          <w:rStyle w:val="a5"/>
        </w:rPr>
        <w:footnoteReference w:id="48"/>
      </w:r>
      <w:r>
        <w:rPr>
          <w:rFonts w:hint="eastAsia"/>
        </w:rPr>
        <w:t>。當然，暫調之期間不得過長，否則與暫調之「臨時性」本質有違。</w:t>
      </w:r>
    </w:p>
    <w:p w:rsidR="00000000" w:rsidRDefault="000E136B">
      <w:pPr>
        <w:pStyle w:val="23"/>
        <w:ind w:firstLine="560"/>
        <w:rPr>
          <w:rFonts w:hint="eastAsia"/>
        </w:rPr>
      </w:pPr>
      <w:r>
        <w:rPr>
          <w:rFonts w:hint="eastAsia"/>
        </w:rPr>
        <w:t>公務員因暫調所擔任之職務，原則上必須與其「地</w:t>
      </w:r>
      <w:r>
        <w:rPr>
          <w:rFonts w:hint="eastAsia"/>
        </w:rPr>
        <w:t>位法上之職位」</w:t>
      </w:r>
      <w:r>
        <w:rPr>
          <w:rFonts w:hint="eastAsia"/>
        </w:rPr>
        <w:lastRenderedPageBreak/>
        <w:t>相當（公務員法基準法第十七條第一項、聯邦公務員法第二十七條第一項）。惟若基於職業培訓之理由，可期待該公務員足堪擔任新的職務時，則於職務上需要之考量下，例外可暫調公務員擔任與其地位法上職位不相當之職務（公務員法基準法第十七條第二項、聯邦公務員法第二十七條第二項）。</w:t>
      </w:r>
    </w:p>
    <w:p w:rsidR="00000000" w:rsidRDefault="000E136B">
      <w:pPr>
        <w:pStyle w:val="4"/>
        <w:rPr>
          <w:rFonts w:hint="eastAsia"/>
        </w:rPr>
      </w:pPr>
      <w:bookmarkStart w:id="27" w:name="_Toc61809127"/>
      <w:r>
        <w:rPr>
          <w:rFonts w:hint="eastAsia"/>
        </w:rPr>
        <w:t>參、行政救濟</w:t>
      </w:r>
      <w:bookmarkEnd w:id="27"/>
    </w:p>
    <w:p w:rsidR="00000000" w:rsidRDefault="000E136B">
      <w:pPr>
        <w:pStyle w:val="23"/>
        <w:ind w:firstLine="560"/>
        <w:rPr>
          <w:rFonts w:hint="eastAsia"/>
        </w:rPr>
      </w:pPr>
      <w:r>
        <w:rPr>
          <w:rFonts w:hint="eastAsia"/>
        </w:rPr>
        <w:t>依德國學說與實務見解，對於公務員之暫調決定，亦即派任決定</w:t>
      </w:r>
      <w:r>
        <w:t>(Zuweisungsverfügung)</w:t>
      </w:r>
      <w:r>
        <w:rPr>
          <w:rFonts w:hint="eastAsia"/>
        </w:rPr>
        <w:t>，在性質上屬於行政處分</w:t>
      </w:r>
      <w:r>
        <w:rPr>
          <w:rStyle w:val="a5"/>
        </w:rPr>
        <w:footnoteReference w:id="49"/>
      </w:r>
      <w:r>
        <w:rPr>
          <w:rFonts w:hint="eastAsia"/>
        </w:rPr>
        <w:t>。是以，公務員若不願就任，得循撤銷訴訟之程序（行政法院法第四十二條第一項），謀求救濟；反之，公務員</w:t>
      </w:r>
      <w:r>
        <w:rPr>
          <w:rFonts w:hint="eastAsia"/>
        </w:rPr>
        <w:t>若申請暫調而遭拒絕者，得提起命為決定之訴訟，請求主管長官為無瑕疵之裁量，若涉及裁量限縮至零之情形，則可提起課予義務訴訟，請求行政法院為命主管長官作成暫調處分之判決。</w:t>
      </w:r>
    </w:p>
    <w:p w:rsidR="00000000" w:rsidRDefault="000E136B">
      <w:pPr>
        <w:pStyle w:val="3"/>
      </w:pPr>
      <w:bookmarkStart w:id="28" w:name="_Toc61809128"/>
      <w:r>
        <w:rPr>
          <w:rFonts w:hint="eastAsia"/>
        </w:rPr>
        <w:t>第四項</w:t>
      </w:r>
      <w:r>
        <w:rPr>
          <w:rFonts w:hint="eastAsia"/>
        </w:rPr>
        <w:t xml:space="preserve"> </w:t>
      </w:r>
      <w:r>
        <w:rPr>
          <w:rFonts w:hint="eastAsia"/>
        </w:rPr>
        <w:t>調職</w:t>
      </w:r>
      <w:r>
        <w:t>(Umsetzung)</w:t>
      </w:r>
      <w:bookmarkEnd w:id="28"/>
    </w:p>
    <w:p w:rsidR="00000000" w:rsidRDefault="000E136B">
      <w:pPr>
        <w:pStyle w:val="4"/>
        <w:rPr>
          <w:rFonts w:hint="eastAsia"/>
        </w:rPr>
      </w:pPr>
      <w:bookmarkStart w:id="29" w:name="_Toc61809129"/>
      <w:r>
        <w:rPr>
          <w:rFonts w:hint="eastAsia"/>
        </w:rPr>
        <w:t>壹、基本概念</w:t>
      </w:r>
      <w:bookmarkEnd w:id="29"/>
    </w:p>
    <w:p w:rsidR="00000000" w:rsidRDefault="000E136B">
      <w:pPr>
        <w:pStyle w:val="23"/>
        <w:ind w:firstLine="560"/>
        <w:rPr>
          <w:rFonts w:hint="eastAsia"/>
        </w:rPr>
      </w:pPr>
      <w:r>
        <w:rPr>
          <w:rFonts w:hint="eastAsia"/>
        </w:rPr>
        <w:t>關於公務員之調職</w:t>
      </w:r>
      <w:r>
        <w:t>(</w:t>
      </w:r>
      <w:r>
        <w:rPr>
          <w:rFonts w:hint="eastAsia"/>
        </w:rPr>
        <w:t>U</w:t>
      </w:r>
      <w:r>
        <w:t>msetzung)</w:t>
      </w:r>
      <w:r>
        <w:rPr>
          <w:rFonts w:hint="eastAsia"/>
        </w:rPr>
        <w:t>，德國聯邦公務員法並無明文規</w:t>
      </w:r>
      <w:r>
        <w:rPr>
          <w:rFonts w:hint="eastAsia"/>
        </w:rPr>
        <w:lastRenderedPageBreak/>
        <w:t>定</w:t>
      </w:r>
      <w:r>
        <w:rPr>
          <w:rStyle w:val="a5"/>
        </w:rPr>
        <w:footnoteReference w:id="50"/>
      </w:r>
      <w:r>
        <w:rPr>
          <w:rFonts w:hint="eastAsia"/>
        </w:rPr>
        <w:t>，一般認為，其係指公務員被賦予另一具體及功能上意義之職位，但未變動其地位法上及抽象功能上之職位，同時未改變任用之機關</w:t>
      </w:r>
      <w:r>
        <w:rPr>
          <w:rStyle w:val="a5"/>
        </w:rPr>
        <w:footnoteReference w:id="51"/>
      </w:r>
      <w:r>
        <w:rPr>
          <w:rFonts w:hint="eastAsia"/>
        </w:rPr>
        <w:t>。根據德國聯邦行政法院之見解</w:t>
      </w:r>
      <w:r>
        <w:rPr>
          <w:rStyle w:val="a5"/>
        </w:rPr>
        <w:footnoteReference w:id="52"/>
      </w:r>
      <w:r>
        <w:rPr>
          <w:rFonts w:hint="eastAsia"/>
        </w:rPr>
        <w:t>：</w:t>
      </w:r>
    </w:p>
    <w:p w:rsidR="00000000" w:rsidRDefault="000E136B">
      <w:pPr>
        <w:pStyle w:val="23"/>
        <w:ind w:firstLine="560"/>
        <w:rPr>
          <w:rFonts w:hint="eastAsia"/>
        </w:rPr>
      </w:pPr>
      <w:r>
        <w:rPr>
          <w:rFonts w:hint="eastAsia"/>
        </w:rPr>
        <w:t>公務員之調職，乃未經法律規範之各類有關公務員職務調整之措施，為維持及確保公</w:t>
      </w:r>
      <w:r>
        <w:rPr>
          <w:rFonts w:hint="eastAsia"/>
        </w:rPr>
        <w:t>行政之運作功能所必要者。依其「客觀之意義內涵」，舉凡涉及公務員職務之履行，而其效力範圍僅侷限於同一組織單位內之措施，均屬之。不同於前述之調任及暫調措施，立法者對於調職之要件並未規範。此點至少間接地顯示出，立法者亦將調職視為一種內部組織上、不必然影響公務員個人領域之措施。</w:t>
      </w:r>
    </w:p>
    <w:p w:rsidR="00000000" w:rsidRDefault="000E136B">
      <w:pPr>
        <w:pStyle w:val="23"/>
        <w:ind w:firstLine="560"/>
        <w:rPr>
          <w:rFonts w:hint="eastAsia"/>
        </w:rPr>
      </w:pPr>
      <w:r>
        <w:rPr>
          <w:rFonts w:hint="eastAsia"/>
        </w:rPr>
        <w:t>此外，以未涉及公務員個人地位之組織措施</w:t>
      </w:r>
      <w:r>
        <w:rPr>
          <w:rFonts w:hint="eastAsia"/>
        </w:rPr>
        <w:t>(Organisationsverf</w:t>
      </w:r>
      <w:r>
        <w:t>ü</w:t>
      </w:r>
      <w:r>
        <w:rPr>
          <w:rFonts w:hint="eastAsia"/>
        </w:rPr>
        <w:t>gung)</w:t>
      </w:r>
      <w:r>
        <w:rPr>
          <w:rFonts w:hint="eastAsia"/>
        </w:rPr>
        <w:t>，改變公務員之任務範圍者，聯邦行政法院亦將之等同於調職</w:t>
      </w:r>
      <w:r>
        <w:rPr>
          <w:rStyle w:val="a5"/>
        </w:rPr>
        <w:footnoteReference w:id="53"/>
      </w:r>
      <w:r>
        <w:rPr>
          <w:rFonts w:hint="eastAsia"/>
        </w:rPr>
        <w:t>。</w:t>
      </w:r>
    </w:p>
    <w:p w:rsidR="00000000" w:rsidRDefault="000E136B">
      <w:pPr>
        <w:pStyle w:val="4"/>
        <w:rPr>
          <w:rFonts w:hint="eastAsia"/>
        </w:rPr>
      </w:pPr>
      <w:bookmarkStart w:id="30" w:name="_Toc61809130"/>
      <w:r>
        <w:rPr>
          <w:rFonts w:hint="eastAsia"/>
        </w:rPr>
        <w:t>貳、要件與程序</w:t>
      </w:r>
      <w:bookmarkEnd w:id="30"/>
    </w:p>
    <w:p w:rsidR="00000000" w:rsidRDefault="000E136B">
      <w:pPr>
        <w:pStyle w:val="23"/>
        <w:ind w:firstLine="560"/>
        <w:rPr>
          <w:rFonts w:hint="eastAsia"/>
        </w:rPr>
      </w:pPr>
      <w:r>
        <w:rPr>
          <w:rFonts w:hint="eastAsia"/>
        </w:rPr>
        <w:t>關於調職之要件，聯邦行政法院僅提出一項原則，即：新職務之</w:t>
      </w:r>
      <w:r>
        <w:rPr>
          <w:rFonts w:hint="eastAsia"/>
        </w:rPr>
        <w:lastRenderedPageBreak/>
        <w:t>指派必須相當於該公務員</w:t>
      </w:r>
      <w:r>
        <w:rPr>
          <w:rFonts w:hint="eastAsia"/>
        </w:rPr>
        <w:t>地位法上職位之抽象職務範圍</w:t>
      </w:r>
      <w:r>
        <w:rPr>
          <w:rStyle w:val="a5"/>
        </w:rPr>
        <w:footnoteReference w:id="54"/>
      </w:r>
      <w:r>
        <w:rPr>
          <w:rFonts w:hint="eastAsia"/>
        </w:rPr>
        <w:t>。對此有學者稱之為「不成文之構成要件要素」</w:t>
      </w:r>
      <w:r>
        <w:rPr>
          <w:rFonts w:hint="eastAsia"/>
        </w:rPr>
        <w:t>(ungeschriebenes Tatbestandsmerkmal)</w:t>
      </w:r>
      <w:r>
        <w:rPr>
          <w:rStyle w:val="a5"/>
        </w:rPr>
        <w:footnoteReference w:id="55"/>
      </w:r>
      <w:r>
        <w:rPr>
          <w:rFonts w:hint="eastAsia"/>
        </w:rPr>
        <w:t>。其次，有關公務員人事代表規定、身心障礙者權利之規定，調職時，亦應遵守。主管長官於行使調職措施時，必須遵守對於公務員之照顧及保護義務，為無瑕疵之裁量。</w:t>
      </w:r>
    </w:p>
    <w:p w:rsidR="00000000" w:rsidRDefault="000E136B">
      <w:pPr>
        <w:pStyle w:val="4"/>
        <w:rPr>
          <w:rFonts w:hint="eastAsia"/>
        </w:rPr>
      </w:pPr>
      <w:bookmarkStart w:id="31" w:name="_Toc61809131"/>
      <w:r>
        <w:rPr>
          <w:rFonts w:hint="eastAsia"/>
        </w:rPr>
        <w:t>參、行政救濟</w:t>
      </w:r>
      <w:bookmarkEnd w:id="31"/>
    </w:p>
    <w:p w:rsidR="00000000" w:rsidRDefault="000E136B">
      <w:pPr>
        <w:pStyle w:val="23"/>
        <w:ind w:firstLine="560"/>
        <w:rPr>
          <w:rFonts w:hint="eastAsia"/>
        </w:rPr>
      </w:pPr>
      <w:r>
        <w:rPr>
          <w:rFonts w:hint="eastAsia"/>
        </w:rPr>
        <w:t>由於公務員之調職，亦屬涉及公務員關係之事項，依據公務員基準法第一百二十六條第一項規定，其相關爭議得循行政爭訟程序解決，固無疑問。惟在實務上，由於調職之法律性質迭有爭議，從而公務員能否透過行政爭訟程序謀求</w:t>
      </w:r>
      <w:r>
        <w:rPr>
          <w:rFonts w:hint="eastAsia"/>
        </w:rPr>
        <w:t>救濟，亦存疑義。在聯邦行政法院於</w:t>
      </w:r>
      <w:r>
        <w:rPr>
          <w:rFonts w:hint="eastAsia"/>
        </w:rPr>
        <w:t>1980</w:t>
      </w:r>
      <w:r>
        <w:rPr>
          <w:rFonts w:hint="eastAsia"/>
        </w:rPr>
        <w:t>年</w:t>
      </w:r>
      <w:r>
        <w:rPr>
          <w:rFonts w:hint="eastAsia"/>
        </w:rPr>
        <w:t>5</w:t>
      </w:r>
      <w:r>
        <w:rPr>
          <w:rFonts w:hint="eastAsia"/>
        </w:rPr>
        <w:t>月</w:t>
      </w:r>
      <w:r>
        <w:rPr>
          <w:rFonts w:hint="eastAsia"/>
        </w:rPr>
        <w:t>22</w:t>
      </w:r>
      <w:r>
        <w:rPr>
          <w:rFonts w:hint="eastAsia"/>
        </w:rPr>
        <w:t>日有關調職法律性質及救濟問題之裁判</w:t>
      </w:r>
      <w:r>
        <w:rPr>
          <w:rStyle w:val="a5"/>
        </w:rPr>
        <w:footnoteReference w:id="56"/>
      </w:r>
      <w:r>
        <w:rPr>
          <w:rFonts w:hint="eastAsia"/>
        </w:rPr>
        <w:t>作成之前，實務上多以調職措施非屬行政處分為由，不僅認為其不得作為撤銷訴訟之程序標的，連帶對於調職措施能否提起行政訴訟一節，亦持否定見解。目前實務及學說之一般見解為，調職措施縱令不具行政處分之性質，亦有提起行政訴訟之可能，例如透過提起一般給付訴訟之方式，謀求救濟。</w:t>
      </w:r>
    </w:p>
    <w:p w:rsidR="00000000" w:rsidRDefault="000E136B">
      <w:pPr>
        <w:pStyle w:val="23"/>
        <w:ind w:firstLine="560"/>
        <w:rPr>
          <w:rFonts w:hint="eastAsia"/>
        </w:rPr>
      </w:pPr>
      <w:r>
        <w:rPr>
          <w:rFonts w:hint="eastAsia"/>
        </w:rPr>
        <w:t>根據聯邦行政法院之見解，調職乃是一種「不具行政處分性質之</w:t>
      </w:r>
      <w:r>
        <w:rPr>
          <w:rFonts w:hint="eastAsia"/>
        </w:rPr>
        <w:lastRenderedPageBreak/>
        <w:t>內部機關措施」</w:t>
      </w:r>
      <w:r>
        <w:rPr>
          <w:rFonts w:hint="eastAsia"/>
        </w:rPr>
        <w:t>(innerbeh</w:t>
      </w:r>
      <w:r>
        <w:t>ö</w:t>
      </w:r>
      <w:r>
        <w:rPr>
          <w:rFonts w:hint="eastAsia"/>
        </w:rPr>
        <w:t>rdliche Ma</w:t>
      </w:r>
      <w:r>
        <w:t>ß</w:t>
      </w:r>
      <w:r>
        <w:rPr>
          <w:rFonts w:hint="eastAsia"/>
        </w:rPr>
        <w:t>nahmen ohne Verwaltungsak</w:t>
      </w:r>
      <w:r>
        <w:rPr>
          <w:rFonts w:hint="eastAsia"/>
        </w:rPr>
        <w:t>tsqualit</w:t>
      </w:r>
      <w:r>
        <w:t>ä</w:t>
      </w:r>
      <w:r>
        <w:rPr>
          <w:rFonts w:hint="eastAsia"/>
        </w:rPr>
        <w:t>t)</w:t>
      </w:r>
      <w:r>
        <w:rPr>
          <w:rStyle w:val="a5"/>
        </w:rPr>
        <w:footnoteReference w:id="57"/>
      </w:r>
      <w:r>
        <w:rPr>
          <w:rFonts w:hint="eastAsia"/>
        </w:rPr>
        <w:t>，而且不問該措施是否會影響公務員作為主管之功能或升遷之機會，甚至該項措施事實上是否符合該公務員之地位法上之職位</w:t>
      </w:r>
      <w:r>
        <w:rPr>
          <w:rStyle w:val="a5"/>
        </w:rPr>
        <w:footnoteReference w:id="58"/>
      </w:r>
      <w:r>
        <w:rPr>
          <w:rFonts w:hint="eastAsia"/>
        </w:rPr>
        <w:t>。於此前提下，關於調職所生之爭議，原則上僅能透過「一般給付訴訟」</w:t>
      </w:r>
      <w:r>
        <w:rPr>
          <w:rFonts w:hint="eastAsia"/>
        </w:rPr>
        <w:t>(allgemeine Leisatungsklage)</w:t>
      </w:r>
      <w:r>
        <w:rPr>
          <w:rFonts w:hint="eastAsia"/>
        </w:rPr>
        <w:t>解決，而非屬撤銷訴訟貨課予義務訴訟之程序標的。</w:t>
      </w:r>
    </w:p>
    <w:p w:rsidR="00000000" w:rsidRDefault="000E136B">
      <w:pPr>
        <w:pStyle w:val="23"/>
        <w:ind w:firstLine="560"/>
        <w:rPr>
          <w:rFonts w:hint="eastAsia"/>
        </w:rPr>
      </w:pPr>
    </w:p>
    <w:p w:rsidR="000E136B" w:rsidRDefault="000E136B">
      <w:pPr>
        <w:pStyle w:val="1"/>
        <w:spacing w:after="240"/>
        <w:jc w:val="center"/>
        <w:rPr>
          <w:rFonts w:hint="eastAsia"/>
        </w:rPr>
      </w:pPr>
      <w:r>
        <w:br w:type="page"/>
      </w:r>
      <w:bookmarkEnd w:id="0"/>
    </w:p>
    <w:sectPr w:rsidR="000E136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36B" w:rsidRDefault="000E136B">
      <w:pPr>
        <w:spacing w:line="240" w:lineRule="auto"/>
        <w:ind w:firstLine="480"/>
      </w:pPr>
      <w:r>
        <w:separator/>
      </w:r>
    </w:p>
  </w:endnote>
  <w:endnote w:type="continuationSeparator" w:id="0">
    <w:p w:rsidR="000E136B" w:rsidRDefault="000E136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楷書體W5">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36B">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end"/>
    </w:r>
  </w:p>
  <w:p w:rsidR="00000000" w:rsidRDefault="000E136B">
    <w:pPr>
      <w:pStyle w:val="a8"/>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36B">
    <w:pPr>
      <w:pStyle w:val="a8"/>
      <w:framePr w:wrap="around" w:vAnchor="text" w:hAnchor="margin" w:xAlign="center" w:y="1"/>
      <w:ind w:firstLine="400"/>
      <w:rPr>
        <w:rStyle w:val="a9"/>
      </w:rPr>
    </w:pPr>
    <w:r>
      <w:rPr>
        <w:rStyle w:val="a9"/>
      </w:rPr>
      <w:fldChar w:fldCharType="begin"/>
    </w:r>
    <w:r>
      <w:rPr>
        <w:rStyle w:val="a9"/>
      </w:rPr>
      <w:instrText xml:space="preserve">PAGE  </w:instrText>
    </w:r>
    <w:r>
      <w:rPr>
        <w:rStyle w:val="a9"/>
      </w:rPr>
      <w:fldChar w:fldCharType="separate"/>
    </w:r>
    <w:r w:rsidR="0080100E">
      <w:rPr>
        <w:rStyle w:val="a9"/>
        <w:noProof/>
      </w:rPr>
      <w:t>2</w:t>
    </w:r>
    <w:r>
      <w:rPr>
        <w:rStyle w:val="a9"/>
      </w:rPr>
      <w:fldChar w:fldCharType="end"/>
    </w:r>
  </w:p>
  <w:p w:rsidR="00000000" w:rsidRDefault="000E136B">
    <w:pPr>
      <w:pStyle w:val="a8"/>
      <w:ind w:firstLine="4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36B">
    <w:pPr>
      <w:pStyle w:val="a8"/>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36B" w:rsidRDefault="000E136B">
      <w:pPr>
        <w:spacing w:line="240" w:lineRule="auto"/>
        <w:ind w:firstLine="480"/>
      </w:pPr>
      <w:r>
        <w:separator/>
      </w:r>
    </w:p>
  </w:footnote>
  <w:footnote w:type="continuationSeparator" w:id="0">
    <w:p w:rsidR="000E136B" w:rsidRDefault="000E136B">
      <w:pPr>
        <w:spacing w:line="240" w:lineRule="auto"/>
        <w:ind w:firstLine="480"/>
      </w:pPr>
      <w:r>
        <w:continuationSeparator/>
      </w:r>
    </w:p>
  </w:footnote>
  <w:footnote w:id="1">
    <w:p w:rsidR="00000000" w:rsidRDefault="000E136B">
      <w:pPr>
        <w:pStyle w:val="a6"/>
        <w:ind w:firstLine="360"/>
      </w:pPr>
      <w:r>
        <w:rPr>
          <w:rStyle w:val="a5"/>
        </w:rPr>
        <w:footnoteRef/>
      </w:r>
      <w:r>
        <w:t xml:space="preserve"> </w:t>
      </w:r>
      <w:r>
        <w:rPr>
          <w:rFonts w:hint="eastAsia"/>
        </w:rPr>
        <w:t>被任用者若為未成年人者，類推適用德國民法第一百零七條及第一百十三條之規定，請參閱</w:t>
      </w:r>
      <w:r>
        <w:rPr>
          <w:rFonts w:hint="eastAsia"/>
        </w:rPr>
        <w:t>BV</w:t>
      </w:r>
      <w:r>
        <w:t>erwGE 34, 168.</w:t>
      </w:r>
    </w:p>
  </w:footnote>
  <w:footnote w:id="2">
    <w:p w:rsidR="00000000" w:rsidRDefault="000E136B">
      <w:pPr>
        <w:pStyle w:val="a6"/>
        <w:ind w:firstLine="360"/>
      </w:pPr>
      <w:r>
        <w:rPr>
          <w:rStyle w:val="a5"/>
        </w:rPr>
        <w:footnoteRef/>
      </w:r>
      <w:r>
        <w:t xml:space="preserve"> </w:t>
      </w:r>
      <w:r>
        <w:rPr>
          <w:rFonts w:hint="eastAsia"/>
        </w:rPr>
        <w:t>BV</w:t>
      </w:r>
      <w:r>
        <w:t>erwGE 34, 168.</w:t>
      </w:r>
    </w:p>
  </w:footnote>
  <w:footnote w:id="3">
    <w:p w:rsidR="00000000" w:rsidRDefault="000E136B">
      <w:pPr>
        <w:pStyle w:val="a6"/>
        <w:ind w:firstLine="360"/>
      </w:pPr>
      <w:r>
        <w:rPr>
          <w:rStyle w:val="a5"/>
        </w:rPr>
        <w:footnoteRef/>
      </w:r>
      <w:r>
        <w:t xml:space="preserve"> </w:t>
      </w:r>
      <w:r>
        <w:rPr>
          <w:i/>
        </w:rPr>
        <w:t>Fürst/Bauschke/Mühl/S</w:t>
      </w:r>
      <w:r>
        <w:rPr>
          <w:i/>
        </w:rPr>
        <w:t>trötz/Summer/Wilhelm/Zängl</w:t>
      </w:r>
      <w:r>
        <w:t>, Beamtenrecht des Bundes und der Länder, Bd. I des Gesamtkommentars Öffentliches Dienstrecht, Stand: 2001, § 6 BBG Rn. 49.</w:t>
      </w:r>
    </w:p>
  </w:footnote>
  <w:footnote w:id="4">
    <w:p w:rsidR="00000000" w:rsidRDefault="000E136B">
      <w:pPr>
        <w:pStyle w:val="a6"/>
        <w:ind w:firstLine="360"/>
        <w:rPr>
          <w:rFonts w:hint="eastAsia"/>
        </w:rPr>
      </w:pPr>
      <w:r>
        <w:rPr>
          <w:rStyle w:val="a5"/>
        </w:rPr>
        <w:footnoteRef/>
      </w:r>
      <w:r>
        <w:t xml:space="preserve"> </w:t>
      </w:r>
      <w:r>
        <w:rPr>
          <w:rFonts w:hint="eastAsia"/>
        </w:rPr>
        <w:t>請參閱</w:t>
      </w:r>
      <w:r>
        <w:rPr>
          <w:rFonts w:hint="eastAsia"/>
          <w:i/>
        </w:rPr>
        <w:t>H</w:t>
      </w:r>
      <w:r>
        <w:rPr>
          <w:i/>
        </w:rPr>
        <w:t>elmut Schnellenbach</w:t>
      </w:r>
      <w:r>
        <w:t>, Beamtenrecht in der Praxis, 5. Aufl., 2001, Rn. 2.</w:t>
      </w:r>
      <w:r>
        <w:rPr>
          <w:rFonts w:hint="eastAsia"/>
        </w:rPr>
        <w:t>關於行政法上意思表示之一般論述，請參閱李建良，</w:t>
      </w:r>
      <w:r>
        <w:rPr>
          <w:rFonts w:ascii="細明體" w:hint="eastAsia"/>
        </w:rPr>
        <w:t>〈</w:t>
      </w:r>
      <w:r>
        <w:rPr>
          <w:rFonts w:hint="eastAsia"/>
        </w:rPr>
        <w:t>論行政法上</w:t>
      </w:r>
      <w:r>
        <w:rPr>
          <w:rFonts w:hint="eastAsia"/>
        </w:rPr>
        <w:t>之意思表示〉，</w:t>
      </w:r>
      <w:r>
        <w:rPr>
          <w:rFonts w:ascii="細明體" w:hint="eastAsia"/>
        </w:rPr>
        <w:t>《</w:t>
      </w:r>
      <w:r>
        <w:rPr>
          <w:rFonts w:hint="eastAsia"/>
        </w:rPr>
        <w:t>台北大學法學論叢》，第</w:t>
      </w:r>
      <w:r>
        <w:t>50</w:t>
      </w:r>
      <w:r>
        <w:rPr>
          <w:rFonts w:hint="eastAsia"/>
        </w:rPr>
        <w:t>期，</w:t>
      </w:r>
      <w:r>
        <w:t>2002</w:t>
      </w:r>
      <w:r>
        <w:rPr>
          <w:rFonts w:hint="eastAsia"/>
        </w:rPr>
        <w:t>年</w:t>
      </w:r>
      <w:r>
        <w:t>6</w:t>
      </w:r>
      <w:r>
        <w:rPr>
          <w:rFonts w:hint="eastAsia"/>
        </w:rPr>
        <w:t>月，頁</w:t>
      </w:r>
      <w:r>
        <w:t>25-66</w:t>
      </w:r>
      <w:r>
        <w:rPr>
          <w:rFonts w:hint="eastAsia"/>
        </w:rPr>
        <w:t>。</w:t>
      </w:r>
    </w:p>
  </w:footnote>
  <w:footnote w:id="5">
    <w:p w:rsidR="00000000" w:rsidRDefault="000E136B">
      <w:pPr>
        <w:pStyle w:val="a6"/>
        <w:ind w:firstLine="360"/>
        <w:rPr>
          <w:rFonts w:hint="eastAsia"/>
        </w:rPr>
      </w:pPr>
      <w:r>
        <w:rPr>
          <w:rStyle w:val="a5"/>
        </w:rPr>
        <w:footnoteRef/>
      </w:r>
      <w:r>
        <w:t xml:space="preserve"> </w:t>
      </w:r>
      <w:r>
        <w:rPr>
          <w:rFonts w:hint="eastAsia"/>
        </w:rPr>
        <w:t>德國聯邦行政程序法</w:t>
      </w:r>
      <w:r>
        <w:rPr>
          <w:rFonts w:hint="eastAsia"/>
          <w:color w:val="000000"/>
        </w:rPr>
        <w:t>第四十四條第二項第二款即相當於我國行政程序法第一百十依條第二款規定：「行政處分有下列各款情形之一者，無效：…二、應以應以證書方式作成而未給予證書者。…」</w:t>
      </w:r>
    </w:p>
  </w:footnote>
  <w:footnote w:id="6">
    <w:p w:rsidR="00000000" w:rsidRDefault="000E136B">
      <w:pPr>
        <w:pStyle w:val="a6"/>
        <w:ind w:firstLine="360"/>
      </w:pPr>
      <w:r>
        <w:rPr>
          <w:rStyle w:val="a5"/>
        </w:rPr>
        <w:footnoteRef/>
      </w:r>
      <w:r>
        <w:t xml:space="preserve"> </w:t>
      </w:r>
      <w:r>
        <w:rPr>
          <w:rFonts w:hint="eastAsia"/>
        </w:rPr>
        <w:t>請參閱</w:t>
      </w:r>
      <w:r>
        <w:t>BVerwGE 55, 212; 81, 282 (284).</w:t>
      </w:r>
    </w:p>
  </w:footnote>
  <w:footnote w:id="7">
    <w:p w:rsidR="00000000" w:rsidRDefault="000E136B">
      <w:pPr>
        <w:pStyle w:val="a6"/>
        <w:ind w:firstLine="360"/>
        <w:rPr>
          <w:rFonts w:hint="eastAsia"/>
        </w:rPr>
      </w:pPr>
      <w:r>
        <w:rPr>
          <w:rStyle w:val="a5"/>
        </w:rPr>
        <w:footnoteRef/>
      </w:r>
      <w:r>
        <w:t xml:space="preserve"> </w:t>
      </w:r>
      <w:r>
        <w:rPr>
          <w:rFonts w:hint="eastAsia"/>
        </w:rPr>
        <w:t>德國為因應鐵路與郵政之民營化，現階段對於公務員之制度有若干較為彈性之作法，例如創設所謂「私公務員」</w:t>
      </w:r>
      <w:r>
        <w:t>(Privatbeamte)</w:t>
      </w:r>
      <w:r>
        <w:rPr>
          <w:rFonts w:hint="eastAsia"/>
        </w:rPr>
        <w:t>之概念。請參閱</w:t>
      </w:r>
      <w:r>
        <w:t xml:space="preserve">Martin Kutscha, Die </w:t>
      </w:r>
      <w:r>
        <w:t>Flexibilisierung des Beamtens, NVwZ 2002, 942 ff.</w:t>
      </w:r>
    </w:p>
  </w:footnote>
  <w:footnote w:id="8">
    <w:p w:rsidR="00000000" w:rsidRDefault="000E136B">
      <w:pPr>
        <w:pStyle w:val="a6"/>
        <w:ind w:firstLine="360"/>
      </w:pPr>
      <w:r>
        <w:rPr>
          <w:rStyle w:val="a5"/>
        </w:rPr>
        <w:footnoteRef/>
      </w:r>
      <w:r>
        <w:t xml:space="preserve"> </w:t>
      </w:r>
      <w:r>
        <w:rPr>
          <w:rFonts w:hint="eastAsia"/>
        </w:rPr>
        <w:t>請參閱</w:t>
      </w:r>
      <w:r>
        <w:t>Wolff/Bachof/Stober, Verwaltungsrecht II, § 109 Rn. 1 ff.</w:t>
      </w:r>
    </w:p>
  </w:footnote>
  <w:footnote w:id="9">
    <w:p w:rsidR="00000000" w:rsidRDefault="000E136B">
      <w:pPr>
        <w:pStyle w:val="a6"/>
        <w:ind w:firstLine="360"/>
      </w:pPr>
      <w:r>
        <w:rPr>
          <w:rStyle w:val="a5"/>
        </w:rPr>
        <w:footnoteRef/>
      </w:r>
      <w:r>
        <w:t xml:space="preserve"> BVerwGE 87, 310 (313); BVerwG, NVwV-RR 1996, 161.</w:t>
      </w:r>
    </w:p>
  </w:footnote>
  <w:footnote w:id="10">
    <w:p w:rsidR="00000000" w:rsidRDefault="000E136B">
      <w:pPr>
        <w:pStyle w:val="a6"/>
        <w:ind w:firstLine="360"/>
        <w:rPr>
          <w:rFonts w:hint="eastAsia"/>
        </w:rPr>
      </w:pPr>
      <w:r>
        <w:rPr>
          <w:rStyle w:val="a5"/>
        </w:rPr>
        <w:footnoteRef/>
      </w:r>
      <w:r>
        <w:t xml:space="preserve"> </w:t>
      </w:r>
      <w:r>
        <w:rPr>
          <w:rFonts w:hint="eastAsia"/>
        </w:rPr>
        <w:t>另請參閱，程明修，</w:t>
      </w:r>
      <w:r>
        <w:rPr>
          <w:rFonts w:ascii="細明體" w:hint="eastAsia"/>
        </w:rPr>
        <w:t>〈對公務人員職務調動處分的行政訴訟〉，《法學講座》，第</w:t>
      </w:r>
      <w:r>
        <w:t>16</w:t>
      </w:r>
      <w:r>
        <w:rPr>
          <w:rFonts w:hint="eastAsia"/>
        </w:rPr>
        <w:t>期，</w:t>
      </w:r>
      <w:r>
        <w:t>2003</w:t>
      </w:r>
      <w:r>
        <w:rPr>
          <w:rFonts w:hint="eastAsia"/>
        </w:rPr>
        <w:t>年</w:t>
      </w:r>
      <w:r>
        <w:t>4</w:t>
      </w:r>
      <w:r>
        <w:rPr>
          <w:rFonts w:hint="eastAsia"/>
        </w:rPr>
        <w:t>月，頁</w:t>
      </w:r>
      <w:r>
        <w:t>18</w:t>
      </w:r>
      <w:r>
        <w:rPr>
          <w:rFonts w:hint="eastAsia"/>
        </w:rPr>
        <w:t>以下。</w:t>
      </w:r>
    </w:p>
  </w:footnote>
  <w:footnote w:id="11">
    <w:p w:rsidR="00000000" w:rsidRDefault="000E136B">
      <w:pPr>
        <w:pStyle w:val="a6"/>
        <w:ind w:firstLine="360"/>
        <w:rPr>
          <w:rFonts w:hint="eastAsia"/>
        </w:rPr>
      </w:pPr>
      <w:r>
        <w:rPr>
          <w:rStyle w:val="a5"/>
        </w:rPr>
        <w:footnoteRef/>
      </w:r>
      <w:r>
        <w:t xml:space="preserve"> </w:t>
      </w:r>
      <w:r>
        <w:rPr>
          <w:rFonts w:hint="eastAsia"/>
        </w:rPr>
        <w:t xml:space="preserve">Battis, BBG, </w:t>
      </w:r>
      <w:r>
        <w:t>§</w:t>
      </w:r>
      <w:r>
        <w:rPr>
          <w:rFonts w:hint="eastAsia"/>
        </w:rPr>
        <w:t xml:space="preserve"> 6 Rn. 9.</w:t>
      </w:r>
    </w:p>
  </w:footnote>
  <w:footnote w:id="12">
    <w:p w:rsidR="00000000" w:rsidRDefault="000E136B">
      <w:pPr>
        <w:pStyle w:val="a6"/>
        <w:ind w:firstLine="360"/>
      </w:pPr>
      <w:r>
        <w:rPr>
          <w:rStyle w:val="a5"/>
        </w:rPr>
        <w:footnoteRef/>
      </w:r>
      <w:r>
        <w:t xml:space="preserve"> </w:t>
      </w:r>
      <w:r>
        <w:rPr>
          <w:rFonts w:hint="eastAsia"/>
        </w:rPr>
        <w:t>請參閱</w:t>
      </w:r>
      <w:r>
        <w:rPr>
          <w:rFonts w:hint="eastAsia"/>
          <w:i/>
        </w:rPr>
        <w:t>H</w:t>
      </w:r>
      <w:r>
        <w:rPr>
          <w:i/>
        </w:rPr>
        <w:t>el</w:t>
      </w:r>
      <w:r>
        <w:rPr>
          <w:i/>
        </w:rPr>
        <w:t>mut Schnellenbach</w:t>
      </w:r>
      <w:r>
        <w:t>, Beamtenrecht in der Praxis, 5. Aufl., 2001, Rn. 43.</w:t>
      </w:r>
    </w:p>
  </w:footnote>
  <w:footnote w:id="13">
    <w:p w:rsidR="00000000" w:rsidRDefault="000E136B">
      <w:pPr>
        <w:pStyle w:val="a6"/>
        <w:ind w:firstLine="360"/>
      </w:pPr>
      <w:r>
        <w:rPr>
          <w:rStyle w:val="a5"/>
        </w:rPr>
        <w:footnoteRef/>
      </w:r>
      <w:r>
        <w:t xml:space="preserve"> </w:t>
      </w:r>
      <w:r>
        <w:rPr>
          <w:rFonts w:hint="eastAsia"/>
        </w:rPr>
        <w:t>請參閱</w:t>
      </w:r>
      <w:r>
        <w:t>BVerwGE 26, 31; BGHZ 23, 36.</w:t>
      </w:r>
    </w:p>
  </w:footnote>
  <w:footnote w:id="14">
    <w:p w:rsidR="00000000" w:rsidRDefault="000E136B">
      <w:pPr>
        <w:pStyle w:val="a6"/>
        <w:ind w:firstLine="360"/>
        <w:rPr>
          <w:rFonts w:hint="eastAsia"/>
        </w:rPr>
      </w:pPr>
      <w:r>
        <w:rPr>
          <w:rStyle w:val="a5"/>
        </w:rPr>
        <w:footnoteRef/>
      </w:r>
      <w:r>
        <w:t xml:space="preserve"> </w:t>
      </w:r>
      <w:r>
        <w:rPr>
          <w:rFonts w:hint="eastAsia"/>
          <w:color w:val="000000"/>
        </w:rPr>
        <w:t>公務員法基準法第一百二十六條第一項規定：「關於因公務員關係</w:t>
      </w:r>
      <w:r>
        <w:rPr>
          <w:color w:val="000000"/>
        </w:rPr>
        <w:t>(aus dem Beamtenverhältnis)</w:t>
      </w:r>
      <w:r>
        <w:rPr>
          <w:rFonts w:hint="eastAsia"/>
          <w:color w:val="000000"/>
        </w:rPr>
        <w:t>所生之公務員、退休公務員、解任公務員及遺族之訴訟，依行政爭訟程序</w:t>
      </w:r>
      <w:r>
        <w:rPr>
          <w:color w:val="000000"/>
        </w:rPr>
        <w:t>(Verwaltungsrechtsweg)</w:t>
      </w:r>
      <w:r>
        <w:rPr>
          <w:rFonts w:hint="eastAsia"/>
          <w:color w:val="000000"/>
        </w:rPr>
        <w:t>。」</w:t>
      </w:r>
    </w:p>
  </w:footnote>
  <w:footnote w:id="15">
    <w:p w:rsidR="00000000" w:rsidRDefault="000E136B">
      <w:pPr>
        <w:pStyle w:val="a6"/>
        <w:ind w:firstLine="360"/>
      </w:pPr>
      <w:r>
        <w:rPr>
          <w:rStyle w:val="a5"/>
        </w:rPr>
        <w:footnoteRef/>
      </w:r>
      <w:r>
        <w:t xml:space="preserve"> </w:t>
      </w:r>
      <w:r>
        <w:rPr>
          <w:i/>
        </w:rPr>
        <w:t>Battis</w:t>
      </w:r>
      <w:r>
        <w:t>, BBG, § 172 Rn. 7.</w:t>
      </w:r>
    </w:p>
  </w:footnote>
  <w:footnote w:id="16">
    <w:p w:rsidR="00000000" w:rsidRDefault="000E136B">
      <w:pPr>
        <w:pStyle w:val="a6"/>
        <w:ind w:firstLine="360"/>
      </w:pPr>
      <w:r>
        <w:rPr>
          <w:rStyle w:val="a5"/>
        </w:rPr>
        <w:footnoteRef/>
      </w:r>
      <w:r>
        <w:t xml:space="preserve"> </w:t>
      </w:r>
      <w:r>
        <w:rPr>
          <w:rFonts w:hint="eastAsia"/>
        </w:rPr>
        <w:t>請參閱</w:t>
      </w:r>
      <w:r>
        <w:rPr>
          <w:rFonts w:hint="eastAsia"/>
          <w:i/>
        </w:rPr>
        <w:t>H</w:t>
      </w:r>
      <w:r>
        <w:rPr>
          <w:i/>
        </w:rPr>
        <w:t>el</w:t>
      </w:r>
      <w:r>
        <w:rPr>
          <w:i/>
        </w:rPr>
        <w:t>mut Schnellenbach</w:t>
      </w:r>
      <w:r>
        <w:t>, Beamtenrecht in der Praxis, 5. Aufl., 2001, Rn. 35.</w:t>
      </w:r>
    </w:p>
  </w:footnote>
  <w:footnote w:id="17">
    <w:p w:rsidR="00000000" w:rsidRDefault="000E136B">
      <w:pPr>
        <w:pStyle w:val="a6"/>
        <w:ind w:firstLine="360"/>
      </w:pPr>
      <w:r>
        <w:rPr>
          <w:rStyle w:val="a5"/>
        </w:rPr>
        <w:footnoteRef/>
      </w:r>
      <w:r>
        <w:t xml:space="preserve"> </w:t>
      </w:r>
      <w:r>
        <w:rPr>
          <w:rFonts w:hint="eastAsia"/>
        </w:rPr>
        <w:t>請參閱</w:t>
      </w:r>
      <w:r>
        <w:rPr>
          <w:rFonts w:hint="eastAsia"/>
          <w:i/>
        </w:rPr>
        <w:t>H</w:t>
      </w:r>
      <w:r>
        <w:rPr>
          <w:i/>
        </w:rPr>
        <w:t>elmut Schnellenbach</w:t>
      </w:r>
      <w:r>
        <w:t>, Beamtenrecht in der Praxis, 5. Aufl., 2001, Rn. 38.</w:t>
      </w:r>
    </w:p>
  </w:footnote>
  <w:footnote w:id="18">
    <w:p w:rsidR="00000000" w:rsidRDefault="000E136B">
      <w:pPr>
        <w:pStyle w:val="a6"/>
        <w:ind w:firstLine="360"/>
      </w:pPr>
      <w:r>
        <w:rPr>
          <w:rStyle w:val="a5"/>
        </w:rPr>
        <w:footnoteRef/>
      </w:r>
      <w:r>
        <w:t xml:space="preserve"> BVerwG, ZBR 1987, 376.</w:t>
      </w:r>
    </w:p>
  </w:footnote>
  <w:footnote w:id="19">
    <w:p w:rsidR="00000000" w:rsidRDefault="000E136B">
      <w:pPr>
        <w:pStyle w:val="a6"/>
        <w:ind w:left="199" w:firstLine="360"/>
        <w:rPr>
          <w:rFonts w:hint="eastAsia"/>
        </w:rPr>
      </w:pPr>
      <w:r>
        <w:rPr>
          <w:rStyle w:val="a5"/>
        </w:rPr>
        <w:footnoteRef/>
      </w:r>
      <w:r>
        <w:t xml:space="preserve"> BVerwGE 51, 264 (265); 52, 313 (316); 68, 360 (367); 72, 38 (41); 89, 354; </w:t>
      </w:r>
      <w:r>
        <w:rPr>
          <w:rFonts w:hint="eastAsia"/>
        </w:rPr>
        <w:t>B</w:t>
      </w:r>
      <w:r>
        <w:t>Ver</w:t>
      </w:r>
      <w:r>
        <w:t xml:space="preserve">wG, NVwZ1987, 229; BayVBl. 1986, 313; </w:t>
      </w:r>
      <w:r>
        <w:rPr>
          <w:rFonts w:hint="eastAsia"/>
        </w:rPr>
        <w:t>另請參閱李建良，〈行政處分的「解決」與行政救濟途徑的擇定〉，《台灣本土法學雜誌》，第</w:t>
      </w:r>
      <w:r>
        <w:rPr>
          <w:rFonts w:hint="eastAsia"/>
        </w:rPr>
        <w:t>41</w:t>
      </w:r>
      <w:r>
        <w:rPr>
          <w:rFonts w:hint="eastAsia"/>
        </w:rPr>
        <w:t>期，</w:t>
      </w:r>
      <w:r>
        <w:rPr>
          <w:rFonts w:hint="eastAsia"/>
        </w:rPr>
        <w:t>2002</w:t>
      </w:r>
      <w:r>
        <w:rPr>
          <w:rFonts w:hint="eastAsia"/>
        </w:rPr>
        <w:t>年</w:t>
      </w:r>
      <w:r>
        <w:rPr>
          <w:rFonts w:hint="eastAsia"/>
        </w:rPr>
        <w:t>12</w:t>
      </w:r>
      <w:r>
        <w:rPr>
          <w:rFonts w:hint="eastAsia"/>
        </w:rPr>
        <w:t>月，頁</w:t>
      </w:r>
      <w:r>
        <w:rPr>
          <w:rFonts w:hint="eastAsia"/>
        </w:rPr>
        <w:t>106-108</w:t>
      </w:r>
      <w:r>
        <w:rPr>
          <w:rFonts w:hint="eastAsia"/>
        </w:rPr>
        <w:t>；劉淑範，</w:t>
      </w:r>
      <w:r>
        <w:rPr>
          <w:rFonts w:ascii="細明體" w:hint="eastAsia"/>
        </w:rPr>
        <w:t>〈論「</w:t>
      </w:r>
      <w:r>
        <w:rPr>
          <w:rFonts w:hint="eastAsia"/>
        </w:rPr>
        <w:t>續行確認訴訟」（「違法確認訴訟」）之適用範疇：以德國學說與實務為中心〉，</w:t>
      </w:r>
      <w:r>
        <w:rPr>
          <w:rFonts w:ascii="細明體" w:hint="eastAsia"/>
        </w:rPr>
        <w:t>《台北大學法學論叢》，第</w:t>
      </w:r>
      <w:r>
        <w:t>46</w:t>
      </w:r>
      <w:r>
        <w:rPr>
          <w:rFonts w:hint="eastAsia"/>
        </w:rPr>
        <w:t>期，</w:t>
      </w:r>
      <w:r>
        <w:rPr>
          <w:rFonts w:hint="eastAsia"/>
        </w:rPr>
        <w:t>2000</w:t>
      </w:r>
      <w:r>
        <w:rPr>
          <w:rFonts w:hint="eastAsia"/>
        </w:rPr>
        <w:t>年</w:t>
      </w:r>
      <w:r>
        <w:rPr>
          <w:rFonts w:hint="eastAsia"/>
        </w:rPr>
        <w:t>6</w:t>
      </w:r>
      <w:r>
        <w:rPr>
          <w:rFonts w:hint="eastAsia"/>
        </w:rPr>
        <w:t>月，頁</w:t>
      </w:r>
      <w:r>
        <w:t>156-161</w:t>
      </w:r>
      <w:r>
        <w:rPr>
          <w:rFonts w:hint="eastAsia"/>
        </w:rPr>
        <w:t>。</w:t>
      </w:r>
    </w:p>
  </w:footnote>
  <w:footnote w:id="20">
    <w:p w:rsidR="00000000" w:rsidRDefault="000E136B">
      <w:pPr>
        <w:pStyle w:val="a6"/>
        <w:ind w:firstLine="360"/>
      </w:pPr>
      <w:r>
        <w:rPr>
          <w:rStyle w:val="a5"/>
        </w:rPr>
        <w:footnoteRef/>
      </w:r>
      <w:r>
        <w:t xml:space="preserve"> </w:t>
      </w:r>
      <w:r>
        <w:rPr>
          <w:rFonts w:hint="eastAsia"/>
          <w:i/>
        </w:rPr>
        <w:t>H</w:t>
      </w:r>
      <w:r>
        <w:rPr>
          <w:i/>
        </w:rPr>
        <w:t>elmut Schnellenbach</w:t>
      </w:r>
      <w:r>
        <w:t>,</w:t>
      </w:r>
      <w:r>
        <w:rPr>
          <w:rFonts w:hint="eastAsia"/>
        </w:rPr>
        <w:t xml:space="preserve"> </w:t>
      </w:r>
      <w:r>
        <w:t>Das Feststellungsinteresse bei der Fortsetzungsfestst</w:t>
      </w:r>
      <w:r>
        <w:t xml:space="preserve">ellungsklage eines Beamten, </w:t>
      </w:r>
      <w:r>
        <w:rPr>
          <w:rFonts w:hint="eastAsia"/>
        </w:rPr>
        <w:t>DVB</w:t>
      </w:r>
      <w:r>
        <w:t xml:space="preserve">l. 1990, 140 ff.; </w:t>
      </w:r>
      <w:r>
        <w:rPr>
          <w:i/>
        </w:rPr>
        <w:t>ders.</w:t>
      </w:r>
      <w:r>
        <w:t>, Zum vorläufigen Rechtsschutz bei der Einstellungs- und Beförderungsamts-Konkurrenz, NVwZ 1990, 637 ff.</w:t>
      </w:r>
    </w:p>
  </w:footnote>
  <w:footnote w:id="21">
    <w:p w:rsidR="00000000" w:rsidRDefault="000E136B">
      <w:pPr>
        <w:pStyle w:val="a6"/>
        <w:ind w:firstLine="360"/>
      </w:pPr>
      <w:r>
        <w:rPr>
          <w:rStyle w:val="a5"/>
        </w:rPr>
        <w:footnoteRef/>
      </w:r>
      <w:r>
        <w:t xml:space="preserve"> </w:t>
      </w:r>
      <w:r>
        <w:rPr>
          <w:rFonts w:hint="eastAsia"/>
        </w:rPr>
        <w:t>請參閱</w:t>
      </w:r>
      <w:r>
        <w:rPr>
          <w:i/>
        </w:rPr>
        <w:t>Hellmuth Günther</w:t>
      </w:r>
      <w:r>
        <w:t>, Einstweiliger Rechtsschutz im Vorfeld der Beförderung, NVwZ 1986, 697 (698</w:t>
      </w:r>
      <w:r>
        <w:t xml:space="preserve">); </w:t>
      </w:r>
      <w:r>
        <w:rPr>
          <w:i/>
        </w:rPr>
        <w:t>Bernd Wittkowski</w:t>
      </w:r>
      <w:r>
        <w:t>, Die Konkurrentenklage im Beamtenrecht (unter besonderer Berücksichtigung des vorläufigen Rechtsschutzes), NJW 1993, 817.</w:t>
      </w:r>
    </w:p>
  </w:footnote>
  <w:footnote w:id="22">
    <w:p w:rsidR="00000000" w:rsidRDefault="000E136B">
      <w:pPr>
        <w:pStyle w:val="a6"/>
        <w:ind w:firstLine="360"/>
      </w:pPr>
      <w:r>
        <w:rPr>
          <w:rStyle w:val="a5"/>
        </w:rPr>
        <w:footnoteRef/>
      </w:r>
      <w:r>
        <w:t xml:space="preserve"> </w:t>
      </w:r>
      <w:r>
        <w:rPr>
          <w:rFonts w:hint="eastAsia"/>
        </w:rPr>
        <w:t>請參閱</w:t>
      </w:r>
      <w:r>
        <w:t>BVerwGE 80, 127.</w:t>
      </w:r>
    </w:p>
  </w:footnote>
  <w:footnote w:id="23">
    <w:p w:rsidR="00000000" w:rsidRDefault="000E136B">
      <w:pPr>
        <w:pStyle w:val="a6"/>
        <w:ind w:firstLine="360"/>
        <w:rPr>
          <w:rFonts w:hint="eastAsia"/>
        </w:rPr>
      </w:pPr>
      <w:r>
        <w:rPr>
          <w:rStyle w:val="a5"/>
        </w:rPr>
        <w:footnoteRef/>
      </w:r>
      <w:r>
        <w:t xml:space="preserve"> </w:t>
      </w:r>
      <w:r>
        <w:rPr>
          <w:rFonts w:hint="eastAsia"/>
          <w:i/>
        </w:rPr>
        <w:t>H</w:t>
      </w:r>
      <w:r>
        <w:rPr>
          <w:i/>
        </w:rPr>
        <w:t>elmut Schnellenbach</w:t>
      </w:r>
      <w:r>
        <w:t>,</w:t>
      </w:r>
      <w:r>
        <w:rPr>
          <w:rFonts w:hint="eastAsia"/>
        </w:rPr>
        <w:t xml:space="preserve"> NV</w:t>
      </w:r>
      <w:r>
        <w:t>wZ 1990, 637.</w:t>
      </w:r>
    </w:p>
  </w:footnote>
  <w:footnote w:id="24">
    <w:p w:rsidR="00000000" w:rsidRDefault="000E136B">
      <w:pPr>
        <w:pStyle w:val="a6"/>
        <w:ind w:firstLine="360"/>
      </w:pPr>
      <w:r>
        <w:rPr>
          <w:rStyle w:val="a5"/>
        </w:rPr>
        <w:footnoteRef/>
      </w:r>
      <w:r>
        <w:t xml:space="preserve"> </w:t>
      </w:r>
      <w:r>
        <w:rPr>
          <w:rFonts w:hint="eastAsia"/>
        </w:rPr>
        <w:t>請參閱</w:t>
      </w:r>
      <w:r>
        <w:rPr>
          <w:rFonts w:hint="eastAsia"/>
          <w:i/>
        </w:rPr>
        <w:t>H</w:t>
      </w:r>
      <w:r>
        <w:rPr>
          <w:i/>
        </w:rPr>
        <w:t>elmut Schnellenbach</w:t>
      </w:r>
      <w:r>
        <w:t>, Beamtenrecht in der Praxi</w:t>
      </w:r>
      <w:r>
        <w:t>s, 5. Aufl., 2001, Rn. 43.</w:t>
      </w:r>
    </w:p>
  </w:footnote>
  <w:footnote w:id="25">
    <w:p w:rsidR="00000000" w:rsidRDefault="000E136B">
      <w:pPr>
        <w:pStyle w:val="a6"/>
        <w:ind w:firstLine="360"/>
      </w:pPr>
      <w:r>
        <w:rPr>
          <w:rStyle w:val="a5"/>
        </w:rPr>
        <w:footnoteRef/>
      </w:r>
      <w:r>
        <w:t xml:space="preserve"> Günther, NVwZ 1986, 697 (699 f.); VG Neustadt, NJW 1987, 672; </w:t>
      </w:r>
      <w:r>
        <w:rPr>
          <w:rFonts w:hint="eastAsia"/>
        </w:rPr>
        <w:t>不同見解，</w:t>
      </w:r>
      <w:r>
        <w:t>BayVGH, NVwZ 1983, 755.</w:t>
      </w:r>
    </w:p>
  </w:footnote>
  <w:footnote w:id="26">
    <w:p w:rsidR="00000000" w:rsidRDefault="000E136B">
      <w:pPr>
        <w:pStyle w:val="a6"/>
        <w:ind w:firstLine="360"/>
      </w:pPr>
      <w:r>
        <w:rPr>
          <w:rStyle w:val="a5"/>
        </w:rPr>
        <w:footnoteRef/>
      </w:r>
      <w:r>
        <w:rPr>
          <w:rFonts w:hint="eastAsia"/>
        </w:rPr>
        <w:t>請參閱</w:t>
      </w:r>
      <w:r>
        <w:rPr>
          <w:rFonts w:hint="eastAsia"/>
          <w:i/>
        </w:rPr>
        <w:t>H</w:t>
      </w:r>
      <w:r>
        <w:rPr>
          <w:i/>
        </w:rPr>
        <w:t>elmut Schnellenbach</w:t>
      </w:r>
      <w:r>
        <w:t>, Beamtenrecht in der Praxis, 5. Aufl., 2001, Rn. 54.</w:t>
      </w:r>
    </w:p>
  </w:footnote>
  <w:footnote w:id="27">
    <w:p w:rsidR="00000000" w:rsidRDefault="000E136B">
      <w:pPr>
        <w:pStyle w:val="a6"/>
        <w:ind w:firstLine="360"/>
        <w:rPr>
          <w:rFonts w:hint="eastAsia"/>
        </w:rPr>
      </w:pPr>
      <w:r>
        <w:rPr>
          <w:rStyle w:val="a5"/>
        </w:rPr>
        <w:footnoteRef/>
      </w:r>
      <w:r>
        <w:t xml:space="preserve"> </w:t>
      </w:r>
      <w:r>
        <w:rPr>
          <w:rFonts w:hint="eastAsia"/>
        </w:rPr>
        <w:t>德國公務員俸給法第四十二條第一項、第二項。</w:t>
      </w:r>
    </w:p>
  </w:footnote>
  <w:footnote w:id="28">
    <w:p w:rsidR="00000000" w:rsidRDefault="000E136B">
      <w:pPr>
        <w:pStyle w:val="a6"/>
        <w:ind w:firstLine="360"/>
        <w:rPr>
          <w:rFonts w:hint="eastAsia"/>
        </w:rPr>
      </w:pPr>
      <w:r>
        <w:rPr>
          <w:rStyle w:val="a5"/>
        </w:rPr>
        <w:footnoteRef/>
      </w:r>
      <w:r>
        <w:t xml:space="preserve"> </w:t>
      </w:r>
      <w:r>
        <w:rPr>
          <w:rFonts w:hint="eastAsia"/>
        </w:rPr>
        <w:t>德國公務員俸給法第四十二條第三項、第四項。</w:t>
      </w:r>
    </w:p>
  </w:footnote>
  <w:footnote w:id="29">
    <w:p w:rsidR="00000000" w:rsidRDefault="000E136B">
      <w:pPr>
        <w:pStyle w:val="a6"/>
        <w:ind w:firstLine="360"/>
      </w:pPr>
      <w:r>
        <w:rPr>
          <w:rStyle w:val="a5"/>
        </w:rPr>
        <w:footnoteRef/>
      </w:r>
      <w:r>
        <w:t xml:space="preserve"> BVerfGE </w:t>
      </w:r>
      <w:r>
        <w:t>27, 297 (307); Wolff/Bachof/Stober, Verwaltungsrecht I, §</w:t>
      </w:r>
      <w:r>
        <w:rPr>
          <w:rFonts w:ascii="細明體"/>
        </w:rPr>
        <w:t xml:space="preserve"> </w:t>
      </w:r>
      <w:r>
        <w:t>43 Rn. 8 ff.</w:t>
      </w:r>
    </w:p>
  </w:footnote>
  <w:footnote w:id="30">
    <w:p w:rsidR="00000000" w:rsidRDefault="000E136B">
      <w:pPr>
        <w:pStyle w:val="a6"/>
        <w:ind w:firstLine="360"/>
      </w:pPr>
      <w:r>
        <w:rPr>
          <w:rStyle w:val="a5"/>
        </w:rPr>
        <w:footnoteRef/>
      </w:r>
      <w:r>
        <w:t xml:space="preserve"> BVerwGE 15, 3 (6).</w:t>
      </w:r>
    </w:p>
  </w:footnote>
  <w:footnote w:id="31">
    <w:p w:rsidR="00000000" w:rsidRDefault="000E136B">
      <w:pPr>
        <w:pStyle w:val="a6"/>
        <w:ind w:firstLine="360"/>
      </w:pPr>
      <w:r>
        <w:rPr>
          <w:rStyle w:val="a5"/>
        </w:rPr>
        <w:footnoteRef/>
      </w:r>
      <w:r>
        <w:t xml:space="preserve"> BVerwGE 19, 252; 49, 214; 49, 232; BVerwG, NJW 1989, 538.</w:t>
      </w:r>
    </w:p>
  </w:footnote>
  <w:footnote w:id="32">
    <w:p w:rsidR="00000000" w:rsidRDefault="000E136B">
      <w:pPr>
        <w:pStyle w:val="a6"/>
        <w:ind w:firstLine="360"/>
      </w:pPr>
      <w:r>
        <w:rPr>
          <w:rStyle w:val="a5"/>
        </w:rPr>
        <w:footnoteRef/>
      </w:r>
      <w:r>
        <w:t xml:space="preserve"> </w:t>
      </w:r>
      <w:r>
        <w:rPr>
          <w:rFonts w:hint="eastAsia"/>
        </w:rPr>
        <w:t>S</w:t>
      </w:r>
      <w:r>
        <w:t>iegmund-Schultze, VerwArch 73 (1982), 137 (143); Günther, NVwZ 1989, 837; Schnellenbach, NVwZ 1989, 4</w:t>
      </w:r>
      <w:r>
        <w:t>35.</w:t>
      </w:r>
    </w:p>
  </w:footnote>
  <w:footnote w:id="33">
    <w:p w:rsidR="00000000" w:rsidRDefault="000E136B">
      <w:pPr>
        <w:pStyle w:val="a6"/>
        <w:ind w:firstLine="360"/>
      </w:pPr>
      <w:r>
        <w:rPr>
          <w:rStyle w:val="a5"/>
        </w:rPr>
        <w:footnoteRef/>
      </w:r>
      <w:r>
        <w:t xml:space="preserve"> Günther, ZBR 1979, 93 (99).</w:t>
      </w:r>
    </w:p>
  </w:footnote>
  <w:footnote w:id="34">
    <w:p w:rsidR="00000000" w:rsidRDefault="000E136B">
      <w:pPr>
        <w:pStyle w:val="a6"/>
        <w:ind w:firstLine="360"/>
      </w:pPr>
      <w:r>
        <w:rPr>
          <w:rStyle w:val="a5"/>
        </w:rPr>
        <w:footnoteRef/>
      </w:r>
      <w:r>
        <w:t xml:space="preserve"> BayVGH, DVBl. 2000, 1140.</w:t>
      </w:r>
    </w:p>
  </w:footnote>
  <w:footnote w:id="35">
    <w:p w:rsidR="00000000" w:rsidRDefault="000E136B">
      <w:pPr>
        <w:pStyle w:val="a6"/>
        <w:ind w:firstLine="360"/>
      </w:pPr>
      <w:r>
        <w:rPr>
          <w:rStyle w:val="a5"/>
        </w:rPr>
        <w:footnoteRef/>
      </w:r>
      <w:r>
        <w:t xml:space="preserve"> Wilke, JZ 1980, 440 (441); </w:t>
      </w:r>
      <w:r>
        <w:rPr>
          <w:rFonts w:hint="eastAsia"/>
          <w:i/>
        </w:rPr>
        <w:t>H</w:t>
      </w:r>
      <w:r>
        <w:rPr>
          <w:i/>
        </w:rPr>
        <w:t>elmut Schnellenbach</w:t>
      </w:r>
      <w:r>
        <w:t>, Beamtenrecht in der Praxis, 5. Aufl., 2001, Rn. 66.</w:t>
      </w:r>
    </w:p>
  </w:footnote>
  <w:footnote w:id="36">
    <w:p w:rsidR="00000000" w:rsidRDefault="000E136B">
      <w:pPr>
        <w:pStyle w:val="a6"/>
        <w:ind w:firstLine="360"/>
      </w:pPr>
      <w:r>
        <w:rPr>
          <w:rStyle w:val="a5"/>
        </w:rPr>
        <w:footnoteRef/>
      </w:r>
      <w:r>
        <w:t xml:space="preserve"> BVerwGE 13, 17; BVerwG, NJW 1989, 538; </w:t>
      </w:r>
      <w:r>
        <w:rPr>
          <w:rFonts w:hint="eastAsia"/>
          <w:i/>
        </w:rPr>
        <w:t>H</w:t>
      </w:r>
      <w:r>
        <w:rPr>
          <w:i/>
        </w:rPr>
        <w:t>elmut Schnellenbach</w:t>
      </w:r>
      <w:r>
        <w:t>, NVwZ 1989, 435.</w:t>
      </w:r>
    </w:p>
  </w:footnote>
  <w:footnote w:id="37">
    <w:p w:rsidR="00000000" w:rsidRDefault="000E136B">
      <w:pPr>
        <w:pStyle w:val="a6"/>
        <w:ind w:firstLine="360"/>
      </w:pPr>
      <w:r>
        <w:rPr>
          <w:rStyle w:val="a5"/>
        </w:rPr>
        <w:footnoteRef/>
      </w:r>
      <w:r>
        <w:t xml:space="preserve"> BVerwGE 15</w:t>
      </w:r>
      <w:r>
        <w:t>, 3 (11); BVerwG, NJW 1992, 297.</w:t>
      </w:r>
    </w:p>
  </w:footnote>
  <w:footnote w:id="38">
    <w:p w:rsidR="00000000" w:rsidRDefault="000E136B">
      <w:pPr>
        <w:pStyle w:val="a6"/>
        <w:ind w:firstLine="360"/>
      </w:pPr>
      <w:r>
        <w:rPr>
          <w:rStyle w:val="a5"/>
        </w:rPr>
        <w:footnoteRef/>
      </w:r>
      <w:r>
        <w:t xml:space="preserve"> BVerwGE 80, 127; Weiß, ZBR 1989, 273 (275).</w:t>
      </w:r>
    </w:p>
  </w:footnote>
  <w:footnote w:id="39">
    <w:p w:rsidR="00000000" w:rsidRDefault="000E136B">
      <w:pPr>
        <w:pStyle w:val="a6"/>
        <w:ind w:firstLine="360"/>
      </w:pPr>
      <w:r>
        <w:rPr>
          <w:rStyle w:val="a5"/>
        </w:rPr>
        <w:footnoteRef/>
      </w:r>
      <w:r>
        <w:t xml:space="preserve"> BVerwG, DÖV 1964, 167, DVBl. 1968, 220, DVBl. 1973, 365; NVwZ 1983, 755 (756); </w:t>
      </w:r>
      <w:r>
        <w:rPr>
          <w:rFonts w:hint="eastAsia"/>
          <w:i/>
        </w:rPr>
        <w:t>H</w:t>
      </w:r>
      <w:r>
        <w:rPr>
          <w:i/>
        </w:rPr>
        <w:t>elmut Schnellenbach</w:t>
      </w:r>
      <w:r>
        <w:t>, DVBl. 1990, 140 (141).</w:t>
      </w:r>
    </w:p>
  </w:footnote>
  <w:footnote w:id="40">
    <w:p w:rsidR="00000000" w:rsidRDefault="000E136B">
      <w:pPr>
        <w:pStyle w:val="a6"/>
        <w:ind w:firstLine="360"/>
      </w:pPr>
      <w:r>
        <w:rPr>
          <w:rStyle w:val="a5"/>
        </w:rPr>
        <w:footnoteRef/>
      </w:r>
      <w:r>
        <w:t xml:space="preserve"> Günther, ZBR 1979, 93 (111 f.).</w:t>
      </w:r>
    </w:p>
  </w:footnote>
  <w:footnote w:id="41">
    <w:p w:rsidR="00000000" w:rsidRDefault="000E136B">
      <w:pPr>
        <w:pStyle w:val="a6"/>
        <w:ind w:firstLine="360"/>
        <w:rPr>
          <w:rFonts w:hint="eastAsia"/>
        </w:rPr>
      </w:pPr>
      <w:r>
        <w:rPr>
          <w:rStyle w:val="a5"/>
        </w:rPr>
        <w:footnoteRef/>
      </w:r>
      <w:r>
        <w:t xml:space="preserve"> </w:t>
      </w:r>
      <w:r>
        <w:rPr>
          <w:rFonts w:hint="eastAsia"/>
        </w:rPr>
        <w:t>請參閱德國公務員懲戒法</w:t>
      </w:r>
      <w:r>
        <w:t>(BDO</w:t>
      </w:r>
      <w:r>
        <w:t>)</w:t>
      </w:r>
      <w:r>
        <w:rPr>
          <w:rFonts w:hint="eastAsia"/>
        </w:rPr>
        <w:t>第十條第一項第一句規定。</w:t>
      </w:r>
    </w:p>
  </w:footnote>
  <w:footnote w:id="42">
    <w:p w:rsidR="00000000" w:rsidRDefault="000E136B">
      <w:pPr>
        <w:pStyle w:val="a6"/>
        <w:ind w:firstLine="360"/>
      </w:pPr>
      <w:r>
        <w:rPr>
          <w:rStyle w:val="a5"/>
        </w:rPr>
        <w:footnoteRef/>
      </w:r>
      <w:r>
        <w:t xml:space="preserve"> </w:t>
      </w:r>
      <w:r>
        <w:rPr>
          <w:rFonts w:hint="eastAsia"/>
        </w:rPr>
        <w:t>BV</w:t>
      </w:r>
      <w:r>
        <w:t>erwGE 65, 270, BVerwG, NVwZ-RR 1993, 420; ZBR 2000, 164.</w:t>
      </w:r>
    </w:p>
  </w:footnote>
  <w:footnote w:id="43">
    <w:p w:rsidR="00000000" w:rsidRDefault="000E136B">
      <w:pPr>
        <w:pStyle w:val="a6"/>
        <w:ind w:firstLine="360"/>
      </w:pPr>
      <w:r>
        <w:rPr>
          <w:rStyle w:val="a5"/>
        </w:rPr>
        <w:footnoteRef/>
      </w:r>
      <w:r>
        <w:t xml:space="preserve"> BVerwGE 65, 270 (275 f.).</w:t>
      </w:r>
    </w:p>
  </w:footnote>
  <w:footnote w:id="44">
    <w:p w:rsidR="00000000" w:rsidRDefault="000E136B">
      <w:pPr>
        <w:pStyle w:val="a6"/>
        <w:ind w:firstLine="360"/>
      </w:pPr>
      <w:r>
        <w:rPr>
          <w:rStyle w:val="a5"/>
        </w:rPr>
        <w:footnoteRef/>
      </w:r>
      <w:r>
        <w:t xml:space="preserve"> </w:t>
      </w:r>
      <w:r>
        <w:rPr>
          <w:rFonts w:hint="eastAsia"/>
          <w:i/>
        </w:rPr>
        <w:t>H</w:t>
      </w:r>
      <w:r>
        <w:rPr>
          <w:i/>
        </w:rPr>
        <w:t>elmut Schnellenbach</w:t>
      </w:r>
      <w:r>
        <w:t>, Beamtenrecht in der Praxis, 5. Aufl., 2001, Rn. 85.</w:t>
      </w:r>
    </w:p>
  </w:footnote>
  <w:footnote w:id="45">
    <w:p w:rsidR="00000000" w:rsidRDefault="000E136B">
      <w:pPr>
        <w:pStyle w:val="a6"/>
        <w:ind w:firstLine="360"/>
      </w:pPr>
      <w:r>
        <w:rPr>
          <w:rStyle w:val="a5"/>
        </w:rPr>
        <w:footnoteRef/>
      </w:r>
      <w:r>
        <w:t xml:space="preserve"> BVerwGE 60, 144; BVerwG, ZBR 1981, 339.</w:t>
      </w:r>
    </w:p>
  </w:footnote>
  <w:footnote w:id="46">
    <w:p w:rsidR="00000000" w:rsidRDefault="000E136B">
      <w:pPr>
        <w:pStyle w:val="a6"/>
        <w:ind w:firstLine="360"/>
        <w:rPr>
          <w:rFonts w:hint="eastAsia"/>
        </w:rPr>
      </w:pPr>
      <w:r>
        <w:rPr>
          <w:rStyle w:val="a5"/>
        </w:rPr>
        <w:footnoteRef/>
      </w:r>
      <w:r>
        <w:t xml:space="preserve"> </w:t>
      </w:r>
      <w:r>
        <w:t>請參閱李建良，〈論德國法官及檢察官之調職制度〉，《全國律師》，</w:t>
      </w:r>
      <w:r>
        <w:rPr>
          <w:rFonts w:hint="eastAsia"/>
        </w:rPr>
        <w:t>19</w:t>
      </w:r>
      <w:r>
        <w:rPr>
          <w:rFonts w:hint="eastAsia"/>
        </w:rPr>
        <w:t>97</w:t>
      </w:r>
      <w:r>
        <w:rPr>
          <w:rFonts w:hint="eastAsia"/>
        </w:rPr>
        <w:t>年</w:t>
      </w:r>
      <w:r>
        <w:t>3</w:t>
      </w:r>
      <w:r>
        <w:t>月，頁</w:t>
      </w:r>
      <w:r>
        <w:t>36</w:t>
      </w:r>
      <w:r>
        <w:rPr>
          <w:rFonts w:ascii="細明體" w:hAnsi="細明體" w:hint="eastAsia"/>
        </w:rPr>
        <w:t>。</w:t>
      </w:r>
    </w:p>
  </w:footnote>
  <w:footnote w:id="47">
    <w:p w:rsidR="00000000" w:rsidRDefault="000E136B">
      <w:pPr>
        <w:pStyle w:val="a6"/>
        <w:ind w:firstLine="360"/>
      </w:pPr>
      <w:r>
        <w:rPr>
          <w:rStyle w:val="a5"/>
        </w:rPr>
        <w:footnoteRef/>
      </w:r>
      <w:r>
        <w:t xml:space="preserve"> </w:t>
      </w:r>
      <w:r>
        <w:rPr>
          <w:rFonts w:hint="eastAsia"/>
          <w:i/>
        </w:rPr>
        <w:t>H</w:t>
      </w:r>
      <w:r>
        <w:rPr>
          <w:i/>
        </w:rPr>
        <w:t>elmut Schnellenbach</w:t>
      </w:r>
      <w:r>
        <w:t>, Beamtenrecht in der Praxis, 5. Aufl., 2001, Rn. 124.</w:t>
      </w:r>
    </w:p>
  </w:footnote>
  <w:footnote w:id="48">
    <w:p w:rsidR="00000000" w:rsidRDefault="000E136B">
      <w:pPr>
        <w:pStyle w:val="a6"/>
        <w:ind w:firstLine="360"/>
      </w:pPr>
      <w:r>
        <w:rPr>
          <w:rStyle w:val="a5"/>
        </w:rPr>
        <w:footnoteRef/>
      </w:r>
      <w:r>
        <w:t xml:space="preserve"> Beus/Bredendiek, ZBR 1997, 201 (203); Lecheler, ZBR 1997, 206 (210).</w:t>
      </w:r>
    </w:p>
  </w:footnote>
  <w:footnote w:id="49">
    <w:p w:rsidR="00000000" w:rsidRDefault="000E136B">
      <w:pPr>
        <w:pStyle w:val="a6"/>
        <w:ind w:firstLine="360"/>
      </w:pPr>
      <w:r>
        <w:rPr>
          <w:rStyle w:val="a5"/>
        </w:rPr>
        <w:footnoteRef/>
      </w:r>
      <w:r>
        <w:t xml:space="preserve"> </w:t>
      </w:r>
      <w:r>
        <w:rPr>
          <w:rFonts w:hint="eastAsia"/>
          <w:i/>
        </w:rPr>
        <w:t>H</w:t>
      </w:r>
      <w:r>
        <w:rPr>
          <w:i/>
        </w:rPr>
        <w:t>elmut Schnellenbach</w:t>
      </w:r>
      <w:r>
        <w:t>, Beamtenrecht in der Praxis, 5. Aufl., 2001, Rn. 137; Günther, ZBR 1978, 7</w:t>
      </w:r>
      <w:r>
        <w:t>3 (81 f.); BVerwGE 60, 144 (147).</w:t>
      </w:r>
    </w:p>
  </w:footnote>
  <w:footnote w:id="50">
    <w:p w:rsidR="00000000" w:rsidRDefault="000E136B">
      <w:pPr>
        <w:pStyle w:val="a6"/>
        <w:ind w:firstLine="360"/>
        <w:rPr>
          <w:rFonts w:hint="eastAsia"/>
        </w:rPr>
      </w:pPr>
      <w:r>
        <w:rPr>
          <w:rStyle w:val="a5"/>
        </w:rPr>
        <w:footnoteRef/>
      </w:r>
      <w:r>
        <w:t xml:space="preserve"> </w:t>
      </w:r>
      <w:r>
        <w:rPr>
          <w:rFonts w:hint="eastAsia"/>
        </w:rPr>
        <w:t>目前於部分邦公務員法已有所規定，例如布蘭登堡邦公務員法</w:t>
      </w:r>
      <w:r>
        <w:rPr>
          <w:rFonts w:hint="eastAsia"/>
        </w:rPr>
        <w:t>(Beamtengesetz f</w:t>
      </w:r>
      <w:r>
        <w:t>ü</w:t>
      </w:r>
      <w:r>
        <w:rPr>
          <w:rFonts w:hint="eastAsia"/>
        </w:rPr>
        <w:t>r das Land Brandenburg)</w:t>
      </w:r>
      <w:r>
        <w:rPr>
          <w:rFonts w:hint="eastAsia"/>
        </w:rPr>
        <w:t>第八十九條規定：「公務員得基於職務上或個人之理由，在同一職務單位之內，長期或暫時調動至其他職務</w:t>
      </w:r>
      <w:r>
        <w:rPr>
          <w:rFonts w:hint="eastAsia"/>
        </w:rPr>
        <w:t>(Dienstposten)</w:t>
      </w:r>
      <w:r>
        <w:rPr>
          <w:rFonts w:hint="eastAsia"/>
        </w:rPr>
        <w:t>（調職）。新職務之指派，僅能在該公務員之任職資歷</w:t>
      </w:r>
      <w:r>
        <w:rPr>
          <w:rFonts w:hint="eastAsia"/>
        </w:rPr>
        <w:t>(Laufbahn)</w:t>
      </w:r>
      <w:r>
        <w:rPr>
          <w:rFonts w:hint="eastAsia"/>
        </w:rPr>
        <w:t>內，且不改變其職位下，始得為之。於調職前應聽取該公務員之意見。但基於職務上之急迫原因無法為之者，不在此限。」</w:t>
      </w:r>
    </w:p>
  </w:footnote>
  <w:footnote w:id="51">
    <w:p w:rsidR="00000000" w:rsidRDefault="000E136B">
      <w:pPr>
        <w:pStyle w:val="a6"/>
        <w:ind w:firstLine="360"/>
      </w:pPr>
      <w:r>
        <w:rPr>
          <w:rStyle w:val="a5"/>
        </w:rPr>
        <w:footnoteRef/>
      </w:r>
      <w:r>
        <w:t xml:space="preserve"> </w:t>
      </w:r>
      <w:r>
        <w:rPr>
          <w:rFonts w:hint="eastAsia"/>
          <w:i/>
        </w:rPr>
        <w:t>H</w:t>
      </w:r>
      <w:r>
        <w:rPr>
          <w:i/>
        </w:rPr>
        <w:t>elmut Schnellenbach</w:t>
      </w:r>
      <w:r>
        <w:t>, Beamtenrecht in der Praxis, 5. Aufl., 2001, Rn. 1</w:t>
      </w:r>
      <w:r>
        <w:rPr>
          <w:rFonts w:hint="eastAsia"/>
        </w:rPr>
        <w:t>41</w:t>
      </w:r>
      <w:r>
        <w:t>.</w:t>
      </w:r>
    </w:p>
  </w:footnote>
  <w:footnote w:id="52">
    <w:p w:rsidR="00000000" w:rsidRDefault="000E136B">
      <w:pPr>
        <w:pStyle w:val="a6"/>
        <w:ind w:firstLine="360"/>
        <w:rPr>
          <w:rFonts w:hint="eastAsia"/>
        </w:rPr>
      </w:pPr>
      <w:r>
        <w:rPr>
          <w:rStyle w:val="a5"/>
        </w:rPr>
        <w:footnoteRef/>
      </w:r>
      <w:r>
        <w:t xml:space="preserve"> </w:t>
      </w:r>
      <w:r>
        <w:rPr>
          <w:rFonts w:hint="eastAsia"/>
        </w:rPr>
        <w:t>BVerwGE 60, 144.</w:t>
      </w:r>
    </w:p>
  </w:footnote>
  <w:footnote w:id="53">
    <w:p w:rsidR="00000000" w:rsidRDefault="000E136B">
      <w:pPr>
        <w:pStyle w:val="a6"/>
        <w:ind w:firstLine="360"/>
        <w:rPr>
          <w:rFonts w:hint="eastAsia"/>
        </w:rPr>
      </w:pPr>
      <w:r>
        <w:rPr>
          <w:rStyle w:val="a5"/>
        </w:rPr>
        <w:footnoteRef/>
      </w:r>
      <w:r>
        <w:t xml:space="preserve"> </w:t>
      </w:r>
      <w:r>
        <w:rPr>
          <w:rFonts w:hint="eastAsia"/>
        </w:rPr>
        <w:t>BVerwGE 89, 199; 98, 334.</w:t>
      </w:r>
    </w:p>
  </w:footnote>
  <w:footnote w:id="54">
    <w:p w:rsidR="00000000" w:rsidRDefault="000E136B">
      <w:pPr>
        <w:pStyle w:val="a6"/>
        <w:ind w:firstLine="360"/>
        <w:rPr>
          <w:rFonts w:hint="eastAsia"/>
        </w:rPr>
      </w:pPr>
      <w:r>
        <w:rPr>
          <w:rStyle w:val="a5"/>
        </w:rPr>
        <w:footnoteRef/>
      </w:r>
      <w:r>
        <w:t xml:space="preserve"> </w:t>
      </w:r>
      <w:r>
        <w:rPr>
          <w:rFonts w:hint="eastAsia"/>
        </w:rPr>
        <w:t>BVerwGE 60, 144 (150); 65, 270; 87, 310 (315); 89, 199.</w:t>
      </w:r>
    </w:p>
  </w:footnote>
  <w:footnote w:id="55">
    <w:p w:rsidR="00000000" w:rsidRDefault="000E136B">
      <w:pPr>
        <w:pStyle w:val="a6"/>
        <w:ind w:firstLine="360"/>
        <w:rPr>
          <w:rFonts w:hint="eastAsia"/>
        </w:rPr>
      </w:pPr>
      <w:r>
        <w:rPr>
          <w:rStyle w:val="a5"/>
        </w:rPr>
        <w:footnoteRef/>
      </w:r>
      <w:r>
        <w:t xml:space="preserve"> </w:t>
      </w:r>
      <w:r>
        <w:rPr>
          <w:rFonts w:hint="eastAsia"/>
        </w:rPr>
        <w:t>Battis, NVwZ 1982, 87 (88).</w:t>
      </w:r>
    </w:p>
  </w:footnote>
  <w:footnote w:id="56">
    <w:p w:rsidR="00000000" w:rsidRDefault="000E136B">
      <w:pPr>
        <w:pStyle w:val="a6"/>
        <w:ind w:firstLine="360"/>
        <w:rPr>
          <w:rFonts w:hint="eastAsia"/>
        </w:rPr>
      </w:pPr>
      <w:r>
        <w:rPr>
          <w:rStyle w:val="a5"/>
        </w:rPr>
        <w:footnoteRef/>
      </w:r>
      <w:r>
        <w:t xml:space="preserve"> </w:t>
      </w:r>
      <w:r>
        <w:rPr>
          <w:rFonts w:hint="eastAsia"/>
        </w:rPr>
        <w:t>BVerwGE 60, 144.</w:t>
      </w:r>
    </w:p>
  </w:footnote>
  <w:footnote w:id="57">
    <w:p w:rsidR="00000000" w:rsidRDefault="000E136B">
      <w:pPr>
        <w:pStyle w:val="a6"/>
        <w:ind w:firstLine="360"/>
        <w:rPr>
          <w:rFonts w:hint="eastAsia"/>
        </w:rPr>
      </w:pPr>
      <w:r>
        <w:rPr>
          <w:rStyle w:val="a5"/>
        </w:rPr>
        <w:footnoteRef/>
      </w:r>
      <w:r>
        <w:t xml:space="preserve"> </w:t>
      </w:r>
      <w:r>
        <w:rPr>
          <w:rFonts w:hint="eastAsia"/>
        </w:rPr>
        <w:t>BVerwGE 60, 144; 65, 270 (</w:t>
      </w:r>
      <w:r>
        <w:rPr>
          <w:rFonts w:hint="eastAsia"/>
        </w:rPr>
        <w:t>273); 69, 307.</w:t>
      </w:r>
    </w:p>
  </w:footnote>
  <w:footnote w:id="58">
    <w:p w:rsidR="00000000" w:rsidRDefault="000E136B">
      <w:pPr>
        <w:pStyle w:val="a6"/>
        <w:ind w:firstLine="360"/>
        <w:rPr>
          <w:rFonts w:hint="eastAsia"/>
        </w:rPr>
      </w:pPr>
      <w:r>
        <w:rPr>
          <w:rStyle w:val="a5"/>
        </w:rPr>
        <w:footnoteRef/>
      </w:r>
      <w:r>
        <w:t xml:space="preserve"> </w:t>
      </w:r>
      <w:r>
        <w:rPr>
          <w:rFonts w:hint="eastAsia"/>
        </w:rPr>
        <w:t>BVerwGE 49, 64 (67 f.); 60, 144 (150); 65, 270 (273); 87, 310 (315).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36B">
    <w:pPr>
      <w:pStyle w:val="af"/>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36B">
    <w:pPr>
      <w:pStyle w:val="af"/>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E136B">
    <w:pPr>
      <w:pStyle w:val="af"/>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758"/>
    <w:multiLevelType w:val="hybridMultilevel"/>
    <w:tmpl w:val="0156BE90"/>
    <w:lvl w:ilvl="0">
      <w:start w:val="1"/>
      <w:numFmt w:val="ideographLegalTraditional"/>
      <w:lvlText w:val="%1、"/>
      <w:lvlJc w:val="left"/>
      <w:pPr>
        <w:tabs>
          <w:tab w:val="num" w:pos="645"/>
        </w:tabs>
        <w:ind w:left="645" w:hanging="645"/>
      </w:pPr>
      <w:rPr>
        <w:rFonts w:hint="eastAsia"/>
      </w:rPr>
    </w:lvl>
    <w:lvl w:ilvl="1">
      <w:start w:val="1"/>
      <w:numFmt w:val="taiwaneseCountingThousand"/>
      <w:lvlText w:val="%2、"/>
      <w:lvlJc w:val="left"/>
      <w:pPr>
        <w:tabs>
          <w:tab w:val="num" w:pos="1200"/>
        </w:tabs>
        <w:ind w:left="1200" w:hanging="72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 w15:restartNumberingAfterBreak="0">
    <w:nsid w:val="0ABC0C2E"/>
    <w:multiLevelType w:val="hybridMultilevel"/>
    <w:tmpl w:val="17A6974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 w15:restartNumberingAfterBreak="0">
    <w:nsid w:val="0BBB4183"/>
    <w:multiLevelType w:val="hybridMultilevel"/>
    <w:tmpl w:val="283CFC22"/>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 w15:restartNumberingAfterBreak="0">
    <w:nsid w:val="0CBD683E"/>
    <w:multiLevelType w:val="hybridMultilevel"/>
    <w:tmpl w:val="D1482D9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4" w15:restartNumberingAfterBreak="0">
    <w:nsid w:val="0FC659AD"/>
    <w:multiLevelType w:val="hybridMultilevel"/>
    <w:tmpl w:val="D974EF28"/>
    <w:lvl w:ilvl="0">
      <w:start w:val="1"/>
      <w:numFmt w:val="taiwaneseCountingThousand"/>
      <w:lvlText w:val="%1、"/>
      <w:lvlJc w:val="left"/>
      <w:pPr>
        <w:tabs>
          <w:tab w:val="num" w:pos="945"/>
        </w:tabs>
        <w:ind w:left="945" w:hanging="46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5" w15:restartNumberingAfterBreak="0">
    <w:nsid w:val="12C23FF6"/>
    <w:multiLevelType w:val="hybridMultilevel"/>
    <w:tmpl w:val="1584F1B0"/>
    <w:lvl w:ilvl="0">
      <w:start w:val="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6" w15:restartNumberingAfterBreak="0">
    <w:nsid w:val="17246AE8"/>
    <w:multiLevelType w:val="hybridMultilevel"/>
    <w:tmpl w:val="0B54F83E"/>
    <w:lvl w:ilvl="0">
      <w:start w:val="2"/>
      <w:numFmt w:val="taiwaneseCountingThousand"/>
      <w:lvlText w:val="第%1項"/>
      <w:lvlJc w:val="left"/>
      <w:pPr>
        <w:tabs>
          <w:tab w:val="num" w:pos="855"/>
        </w:tabs>
        <w:ind w:left="855" w:hanging="85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7" w15:restartNumberingAfterBreak="0">
    <w:nsid w:val="1A55653C"/>
    <w:multiLevelType w:val="hybridMultilevel"/>
    <w:tmpl w:val="663C851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8" w15:restartNumberingAfterBreak="0">
    <w:nsid w:val="1C9E158B"/>
    <w:multiLevelType w:val="hybridMultilevel"/>
    <w:tmpl w:val="4768BB62"/>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9" w15:restartNumberingAfterBreak="0">
    <w:nsid w:val="1D613FA6"/>
    <w:multiLevelType w:val="hybridMultilevel"/>
    <w:tmpl w:val="A0A6A284"/>
    <w:lvl w:ilvl="0">
      <w:start w:val="1"/>
      <w:numFmt w:val="taiwaneseCountingThousand"/>
      <w:lvlText w:val="%1、"/>
      <w:lvlJc w:val="left"/>
      <w:pPr>
        <w:tabs>
          <w:tab w:val="num" w:pos="1425"/>
        </w:tabs>
        <w:ind w:left="1425" w:hanging="945"/>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0" w15:restartNumberingAfterBreak="0">
    <w:nsid w:val="1F606DC4"/>
    <w:multiLevelType w:val="singleLevel"/>
    <w:tmpl w:val="91281C34"/>
    <w:lvl w:ilvl="0">
      <w:start w:val="1"/>
      <w:numFmt w:val="taiwaneseCountingThousand"/>
      <w:lvlText w:val="%1、"/>
      <w:lvlJc w:val="left"/>
      <w:pPr>
        <w:tabs>
          <w:tab w:val="num" w:pos="480"/>
        </w:tabs>
        <w:ind w:left="480" w:hanging="480"/>
      </w:pPr>
      <w:rPr>
        <w:rFonts w:hint="eastAsia"/>
      </w:rPr>
    </w:lvl>
  </w:abstractNum>
  <w:abstractNum w:abstractNumId="11" w15:restartNumberingAfterBreak="0">
    <w:nsid w:val="27F64AF4"/>
    <w:multiLevelType w:val="hybridMultilevel"/>
    <w:tmpl w:val="3C4A7670"/>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2" w15:restartNumberingAfterBreak="0">
    <w:nsid w:val="2A9664A4"/>
    <w:multiLevelType w:val="hybridMultilevel"/>
    <w:tmpl w:val="5E7662C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3" w15:restartNumberingAfterBreak="0">
    <w:nsid w:val="2B977AC4"/>
    <w:multiLevelType w:val="hybridMultilevel"/>
    <w:tmpl w:val="DB7E0284"/>
    <w:lvl w:ilvl="0">
      <w:start w:val="1"/>
      <w:numFmt w:val="taiwaneseCountingThousand"/>
      <w:lvlText w:val="%1、"/>
      <w:lvlJc w:val="left"/>
      <w:pPr>
        <w:tabs>
          <w:tab w:val="num" w:pos="1440"/>
        </w:tabs>
        <w:ind w:left="1440" w:hanging="9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4" w15:restartNumberingAfterBreak="0">
    <w:nsid w:val="2EDB3283"/>
    <w:multiLevelType w:val="hybridMultilevel"/>
    <w:tmpl w:val="ED987A96"/>
    <w:lvl w:ilvl="0">
      <w:start w:val="2"/>
      <w:numFmt w:val="taiwaneseCountingThousand"/>
      <w:lvlText w:val="%1、"/>
      <w:lvlJc w:val="left"/>
      <w:pPr>
        <w:tabs>
          <w:tab w:val="num" w:pos="945"/>
        </w:tabs>
        <w:ind w:left="945" w:hanging="465"/>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5" w15:restartNumberingAfterBreak="0">
    <w:nsid w:val="2F3713EF"/>
    <w:multiLevelType w:val="hybridMultilevel"/>
    <w:tmpl w:val="534E3A1A"/>
    <w:lvl w:ilvl="0">
      <w:start w:val="1"/>
      <w:numFmt w:val="taiwaneseCountingThousand"/>
      <w:lvlText w:val="（%1）"/>
      <w:lvlJc w:val="left"/>
      <w:pPr>
        <w:tabs>
          <w:tab w:val="num" w:pos="855"/>
        </w:tabs>
        <w:ind w:left="855" w:hanging="85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6" w15:restartNumberingAfterBreak="0">
    <w:nsid w:val="31710BA8"/>
    <w:multiLevelType w:val="hybridMultilevel"/>
    <w:tmpl w:val="687E420A"/>
    <w:lvl w:ilvl="0">
      <w:start w:val="1"/>
      <w:numFmt w:val="taiwaneseCountingThousand"/>
      <w:lvlText w:val="%1、"/>
      <w:lvlJc w:val="left"/>
      <w:pPr>
        <w:tabs>
          <w:tab w:val="num" w:pos="465"/>
        </w:tabs>
        <w:ind w:left="465" w:hanging="465"/>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 w15:restartNumberingAfterBreak="0">
    <w:nsid w:val="31802FC7"/>
    <w:multiLevelType w:val="hybridMultilevel"/>
    <w:tmpl w:val="7F344D4E"/>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8" w15:restartNumberingAfterBreak="0">
    <w:nsid w:val="39523250"/>
    <w:multiLevelType w:val="hybridMultilevel"/>
    <w:tmpl w:val="43545364"/>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19" w15:restartNumberingAfterBreak="0">
    <w:nsid w:val="3AC67EDA"/>
    <w:multiLevelType w:val="hybridMultilevel"/>
    <w:tmpl w:val="650278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0" w15:restartNumberingAfterBreak="0">
    <w:nsid w:val="3BD17ADC"/>
    <w:multiLevelType w:val="hybridMultilevel"/>
    <w:tmpl w:val="6B3A16EC"/>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1" w15:restartNumberingAfterBreak="0">
    <w:nsid w:val="42C40DA3"/>
    <w:multiLevelType w:val="hybridMultilevel"/>
    <w:tmpl w:val="FE98A040"/>
    <w:lvl w:ilvl="0">
      <w:start w:val="3"/>
      <w:numFmt w:val="ideographLegalTraditional"/>
      <w:lvlText w:val="%1、"/>
      <w:lvlJc w:val="left"/>
      <w:pPr>
        <w:tabs>
          <w:tab w:val="num" w:pos="720"/>
        </w:tabs>
        <w:ind w:left="720" w:hanging="7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2" w15:restartNumberingAfterBreak="0">
    <w:nsid w:val="43A14C13"/>
    <w:multiLevelType w:val="hybridMultilevel"/>
    <w:tmpl w:val="54D85972"/>
    <w:lvl w:ilvl="0">
      <w:start w:val="1"/>
      <w:numFmt w:val="ideographLegalTraditional"/>
      <w:lvlText w:val="%1、"/>
      <w:lvlJc w:val="left"/>
      <w:pPr>
        <w:tabs>
          <w:tab w:val="num" w:pos="570"/>
        </w:tabs>
        <w:ind w:left="570" w:hanging="57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3" w15:restartNumberingAfterBreak="0">
    <w:nsid w:val="45242DDB"/>
    <w:multiLevelType w:val="hybridMultilevel"/>
    <w:tmpl w:val="D0861CAA"/>
    <w:lvl w:ilvl="0">
      <w:start w:val="1"/>
      <w:numFmt w:val="decimal"/>
      <w:lvlText w:val="%1."/>
      <w:lvlJc w:val="left"/>
      <w:pPr>
        <w:tabs>
          <w:tab w:val="num" w:pos="840"/>
        </w:tabs>
        <w:ind w:left="840" w:hanging="360"/>
      </w:pPr>
      <w:rPr>
        <w:rFonts w:hint="default"/>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4" w15:restartNumberingAfterBreak="0">
    <w:nsid w:val="460446A2"/>
    <w:multiLevelType w:val="hybridMultilevel"/>
    <w:tmpl w:val="D6D0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200B22"/>
    <w:multiLevelType w:val="singleLevel"/>
    <w:tmpl w:val="8028EFD6"/>
    <w:lvl w:ilvl="0">
      <w:start w:val="1"/>
      <w:numFmt w:val="decimal"/>
      <w:lvlText w:val="%1."/>
      <w:lvlJc w:val="left"/>
      <w:pPr>
        <w:tabs>
          <w:tab w:val="num" w:pos="782"/>
        </w:tabs>
        <w:ind w:left="782" w:hanging="300"/>
      </w:pPr>
      <w:rPr>
        <w:rFonts w:hint="eastAsia"/>
      </w:rPr>
    </w:lvl>
  </w:abstractNum>
  <w:abstractNum w:abstractNumId="26" w15:restartNumberingAfterBreak="0">
    <w:nsid w:val="4BC17B7D"/>
    <w:multiLevelType w:val="hybridMultilevel"/>
    <w:tmpl w:val="B7CCC152"/>
    <w:lvl w:ilvl="0">
      <w:start w:val="1"/>
      <w:numFmt w:val="decimal"/>
      <w:lvlText w:val="%1)"/>
      <w:lvlJc w:val="left"/>
      <w:pPr>
        <w:tabs>
          <w:tab w:val="num" w:pos="840"/>
        </w:tabs>
        <w:ind w:left="840" w:hanging="360"/>
      </w:pPr>
      <w:rPr>
        <w:rFonts w:hint="default"/>
      </w:rPr>
    </w:lvl>
    <w:lvl w:ilvl="1">
      <w:start w:val="1"/>
      <w:numFmt w:val="taiwaneseCountingThousand"/>
      <w:lvlText w:val="%2、"/>
      <w:lvlJc w:val="left"/>
      <w:pPr>
        <w:tabs>
          <w:tab w:val="num" w:pos="1440"/>
        </w:tabs>
        <w:ind w:left="1440" w:hanging="480"/>
      </w:pPr>
      <w:rPr>
        <w:rFonts w:hint="default"/>
      </w:r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7" w15:restartNumberingAfterBreak="0">
    <w:nsid w:val="529B490F"/>
    <w:multiLevelType w:val="hybridMultilevel"/>
    <w:tmpl w:val="14DEF160"/>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8" w15:restartNumberingAfterBreak="0">
    <w:nsid w:val="5D6D5D64"/>
    <w:multiLevelType w:val="hybridMultilevel"/>
    <w:tmpl w:val="7A08ED48"/>
    <w:lvl w:ilvl="0">
      <w:start w:val="1"/>
      <w:numFmt w:val="taiwaneseCountingThousand"/>
      <w:lvlText w:val="%1、"/>
      <w:lvlJc w:val="left"/>
      <w:pPr>
        <w:tabs>
          <w:tab w:val="num" w:pos="960"/>
        </w:tabs>
        <w:ind w:left="960" w:hanging="48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29" w15:restartNumberingAfterBreak="0">
    <w:nsid w:val="654A1067"/>
    <w:multiLevelType w:val="hybridMultilevel"/>
    <w:tmpl w:val="261EDB22"/>
    <w:lvl w:ilvl="0">
      <w:start w:val="1"/>
      <w:numFmt w:val="taiwaneseCountingThousand"/>
      <w:lvlText w:val="(%1)"/>
      <w:lvlJc w:val="left"/>
      <w:pPr>
        <w:tabs>
          <w:tab w:val="num" w:pos="870"/>
        </w:tabs>
        <w:ind w:left="870" w:hanging="39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30" w15:restartNumberingAfterBreak="0">
    <w:nsid w:val="68694BFD"/>
    <w:multiLevelType w:val="hybridMultilevel"/>
    <w:tmpl w:val="084C87D6"/>
    <w:lvl w:ilvl="0">
      <w:start w:val="1"/>
      <w:numFmt w:val="decimal"/>
      <w:lvlText w:val="%1."/>
      <w:lvlJc w:val="left"/>
      <w:pPr>
        <w:tabs>
          <w:tab w:val="num" w:pos="360"/>
        </w:tabs>
        <w:ind w:left="360" w:hanging="360"/>
      </w:pPr>
      <w:rPr>
        <w:rFonts w:ascii="Times New Roman"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1" w15:restartNumberingAfterBreak="0">
    <w:nsid w:val="72CD7DFC"/>
    <w:multiLevelType w:val="hybridMultilevel"/>
    <w:tmpl w:val="B1F22652"/>
    <w:lvl w:ilvl="0">
      <w:start w:val="1"/>
      <w:numFmt w:val="taiwaneseCountingThousand"/>
      <w:lvlText w:val="%1、"/>
      <w:lvlJc w:val="left"/>
      <w:pPr>
        <w:tabs>
          <w:tab w:val="num" w:pos="600"/>
        </w:tabs>
        <w:ind w:left="600" w:hanging="60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2" w15:restartNumberingAfterBreak="0">
    <w:nsid w:val="7312589C"/>
    <w:multiLevelType w:val="hybridMultilevel"/>
    <w:tmpl w:val="C0F29670"/>
    <w:lvl w:ilvl="0">
      <w:start w:val="1"/>
      <w:numFmt w:val="ideographLegalTraditional"/>
      <w:lvlText w:val="%1、"/>
      <w:lvlJc w:val="left"/>
      <w:pPr>
        <w:tabs>
          <w:tab w:val="num" w:pos="480"/>
        </w:tabs>
        <w:ind w:left="480" w:hanging="48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3" w15:restartNumberingAfterBreak="0">
    <w:nsid w:val="7C064226"/>
    <w:multiLevelType w:val="hybridMultilevel"/>
    <w:tmpl w:val="57F269FE"/>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34" w15:restartNumberingAfterBreak="0">
    <w:nsid w:val="7F5819DD"/>
    <w:multiLevelType w:val="hybridMultilevel"/>
    <w:tmpl w:val="B78C0FD2"/>
    <w:lvl w:ilvl="0">
      <w:start w:val="1"/>
      <w:numFmt w:val="ideographLegalTraditional"/>
      <w:lvlText w:val="%1、"/>
      <w:lvlJc w:val="left"/>
      <w:pPr>
        <w:tabs>
          <w:tab w:val="num" w:pos="645"/>
        </w:tabs>
        <w:ind w:left="645" w:hanging="645"/>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8"/>
  </w:num>
  <w:num w:numId="2">
    <w:abstractNumId w:val="11"/>
  </w:num>
  <w:num w:numId="3">
    <w:abstractNumId w:val="31"/>
  </w:num>
  <w:num w:numId="4">
    <w:abstractNumId w:val="7"/>
  </w:num>
  <w:num w:numId="5">
    <w:abstractNumId w:val="13"/>
  </w:num>
  <w:num w:numId="6">
    <w:abstractNumId w:val="30"/>
  </w:num>
  <w:num w:numId="7">
    <w:abstractNumId w:val="18"/>
  </w:num>
  <w:num w:numId="8">
    <w:abstractNumId w:val="15"/>
  </w:num>
  <w:num w:numId="9">
    <w:abstractNumId w:val="34"/>
  </w:num>
  <w:num w:numId="10">
    <w:abstractNumId w:val="20"/>
  </w:num>
  <w:num w:numId="11">
    <w:abstractNumId w:val="19"/>
  </w:num>
  <w:num w:numId="12">
    <w:abstractNumId w:val="23"/>
  </w:num>
  <w:num w:numId="13">
    <w:abstractNumId w:val="33"/>
  </w:num>
  <w:num w:numId="14">
    <w:abstractNumId w:val="29"/>
  </w:num>
  <w:num w:numId="15">
    <w:abstractNumId w:val="12"/>
  </w:num>
  <w:num w:numId="16">
    <w:abstractNumId w:val="0"/>
  </w:num>
  <w:num w:numId="17">
    <w:abstractNumId w:val="28"/>
  </w:num>
  <w:num w:numId="18">
    <w:abstractNumId w:val="27"/>
  </w:num>
  <w:num w:numId="19">
    <w:abstractNumId w:val="5"/>
  </w:num>
  <w:num w:numId="20">
    <w:abstractNumId w:val="26"/>
  </w:num>
  <w:num w:numId="21">
    <w:abstractNumId w:val="2"/>
  </w:num>
  <w:num w:numId="22">
    <w:abstractNumId w:val="17"/>
  </w:num>
  <w:num w:numId="23">
    <w:abstractNumId w:val="24"/>
  </w:num>
  <w:num w:numId="24">
    <w:abstractNumId w:val="3"/>
  </w:num>
  <w:num w:numId="25">
    <w:abstractNumId w:val="21"/>
  </w:num>
  <w:num w:numId="26">
    <w:abstractNumId w:val="14"/>
  </w:num>
  <w:num w:numId="27">
    <w:abstractNumId w:val="9"/>
  </w:num>
  <w:num w:numId="28">
    <w:abstractNumId w:val="1"/>
  </w:num>
  <w:num w:numId="29">
    <w:abstractNumId w:val="4"/>
  </w:num>
  <w:num w:numId="30">
    <w:abstractNumId w:val="16"/>
  </w:num>
  <w:num w:numId="31">
    <w:abstractNumId w:val="10"/>
  </w:num>
  <w:num w:numId="32">
    <w:abstractNumId w:val="25"/>
  </w:num>
  <w:num w:numId="33">
    <w:abstractNumId w:val="6"/>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00E"/>
    <w:rsid w:val="000E136B"/>
    <w:rsid w:val="008010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33DCE8-6C43-40CE-8C0F-932CD07B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rPr>
  </w:style>
  <w:style w:type="paragraph" w:styleId="1">
    <w:name w:val="heading 1"/>
    <w:basedOn w:val="a"/>
    <w:next w:val="a"/>
    <w:qFormat/>
    <w:pPr>
      <w:autoSpaceDE w:val="0"/>
      <w:autoSpaceDN w:val="0"/>
      <w:adjustRightInd w:val="0"/>
      <w:spacing w:before="120" w:after="120" w:line="360" w:lineRule="atLeast"/>
      <w:ind w:firstLineChars="0" w:firstLine="0"/>
      <w:textAlignment w:val="baseline"/>
      <w:outlineLvl w:val="0"/>
    </w:pPr>
    <w:rPr>
      <w:rFonts w:ascii="標楷體" w:eastAsia="標楷體"/>
      <w:b/>
      <w:kern w:val="0"/>
      <w:sz w:val="36"/>
    </w:rPr>
  </w:style>
  <w:style w:type="paragraph" w:styleId="2">
    <w:name w:val="heading 2"/>
    <w:basedOn w:val="a"/>
    <w:next w:val="a0"/>
    <w:qFormat/>
    <w:pPr>
      <w:autoSpaceDE w:val="0"/>
      <w:autoSpaceDN w:val="0"/>
      <w:adjustRightInd w:val="0"/>
      <w:spacing w:before="120" w:after="120" w:line="360" w:lineRule="atLeast"/>
      <w:ind w:firstLineChars="0" w:firstLine="0"/>
      <w:textAlignment w:val="baseline"/>
      <w:outlineLvl w:val="1"/>
    </w:pPr>
    <w:rPr>
      <w:rFonts w:eastAsia="標楷體"/>
      <w:b/>
      <w:kern w:val="0"/>
      <w:sz w:val="32"/>
    </w:rPr>
  </w:style>
  <w:style w:type="paragraph" w:styleId="3">
    <w:name w:val="heading 3"/>
    <w:basedOn w:val="a"/>
    <w:next w:val="a0"/>
    <w:qFormat/>
    <w:pPr>
      <w:widowControl/>
      <w:autoSpaceDE w:val="0"/>
      <w:autoSpaceDN w:val="0"/>
      <w:adjustRightInd w:val="0"/>
      <w:spacing w:before="120" w:after="120" w:line="360" w:lineRule="atLeast"/>
      <w:ind w:firstLineChars="0" w:firstLine="0"/>
      <w:textAlignment w:val="baseline"/>
      <w:outlineLvl w:val="2"/>
    </w:pPr>
    <w:rPr>
      <w:rFonts w:eastAsia="標楷體"/>
      <w:b/>
      <w:kern w:val="0"/>
      <w:sz w:val="28"/>
      <w:szCs w:val="28"/>
    </w:rPr>
  </w:style>
  <w:style w:type="paragraph" w:styleId="4">
    <w:name w:val="heading 4"/>
    <w:basedOn w:val="a"/>
    <w:next w:val="a0"/>
    <w:qFormat/>
    <w:pPr>
      <w:autoSpaceDE w:val="0"/>
      <w:autoSpaceDN w:val="0"/>
      <w:adjustRightInd w:val="0"/>
      <w:spacing w:before="240" w:after="240" w:line="360" w:lineRule="atLeast"/>
      <w:ind w:firstLineChars="0" w:firstLine="0"/>
      <w:textAlignment w:val="baseline"/>
      <w:outlineLvl w:val="3"/>
    </w:pPr>
    <w:rPr>
      <w:rFonts w:eastAsia="細明體"/>
      <w:b/>
      <w:kern w:val="0"/>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題目"/>
    <w:basedOn w:val="a"/>
    <w:pPr>
      <w:autoSpaceDE w:val="0"/>
      <w:autoSpaceDN w:val="0"/>
      <w:adjustRightInd w:val="0"/>
      <w:spacing w:before="60" w:after="60" w:line="360" w:lineRule="atLeast"/>
      <w:ind w:firstLineChars="0" w:firstLine="0"/>
      <w:jc w:val="center"/>
      <w:textAlignment w:val="baseline"/>
    </w:pPr>
    <w:rPr>
      <w:rFonts w:ascii="細明體" w:eastAsia="細明體"/>
      <w:b/>
      <w:kern w:val="0"/>
      <w:sz w:val="40"/>
    </w:rPr>
  </w:style>
  <w:style w:type="character" w:styleId="a5">
    <w:name w:val="footnote reference"/>
    <w:basedOn w:val="a1"/>
    <w:semiHidden/>
    <w:rPr>
      <w:position w:val="6"/>
      <w:sz w:val="18"/>
    </w:rPr>
  </w:style>
  <w:style w:type="paragraph" w:styleId="a6">
    <w:name w:val="footnote text"/>
    <w:basedOn w:val="a"/>
    <w:semiHidden/>
    <w:pPr>
      <w:adjustRightInd w:val="0"/>
      <w:spacing w:before="60" w:after="60" w:line="360" w:lineRule="atLeast"/>
      <w:ind w:firstLine="482"/>
      <w:textAlignment w:val="baseline"/>
    </w:pPr>
    <w:rPr>
      <w:rFonts w:eastAsia="細明體"/>
      <w:kern w:val="0"/>
      <w:sz w:val="20"/>
    </w:rPr>
  </w:style>
  <w:style w:type="paragraph" w:customStyle="1" w:styleId="a7">
    <w:name w:val="作者"/>
    <w:basedOn w:val="a"/>
    <w:pPr>
      <w:adjustRightInd w:val="0"/>
      <w:spacing w:before="60" w:after="60" w:line="360" w:lineRule="atLeast"/>
      <w:jc w:val="center"/>
      <w:textAlignment w:val="baseline"/>
    </w:pPr>
    <w:rPr>
      <w:rFonts w:eastAsia="細明體"/>
      <w:b/>
      <w:kern w:val="0"/>
    </w:rPr>
  </w:style>
  <w:style w:type="paragraph" w:styleId="a0">
    <w:name w:val="Normal Indent"/>
    <w:basedOn w:val="a"/>
    <w:semiHidden/>
  </w:style>
  <w:style w:type="paragraph" w:styleId="a8">
    <w:name w:val="footer"/>
    <w:basedOn w:val="a"/>
    <w:semiHidden/>
    <w:pPr>
      <w:tabs>
        <w:tab w:val="center" w:pos="4153"/>
        <w:tab w:val="right" w:pos="8306"/>
      </w:tabs>
      <w:snapToGrid w:val="0"/>
    </w:pPr>
    <w:rPr>
      <w:sz w:val="20"/>
    </w:rPr>
  </w:style>
  <w:style w:type="character" w:styleId="a9">
    <w:name w:val="page number"/>
    <w:basedOn w:val="a1"/>
    <w:semiHidden/>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細明體" w:eastAsia="細明體" w:hAnsi="Courier New" w:cs="華康楷書體W5"/>
      <w:kern w:val="0"/>
      <w:sz w:val="20"/>
    </w:rPr>
  </w:style>
  <w:style w:type="character" w:styleId="aa">
    <w:name w:val="Hyperlink"/>
    <w:basedOn w:val="a1"/>
    <w:semiHidden/>
    <w:rPr>
      <w:color w:val="0000FF"/>
      <w:u w:val="single"/>
    </w:rPr>
  </w:style>
  <w:style w:type="paragraph" w:styleId="Web">
    <w:name w:val="Normal (Web)"/>
    <w:basedOn w:val="a"/>
    <w:semiHidden/>
    <w:pPr>
      <w:widowControl/>
      <w:spacing w:before="100" w:beforeAutospacing="1" w:after="100" w:afterAutospacing="1"/>
      <w:ind w:firstLineChars="0" w:firstLine="0"/>
      <w:jc w:val="left"/>
    </w:pPr>
    <w:rPr>
      <w:rFonts w:ascii="Arial Unicode MS" w:eastAsia="Arial Unicode MS" w:hAnsi="Arial Unicode MS" w:cs="Courier New"/>
      <w:kern w:val="0"/>
      <w:szCs w:val="24"/>
    </w:rPr>
  </w:style>
  <w:style w:type="character" w:styleId="ab">
    <w:name w:val="FollowedHyperlink"/>
    <w:basedOn w:val="a1"/>
    <w:semiHidden/>
    <w:rPr>
      <w:color w:val="800080"/>
      <w:u w:val="single"/>
    </w:rPr>
  </w:style>
  <w:style w:type="paragraph" w:styleId="ac">
    <w:name w:val="Body Text Indent"/>
    <w:basedOn w:val="a"/>
    <w:semiHidden/>
    <w:pPr>
      <w:ind w:firstLine="480"/>
    </w:pPr>
  </w:style>
  <w:style w:type="paragraph" w:styleId="10">
    <w:name w:val="toc 1"/>
    <w:basedOn w:val="a"/>
    <w:next w:val="a"/>
    <w:autoRedefine/>
    <w:semiHidden/>
  </w:style>
  <w:style w:type="paragraph" w:styleId="20">
    <w:name w:val="toc 2"/>
    <w:basedOn w:val="a"/>
    <w:next w:val="a"/>
    <w:autoRedefine/>
    <w:semiHidden/>
    <w:pPr>
      <w:ind w:leftChars="200" w:left="480"/>
    </w:pPr>
  </w:style>
  <w:style w:type="paragraph" w:styleId="30">
    <w:name w:val="toc 3"/>
    <w:basedOn w:val="a"/>
    <w:next w:val="a"/>
    <w:autoRedefine/>
    <w:semiHidden/>
    <w:pPr>
      <w:tabs>
        <w:tab w:val="right" w:leader="dot" w:pos="8296"/>
      </w:tabs>
      <w:ind w:left="2291" w:hanging="851"/>
    </w:pPr>
    <w:rPr>
      <w:noProof/>
    </w:rPr>
  </w:style>
  <w:style w:type="paragraph" w:styleId="40">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paragraph" w:styleId="ad">
    <w:name w:val="Salutation"/>
    <w:basedOn w:val="a"/>
    <w:next w:val="a"/>
    <w:semiHidden/>
  </w:style>
  <w:style w:type="paragraph" w:styleId="ae">
    <w:name w:val="Closing"/>
    <w:basedOn w:val="a"/>
    <w:semiHidden/>
    <w:pPr>
      <w:ind w:leftChars="1800" w:left="100"/>
    </w:pPr>
  </w:style>
  <w:style w:type="paragraph" w:styleId="af">
    <w:name w:val="header"/>
    <w:basedOn w:val="a"/>
    <w:semiHidden/>
    <w:pPr>
      <w:tabs>
        <w:tab w:val="center" w:pos="4153"/>
        <w:tab w:val="right" w:pos="8306"/>
      </w:tabs>
      <w:snapToGrid w:val="0"/>
    </w:pPr>
    <w:rPr>
      <w:sz w:val="20"/>
    </w:rPr>
  </w:style>
  <w:style w:type="paragraph" w:styleId="af0">
    <w:name w:val="Body Text"/>
    <w:basedOn w:val="a"/>
    <w:semiHidden/>
    <w:pPr>
      <w:spacing w:after="120"/>
    </w:pPr>
  </w:style>
  <w:style w:type="paragraph" w:styleId="31">
    <w:name w:val="Body Text Indent 3"/>
    <w:basedOn w:val="a"/>
    <w:semiHidden/>
    <w:pPr>
      <w:spacing w:after="120"/>
      <w:ind w:leftChars="200" w:left="480"/>
    </w:pPr>
    <w:rPr>
      <w:sz w:val="16"/>
      <w:szCs w:val="16"/>
    </w:rPr>
  </w:style>
  <w:style w:type="paragraph" w:styleId="21">
    <w:name w:val="Body Text Indent 2"/>
    <w:basedOn w:val="a"/>
    <w:semiHidden/>
    <w:pPr>
      <w:spacing w:after="120" w:line="480" w:lineRule="auto"/>
      <w:ind w:leftChars="200" w:left="480"/>
    </w:pPr>
  </w:style>
  <w:style w:type="paragraph" w:customStyle="1" w:styleId="22">
    <w:name w:val="樣式 第一行:  2 字元"/>
    <w:basedOn w:val="a"/>
    <w:pPr>
      <w:ind w:firstLine="480"/>
    </w:pPr>
    <w:rPr>
      <w:rFonts w:cs="細明體"/>
      <w:sz w:val="28"/>
      <w:szCs w:val="28"/>
    </w:rPr>
  </w:style>
  <w:style w:type="paragraph" w:customStyle="1" w:styleId="23">
    <w:name w:val="樣式 內文縮排 + 第一行:  2 字元"/>
    <w:basedOn w:val="a0"/>
    <w:pPr>
      <w:ind w:firstLine="480"/>
    </w:pPr>
    <w:rPr>
      <w:rFonts w:cs="細明體"/>
      <w:sz w:val="28"/>
      <w:szCs w:val="28"/>
    </w:rPr>
  </w:style>
  <w:style w:type="paragraph" w:customStyle="1" w:styleId="0">
    <w:name w:val="樣式 本文縮排 + 第一行:  0 字元"/>
    <w:basedOn w:val="ac"/>
    <w:pPr>
      <w:ind w:firstLineChars="0"/>
    </w:pPr>
    <w:rPr>
      <w:rFonts w:cs="細明體"/>
      <w:sz w:val="28"/>
      <w:szCs w:val="28"/>
    </w:rPr>
  </w:style>
  <w:style w:type="paragraph" w:customStyle="1" w:styleId="af1">
    <w:name w:val="樣式 本文縮排 + 新細明體"/>
    <w:basedOn w:val="ac"/>
    <w:rPr>
      <w:rFonts w:ascii="新細明體" w:hAnsi="新細明體"/>
      <w:sz w:val="28"/>
      <w:szCs w:val="28"/>
    </w:rPr>
  </w:style>
  <w:style w:type="character" w:customStyle="1" w:styleId="af2">
    <w:name w:val="本文縮排 字元"/>
    <w:basedOn w:val="a1"/>
    <w:rPr>
      <w:rFonts w:eastAsia="新細明體"/>
      <w:noProof w:val="0"/>
      <w:kern w:val="2"/>
      <w:sz w:val="24"/>
      <w:lang w:val="en-US" w:eastAsia="zh-TW" w:bidi="ar-SA"/>
    </w:rPr>
  </w:style>
  <w:style w:type="character" w:customStyle="1" w:styleId="af3">
    <w:name w:val="樣式 本文縮排 + 新細明體 字元"/>
    <w:basedOn w:val="af2"/>
    <w:rPr>
      <w:rFonts w:ascii="新細明體" w:eastAsia="新細明體" w:hAnsi="新細明體"/>
      <w:noProof w:val="0"/>
      <w:kern w:val="2"/>
      <w:sz w:val="28"/>
      <w:szCs w:val="28"/>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1666</Words>
  <Characters>9497</Characters>
  <Application>Microsoft Office Word</Application>
  <DocSecurity>0</DocSecurity>
  <Lines>79</Lines>
  <Paragraphs>22</Paragraphs>
  <ScaleCrop>false</ScaleCrop>
  <Company>sinica</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復審標的</dc:title>
  <dc:subject/>
  <dc:creator>Cheny Li</dc:creator>
  <cp:keywords/>
  <dc:description/>
  <cp:lastModifiedBy>卓卿雲</cp:lastModifiedBy>
  <cp:revision>2</cp:revision>
  <cp:lastPrinted>2004-01-13T20:33:00Z</cp:lastPrinted>
  <dcterms:created xsi:type="dcterms:W3CDTF">2021-09-22T10:54:00Z</dcterms:created>
  <dcterms:modified xsi:type="dcterms:W3CDTF">2021-09-22T10:54:00Z</dcterms:modified>
</cp:coreProperties>
</file>