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6279E">
      <w:pPr>
        <w:pStyle w:val="10"/>
        <w:tabs>
          <w:tab w:val="right" w:leader="dot" w:pos="8296"/>
        </w:tabs>
        <w:ind w:firstLine="480"/>
        <w:rPr>
          <w:rFonts w:hint="eastAsia"/>
        </w:rPr>
      </w:pPr>
      <w:bookmarkStart w:id="0" w:name="_GoBack"/>
      <w:bookmarkEnd w:id="0"/>
    </w:p>
    <w:p w:rsidR="00000000" w:rsidRDefault="0016279E">
      <w:pPr>
        <w:pStyle w:val="10"/>
        <w:tabs>
          <w:tab w:val="right" w:leader="dot" w:pos="8296"/>
        </w:tabs>
        <w:ind w:firstLine="480"/>
        <w:rPr>
          <w:noProof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r>
        <w:rPr>
          <w:rFonts w:hint="eastAsia"/>
          <w:noProof/>
        </w:rPr>
        <w:t>第一章</w:t>
      </w:r>
      <w:r>
        <w:rPr>
          <w:noProof/>
        </w:rPr>
        <w:t xml:space="preserve"> </w:t>
      </w:r>
      <w:r>
        <w:rPr>
          <w:rFonts w:hint="eastAsia"/>
          <w:noProof/>
        </w:rPr>
        <w:t>緒論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第一節</w:t>
      </w:r>
      <w:r>
        <w:rPr>
          <w:noProof/>
        </w:rPr>
        <w:t xml:space="preserve"> </w:t>
      </w:r>
      <w:r>
        <w:rPr>
          <w:rFonts w:hint="eastAsia"/>
          <w:noProof/>
        </w:rPr>
        <w:t>研究背景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第二節</w:t>
      </w:r>
      <w:r>
        <w:rPr>
          <w:noProof/>
        </w:rPr>
        <w:t xml:space="preserve"> </w:t>
      </w:r>
      <w:r>
        <w:rPr>
          <w:rFonts w:hint="eastAsia"/>
          <w:noProof/>
        </w:rPr>
        <w:t>研究架構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第三節</w:t>
      </w:r>
      <w:r>
        <w:rPr>
          <w:noProof/>
        </w:rPr>
        <w:t xml:space="preserve"> </w:t>
      </w:r>
      <w:r>
        <w:rPr>
          <w:rFonts w:hint="eastAsia"/>
          <w:noProof/>
        </w:rPr>
        <w:t>研究方法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000000" w:rsidRDefault="0016279E">
      <w:pPr>
        <w:pStyle w:val="1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第二章</w:t>
      </w:r>
      <w:r>
        <w:rPr>
          <w:noProof/>
        </w:rPr>
        <w:t xml:space="preserve"> </w:t>
      </w:r>
      <w:r>
        <w:rPr>
          <w:rFonts w:hint="eastAsia"/>
          <w:noProof/>
        </w:rPr>
        <w:t>公務人員保障法之制定與修正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第一節</w:t>
      </w:r>
      <w:r>
        <w:rPr>
          <w:noProof/>
        </w:rPr>
        <w:t xml:space="preserve"> </w:t>
      </w:r>
      <w:r>
        <w:rPr>
          <w:rFonts w:hint="eastAsia"/>
          <w:noProof/>
        </w:rPr>
        <w:t>沿革述要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</w:instrText>
      </w:r>
      <w:r>
        <w:rPr>
          <w:noProof/>
        </w:rPr>
        <w:instrText xml:space="preserve">c61809081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第二節</w:t>
      </w:r>
      <w:r>
        <w:rPr>
          <w:noProof/>
        </w:rPr>
        <w:t xml:space="preserve"> </w:t>
      </w:r>
      <w:r>
        <w:rPr>
          <w:rFonts w:hint="eastAsia"/>
          <w:noProof/>
        </w:rPr>
        <w:t>修正重點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第一項</w:t>
      </w:r>
      <w:r>
        <w:t xml:space="preserve"> </w:t>
      </w:r>
      <w:r>
        <w:rPr>
          <w:rFonts w:hint="eastAsia"/>
        </w:rPr>
        <w:t>總則性規範</w:t>
      </w:r>
      <w:r>
        <w:tab/>
      </w:r>
      <w:r>
        <w:fldChar w:fldCharType="begin"/>
      </w:r>
      <w:r>
        <w:instrText xml:space="preserve"> PAGEREF _Toc61809083 \h </w:instrText>
      </w:r>
      <w:r>
        <w:fldChar w:fldCharType="separate"/>
      </w:r>
      <w:r>
        <w:t>14</w:t>
      </w:r>
      <w: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壹、調整保障對象之範圍及得提起復審之人的範圍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貳、調整救濟程序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參、增訂禁止報復規定及商調保障條款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肆、修正審理保障</w:t>
      </w:r>
      <w:r>
        <w:rPr>
          <w:rFonts w:hint="eastAsia"/>
          <w:noProof/>
        </w:rPr>
        <w:t>事件人員之迴避規範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第二項</w:t>
      </w:r>
      <w:r>
        <w:t xml:space="preserve"> </w:t>
      </w:r>
      <w:r>
        <w:rPr>
          <w:rFonts w:hint="eastAsia"/>
        </w:rPr>
        <w:t>實體保障規範</w:t>
      </w:r>
      <w:r>
        <w:tab/>
      </w:r>
      <w:r>
        <w:fldChar w:fldCharType="begin"/>
      </w:r>
      <w:r>
        <w:instrText xml:space="preserve"> PAGEREF _Toc61809088 \h </w:instrText>
      </w:r>
      <w:r>
        <w:fldChar w:fldCharType="separate"/>
      </w:r>
      <w:r>
        <w:t>18</w:t>
      </w:r>
      <w: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壹、增設公務員停職之法律制約與復職之保障規定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貳、增設命令異議制度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參、增加停止執行職務之規定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肆、增列公務人員得請求國家賠償及慰問金之規定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</w:instrText>
      </w:r>
      <w:r>
        <w:rPr>
          <w:noProof/>
        </w:rPr>
        <w:instrText xml:space="preserve">GEREF _Toc61809092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第三項</w:t>
      </w:r>
      <w:r>
        <w:t xml:space="preserve"> </w:t>
      </w:r>
      <w:r>
        <w:rPr>
          <w:rFonts w:hint="eastAsia"/>
        </w:rPr>
        <w:t>程序保障規範</w:t>
      </w:r>
      <w:r>
        <w:tab/>
      </w:r>
      <w:r>
        <w:fldChar w:fldCharType="begin"/>
      </w:r>
      <w:r>
        <w:instrText xml:space="preserve"> PAGEREF _Toc61809093 \h </w:instrText>
      </w:r>
      <w:r>
        <w:fldChar w:fldCharType="separate"/>
      </w:r>
      <w:r>
        <w:t>22</w:t>
      </w:r>
      <w: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壹、修正復審事件之範圍及提起復審之流程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貳、復審程序之自為規範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參、再審議程序之增設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肆、申訴程序之補強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伍、停止</w:t>
      </w:r>
      <w:r>
        <w:rPr>
          <w:rFonts w:hint="eastAsia"/>
          <w:noProof/>
        </w:rPr>
        <w:t>執行規定之增訂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第三節</w:t>
      </w:r>
      <w:r>
        <w:rPr>
          <w:noProof/>
        </w:rPr>
        <w:t xml:space="preserve"> </w:t>
      </w:r>
      <w:r>
        <w:rPr>
          <w:rFonts w:hint="eastAsia"/>
          <w:noProof/>
        </w:rPr>
        <w:t>新法簡評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第一項</w:t>
      </w:r>
      <w:r>
        <w:t xml:space="preserve"> </w:t>
      </w:r>
      <w:r>
        <w:rPr>
          <w:rFonts w:hint="eastAsia"/>
        </w:rPr>
        <w:t>整體觀察</w:t>
      </w:r>
      <w:r>
        <w:tab/>
      </w:r>
      <w:r>
        <w:fldChar w:fldCharType="begin"/>
      </w:r>
      <w:r>
        <w:instrText xml:space="preserve"> PAGEREF _Toc61809100 \h </w:instrText>
      </w:r>
      <w:r>
        <w:fldChar w:fldCharType="separate"/>
      </w:r>
      <w:r>
        <w:t>63</w:t>
      </w:r>
      <w: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lastRenderedPageBreak/>
        <w:t>第二項</w:t>
      </w:r>
      <w:r>
        <w:t xml:space="preserve"> </w:t>
      </w:r>
      <w:r>
        <w:rPr>
          <w:rFonts w:hint="eastAsia"/>
        </w:rPr>
        <w:t>新法與復審範圍之相關問題</w:t>
      </w:r>
      <w:r>
        <w:tab/>
      </w:r>
      <w:r>
        <w:fldChar w:fldCharType="begin"/>
      </w:r>
      <w:r>
        <w:instrText xml:space="preserve"> PAGEREF _Toc61809101 \h </w:instrText>
      </w:r>
      <w:r>
        <w:fldChar w:fldCharType="separate"/>
      </w:r>
      <w:r>
        <w:t>64</w:t>
      </w:r>
      <w:r>
        <w:fldChar w:fldCharType="end"/>
      </w:r>
    </w:p>
    <w:p w:rsidR="00000000" w:rsidRDefault="0016279E">
      <w:pPr>
        <w:pStyle w:val="1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第三章</w:t>
      </w:r>
      <w:r>
        <w:rPr>
          <w:noProof/>
        </w:rPr>
        <w:t xml:space="preserve"> </w:t>
      </w:r>
      <w:r>
        <w:rPr>
          <w:rFonts w:hint="eastAsia"/>
          <w:noProof/>
        </w:rPr>
        <w:t>德國公務員權利保障及其救濟制度之研究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第一節</w:t>
      </w:r>
      <w:r>
        <w:rPr>
          <w:noProof/>
        </w:rPr>
        <w:t xml:space="preserve"> </w:t>
      </w:r>
      <w:r>
        <w:rPr>
          <w:rFonts w:hint="eastAsia"/>
          <w:noProof/>
        </w:rPr>
        <w:t>基本規範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_Toc6180910</w:instrText>
      </w:r>
      <w:r>
        <w:rPr>
          <w:noProof/>
        </w:rPr>
        <w:instrText xml:space="preserve">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第二節</w:t>
      </w:r>
      <w:r>
        <w:rPr>
          <w:noProof/>
        </w:rPr>
        <w:t xml:space="preserve"> </w:t>
      </w:r>
      <w:r>
        <w:rPr>
          <w:rFonts w:hint="eastAsia"/>
          <w:noProof/>
        </w:rPr>
        <w:t>公務員法律關係之成立與公務員之任用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第一項</w:t>
      </w:r>
      <w:r>
        <w:t xml:space="preserve"> </w:t>
      </w:r>
      <w:r>
        <w:rPr>
          <w:rFonts w:hint="eastAsia"/>
        </w:rPr>
        <w:t>概說</w:t>
      </w:r>
      <w:r>
        <w:tab/>
      </w:r>
      <w:r>
        <w:fldChar w:fldCharType="begin"/>
      </w:r>
      <w:r>
        <w:instrText xml:space="preserve"> PAGEREF _Toc61809105 \h </w:instrText>
      </w:r>
      <w:r>
        <w:fldChar w:fldCharType="separate"/>
      </w:r>
      <w:r>
        <w:t>67</w:t>
      </w:r>
      <w: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第二項</w:t>
      </w:r>
      <w:r>
        <w:t xml:space="preserve"> </w:t>
      </w:r>
      <w:r>
        <w:rPr>
          <w:rFonts w:hint="eastAsia"/>
        </w:rPr>
        <w:t>公務員關係之種類</w:t>
      </w:r>
      <w:r>
        <w:tab/>
      </w:r>
      <w:r>
        <w:fldChar w:fldCharType="begin"/>
      </w:r>
      <w:r>
        <w:instrText xml:space="preserve"> PAGEREF _Toc61809106 \h </w:instrText>
      </w:r>
      <w:r>
        <w:fldChar w:fldCharType="separate"/>
      </w:r>
      <w:r>
        <w:t>70</w:t>
      </w:r>
      <w: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第三項</w:t>
      </w:r>
      <w:r>
        <w:t xml:space="preserve"> </w:t>
      </w:r>
      <w:r>
        <w:rPr>
          <w:rFonts w:hint="eastAsia"/>
        </w:rPr>
        <w:t>公務員之任用與職位之概念</w:t>
      </w:r>
      <w:r>
        <w:tab/>
      </w:r>
      <w:r>
        <w:fldChar w:fldCharType="begin"/>
      </w:r>
      <w:r>
        <w:instrText xml:space="preserve"> PAGEREF _Toc61809107 \h </w:instrText>
      </w:r>
      <w:r>
        <w:fldChar w:fldCharType="separate"/>
      </w:r>
      <w:r>
        <w:t>71</w:t>
      </w:r>
      <w: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第四項</w:t>
      </w:r>
      <w:r>
        <w:t xml:space="preserve"> </w:t>
      </w:r>
      <w:r>
        <w:rPr>
          <w:rFonts w:hint="eastAsia"/>
        </w:rPr>
        <w:t>行政救濟</w:t>
      </w:r>
      <w:r>
        <w:tab/>
      </w:r>
      <w:r>
        <w:fldChar w:fldCharType="begin"/>
      </w:r>
      <w:r>
        <w:instrText xml:space="preserve"> PAGEREF _Toc61809108 \h </w:instrText>
      </w:r>
      <w:r>
        <w:fldChar w:fldCharType="separate"/>
      </w:r>
      <w:r>
        <w:t>72</w:t>
      </w:r>
      <w: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壹、救濟管道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</w:instrText>
      </w:r>
      <w:r>
        <w:rPr>
          <w:noProof/>
        </w:rPr>
        <w:instrText xml:space="preserve">_Toc61809109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貳、訴訟類型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參、先行程序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第三節</w:t>
      </w:r>
      <w:r>
        <w:rPr>
          <w:noProof/>
        </w:rPr>
        <w:t xml:space="preserve"> </w:t>
      </w:r>
      <w:r>
        <w:rPr>
          <w:rFonts w:hint="eastAsia"/>
          <w:noProof/>
        </w:rPr>
        <w:t>公務員之升遷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第一項</w:t>
      </w:r>
      <w:r>
        <w:t xml:space="preserve"> </w:t>
      </w:r>
      <w:r>
        <w:rPr>
          <w:rFonts w:hint="eastAsia"/>
        </w:rPr>
        <w:t>升遷之意義與法律性質</w:t>
      </w:r>
      <w:r>
        <w:tab/>
      </w:r>
      <w:r>
        <w:fldChar w:fldCharType="begin"/>
      </w:r>
      <w:r>
        <w:instrText xml:space="preserve"> PAGEREF _Toc61809113 \h </w:instrText>
      </w:r>
      <w:r>
        <w:fldChar w:fldCharType="separate"/>
      </w:r>
      <w:r>
        <w:t>76</w:t>
      </w:r>
      <w: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第二項</w:t>
      </w:r>
      <w:r>
        <w:t xml:space="preserve"> </w:t>
      </w:r>
      <w:r>
        <w:rPr>
          <w:rFonts w:hint="eastAsia"/>
        </w:rPr>
        <w:t>升遷之標準：擇優選任原則及輔助標準</w:t>
      </w:r>
      <w:r>
        <w:tab/>
      </w:r>
      <w:r>
        <w:fldChar w:fldCharType="begin"/>
      </w:r>
      <w:r>
        <w:instrText xml:space="preserve"> PAGEREF _Toc61809114 \h </w:instrText>
      </w:r>
      <w:r>
        <w:fldChar w:fldCharType="separate"/>
      </w:r>
      <w:r>
        <w:t>77</w:t>
      </w:r>
      <w: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第三項</w:t>
      </w:r>
      <w:r>
        <w:t xml:space="preserve"> </w:t>
      </w:r>
      <w:r>
        <w:rPr>
          <w:rFonts w:hint="eastAsia"/>
        </w:rPr>
        <w:t>請求升遷之權利</w:t>
      </w:r>
      <w:r>
        <w:tab/>
      </w:r>
      <w:r>
        <w:fldChar w:fldCharType="begin"/>
      </w:r>
      <w:r>
        <w:instrText xml:space="preserve"> PAGEREF _Toc61809115 \h </w:instrText>
      </w:r>
      <w:r>
        <w:fldChar w:fldCharType="separate"/>
      </w:r>
      <w:r>
        <w:t>78</w:t>
      </w:r>
      <w: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  <w:color w:val="000000"/>
        </w:rPr>
        <w:t>第四項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損害賠償（國家賠償）</w:t>
      </w:r>
      <w:r>
        <w:tab/>
      </w:r>
      <w:r>
        <w:fldChar w:fldCharType="begin"/>
      </w:r>
      <w:r>
        <w:instrText xml:space="preserve"> PAGEREF _Toc61809116 \h </w:instrText>
      </w:r>
      <w:r>
        <w:fldChar w:fldCharType="separate"/>
      </w:r>
      <w:r>
        <w:t>79</w:t>
      </w:r>
      <w: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  <w:color w:val="000000"/>
        </w:rPr>
        <w:t>第五項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行政救濟</w:t>
      </w:r>
      <w:r>
        <w:tab/>
      </w:r>
      <w:r>
        <w:fldChar w:fldCharType="begin"/>
      </w:r>
      <w:r>
        <w:instrText xml:space="preserve"> PAGEREF _Toc61809117 \h </w:instrText>
      </w:r>
      <w:r>
        <w:fldChar w:fldCharType="separate"/>
      </w:r>
      <w:r>
        <w:t>80</w:t>
      </w:r>
      <w: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第四節</w:t>
      </w:r>
      <w:r>
        <w:rPr>
          <w:noProof/>
        </w:rPr>
        <w:t xml:space="preserve"> </w:t>
      </w:r>
      <w:r>
        <w:rPr>
          <w:rFonts w:hint="eastAsia"/>
          <w:noProof/>
        </w:rPr>
        <w:t>公務員之調任、暫調與調職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第一項</w:t>
      </w:r>
      <w:r>
        <w:t xml:space="preserve"> </w:t>
      </w:r>
      <w:r>
        <w:rPr>
          <w:rFonts w:hint="eastAsia"/>
        </w:rPr>
        <w:t>概念辨異</w:t>
      </w:r>
      <w:r>
        <w:tab/>
      </w:r>
      <w:r>
        <w:fldChar w:fldCharType="begin"/>
      </w:r>
      <w:r>
        <w:instrText xml:space="preserve"> PAGEREF _Toc61809119 \h </w:instrText>
      </w:r>
      <w:r>
        <w:fldChar w:fldCharType="separate"/>
      </w:r>
      <w:r>
        <w:t>81</w:t>
      </w:r>
      <w: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第二項</w:t>
      </w:r>
      <w:r>
        <w:t xml:space="preserve"> </w:t>
      </w:r>
      <w:r>
        <w:rPr>
          <w:rFonts w:hint="eastAsia"/>
        </w:rPr>
        <w:t>調任</w:t>
      </w:r>
      <w:r>
        <w:t>(Versetzung)</w:t>
      </w:r>
      <w:r>
        <w:tab/>
      </w:r>
      <w:r>
        <w:fldChar w:fldCharType="begin"/>
      </w:r>
      <w:r>
        <w:instrText xml:space="preserve"> PAGEREF _Toc61809120 \h </w:instrText>
      </w:r>
      <w:r>
        <w:fldChar w:fldCharType="separate"/>
      </w:r>
      <w:r>
        <w:t>83</w:t>
      </w:r>
      <w: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壹、基本概念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貳、要件與程序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參、行政救濟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第三項</w:t>
      </w:r>
      <w:r>
        <w:t xml:space="preserve"> </w:t>
      </w:r>
      <w:r>
        <w:rPr>
          <w:rFonts w:hint="eastAsia"/>
        </w:rPr>
        <w:t>暫調</w:t>
      </w:r>
      <w:r>
        <w:t>(Abordnung)</w:t>
      </w:r>
      <w:r>
        <w:tab/>
      </w:r>
      <w:r>
        <w:fldChar w:fldCharType="begin"/>
      </w:r>
      <w:r>
        <w:instrText xml:space="preserve"> PAGEREF _Toc61809124 \h </w:instrText>
      </w:r>
      <w:r>
        <w:fldChar w:fldCharType="separate"/>
      </w:r>
      <w:r>
        <w:t>87</w:t>
      </w:r>
      <w: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壹、基本概念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貳、要件與程序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lastRenderedPageBreak/>
        <w:t>參、行政</w:t>
      </w:r>
      <w:r>
        <w:rPr>
          <w:rFonts w:hint="eastAsia"/>
          <w:noProof/>
        </w:rPr>
        <w:t>救濟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88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第四項</w:t>
      </w:r>
      <w:r>
        <w:t xml:space="preserve"> </w:t>
      </w:r>
      <w:r>
        <w:rPr>
          <w:rFonts w:hint="eastAsia"/>
        </w:rPr>
        <w:t>調職</w:t>
      </w:r>
      <w:r>
        <w:t>(Umsetzung)</w:t>
      </w:r>
      <w:r>
        <w:tab/>
      </w:r>
      <w:r>
        <w:fldChar w:fldCharType="begin"/>
      </w:r>
      <w:r>
        <w:instrText xml:space="preserve"> PAGEREF _Toc61809128 \h </w:instrText>
      </w:r>
      <w:r>
        <w:fldChar w:fldCharType="separate"/>
      </w:r>
      <w:r>
        <w:t>89</w:t>
      </w:r>
      <w: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壹、基本概念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89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貳、要件與程序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參、行政救濟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:rsidR="00000000" w:rsidRDefault="0016279E">
      <w:pPr>
        <w:pStyle w:val="1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第四章</w:t>
      </w:r>
      <w:r>
        <w:rPr>
          <w:noProof/>
        </w:rPr>
        <w:t xml:space="preserve"> </w:t>
      </w:r>
      <w:r>
        <w:rPr>
          <w:rFonts w:hint="eastAsia"/>
          <w:noProof/>
        </w:rPr>
        <w:t>我國保障制度復審之「人的範圍」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93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一節</w:t>
      </w:r>
      <w:r>
        <w:rPr>
          <w:noProof/>
        </w:rPr>
        <w:t xml:space="preserve"> </w:t>
      </w:r>
      <w:r>
        <w:rPr>
          <w:rFonts w:hint="eastAsia"/>
          <w:noProof/>
        </w:rPr>
        <w:t>公務人員保障法之適用對象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93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  <w:color w:val="000000"/>
        </w:rPr>
        <w:t>第一項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法定機關依法任用之有給專任人員</w:t>
      </w:r>
      <w:r>
        <w:tab/>
      </w:r>
      <w:r>
        <w:fldChar w:fldCharType="begin"/>
      </w:r>
      <w:r>
        <w:instrText xml:space="preserve"> PAGEREF _Toc61809134 \h </w:instrText>
      </w:r>
      <w:r>
        <w:fldChar w:fldCharType="separate"/>
      </w:r>
      <w:r>
        <w:t>94</w:t>
      </w:r>
      <w: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壹、法定機關依法任用之人員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94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貳、軍職人員？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96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  <w:color w:val="000000"/>
        </w:rPr>
        <w:t>第二項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公立學校編制內依法任用之職員</w:t>
      </w:r>
      <w:r>
        <w:tab/>
      </w:r>
      <w:r>
        <w:fldChar w:fldCharType="begin"/>
      </w:r>
      <w:r>
        <w:instrText xml:space="preserve"> PAGEREF _Toc61809137 \h </w:instrText>
      </w:r>
      <w:r>
        <w:fldChar w:fldCharType="separate"/>
      </w:r>
      <w:r>
        <w:t>97</w:t>
      </w:r>
      <w: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第三項</w:t>
      </w:r>
      <w:r>
        <w:t xml:space="preserve"> </w:t>
      </w:r>
      <w:r>
        <w:rPr>
          <w:rFonts w:hint="eastAsia"/>
        </w:rPr>
        <w:t>已辭職、退休或遭資遣之公務人員</w:t>
      </w:r>
      <w:r>
        <w:rPr>
          <w:rFonts w:hint="eastAsia"/>
        </w:rPr>
        <w:t>（非現職公務人員）</w:t>
      </w:r>
      <w:r>
        <w:tab/>
      </w:r>
      <w:r>
        <w:fldChar w:fldCharType="begin"/>
      </w:r>
      <w:r>
        <w:instrText xml:space="preserve"> PAGEREF _Toc61809138 \h </w:instrText>
      </w:r>
      <w:r>
        <w:fldChar w:fldCharType="separate"/>
      </w:r>
      <w:r>
        <w:t>99</w:t>
      </w:r>
      <w: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第四項</w:t>
      </w:r>
      <w:r>
        <w:t xml:space="preserve"> </w:t>
      </w:r>
      <w:r>
        <w:rPr>
          <w:rFonts w:hint="eastAsia"/>
        </w:rPr>
        <w:t>公務人員之遺族</w:t>
      </w:r>
      <w:r>
        <w:tab/>
      </w:r>
      <w:r>
        <w:fldChar w:fldCharType="begin"/>
      </w:r>
      <w:r>
        <w:instrText xml:space="preserve"> PAGEREF _Toc61809139 \h </w:instrText>
      </w:r>
      <w:r>
        <w:fldChar w:fldCharType="separate"/>
      </w:r>
      <w:r>
        <w:t>101</w:t>
      </w:r>
      <w: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  <w:color w:val="000000"/>
        </w:rPr>
        <w:t>第二節</w:t>
      </w:r>
      <w:r>
        <w:rPr>
          <w:noProof/>
          <w:color w:val="000000"/>
        </w:rPr>
        <w:t xml:space="preserve"> </w:t>
      </w:r>
      <w:r>
        <w:rPr>
          <w:rFonts w:hint="eastAsia"/>
          <w:noProof/>
          <w:color w:val="000000"/>
        </w:rPr>
        <w:t>準用對象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102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  <w:color w:val="000000"/>
        </w:rPr>
        <w:t>第一項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教育人員任用條例公布施行前已進用未經銓敘合格之公立學校職員</w:t>
      </w:r>
      <w:r>
        <w:tab/>
      </w:r>
      <w:r>
        <w:fldChar w:fldCharType="begin"/>
      </w:r>
      <w:r>
        <w:instrText xml:space="preserve"> PAGEREF _Toc61809141 \h </w:instrText>
      </w:r>
      <w:r>
        <w:fldChar w:fldCharType="separate"/>
      </w:r>
      <w:r>
        <w:t>103</w:t>
      </w:r>
      <w: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第二項</w:t>
      </w:r>
      <w:r>
        <w:t xml:space="preserve"> </w:t>
      </w:r>
      <w:r>
        <w:rPr>
          <w:rFonts w:hint="eastAsia"/>
        </w:rPr>
        <w:t>私立學校改制為公立學校未具任用資格之留用人員</w:t>
      </w:r>
      <w:r>
        <w:tab/>
      </w:r>
      <w:r>
        <w:fldChar w:fldCharType="begin"/>
      </w:r>
      <w:r>
        <w:instrText xml:space="preserve"> PAGEREF _Toc61809142 \h </w:instrText>
      </w:r>
      <w:r>
        <w:fldChar w:fldCharType="separate"/>
      </w:r>
      <w:r>
        <w:t>104</w:t>
      </w:r>
      <w: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  <w:color w:val="000000"/>
        </w:rPr>
        <w:t>第三項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公營事業依法任用之人員</w:t>
      </w:r>
      <w:r>
        <w:tab/>
      </w:r>
      <w:r>
        <w:fldChar w:fldCharType="begin"/>
      </w:r>
      <w:r>
        <w:instrText xml:space="preserve"> PAGEREF _Toc61809143 \h </w:instrText>
      </w:r>
      <w:r>
        <w:fldChar w:fldCharType="separate"/>
      </w:r>
      <w:r>
        <w:t>104</w:t>
      </w:r>
      <w: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  <w:color w:val="000000"/>
        </w:rPr>
        <w:t>第四項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各機關依法派用、聘用、聘任、僱用或留用人員</w:t>
      </w:r>
      <w:r>
        <w:tab/>
      </w:r>
      <w:r>
        <w:fldChar w:fldCharType="begin"/>
      </w:r>
      <w:r>
        <w:instrText xml:space="preserve"> PAGEREF _Toc61809144 \h </w:instrText>
      </w:r>
      <w:r>
        <w:fldChar w:fldCharType="separate"/>
      </w:r>
      <w:r>
        <w:t>109</w:t>
      </w:r>
      <w: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壹、各機關依法派用之人員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109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貳、各機關依法聘用、聘任、僱用人員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110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參、各機關依法留用人員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113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第五項</w:t>
      </w:r>
      <w:r>
        <w:t xml:space="preserve"> </w:t>
      </w:r>
      <w:r>
        <w:rPr>
          <w:rFonts w:hint="eastAsia"/>
        </w:rPr>
        <w:t>應公</w:t>
      </w:r>
      <w:r>
        <w:rPr>
          <w:rFonts w:hint="eastAsia"/>
        </w:rPr>
        <w:t>務人員考試錄取占法定機關、公立學校編</w:t>
      </w:r>
      <w:r>
        <w:rPr>
          <w:rFonts w:hint="eastAsia"/>
        </w:rPr>
        <w:lastRenderedPageBreak/>
        <w:t>制職缺參加學習或訓練之人員</w:t>
      </w:r>
      <w:r>
        <w:tab/>
      </w:r>
      <w:r>
        <w:fldChar w:fldCharType="begin"/>
      </w:r>
      <w:r>
        <w:instrText xml:space="preserve"> PAGEREF _Toc61809148 \h </w:instrText>
      </w:r>
      <w:r>
        <w:fldChar w:fldCharType="separate"/>
      </w:r>
      <w:r>
        <w:t>114</w:t>
      </w:r>
      <w: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  <w:color w:val="000000"/>
        </w:rPr>
        <w:t>第六項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依法從事於公務之人員：「準用的準用」？</w:t>
      </w:r>
      <w:r>
        <w:tab/>
      </w:r>
      <w:r>
        <w:fldChar w:fldCharType="begin"/>
      </w:r>
      <w:r>
        <w:instrText xml:space="preserve"> PAGEREF _Toc61809149 \h </w:instrText>
      </w:r>
      <w:r>
        <w:fldChar w:fldCharType="separate"/>
      </w:r>
      <w:r>
        <w:t>115</w:t>
      </w:r>
      <w:r>
        <w:fldChar w:fldCharType="end"/>
      </w:r>
    </w:p>
    <w:p w:rsidR="00000000" w:rsidRDefault="0016279E">
      <w:pPr>
        <w:pStyle w:val="1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第五章</w:t>
      </w:r>
      <w:r>
        <w:rPr>
          <w:noProof/>
        </w:rPr>
        <w:t xml:space="preserve"> </w:t>
      </w:r>
      <w:r>
        <w:rPr>
          <w:rFonts w:hint="eastAsia"/>
          <w:noProof/>
        </w:rPr>
        <w:t>我國保障制度復審之「事的範圍」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117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  <w:color w:val="000000"/>
        </w:rPr>
        <w:t>第一節</w:t>
      </w:r>
      <w:r>
        <w:rPr>
          <w:noProof/>
          <w:color w:val="000000"/>
        </w:rPr>
        <w:t xml:space="preserve"> </w:t>
      </w:r>
      <w:r>
        <w:rPr>
          <w:rFonts w:hint="eastAsia"/>
          <w:noProof/>
          <w:color w:val="000000"/>
        </w:rPr>
        <w:t>概說：「行政處分」意涵之再詮釋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118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  <w:color w:val="000000"/>
        </w:rPr>
        <w:t>第二節</w:t>
      </w:r>
      <w:r>
        <w:rPr>
          <w:noProof/>
          <w:color w:val="000000"/>
        </w:rPr>
        <w:t xml:space="preserve"> </w:t>
      </w:r>
      <w:r>
        <w:rPr>
          <w:rFonts w:hint="eastAsia"/>
          <w:noProof/>
          <w:color w:val="000000"/>
        </w:rPr>
        <w:t>起始基礎：歷來司法院大法官解釋的回顧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</w:instrText>
      </w:r>
      <w:r>
        <w:rPr>
          <w:noProof/>
        </w:rPr>
        <w:instrText xml:space="preserve">EREF _Toc61809152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120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  <w:color w:val="000000"/>
        </w:rPr>
        <w:t>第三節</w:t>
      </w:r>
      <w:r>
        <w:rPr>
          <w:noProof/>
          <w:color w:val="000000"/>
        </w:rPr>
        <w:t xml:space="preserve"> </w:t>
      </w:r>
      <w:r>
        <w:rPr>
          <w:rFonts w:hint="eastAsia"/>
          <w:noProof/>
          <w:color w:val="000000"/>
        </w:rPr>
        <w:t>後續發展：實務見解的整理與分析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124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第一項</w:t>
      </w:r>
      <w:r>
        <w:t xml:space="preserve"> </w:t>
      </w:r>
      <w:r>
        <w:rPr>
          <w:rFonts w:hint="eastAsia"/>
        </w:rPr>
        <w:t>現況整理</w:t>
      </w:r>
      <w:r>
        <w:tab/>
      </w:r>
      <w:r>
        <w:fldChar w:fldCharType="begin"/>
      </w:r>
      <w:r>
        <w:instrText xml:space="preserve"> PAGEREF _Toc61809154 \h </w:instrText>
      </w:r>
      <w:r>
        <w:fldChar w:fldCharType="separate"/>
      </w:r>
      <w:r>
        <w:t>124</w:t>
      </w:r>
      <w: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壹、涉及公法上財產請求權事件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125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貳、涉及公務員身分改變或取得事件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129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參、涉及對公務員服公職權利具有重大影響事件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</w:instrText>
      </w:r>
      <w:r>
        <w:rPr>
          <w:noProof/>
        </w:rPr>
        <w:instrText xml:space="preserve">c61809157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130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第二項</w:t>
      </w:r>
      <w:r>
        <w:t xml:space="preserve"> </w:t>
      </w:r>
      <w:r>
        <w:rPr>
          <w:rFonts w:hint="eastAsia"/>
        </w:rPr>
        <w:t>檢討分析</w:t>
      </w:r>
      <w:r>
        <w:tab/>
      </w:r>
      <w:r>
        <w:fldChar w:fldCharType="begin"/>
      </w:r>
      <w:r>
        <w:instrText xml:space="preserve"> PAGEREF _Toc61809158 \h </w:instrText>
      </w:r>
      <w:r>
        <w:fldChar w:fldCharType="separate"/>
      </w:r>
      <w:r>
        <w:t>131</w:t>
      </w:r>
      <w: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壹、涉及公法上財產請求權事件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132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貳、涉及公務員身分改變或取得事件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134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參、涉及對公務員服公職權利具有重大影響事件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140</w:t>
      </w:r>
      <w:r>
        <w:rPr>
          <w:noProof/>
        </w:rPr>
        <w:fldChar w:fldCharType="end"/>
      </w:r>
    </w:p>
    <w:p w:rsidR="00000000" w:rsidRDefault="0016279E">
      <w:pPr>
        <w:pStyle w:val="1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第六章</w:t>
      </w:r>
      <w:r>
        <w:rPr>
          <w:noProof/>
        </w:rPr>
        <w:t xml:space="preserve"> </w:t>
      </w:r>
      <w:r>
        <w:rPr>
          <w:rFonts w:hint="eastAsia"/>
          <w:noProof/>
        </w:rPr>
        <w:t>我國保障制度之申訴標的與復審範圍之關係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</w:instrText>
      </w:r>
      <w:r>
        <w:rPr>
          <w:noProof/>
        </w:rPr>
        <w:instrText xml:space="preserve">09162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142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第一節</w:t>
      </w:r>
      <w:r>
        <w:rPr>
          <w:noProof/>
        </w:rPr>
        <w:t xml:space="preserve"> </w:t>
      </w:r>
      <w:r>
        <w:rPr>
          <w:rFonts w:hint="eastAsia"/>
          <w:noProof/>
        </w:rPr>
        <w:t>申訴標的是否僅限於「具體個案」？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143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第二節</w:t>
      </w:r>
      <w:r>
        <w:rPr>
          <w:noProof/>
        </w:rPr>
        <w:t xml:space="preserve"> </w:t>
      </w:r>
      <w:r>
        <w:rPr>
          <w:rFonts w:hint="eastAsia"/>
          <w:noProof/>
        </w:rPr>
        <w:t>申訴標的之範圍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145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第一項</w:t>
      </w:r>
      <w:r>
        <w:t xml:space="preserve"> </w:t>
      </w:r>
      <w:r>
        <w:rPr>
          <w:rFonts w:hint="eastAsia"/>
        </w:rPr>
        <w:t>現況整理</w:t>
      </w:r>
      <w:r>
        <w:tab/>
      </w:r>
      <w:r>
        <w:fldChar w:fldCharType="begin"/>
      </w:r>
      <w:r>
        <w:instrText xml:space="preserve"> PAGEREF _Toc61809165 \h </w:instrText>
      </w:r>
      <w:r>
        <w:fldChar w:fldCharType="separate"/>
      </w:r>
      <w:r>
        <w:t>146</w:t>
      </w:r>
      <w: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第二項</w:t>
      </w:r>
      <w:r>
        <w:t xml:space="preserve"> </w:t>
      </w:r>
      <w:r>
        <w:rPr>
          <w:rFonts w:hint="eastAsia"/>
        </w:rPr>
        <w:t>檢討分析</w:t>
      </w:r>
      <w:r>
        <w:tab/>
      </w:r>
      <w:r>
        <w:fldChar w:fldCharType="begin"/>
      </w:r>
      <w:r>
        <w:instrText xml:space="preserve"> PAGEREF _Toc61809166 \h </w:instrText>
      </w:r>
      <w:r>
        <w:fldChar w:fldCharType="separate"/>
      </w:r>
      <w:r>
        <w:t>149</w:t>
      </w:r>
      <w: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第三節</w:t>
      </w:r>
      <w:r>
        <w:rPr>
          <w:noProof/>
        </w:rPr>
        <w:t xml:space="preserve"> </w:t>
      </w:r>
      <w:r>
        <w:rPr>
          <w:rFonts w:hint="eastAsia"/>
          <w:noProof/>
        </w:rPr>
        <w:t>申訴標的與復審標的之分野：以公務員調職為中心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t>2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第一項</w:t>
      </w:r>
      <w:r>
        <w:t xml:space="preserve"> </w:t>
      </w:r>
      <w:r>
        <w:rPr>
          <w:rFonts w:hint="eastAsia"/>
        </w:rPr>
        <w:t>公務人員職務調派問題</w:t>
      </w:r>
      <w:r>
        <w:tab/>
      </w:r>
      <w:r>
        <w:fldChar w:fldCharType="begin"/>
      </w:r>
      <w:r>
        <w:instrText xml:space="preserve"> PAGEREF _Toc61809168 \h </w:instrText>
      </w:r>
      <w:r>
        <w:fldChar w:fldCharType="separate"/>
      </w:r>
      <w:r>
        <w:t>153</w:t>
      </w:r>
      <w: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壹、請求調動職務事件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153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貳、職務受調動事件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157</w:t>
      </w:r>
      <w:r>
        <w:rPr>
          <w:noProof/>
        </w:rPr>
        <w:fldChar w:fldCharType="end"/>
      </w:r>
    </w:p>
    <w:p w:rsidR="00000000" w:rsidRDefault="0016279E">
      <w:pPr>
        <w:pStyle w:val="30"/>
        <w:ind w:firstLine="480"/>
      </w:pPr>
      <w:r>
        <w:rPr>
          <w:rFonts w:hint="eastAsia"/>
        </w:rPr>
        <w:t>第二項</w:t>
      </w:r>
      <w:r>
        <w:t xml:space="preserve"> </w:t>
      </w:r>
      <w:r>
        <w:rPr>
          <w:rFonts w:hint="eastAsia"/>
        </w:rPr>
        <w:t>法官免兼庭長問題</w:t>
      </w:r>
      <w:r>
        <w:tab/>
      </w:r>
      <w:r>
        <w:fldChar w:fldCharType="begin"/>
      </w:r>
      <w:r>
        <w:instrText xml:space="preserve"> PAGEREF _Toc61809171 \h </w:instrText>
      </w:r>
      <w:r>
        <w:fldChar w:fldCharType="separate"/>
      </w:r>
      <w:r>
        <w:t>160</w:t>
      </w:r>
      <w: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壹、問題緣起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160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lastRenderedPageBreak/>
        <w:t>貳、見解整理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_Toc61809173 \h</w:instrText>
      </w:r>
      <w:r>
        <w:rPr>
          <w:noProof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161</w:t>
      </w:r>
      <w:r>
        <w:rPr>
          <w:noProof/>
        </w:rPr>
        <w:fldChar w:fldCharType="end"/>
      </w:r>
    </w:p>
    <w:p w:rsidR="00000000" w:rsidRDefault="0016279E">
      <w:pPr>
        <w:pStyle w:val="4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參、檢討分析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164</w:t>
      </w:r>
      <w:r>
        <w:rPr>
          <w:noProof/>
        </w:rPr>
        <w:fldChar w:fldCharType="end"/>
      </w:r>
    </w:p>
    <w:p w:rsidR="00000000" w:rsidRDefault="0016279E">
      <w:pPr>
        <w:pStyle w:val="1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第七章</w:t>
      </w:r>
      <w:r>
        <w:rPr>
          <w:noProof/>
        </w:rPr>
        <w:t xml:space="preserve"> </w:t>
      </w:r>
      <w:r>
        <w:rPr>
          <w:rFonts w:hint="eastAsia"/>
          <w:noProof/>
        </w:rPr>
        <w:t>我國保障制度之暫時權利保障問題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167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第一節</w:t>
      </w:r>
      <w:r>
        <w:rPr>
          <w:noProof/>
        </w:rPr>
        <w:t xml:space="preserve"> </w:t>
      </w:r>
      <w:r>
        <w:rPr>
          <w:rFonts w:hint="eastAsia"/>
          <w:noProof/>
        </w:rPr>
        <w:t>復審程序之暫時權利保護問題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167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第二節</w:t>
      </w:r>
      <w:r>
        <w:rPr>
          <w:noProof/>
        </w:rPr>
        <w:t xml:space="preserve"> </w:t>
      </w:r>
      <w:r>
        <w:rPr>
          <w:rFonts w:hint="eastAsia"/>
          <w:noProof/>
        </w:rPr>
        <w:t>申訴程序之暫時權利保護問題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170</w:t>
      </w:r>
      <w:r>
        <w:rPr>
          <w:noProof/>
        </w:rPr>
        <w:fldChar w:fldCharType="end"/>
      </w:r>
    </w:p>
    <w:p w:rsidR="00000000" w:rsidRDefault="0016279E">
      <w:pPr>
        <w:pStyle w:val="1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第八章</w:t>
      </w:r>
      <w:r>
        <w:rPr>
          <w:noProof/>
        </w:rPr>
        <w:t xml:space="preserve"> </w:t>
      </w:r>
      <w:r>
        <w:rPr>
          <w:rFonts w:hint="eastAsia"/>
          <w:noProof/>
        </w:rPr>
        <w:t>結論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171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第一節</w:t>
      </w:r>
      <w:r>
        <w:rPr>
          <w:noProof/>
        </w:rPr>
        <w:t xml:space="preserve"> </w:t>
      </w:r>
      <w:r>
        <w:rPr>
          <w:rFonts w:hint="eastAsia"/>
          <w:noProof/>
        </w:rPr>
        <w:t>我國與德國公務員保</w:t>
      </w:r>
      <w:r>
        <w:rPr>
          <w:rFonts w:hint="eastAsia"/>
          <w:noProof/>
        </w:rPr>
        <w:t>障及行政救濟制度之綜合比較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171</w:t>
      </w:r>
      <w:r>
        <w:rPr>
          <w:noProof/>
        </w:rPr>
        <w:fldChar w:fldCharType="end"/>
      </w:r>
    </w:p>
    <w:p w:rsidR="00000000" w:rsidRDefault="0016279E">
      <w:pPr>
        <w:pStyle w:val="2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第二節</w:t>
      </w:r>
      <w:r>
        <w:rPr>
          <w:noProof/>
        </w:rPr>
        <w:t xml:space="preserve"> </w:t>
      </w:r>
      <w:r>
        <w:rPr>
          <w:rFonts w:hint="eastAsia"/>
          <w:noProof/>
        </w:rPr>
        <w:t>「復審標的」判斷基準及思考層次之建立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173</w:t>
      </w:r>
      <w:r>
        <w:rPr>
          <w:noProof/>
        </w:rPr>
        <w:fldChar w:fldCharType="end"/>
      </w:r>
    </w:p>
    <w:p w:rsidR="00000000" w:rsidRDefault="0016279E">
      <w:pPr>
        <w:pStyle w:val="1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參考文獻：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179</w:t>
      </w:r>
      <w:r>
        <w:rPr>
          <w:noProof/>
        </w:rPr>
        <w:fldChar w:fldCharType="end"/>
      </w:r>
    </w:p>
    <w:p w:rsidR="00000000" w:rsidRDefault="0016279E">
      <w:pPr>
        <w:pStyle w:val="1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摘要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185</w:t>
      </w:r>
      <w:r>
        <w:rPr>
          <w:noProof/>
        </w:rPr>
        <w:fldChar w:fldCharType="end"/>
      </w:r>
    </w:p>
    <w:p w:rsidR="00000000" w:rsidRDefault="0016279E">
      <w:pPr>
        <w:pStyle w:val="1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期中報告審查紀錄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187</w:t>
      </w:r>
      <w:r>
        <w:rPr>
          <w:noProof/>
        </w:rPr>
        <w:fldChar w:fldCharType="end"/>
      </w:r>
    </w:p>
    <w:p w:rsidR="00000000" w:rsidRDefault="0016279E">
      <w:pPr>
        <w:pStyle w:val="10"/>
        <w:tabs>
          <w:tab w:val="right" w:leader="dot" w:pos="8296"/>
        </w:tabs>
        <w:ind w:firstLine="480"/>
        <w:rPr>
          <w:noProof/>
        </w:rPr>
      </w:pPr>
      <w:r>
        <w:rPr>
          <w:rFonts w:hint="eastAsia"/>
          <w:noProof/>
        </w:rPr>
        <w:t>期末報告審查紀錄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_Toc61809184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195</w:t>
      </w:r>
      <w:r>
        <w:rPr>
          <w:noProof/>
        </w:rPr>
        <w:fldChar w:fldCharType="end"/>
      </w:r>
    </w:p>
    <w:p w:rsidR="0016279E" w:rsidRDefault="0016279E">
      <w:pPr>
        <w:pStyle w:val="1"/>
        <w:spacing w:line="360" w:lineRule="auto"/>
        <w:jc w:val="left"/>
        <w:rPr>
          <w:rFonts w:hint="eastAsia"/>
        </w:rPr>
      </w:pPr>
      <w:r>
        <w:fldChar w:fldCharType="end"/>
      </w:r>
      <w:r>
        <w:br w:type="page"/>
      </w:r>
    </w:p>
    <w:sectPr w:rsidR="00162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9E" w:rsidRDefault="0016279E">
      <w:pPr>
        <w:spacing w:line="240" w:lineRule="auto"/>
        <w:ind w:firstLine="480"/>
      </w:pPr>
      <w:r>
        <w:separator/>
      </w:r>
    </w:p>
  </w:endnote>
  <w:endnote w:type="continuationSeparator" w:id="0">
    <w:p w:rsidR="0016279E" w:rsidRDefault="0016279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279E">
    <w:pPr>
      <w:pStyle w:val="a8"/>
      <w:framePr w:wrap="around" w:vAnchor="text" w:hAnchor="margin" w:xAlign="center" w:y="1"/>
      <w:ind w:firstLine="4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000" w:rsidRDefault="0016279E">
    <w:pPr>
      <w:pStyle w:val="a8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279E">
    <w:pPr>
      <w:pStyle w:val="a8"/>
      <w:framePr w:wrap="around" w:vAnchor="text" w:hAnchor="margin" w:xAlign="center" w:y="1"/>
      <w:ind w:firstLine="4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6676">
      <w:rPr>
        <w:rStyle w:val="a9"/>
        <w:noProof/>
      </w:rPr>
      <w:t>1</w:t>
    </w:r>
    <w:r>
      <w:rPr>
        <w:rStyle w:val="a9"/>
      </w:rPr>
      <w:fldChar w:fldCharType="end"/>
    </w:r>
  </w:p>
  <w:p w:rsidR="00000000" w:rsidRDefault="0016279E">
    <w:pPr>
      <w:pStyle w:val="a8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279E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9E" w:rsidRDefault="0016279E">
      <w:pPr>
        <w:spacing w:line="240" w:lineRule="auto"/>
        <w:ind w:firstLine="480"/>
      </w:pPr>
      <w:r>
        <w:separator/>
      </w:r>
    </w:p>
  </w:footnote>
  <w:footnote w:type="continuationSeparator" w:id="0">
    <w:p w:rsidR="0016279E" w:rsidRDefault="0016279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279E">
    <w:pPr>
      <w:pStyle w:val="af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279E">
    <w:pPr>
      <w:pStyle w:val="af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279E">
    <w:pPr>
      <w:pStyle w:val="af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758"/>
    <w:multiLevelType w:val="hybridMultilevel"/>
    <w:tmpl w:val="0156BE90"/>
    <w:lvl w:ilvl="0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BC0C2E"/>
    <w:multiLevelType w:val="hybridMultilevel"/>
    <w:tmpl w:val="17A69748"/>
    <w:lvl w:ilvl="0">
      <w:start w:val="1"/>
      <w:numFmt w:val="taiwaneseCountingThousand"/>
      <w:lvlText w:val="%1、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BBB4183"/>
    <w:multiLevelType w:val="hybridMultilevel"/>
    <w:tmpl w:val="283CFC22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CBD683E"/>
    <w:multiLevelType w:val="hybridMultilevel"/>
    <w:tmpl w:val="D1482D92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FC659AD"/>
    <w:multiLevelType w:val="hybridMultilevel"/>
    <w:tmpl w:val="D974EF28"/>
    <w:lvl w:ilvl="0">
      <w:start w:val="1"/>
      <w:numFmt w:val="taiwaneseCountingThousand"/>
      <w:lvlText w:val="%1、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2C23FF6"/>
    <w:multiLevelType w:val="hybridMultilevel"/>
    <w:tmpl w:val="1584F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246AE8"/>
    <w:multiLevelType w:val="hybridMultilevel"/>
    <w:tmpl w:val="0B54F83E"/>
    <w:lvl w:ilvl="0">
      <w:start w:val="2"/>
      <w:numFmt w:val="taiwaneseCountingThousand"/>
      <w:lvlText w:val="第%1項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55653C"/>
    <w:multiLevelType w:val="hybridMultilevel"/>
    <w:tmpl w:val="663C8510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9E158B"/>
    <w:multiLevelType w:val="hybridMultilevel"/>
    <w:tmpl w:val="4768BB62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613FA6"/>
    <w:multiLevelType w:val="hybridMultilevel"/>
    <w:tmpl w:val="A0A6A284"/>
    <w:lvl w:ilvl="0">
      <w:start w:val="1"/>
      <w:numFmt w:val="taiwaneseCountingThousand"/>
      <w:lvlText w:val="%1、"/>
      <w:lvlJc w:val="left"/>
      <w:pPr>
        <w:tabs>
          <w:tab w:val="num" w:pos="1425"/>
        </w:tabs>
        <w:ind w:left="1425" w:hanging="94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F606DC4"/>
    <w:multiLevelType w:val="singleLevel"/>
    <w:tmpl w:val="91281C3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27F64AF4"/>
    <w:multiLevelType w:val="hybridMultilevel"/>
    <w:tmpl w:val="3C4A7670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9664A4"/>
    <w:multiLevelType w:val="hybridMultilevel"/>
    <w:tmpl w:val="5E7662CC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B977AC4"/>
    <w:multiLevelType w:val="hybridMultilevel"/>
    <w:tmpl w:val="DB7E0284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2EDB3283"/>
    <w:multiLevelType w:val="hybridMultilevel"/>
    <w:tmpl w:val="ED987A96"/>
    <w:lvl w:ilvl="0">
      <w:start w:val="2"/>
      <w:numFmt w:val="taiwaneseCountingThousand"/>
      <w:lvlText w:val="%1、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F3713EF"/>
    <w:multiLevelType w:val="hybridMultilevel"/>
    <w:tmpl w:val="534E3A1A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1710BA8"/>
    <w:multiLevelType w:val="hybridMultilevel"/>
    <w:tmpl w:val="687E420A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1802FC7"/>
    <w:multiLevelType w:val="hybridMultilevel"/>
    <w:tmpl w:val="7F344D4E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39523250"/>
    <w:multiLevelType w:val="hybridMultilevel"/>
    <w:tmpl w:val="43545364"/>
    <w:lvl w:ilvl="0">
      <w:start w:val="1"/>
      <w:numFmt w:val="taiwaneseCountingThousand"/>
      <w:lvlText w:val="%1、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AC67EDA"/>
    <w:multiLevelType w:val="hybridMultilevel"/>
    <w:tmpl w:val="650278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BD17ADC"/>
    <w:multiLevelType w:val="hybridMultilevel"/>
    <w:tmpl w:val="6B3A16EC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2C40DA3"/>
    <w:multiLevelType w:val="hybridMultilevel"/>
    <w:tmpl w:val="FE98A040"/>
    <w:lvl w:ilvl="0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3A14C13"/>
    <w:multiLevelType w:val="hybridMultilevel"/>
    <w:tmpl w:val="54D85972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5242DDB"/>
    <w:multiLevelType w:val="hybridMultilevel"/>
    <w:tmpl w:val="D0861C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460446A2"/>
    <w:multiLevelType w:val="hybridMultilevel"/>
    <w:tmpl w:val="D6D0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200B22"/>
    <w:multiLevelType w:val="singleLevel"/>
    <w:tmpl w:val="8028EFD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00"/>
      </w:pPr>
      <w:rPr>
        <w:rFonts w:hint="eastAsia"/>
      </w:rPr>
    </w:lvl>
  </w:abstractNum>
  <w:abstractNum w:abstractNumId="26" w15:restartNumberingAfterBreak="0">
    <w:nsid w:val="4BC17B7D"/>
    <w:multiLevelType w:val="hybridMultilevel"/>
    <w:tmpl w:val="B7CCC152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29B490F"/>
    <w:multiLevelType w:val="hybridMultilevel"/>
    <w:tmpl w:val="14DEF160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5D6D5D64"/>
    <w:multiLevelType w:val="hybridMultilevel"/>
    <w:tmpl w:val="7A08ED4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654A1067"/>
    <w:multiLevelType w:val="hybridMultilevel"/>
    <w:tmpl w:val="261EDB22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68694BFD"/>
    <w:multiLevelType w:val="hybridMultilevel"/>
    <w:tmpl w:val="084C8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2CD7DFC"/>
    <w:multiLevelType w:val="hybridMultilevel"/>
    <w:tmpl w:val="B1F22652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312589C"/>
    <w:multiLevelType w:val="hybridMultilevel"/>
    <w:tmpl w:val="C0F2967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C064226"/>
    <w:multiLevelType w:val="hybridMultilevel"/>
    <w:tmpl w:val="57F269FE"/>
    <w:lvl w:ilvl="0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F5819DD"/>
    <w:multiLevelType w:val="hybridMultilevel"/>
    <w:tmpl w:val="B78C0FD2"/>
    <w:lvl w:ilvl="0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1"/>
  </w:num>
  <w:num w:numId="3">
    <w:abstractNumId w:val="31"/>
  </w:num>
  <w:num w:numId="4">
    <w:abstractNumId w:val="7"/>
  </w:num>
  <w:num w:numId="5">
    <w:abstractNumId w:val="13"/>
  </w:num>
  <w:num w:numId="6">
    <w:abstractNumId w:val="30"/>
  </w:num>
  <w:num w:numId="7">
    <w:abstractNumId w:val="18"/>
  </w:num>
  <w:num w:numId="8">
    <w:abstractNumId w:val="15"/>
  </w:num>
  <w:num w:numId="9">
    <w:abstractNumId w:val="34"/>
  </w:num>
  <w:num w:numId="10">
    <w:abstractNumId w:val="20"/>
  </w:num>
  <w:num w:numId="11">
    <w:abstractNumId w:val="19"/>
  </w:num>
  <w:num w:numId="12">
    <w:abstractNumId w:val="23"/>
  </w:num>
  <w:num w:numId="13">
    <w:abstractNumId w:val="33"/>
  </w:num>
  <w:num w:numId="14">
    <w:abstractNumId w:val="29"/>
  </w:num>
  <w:num w:numId="15">
    <w:abstractNumId w:val="12"/>
  </w:num>
  <w:num w:numId="16">
    <w:abstractNumId w:val="0"/>
  </w:num>
  <w:num w:numId="17">
    <w:abstractNumId w:val="28"/>
  </w:num>
  <w:num w:numId="18">
    <w:abstractNumId w:val="27"/>
  </w:num>
  <w:num w:numId="19">
    <w:abstractNumId w:val="5"/>
  </w:num>
  <w:num w:numId="20">
    <w:abstractNumId w:val="26"/>
  </w:num>
  <w:num w:numId="21">
    <w:abstractNumId w:val="2"/>
  </w:num>
  <w:num w:numId="22">
    <w:abstractNumId w:val="17"/>
  </w:num>
  <w:num w:numId="23">
    <w:abstractNumId w:val="24"/>
  </w:num>
  <w:num w:numId="24">
    <w:abstractNumId w:val="3"/>
  </w:num>
  <w:num w:numId="25">
    <w:abstractNumId w:val="21"/>
  </w:num>
  <w:num w:numId="26">
    <w:abstractNumId w:val="14"/>
  </w:num>
  <w:num w:numId="27">
    <w:abstractNumId w:val="9"/>
  </w:num>
  <w:num w:numId="28">
    <w:abstractNumId w:val="1"/>
  </w:num>
  <w:num w:numId="29">
    <w:abstractNumId w:val="4"/>
  </w:num>
  <w:num w:numId="30">
    <w:abstractNumId w:val="16"/>
  </w:num>
  <w:num w:numId="31">
    <w:abstractNumId w:val="10"/>
  </w:num>
  <w:num w:numId="32">
    <w:abstractNumId w:val="25"/>
  </w:num>
  <w:num w:numId="33">
    <w:abstractNumId w:val="6"/>
  </w:num>
  <w:num w:numId="34">
    <w:abstractNumId w:val="3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76"/>
    <w:rsid w:val="0016279E"/>
    <w:rsid w:val="0094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38D16-C756-4791-A836-BAD70AE0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20" w:after="120" w:line="360" w:lineRule="atLeast"/>
      <w:ind w:firstLineChars="0" w:firstLine="0"/>
      <w:textAlignment w:val="baseline"/>
      <w:outlineLvl w:val="0"/>
    </w:pPr>
    <w:rPr>
      <w:rFonts w:ascii="標楷體" w:eastAsia="標楷體"/>
      <w:b/>
      <w:kern w:val="0"/>
      <w:sz w:val="36"/>
    </w:rPr>
  </w:style>
  <w:style w:type="paragraph" w:styleId="2">
    <w:name w:val="heading 2"/>
    <w:basedOn w:val="a"/>
    <w:next w:val="a0"/>
    <w:qFormat/>
    <w:pPr>
      <w:autoSpaceDE w:val="0"/>
      <w:autoSpaceDN w:val="0"/>
      <w:adjustRightInd w:val="0"/>
      <w:spacing w:before="120" w:after="120" w:line="360" w:lineRule="atLeast"/>
      <w:ind w:firstLineChars="0" w:firstLine="0"/>
      <w:textAlignment w:val="baseline"/>
      <w:outlineLvl w:val="1"/>
    </w:pPr>
    <w:rPr>
      <w:rFonts w:eastAsia="標楷體"/>
      <w:b/>
      <w:kern w:val="0"/>
      <w:sz w:val="32"/>
    </w:rPr>
  </w:style>
  <w:style w:type="paragraph" w:styleId="3">
    <w:name w:val="heading 3"/>
    <w:basedOn w:val="a"/>
    <w:next w:val="a0"/>
    <w:qFormat/>
    <w:pPr>
      <w:widowControl/>
      <w:autoSpaceDE w:val="0"/>
      <w:autoSpaceDN w:val="0"/>
      <w:adjustRightInd w:val="0"/>
      <w:spacing w:before="120" w:after="120" w:line="360" w:lineRule="atLeast"/>
      <w:ind w:firstLineChars="0" w:firstLine="0"/>
      <w:textAlignment w:val="baseline"/>
      <w:outlineLvl w:val="2"/>
    </w:pPr>
    <w:rPr>
      <w:rFonts w:eastAsia="標楷體"/>
      <w:b/>
      <w:kern w:val="0"/>
      <w:sz w:val="28"/>
      <w:szCs w:val="28"/>
    </w:rPr>
  </w:style>
  <w:style w:type="paragraph" w:styleId="4">
    <w:name w:val="heading 4"/>
    <w:basedOn w:val="a"/>
    <w:next w:val="a0"/>
    <w:qFormat/>
    <w:pPr>
      <w:autoSpaceDE w:val="0"/>
      <w:autoSpaceDN w:val="0"/>
      <w:adjustRightInd w:val="0"/>
      <w:spacing w:before="240" w:after="240" w:line="360" w:lineRule="atLeast"/>
      <w:ind w:firstLineChars="0" w:firstLine="0"/>
      <w:textAlignment w:val="baseline"/>
      <w:outlineLvl w:val="3"/>
    </w:pPr>
    <w:rPr>
      <w:rFonts w:eastAsia="細明體"/>
      <w:b/>
      <w:kern w:val="0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目"/>
    <w:basedOn w:val="a"/>
    <w:pPr>
      <w:autoSpaceDE w:val="0"/>
      <w:autoSpaceDN w:val="0"/>
      <w:adjustRightInd w:val="0"/>
      <w:spacing w:before="60" w:after="60" w:line="360" w:lineRule="atLeast"/>
      <w:ind w:firstLineChars="0" w:firstLine="0"/>
      <w:jc w:val="center"/>
      <w:textAlignment w:val="baseline"/>
    </w:pPr>
    <w:rPr>
      <w:rFonts w:ascii="細明體" w:eastAsia="細明體"/>
      <w:b/>
      <w:kern w:val="0"/>
      <w:sz w:val="40"/>
    </w:rPr>
  </w:style>
  <w:style w:type="character" w:styleId="a5">
    <w:name w:val="footnote reference"/>
    <w:basedOn w:val="a1"/>
    <w:semiHidden/>
    <w:rPr>
      <w:position w:val="6"/>
      <w:sz w:val="18"/>
    </w:rPr>
  </w:style>
  <w:style w:type="paragraph" w:styleId="a6">
    <w:name w:val="footnote text"/>
    <w:basedOn w:val="a"/>
    <w:semiHidden/>
    <w:pPr>
      <w:adjustRightInd w:val="0"/>
      <w:spacing w:before="60" w:after="60" w:line="360" w:lineRule="atLeast"/>
      <w:ind w:firstLine="482"/>
      <w:textAlignment w:val="baseline"/>
    </w:pPr>
    <w:rPr>
      <w:rFonts w:eastAsia="細明體"/>
      <w:kern w:val="0"/>
      <w:sz w:val="20"/>
    </w:rPr>
  </w:style>
  <w:style w:type="paragraph" w:customStyle="1" w:styleId="a7">
    <w:name w:val="作者"/>
    <w:basedOn w:val="a"/>
    <w:pPr>
      <w:adjustRightInd w:val="0"/>
      <w:spacing w:before="60" w:after="60" w:line="360" w:lineRule="atLeast"/>
      <w:jc w:val="center"/>
      <w:textAlignment w:val="baseline"/>
    </w:pPr>
    <w:rPr>
      <w:rFonts w:eastAsia="細明體"/>
      <w:b/>
      <w:kern w:val="0"/>
    </w:rPr>
  </w:style>
  <w:style w:type="paragraph" w:styleId="a0">
    <w:name w:val="Normal Indent"/>
    <w:basedOn w:val="a"/>
    <w:semiHidden/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semiHidden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細明體" w:eastAsia="細明體" w:hAnsi="Courier New" w:cs="華康楷書體W5"/>
      <w:kern w:val="0"/>
      <w:sz w:val="20"/>
    </w:rPr>
  </w:style>
  <w:style w:type="character" w:styleId="aa">
    <w:name w:val="Hyperlink"/>
    <w:basedOn w:val="a1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ind w:firstLineChars="0" w:firstLine="0"/>
      <w:jc w:val="left"/>
    </w:pPr>
    <w:rPr>
      <w:rFonts w:ascii="Arial Unicode MS" w:eastAsia="Arial Unicode MS" w:hAnsi="Arial Unicode MS" w:cs="Courier New"/>
      <w:kern w:val="0"/>
      <w:szCs w:val="24"/>
    </w:rPr>
  </w:style>
  <w:style w:type="character" w:styleId="ab">
    <w:name w:val="FollowedHyperlink"/>
    <w:basedOn w:val="a1"/>
    <w:semiHidden/>
    <w:rPr>
      <w:color w:val="800080"/>
      <w:u w:val="single"/>
    </w:rPr>
  </w:style>
  <w:style w:type="paragraph" w:styleId="ac">
    <w:name w:val="Body Text Indent"/>
    <w:basedOn w:val="a"/>
    <w:semiHidden/>
    <w:pPr>
      <w:ind w:firstLine="480"/>
    </w:p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200" w:left="480"/>
    </w:pPr>
  </w:style>
  <w:style w:type="paragraph" w:styleId="30">
    <w:name w:val="toc 3"/>
    <w:basedOn w:val="a"/>
    <w:next w:val="a"/>
    <w:autoRedefine/>
    <w:semiHidden/>
    <w:pPr>
      <w:tabs>
        <w:tab w:val="right" w:leader="dot" w:pos="8296"/>
      </w:tabs>
      <w:ind w:left="2291" w:hanging="851"/>
    </w:pPr>
    <w:rPr>
      <w:noProof/>
    </w:rPr>
  </w:style>
  <w:style w:type="paragraph" w:styleId="40">
    <w:name w:val="toc 4"/>
    <w:basedOn w:val="a"/>
    <w:next w:val="a"/>
    <w:autoRedefine/>
    <w:semiHidden/>
    <w:pPr>
      <w:ind w:leftChars="600" w:left="1440"/>
    </w:pPr>
  </w:style>
  <w:style w:type="paragraph" w:styleId="5">
    <w:name w:val="toc 5"/>
    <w:basedOn w:val="a"/>
    <w:next w:val="a"/>
    <w:autoRedefine/>
    <w:semiHidden/>
    <w:pPr>
      <w:ind w:leftChars="800" w:left="1920"/>
    </w:pPr>
  </w:style>
  <w:style w:type="paragraph" w:styleId="6">
    <w:name w:val="toc 6"/>
    <w:basedOn w:val="a"/>
    <w:next w:val="a"/>
    <w:autoRedefine/>
    <w:semiHidden/>
    <w:pPr>
      <w:ind w:leftChars="1000" w:left="2400"/>
    </w:pPr>
  </w:style>
  <w:style w:type="paragraph" w:styleId="7">
    <w:name w:val="toc 7"/>
    <w:basedOn w:val="a"/>
    <w:next w:val="a"/>
    <w:autoRedefine/>
    <w:semiHidden/>
    <w:pPr>
      <w:ind w:leftChars="1200" w:left="2880"/>
    </w:pPr>
  </w:style>
  <w:style w:type="paragraph" w:styleId="8">
    <w:name w:val="toc 8"/>
    <w:basedOn w:val="a"/>
    <w:next w:val="a"/>
    <w:autoRedefine/>
    <w:semiHidden/>
    <w:pPr>
      <w:ind w:leftChars="1400" w:left="3360"/>
    </w:pPr>
  </w:style>
  <w:style w:type="paragraph" w:styleId="9">
    <w:name w:val="toc 9"/>
    <w:basedOn w:val="a"/>
    <w:next w:val="a"/>
    <w:autoRedefine/>
    <w:semiHidden/>
    <w:pPr>
      <w:ind w:leftChars="1600" w:left="3840"/>
    </w:pPr>
  </w:style>
  <w:style w:type="paragraph" w:styleId="ad">
    <w:name w:val="Salutation"/>
    <w:basedOn w:val="a"/>
    <w:next w:val="a"/>
    <w:semiHidden/>
  </w:style>
  <w:style w:type="paragraph" w:styleId="ae">
    <w:name w:val="Closing"/>
    <w:basedOn w:val="a"/>
    <w:semiHidden/>
    <w:pPr>
      <w:ind w:leftChars="1800" w:left="100"/>
    </w:pPr>
  </w:style>
  <w:style w:type="paragraph" w:styleId="af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Body Text"/>
    <w:basedOn w:val="a"/>
    <w:semiHidden/>
    <w:pPr>
      <w:spacing w:after="120"/>
    </w:pPr>
  </w:style>
  <w:style w:type="paragraph" w:styleId="31">
    <w:name w:val="Body Text Indent 3"/>
    <w:basedOn w:val="a"/>
    <w:semiHidden/>
    <w:pPr>
      <w:spacing w:after="120"/>
      <w:ind w:leftChars="200" w:left="480"/>
    </w:pPr>
    <w:rPr>
      <w:sz w:val="16"/>
      <w:szCs w:val="16"/>
    </w:rPr>
  </w:style>
  <w:style w:type="paragraph" w:styleId="21">
    <w:name w:val="Body Text Indent 2"/>
    <w:basedOn w:val="a"/>
    <w:semiHidden/>
    <w:pPr>
      <w:spacing w:after="120" w:line="480" w:lineRule="auto"/>
      <w:ind w:leftChars="200" w:left="480"/>
    </w:pPr>
  </w:style>
  <w:style w:type="paragraph" w:customStyle="1" w:styleId="22">
    <w:name w:val="樣式 第一行:  2 字元"/>
    <w:basedOn w:val="a"/>
    <w:pPr>
      <w:ind w:firstLine="480"/>
    </w:pPr>
    <w:rPr>
      <w:rFonts w:cs="細明體"/>
      <w:sz w:val="28"/>
      <w:szCs w:val="28"/>
    </w:rPr>
  </w:style>
  <w:style w:type="paragraph" w:customStyle="1" w:styleId="23">
    <w:name w:val="樣式 內文縮排 + 第一行:  2 字元"/>
    <w:basedOn w:val="a0"/>
    <w:pPr>
      <w:ind w:firstLine="480"/>
    </w:pPr>
    <w:rPr>
      <w:rFonts w:cs="細明體"/>
      <w:sz w:val="28"/>
      <w:szCs w:val="28"/>
    </w:rPr>
  </w:style>
  <w:style w:type="paragraph" w:customStyle="1" w:styleId="0">
    <w:name w:val="樣式 本文縮排 + 第一行:  0 字元"/>
    <w:basedOn w:val="ac"/>
    <w:pPr>
      <w:ind w:firstLineChars="0"/>
    </w:pPr>
    <w:rPr>
      <w:rFonts w:cs="細明體"/>
      <w:sz w:val="28"/>
      <w:szCs w:val="28"/>
    </w:rPr>
  </w:style>
  <w:style w:type="paragraph" w:customStyle="1" w:styleId="af1">
    <w:name w:val="樣式 本文縮排 + 新細明體"/>
    <w:basedOn w:val="ac"/>
    <w:rPr>
      <w:rFonts w:ascii="新細明體" w:hAnsi="新細明體"/>
      <w:sz w:val="28"/>
      <w:szCs w:val="28"/>
    </w:rPr>
  </w:style>
  <w:style w:type="character" w:customStyle="1" w:styleId="af2">
    <w:name w:val="本文縮排 字元"/>
    <w:basedOn w:val="a1"/>
    <w:rPr>
      <w:rFonts w:eastAsia="新細明體"/>
      <w:noProof w:val="0"/>
      <w:kern w:val="2"/>
      <w:sz w:val="24"/>
      <w:lang w:val="en-US" w:eastAsia="zh-TW" w:bidi="ar-SA"/>
    </w:rPr>
  </w:style>
  <w:style w:type="character" w:customStyle="1" w:styleId="af3">
    <w:name w:val="樣式 本文縮排 + 新細明體 字元"/>
    <w:basedOn w:val="af2"/>
    <w:rPr>
      <w:rFonts w:ascii="新細明體" w:eastAsia="新細明體" w:hAnsi="新細明體"/>
      <w:noProof w:val="0"/>
      <w:kern w:val="2"/>
      <w:sz w:val="28"/>
      <w:szCs w:val="2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765</Words>
  <Characters>4364</Characters>
  <Application>Microsoft Office Word</Application>
  <DocSecurity>0</DocSecurity>
  <Lines>36</Lines>
  <Paragraphs>10</Paragraphs>
  <ScaleCrop>false</ScaleCrop>
  <Company>sinica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復審標的</dc:title>
  <dc:subject/>
  <dc:creator>Cheny Li</dc:creator>
  <cp:keywords/>
  <dc:description/>
  <cp:lastModifiedBy>卓卿雲</cp:lastModifiedBy>
  <cp:revision>2</cp:revision>
  <cp:lastPrinted>2004-01-13T20:33:00Z</cp:lastPrinted>
  <dcterms:created xsi:type="dcterms:W3CDTF">2021-09-22T10:55:00Z</dcterms:created>
  <dcterms:modified xsi:type="dcterms:W3CDTF">2021-09-22T10:55:00Z</dcterms:modified>
</cp:coreProperties>
</file>