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0" w:lineRule="exact"/>
        <w:ind w:left="256"/>
        <w:rPr>
          <w:rFonts w:ascii="Times New Roman"/>
          <w:sz w:val="2"/>
        </w:rPr>
      </w:pPr>
      <w:r>
        <w:rPr>
          <w:rFonts w:ascii="Times New Roman"/>
          <w:sz w:val="2"/>
        </w:rPr>
        <w:pict>
          <v:group style="width:457.65pt;height:.75pt;mso-position-horizontal-relative:char;mso-position-vertical-relative:line" coordorigin="0,0" coordsize="9153,15">
            <v:line style="position:absolute" from="0,7" to="9152,7" stroked="true" strokeweight=".720821pt" strokecolor="#000000">
              <v:stroke dashstyle="solid"/>
            </v:line>
          </v:group>
        </w:pict>
      </w:r>
      <w:r>
        <w:rPr>
          <w:rFonts w:ascii="Times New Roman"/>
          <w:sz w:val="2"/>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w w:val="110"/>
        </w:rPr>
        <w:t>復審參加制度之研究</w:t>
      </w: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rPr>
          <w:sz w:val="50"/>
        </w:rPr>
      </w:pPr>
    </w:p>
    <w:p>
      <w:pPr>
        <w:pStyle w:val="BodyText"/>
        <w:spacing w:before="7"/>
        <w:rPr>
          <w:sz w:val="58"/>
        </w:rPr>
      </w:pPr>
    </w:p>
    <w:p>
      <w:pPr>
        <w:spacing w:before="0"/>
        <w:ind w:left="0" w:right="290" w:firstLine="0"/>
        <w:jc w:val="center"/>
        <w:rPr>
          <w:sz w:val="35"/>
        </w:rPr>
      </w:pPr>
      <w:r>
        <w:rPr>
          <w:w w:val="110"/>
          <w:sz w:val="35"/>
        </w:rPr>
        <w:t>計畫主持人：劉建宏</w:t>
      </w:r>
    </w:p>
    <w:p>
      <w:pPr>
        <w:spacing w:before="152"/>
        <w:ind w:left="0" w:right="303" w:firstLine="0"/>
        <w:jc w:val="center"/>
        <w:rPr>
          <w:sz w:val="35"/>
        </w:rPr>
      </w:pPr>
      <w:r>
        <w:rPr>
          <w:w w:val="110"/>
          <w:sz w:val="35"/>
        </w:rPr>
        <w:t>協同主持人：李仁淼、古曉婷</w:t>
      </w:r>
    </w:p>
    <w:p>
      <w:pPr>
        <w:pStyle w:val="BodyText"/>
        <w:rPr>
          <w:sz w:val="34"/>
        </w:rPr>
      </w:pPr>
    </w:p>
    <w:p>
      <w:pPr>
        <w:pStyle w:val="BodyText"/>
        <w:rPr>
          <w:sz w:val="34"/>
        </w:rPr>
      </w:pPr>
    </w:p>
    <w:p>
      <w:pPr>
        <w:pStyle w:val="BodyText"/>
        <w:rPr>
          <w:sz w:val="34"/>
        </w:rPr>
      </w:pPr>
    </w:p>
    <w:p>
      <w:pPr>
        <w:tabs>
          <w:tab w:pos="5213" w:val="left" w:leader="none"/>
        </w:tabs>
        <w:spacing w:before="287"/>
        <w:ind w:left="0" w:right="231" w:firstLine="0"/>
        <w:jc w:val="center"/>
        <w:rPr>
          <w:sz w:val="35"/>
        </w:rPr>
      </w:pPr>
      <w:r>
        <w:rPr>
          <w:w w:val="110"/>
          <w:sz w:val="35"/>
        </w:rPr>
        <w:t>公務人員保障暨培訓委員會</w:t>
        <w:tab/>
        <w:t>委託硏究</w:t>
      </w:r>
    </w:p>
    <w:p>
      <w:pPr>
        <w:pStyle w:val="BodyText"/>
        <w:rPr>
          <w:sz w:val="34"/>
        </w:rPr>
      </w:pPr>
    </w:p>
    <w:p>
      <w:pPr>
        <w:pStyle w:val="BodyText"/>
        <w:rPr>
          <w:sz w:val="50"/>
        </w:rPr>
      </w:pPr>
    </w:p>
    <w:p>
      <w:pPr>
        <w:spacing w:before="0"/>
        <w:ind w:left="0" w:right="226" w:firstLine="0"/>
        <w:jc w:val="center"/>
        <w:rPr>
          <w:sz w:val="35"/>
        </w:rPr>
      </w:pPr>
      <w:r>
        <w:rPr>
          <w:spacing w:val="23"/>
          <w:w w:val="95"/>
          <w:sz w:val="37"/>
        </w:rPr>
        <w:t>中華民國 </w:t>
      </w:r>
      <w:r>
        <w:rPr>
          <w:rFonts w:ascii="Times New Roman" w:eastAsia="Times New Roman"/>
          <w:w w:val="95"/>
          <w:sz w:val="43"/>
        </w:rPr>
        <w:t>99</w:t>
      </w:r>
      <w:r>
        <w:rPr>
          <w:rFonts w:ascii="Times New Roman" w:eastAsia="Times New Roman"/>
          <w:spacing w:val="35"/>
          <w:w w:val="95"/>
          <w:sz w:val="43"/>
        </w:rPr>
        <w:t> </w:t>
      </w:r>
      <w:r>
        <w:rPr>
          <w:spacing w:val="-34"/>
          <w:w w:val="95"/>
          <w:sz w:val="35"/>
        </w:rPr>
        <w:t>年 </w:t>
      </w:r>
      <w:r>
        <w:rPr>
          <w:rFonts w:ascii="Times New Roman" w:eastAsia="Times New Roman"/>
          <w:w w:val="95"/>
          <w:sz w:val="43"/>
        </w:rPr>
        <w:t>11</w:t>
      </w:r>
      <w:r>
        <w:rPr>
          <w:rFonts w:ascii="Times New Roman" w:eastAsia="Times New Roman"/>
          <w:spacing w:val="-10"/>
          <w:w w:val="95"/>
          <w:sz w:val="43"/>
        </w:rPr>
        <w:t> </w:t>
      </w:r>
      <w:r>
        <w:rPr>
          <w:w w:val="95"/>
          <w:sz w:val="35"/>
        </w:rPr>
        <w:t>月</w:t>
      </w:r>
    </w:p>
    <w:p>
      <w:pPr>
        <w:spacing w:after="0"/>
        <w:jc w:val="center"/>
        <w:rPr>
          <w:sz w:val="35"/>
        </w:rPr>
        <w:sectPr>
          <w:type w:val="continuous"/>
          <w:pgSz w:w="11910" w:h="16840"/>
          <w:pgMar w:top="1020" w:bottom="280" w:left="1120" w:right="1060"/>
        </w:sectPr>
      </w:pPr>
    </w:p>
    <w:p>
      <w:pPr>
        <w:spacing w:before="19"/>
        <w:ind w:left="1213" w:right="549" w:firstLine="0"/>
        <w:jc w:val="center"/>
        <w:rPr>
          <w:sz w:val="38"/>
        </w:rPr>
      </w:pPr>
      <w:r>
        <w:rPr>
          <w:w w:val="110"/>
          <w:sz w:val="38"/>
        </w:rPr>
        <w:t>中文摘要</w:t>
      </w:r>
    </w:p>
    <w:p>
      <w:pPr>
        <w:pStyle w:val="BodyText"/>
        <w:spacing w:line="328" w:lineRule="auto" w:before="315"/>
        <w:ind w:left="314" w:right="507" w:firstLine="562"/>
        <w:jc w:val="both"/>
      </w:pPr>
      <w:r>
        <w:rPr>
          <w:spacing w:val="18"/>
        </w:rPr>
        <w:t>公務人員保障法第 </w:t>
      </w:r>
      <w:r>
        <w:rPr>
          <w:rFonts w:ascii="Times New Roman" w:eastAsia="Times New Roman"/>
          <w:sz w:val="30"/>
        </w:rPr>
        <w:t>25</w:t>
      </w:r>
      <w:r>
        <w:rPr>
          <w:rFonts w:ascii="Times New Roman" w:eastAsia="Times New Roman"/>
          <w:spacing w:val="43"/>
          <w:sz w:val="30"/>
        </w:rPr>
        <w:t> </w:t>
      </w:r>
      <w:r>
        <w:rPr>
          <w:spacing w:val="20"/>
        </w:rPr>
        <w:t>條第 </w:t>
      </w:r>
      <w:r>
        <w:rPr>
          <w:rFonts w:ascii="Times New Roman" w:eastAsia="Times New Roman"/>
          <w:sz w:val="30"/>
        </w:rPr>
        <w:t>l</w:t>
      </w:r>
      <w:r>
        <w:rPr>
          <w:rFonts w:ascii="Times New Roman" w:eastAsia="Times New Roman"/>
          <w:spacing w:val="5"/>
          <w:sz w:val="30"/>
        </w:rPr>
        <w:t> </w:t>
      </w:r>
      <w:r>
        <w:rPr>
          <w:spacing w:val="13"/>
        </w:rPr>
        <w:t>項前段規定：</w:t>
      </w:r>
      <w:r>
        <w:rPr>
          <w:spacing w:val="-9"/>
        </w:rPr>
        <w:t>「公務人員 對於服務機關或</w:t>
      </w:r>
      <w:r>
        <w:rPr/>
        <w:t>人事主管機關所為之行政處分，認為違法或顯然不噹，致損害其権利或利    </w:t>
      </w:r>
      <w:r>
        <w:rPr>
          <w:spacing w:val="35"/>
        </w:rPr>
        <w:t> </w:t>
      </w:r>
      <w:r>
        <w:rPr/>
        <w:t>益者，得依本法提超復審」。本條規定之目的，在於保障行政處分受處分    </w:t>
      </w:r>
      <w:r>
        <w:rPr>
          <w:spacing w:val="35"/>
        </w:rPr>
        <w:t> </w:t>
      </w:r>
      <w:r>
        <w:rPr/>
        <w:t>人之權益，使其得以針對行政處分提超復審，以資救濟。惟行政處分除關    </w:t>
      </w:r>
      <w:r>
        <w:rPr>
          <w:spacing w:val="35"/>
        </w:rPr>
        <w:t> </w:t>
      </w:r>
      <w:r>
        <w:rPr/>
        <w:t>涉受處分人之權益外，影響受處分人以外第三人權益之情形亦不在少數。    </w:t>
      </w:r>
      <w:r>
        <w:rPr>
          <w:spacing w:val="35"/>
        </w:rPr>
        <w:t> </w:t>
      </w:r>
      <w:r>
        <w:rPr/>
        <w:t>尤其在有關公務人員競爭者爭訟之事件中，數人所競爭之職務如為單一，    </w:t>
      </w:r>
      <w:r>
        <w:rPr>
          <w:spacing w:val="35"/>
        </w:rPr>
        <w:t> </w:t>
      </w:r>
      <w:r>
        <w:rPr/>
        <w:t>主管機關對某人之陞任、陞遷、留任等授益處分，不啻對於其他競爭者為    </w:t>
      </w:r>
      <w:r>
        <w:rPr>
          <w:spacing w:val="35"/>
        </w:rPr>
        <w:t> </w:t>
      </w:r>
      <w:r>
        <w:rPr/>
        <w:t>否准之處分。此際，其他競爭者得否參加復審程序以保障其権益？</w:t>
      </w:r>
    </w:p>
    <w:p>
      <w:pPr>
        <w:pStyle w:val="BodyText"/>
        <w:spacing w:line="331" w:lineRule="auto" w:before="3"/>
        <w:ind w:left="303" w:right="515" w:firstLine="568"/>
        <w:jc w:val="both"/>
      </w:pPr>
      <w:r>
        <w:rPr>
          <w:w w:val="110"/>
        </w:rPr>
        <w:t>公務人員保障法中並無參加復審之相關規定。在復審程序，尤其在有關公務人員陞任、陞遷、留任等授益處分之復審程序中，既有使第三人參與復審程序以保障其權益之需要，則是否應研擬在公務人員保障法中增訂有關復審參加之相關規定？又如增訂復審參加相關條文，其條文之內容應如何規範？凡此皆為本研究之重點。</w:t>
      </w:r>
    </w:p>
    <w:p>
      <w:pPr>
        <w:spacing w:after="0" w:line="331" w:lineRule="auto"/>
        <w:jc w:val="both"/>
        <w:sectPr>
          <w:footerReference w:type="default" r:id="rId5"/>
          <w:pgSz w:w="11910" w:h="16840"/>
          <w:pgMar w:footer="1017" w:header="0" w:top="1480" w:bottom="1200" w:left="1120" w:right="1060"/>
          <w:pgNumType w:start="2"/>
        </w:sectPr>
      </w:pPr>
    </w:p>
    <w:p>
      <w:pPr>
        <w:pStyle w:val="BodyText"/>
        <w:ind w:left="4739"/>
        <w:rPr>
          <w:sz w:val="20"/>
        </w:rPr>
      </w:pPr>
      <w:r>
        <w:rPr>
          <w:sz w:val="20"/>
        </w:rPr>
        <w:drawing>
          <wp:inline distT="0" distB="0" distL="0" distR="0">
            <wp:extent cx="838961" cy="278892"/>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838961" cy="278892"/>
                    </a:xfrm>
                    <a:prstGeom prst="rect">
                      <a:avLst/>
                    </a:prstGeom>
                  </pic:spPr>
                </pic:pic>
              </a:graphicData>
            </a:graphic>
          </wp:inline>
        </w:drawing>
      </w:r>
      <w:r>
        <w:rPr>
          <w:sz w:val="20"/>
        </w:rPr>
      </w:r>
    </w:p>
    <w:p>
      <w:pPr>
        <w:pStyle w:val="BodyText"/>
        <w:spacing w:before="7"/>
        <w:rPr>
          <w:sz w:val="15"/>
        </w:rPr>
      </w:pPr>
    </w:p>
    <w:p>
      <w:pPr>
        <w:spacing w:before="90"/>
        <w:ind w:left="0" w:right="1127" w:firstLine="0"/>
        <w:jc w:val="right"/>
        <w:rPr>
          <w:rFonts w:ascii="Times New Roman"/>
          <w:sz w:val="24"/>
        </w:rPr>
      </w:pPr>
      <w:r>
        <w:rPr/>
        <w:drawing>
          <wp:anchor distT="0" distB="0" distL="0" distR="0" allowOverlap="1" layoutInCell="1" locked="0" behindDoc="1" simplePos="0" relativeHeight="485448704">
            <wp:simplePos x="0" y="0"/>
            <wp:positionH relativeFrom="page">
              <wp:posOffset>1701038</wp:posOffset>
            </wp:positionH>
            <wp:positionV relativeFrom="paragraph">
              <wp:posOffset>77509</wp:posOffset>
            </wp:positionV>
            <wp:extent cx="457200" cy="152400"/>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1"/>
          <w:sz w:val="20"/>
        </w:rPr>
        <w:t> </w:t>
      </w:r>
      <w:hyperlink w:history="true" w:anchor="_bookmark0">
        <w:r>
          <w:rPr>
            <w:rFonts w:ascii="Times New Roman"/>
            <w:sz w:val="24"/>
          </w:rPr>
          <w:t>..........................................................................................................</w:t>
        </w:r>
        <w:r>
          <w:rPr>
            <w:rFonts w:ascii="Times New Roman"/>
            <w:spacing w:val="-5"/>
            <w:sz w:val="24"/>
          </w:rPr>
          <w:t> </w:t>
        </w:r>
        <w:r>
          <w:rPr>
            <w:rFonts w:ascii="Times New Roman"/>
            <w:sz w:val="24"/>
          </w:rPr>
          <w:t>1</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49216">
            <wp:simplePos x="0" y="0"/>
            <wp:positionH relativeFrom="page">
              <wp:posOffset>1815338</wp:posOffset>
            </wp:positionH>
            <wp:positionV relativeFrom="paragraph">
              <wp:posOffset>73699</wp:posOffset>
            </wp:positionV>
            <wp:extent cx="1219542" cy="152400"/>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219542" cy="152400"/>
                    </a:xfrm>
                    <a:prstGeom prst="rect">
                      <a:avLst/>
                    </a:prstGeom>
                  </pic:spPr>
                </pic:pic>
              </a:graphicData>
            </a:graphic>
          </wp:anchor>
        </w:drawing>
      </w:r>
      <w:r>
        <w:rPr>
          <w:position w:val="-4"/>
        </w:rPr>
        <w:drawing>
          <wp:inline distT="0" distB="0" distL="0" distR="0">
            <wp:extent cx="609600" cy="152400"/>
            <wp:effectExtent l="0" t="0" r="0" b="0"/>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8"/>
          <w:sz w:val="20"/>
        </w:rPr>
        <w:t> </w:t>
      </w:r>
      <w:hyperlink w:history="true" w:anchor="_bookmark1">
        <w:r>
          <w:rPr>
            <w:rFonts w:ascii="Times New Roman"/>
            <w:sz w:val="24"/>
          </w:rPr>
          <w:t>...................................................................................</w:t>
        </w:r>
        <w:r>
          <w:rPr>
            <w:rFonts w:ascii="Times New Roman"/>
            <w:spacing w:val="-5"/>
            <w:sz w:val="24"/>
          </w:rPr>
          <w:t> </w:t>
        </w:r>
        <w:r>
          <w:rPr>
            <w:rFonts w:ascii="Times New Roman"/>
            <w:sz w:val="24"/>
          </w:rPr>
          <w:t>1</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49728">
            <wp:simplePos x="0" y="0"/>
            <wp:positionH relativeFrom="page">
              <wp:posOffset>1815338</wp:posOffset>
            </wp:positionH>
            <wp:positionV relativeFrom="paragraph">
              <wp:posOffset>73699</wp:posOffset>
            </wp:positionV>
            <wp:extent cx="1219542" cy="152400"/>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1219542" cy="152400"/>
                    </a:xfrm>
                    <a:prstGeom prst="rect">
                      <a:avLst/>
                    </a:prstGeom>
                  </pic:spPr>
                </pic:pic>
              </a:graphicData>
            </a:graphic>
          </wp:anchor>
        </w:drawing>
      </w:r>
      <w:r>
        <w:rPr>
          <w:position w:val="-4"/>
        </w:rPr>
        <w:drawing>
          <wp:inline distT="0" distB="0" distL="0" distR="0">
            <wp:extent cx="609600" cy="152400"/>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8"/>
          <w:sz w:val="20"/>
        </w:rPr>
        <w:t> </w:t>
      </w:r>
      <w:hyperlink w:history="true" w:anchor="_bookmark2">
        <w:r>
          <w:rPr>
            <w:rFonts w:ascii="Times New Roman"/>
            <w:sz w:val="24"/>
          </w:rPr>
          <w:t>...................................................................................</w:t>
        </w:r>
        <w:r>
          <w:rPr>
            <w:rFonts w:ascii="Times New Roman"/>
            <w:spacing w:val="-5"/>
            <w:sz w:val="24"/>
          </w:rPr>
          <w:t> </w:t>
        </w:r>
        <w:r>
          <w:rPr>
            <w:rFonts w:ascii="Times New Roman"/>
            <w:sz w:val="24"/>
          </w:rPr>
          <w:t>2</w:t>
        </w:r>
      </w:hyperlink>
    </w:p>
    <w:p>
      <w:pPr>
        <w:tabs>
          <w:tab w:pos="4882" w:val="left" w:leader="none"/>
        </w:tabs>
        <w:spacing w:before="85"/>
        <w:ind w:left="0" w:right="1127" w:firstLine="0"/>
        <w:jc w:val="right"/>
        <w:rPr>
          <w:rFonts w:ascii="Times New Roman"/>
          <w:sz w:val="24"/>
        </w:rPr>
      </w:pPr>
      <w:r>
        <w:rPr/>
        <w:drawing>
          <wp:anchor distT="0" distB="0" distL="0" distR="0" allowOverlap="1" layoutInCell="1" locked="0" behindDoc="1" simplePos="0" relativeHeight="485450240">
            <wp:simplePos x="0" y="0"/>
            <wp:positionH relativeFrom="page">
              <wp:posOffset>1701038</wp:posOffset>
            </wp:positionH>
            <wp:positionV relativeFrom="paragraph">
              <wp:posOffset>74334</wp:posOffset>
            </wp:positionV>
            <wp:extent cx="2438781" cy="152400"/>
            <wp:effectExtent l="0" t="0" r="0" b="0"/>
            <wp:wrapNone/>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2438781" cy="152400"/>
                    </a:xfrm>
                    <a:prstGeom prst="rect">
                      <a:avLst/>
                    </a:prstGeom>
                  </pic:spPr>
                </pic:pic>
              </a:graphicData>
            </a:graphic>
          </wp:anchor>
        </w:drawing>
      </w:r>
      <w:r>
        <w:rPr>
          <w:position w:val="-4"/>
        </w:rPr>
        <w:drawing>
          <wp:inline distT="0" distB="0" distL="0" distR="0">
            <wp:extent cx="609600" cy="152400"/>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2"/>
          <w:sz w:val="20"/>
        </w:rPr>
        <w:t> </w:t>
      </w:r>
      <w:hyperlink w:history="true" w:anchor="_bookmark3">
        <w:r>
          <w:rPr>
            <w:rFonts w:ascii="Times New Roman"/>
            <w:sz w:val="24"/>
          </w:rPr>
          <w:t>......................................................</w:t>
        </w:r>
        <w:r>
          <w:rPr>
            <w:rFonts w:ascii="Times New Roman"/>
            <w:spacing w:val="-5"/>
            <w:sz w:val="24"/>
          </w:rPr>
          <w:t> </w:t>
        </w:r>
        <w:r>
          <w:rPr>
            <w:rFonts w:ascii="Times New Roman"/>
            <w:sz w:val="24"/>
          </w:rPr>
          <w:t>3</w:t>
        </w:r>
      </w:hyperlink>
    </w:p>
    <w:p>
      <w:pPr>
        <w:tabs>
          <w:tab w:pos="530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0752">
            <wp:simplePos x="0" y="0"/>
            <wp:positionH relativeFrom="page">
              <wp:posOffset>1815338</wp:posOffset>
            </wp:positionH>
            <wp:positionV relativeFrom="paragraph">
              <wp:posOffset>73699</wp:posOffset>
            </wp:positionV>
            <wp:extent cx="2743835" cy="152400"/>
            <wp:effectExtent l="0" t="0" r="0" b="0"/>
            <wp:wrapNone/>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2743835" cy="152400"/>
                    </a:xfrm>
                    <a:prstGeom prst="rect">
                      <a:avLst/>
                    </a:prstGeom>
                  </pic:spPr>
                </pic:pic>
              </a:graphicData>
            </a:graphic>
          </wp:anchor>
        </w:drawing>
      </w:r>
      <w:r>
        <w:rPr>
          <w:position w:val="-4"/>
        </w:rPr>
        <w:drawing>
          <wp:inline distT="0" distB="0" distL="0" distR="0">
            <wp:extent cx="609600" cy="152400"/>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8"/>
          <w:sz w:val="20"/>
        </w:rPr>
        <w:t> </w:t>
      </w:r>
      <w:hyperlink w:history="true" w:anchor="_bookmark4">
        <w:r>
          <w:rPr>
            <w:rFonts w:ascii="Times New Roman"/>
            <w:sz w:val="24"/>
          </w:rPr>
          <w:t>...........................................</w:t>
        </w:r>
        <w:r>
          <w:rPr>
            <w:rFonts w:ascii="Times New Roman"/>
            <w:spacing w:val="-5"/>
            <w:sz w:val="24"/>
          </w:rPr>
          <w:t> </w:t>
        </w:r>
        <w:r>
          <w:rPr>
            <w:rFonts w:ascii="Times New Roman"/>
            <w:sz w:val="24"/>
          </w:rPr>
          <w:t>3</w:t>
        </w:r>
      </w:hyperlink>
    </w:p>
    <w:p>
      <w:pPr>
        <w:tabs>
          <w:tab w:pos="578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1264">
            <wp:simplePos x="0" y="0"/>
            <wp:positionH relativeFrom="page">
              <wp:posOffset>1815338</wp:posOffset>
            </wp:positionH>
            <wp:positionV relativeFrom="paragraph">
              <wp:posOffset>73699</wp:posOffset>
            </wp:positionV>
            <wp:extent cx="3048635" cy="152400"/>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3048635" cy="152400"/>
                    </a:xfrm>
                    <a:prstGeom prst="rect">
                      <a:avLst/>
                    </a:prstGeom>
                  </pic:spPr>
                </pic:pic>
              </a:graphicData>
            </a:graphic>
          </wp:anchor>
        </w:drawing>
      </w:r>
      <w:r>
        <w:rPr>
          <w:position w:val="-4"/>
        </w:rPr>
        <w:drawing>
          <wp:inline distT="0" distB="0" distL="0" distR="0">
            <wp:extent cx="609600" cy="152400"/>
            <wp:effectExtent l="0" t="0" r="0" b="0"/>
            <wp:docPr id="25" name="image13.png"/>
            <wp:cNvGraphicFramePr>
              <a:graphicFrameLocks noChangeAspect="1"/>
            </wp:cNvGraphicFramePr>
            <a:graphic>
              <a:graphicData uri="http://schemas.openxmlformats.org/drawingml/2006/picture">
                <pic:pic>
                  <pic:nvPicPr>
                    <pic:cNvPr id="26" name="image13.png"/>
                    <pic:cNvPicPr/>
                  </pic:nvPicPr>
                  <pic:blipFill>
                    <a:blip r:embed="rId18"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2"/>
          <w:sz w:val="20"/>
        </w:rPr>
        <w:t> </w:t>
      </w:r>
      <w:hyperlink w:history="true" w:anchor="_bookmark5">
        <w:r>
          <w:rPr>
            <w:rFonts w:ascii="Times New Roman"/>
            <w:sz w:val="24"/>
          </w:rPr>
          <w:t>...................................</w:t>
        </w:r>
        <w:r>
          <w:rPr>
            <w:rFonts w:ascii="Times New Roman"/>
            <w:spacing w:val="-5"/>
            <w:sz w:val="24"/>
          </w:rPr>
          <w:t> </w:t>
        </w:r>
        <w:r>
          <w:rPr>
            <w:rFonts w:ascii="Times New Roman"/>
            <w:sz w:val="24"/>
          </w:rPr>
          <w:t>5</w:t>
        </w:r>
      </w:hyperlink>
    </w:p>
    <w:p>
      <w:pPr>
        <w:tabs>
          <w:tab w:pos="554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1776">
            <wp:simplePos x="0" y="0"/>
            <wp:positionH relativeFrom="page">
              <wp:posOffset>1815338</wp:posOffset>
            </wp:positionH>
            <wp:positionV relativeFrom="paragraph">
              <wp:posOffset>73699</wp:posOffset>
            </wp:positionV>
            <wp:extent cx="2896235" cy="152400"/>
            <wp:effectExtent l="0" t="0" r="0" b="0"/>
            <wp:wrapNone/>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2896235" cy="152400"/>
                    </a:xfrm>
                    <a:prstGeom prst="rect">
                      <a:avLst/>
                    </a:prstGeom>
                  </pic:spPr>
                </pic:pic>
              </a:graphicData>
            </a:graphic>
          </wp:anchor>
        </w:drawing>
      </w:r>
      <w:r>
        <w:rPr>
          <w:position w:val="-4"/>
        </w:rPr>
        <w:drawing>
          <wp:inline distT="0" distB="0" distL="0" distR="0">
            <wp:extent cx="609600" cy="152400"/>
            <wp:effectExtent l="0" t="0" r="0" b="0"/>
            <wp:docPr id="29" name="image15.png"/>
            <wp:cNvGraphicFramePr>
              <a:graphicFrameLocks noChangeAspect="1"/>
            </wp:cNvGraphicFramePr>
            <a:graphic>
              <a:graphicData uri="http://schemas.openxmlformats.org/drawingml/2006/picture">
                <pic:pic>
                  <pic:nvPicPr>
                    <pic:cNvPr id="30" name="image15.png"/>
                    <pic:cNvPicPr/>
                  </pic:nvPicPr>
                  <pic:blipFill>
                    <a:blip r:embed="rId20"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18"/>
          <w:sz w:val="20"/>
        </w:rPr>
        <w:t> </w:t>
      </w:r>
      <w:hyperlink w:history="true" w:anchor="_bookmark6">
        <w:r>
          <w:rPr>
            <w:rFonts w:ascii="Times New Roman"/>
            <w:sz w:val="24"/>
          </w:rPr>
          <w:t>.......................................</w:t>
        </w:r>
        <w:r>
          <w:rPr>
            <w:rFonts w:ascii="Times New Roman"/>
            <w:spacing w:val="-5"/>
            <w:sz w:val="24"/>
          </w:rPr>
          <w:t> </w:t>
        </w:r>
        <w:r>
          <w:rPr>
            <w:rFonts w:ascii="Times New Roman"/>
            <w:sz w:val="24"/>
          </w:rPr>
          <w:t>6</w:t>
        </w:r>
      </w:hyperlink>
    </w:p>
    <w:p>
      <w:pPr>
        <w:tabs>
          <w:tab w:pos="656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2288">
            <wp:simplePos x="0" y="0"/>
            <wp:positionH relativeFrom="page">
              <wp:posOffset>1701038</wp:posOffset>
            </wp:positionH>
            <wp:positionV relativeFrom="paragraph">
              <wp:posOffset>73699</wp:posOffset>
            </wp:positionV>
            <wp:extent cx="3505835" cy="152400"/>
            <wp:effectExtent l="0" t="0" r="0" b="0"/>
            <wp:wrapNone/>
            <wp:docPr id="31" name="image16.png"/>
            <wp:cNvGraphicFramePr>
              <a:graphicFrameLocks noChangeAspect="1"/>
            </wp:cNvGraphicFramePr>
            <a:graphic>
              <a:graphicData uri="http://schemas.openxmlformats.org/drawingml/2006/picture">
                <pic:pic>
                  <pic:nvPicPr>
                    <pic:cNvPr id="32" name="image16.png"/>
                    <pic:cNvPicPr/>
                  </pic:nvPicPr>
                  <pic:blipFill>
                    <a:blip r:embed="rId21" cstate="print"/>
                    <a:stretch>
                      <a:fillRect/>
                    </a:stretch>
                  </pic:blipFill>
                  <pic:spPr>
                    <a:xfrm>
                      <a:off x="0" y="0"/>
                      <a:ext cx="3505835" cy="152400"/>
                    </a:xfrm>
                    <a:prstGeom prst="rect">
                      <a:avLst/>
                    </a:prstGeom>
                  </pic:spPr>
                </pic:pic>
              </a:graphicData>
            </a:graphic>
          </wp:anchor>
        </w:drawing>
      </w:r>
      <w:r>
        <w:rPr>
          <w:position w:val="-4"/>
        </w:rPr>
        <w:drawing>
          <wp:inline distT="0" distB="0" distL="0" distR="0">
            <wp:extent cx="609600" cy="152400"/>
            <wp:effectExtent l="0" t="0" r="0" b="0"/>
            <wp:docPr id="33" name="image17.png"/>
            <wp:cNvGraphicFramePr>
              <a:graphicFrameLocks noChangeAspect="1"/>
            </wp:cNvGraphicFramePr>
            <a:graphic>
              <a:graphicData uri="http://schemas.openxmlformats.org/drawingml/2006/picture">
                <pic:pic>
                  <pic:nvPicPr>
                    <pic:cNvPr id="34" name="image17.png"/>
                    <pic:cNvPicPr/>
                  </pic:nvPicPr>
                  <pic:blipFill>
                    <a:blip r:embed="rId22"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
          <w:sz w:val="20"/>
        </w:rPr>
        <w:t> </w:t>
      </w:r>
      <w:hyperlink w:history="true" w:anchor="_bookmark7">
        <w:r>
          <w:rPr>
            <w:rFonts w:ascii="Times New Roman"/>
            <w:sz w:val="24"/>
          </w:rPr>
          <w:t>..........................</w:t>
        </w:r>
        <w:r>
          <w:rPr>
            <w:rFonts w:ascii="Times New Roman"/>
            <w:spacing w:val="-5"/>
            <w:sz w:val="24"/>
          </w:rPr>
          <w:t> </w:t>
        </w:r>
        <w:r>
          <w:rPr>
            <w:rFonts w:ascii="Times New Roman"/>
            <w:sz w:val="24"/>
          </w:rPr>
          <w:t>8</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52800">
            <wp:simplePos x="0" y="0"/>
            <wp:positionH relativeFrom="page">
              <wp:posOffset>1815338</wp:posOffset>
            </wp:positionH>
            <wp:positionV relativeFrom="paragraph">
              <wp:posOffset>73699</wp:posOffset>
            </wp:positionV>
            <wp:extent cx="1067155" cy="152400"/>
            <wp:effectExtent l="0" t="0" r="0" b="0"/>
            <wp:wrapNone/>
            <wp:docPr id="35" name="image18.png"/>
            <wp:cNvGraphicFramePr>
              <a:graphicFrameLocks noChangeAspect="1"/>
            </wp:cNvGraphicFramePr>
            <a:graphic>
              <a:graphicData uri="http://schemas.openxmlformats.org/drawingml/2006/picture">
                <pic:pic>
                  <pic:nvPicPr>
                    <pic:cNvPr id="36" name="image18.png"/>
                    <pic:cNvPicPr/>
                  </pic:nvPicPr>
                  <pic:blipFill>
                    <a:blip r:embed="rId23" cstate="print"/>
                    <a:stretch>
                      <a:fillRect/>
                    </a:stretch>
                  </pic:blipFill>
                  <pic:spPr>
                    <a:xfrm>
                      <a:off x="0" y="0"/>
                      <a:ext cx="1067155" cy="152400"/>
                    </a:xfrm>
                    <a:prstGeom prst="rect">
                      <a:avLst/>
                    </a:prstGeom>
                  </pic:spPr>
                </pic:pic>
              </a:graphicData>
            </a:graphic>
          </wp:anchor>
        </w:drawing>
      </w:r>
      <w:r>
        <w:rPr>
          <w:position w:val="-4"/>
        </w:rPr>
        <w:drawing>
          <wp:inline distT="0" distB="0" distL="0" distR="0">
            <wp:extent cx="609600" cy="152400"/>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4"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2"/>
          <w:sz w:val="20"/>
        </w:rPr>
        <w:t> </w:t>
      </w:r>
      <w:hyperlink w:history="true" w:anchor="_bookmark8">
        <w:r>
          <w:rPr>
            <w:rFonts w:ascii="Times New Roman"/>
            <w:sz w:val="24"/>
          </w:rPr>
          <w:t>.......................................................................................</w:t>
        </w:r>
        <w:r>
          <w:rPr>
            <w:rFonts w:ascii="Times New Roman"/>
            <w:spacing w:val="-5"/>
            <w:sz w:val="24"/>
          </w:rPr>
          <w:t> </w:t>
        </w:r>
        <w:r>
          <w:rPr>
            <w:rFonts w:ascii="Times New Roman"/>
            <w:sz w:val="24"/>
          </w:rPr>
          <w:t>8</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53312">
            <wp:simplePos x="0" y="0"/>
            <wp:positionH relativeFrom="page">
              <wp:posOffset>1815338</wp:posOffset>
            </wp:positionH>
            <wp:positionV relativeFrom="paragraph">
              <wp:posOffset>73699</wp:posOffset>
            </wp:positionV>
            <wp:extent cx="762000" cy="152400"/>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25" cstate="print"/>
                    <a:stretch>
                      <a:fillRect/>
                    </a:stretch>
                  </pic:blipFill>
                  <pic:spPr>
                    <a:xfrm>
                      <a:off x="0" y="0"/>
                      <a:ext cx="762000" cy="152400"/>
                    </a:xfrm>
                    <a:prstGeom prst="rect">
                      <a:avLst/>
                    </a:prstGeom>
                  </pic:spPr>
                </pic:pic>
              </a:graphicData>
            </a:graphic>
          </wp:anchor>
        </w:drawing>
      </w:r>
      <w:r>
        <w:rPr>
          <w:position w:val="-4"/>
        </w:rPr>
        <w:drawing>
          <wp:inline distT="0" distB="0" distL="0" distR="0">
            <wp:extent cx="609600" cy="152400"/>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26"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22"/>
          <w:sz w:val="20"/>
        </w:rPr>
        <w:t> </w:t>
      </w:r>
      <w:hyperlink w:history="true" w:anchor="_bookmark9">
        <w:r>
          <w:rPr>
            <w:rFonts w:ascii="Times New Roman"/>
            <w:sz w:val="24"/>
          </w:rPr>
          <w:t>...............................................................................................</w:t>
        </w:r>
        <w:r>
          <w:rPr>
            <w:rFonts w:ascii="Times New Roman"/>
            <w:spacing w:val="-5"/>
            <w:sz w:val="24"/>
          </w:rPr>
          <w:t> </w:t>
        </w:r>
        <w:r>
          <w:rPr>
            <w:rFonts w:ascii="Times New Roman"/>
            <w:sz w:val="24"/>
          </w:rPr>
          <w:t>8</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53824">
            <wp:simplePos x="0" y="0"/>
            <wp:positionH relativeFrom="page">
              <wp:posOffset>1815338</wp:posOffset>
            </wp:positionH>
            <wp:positionV relativeFrom="paragraph">
              <wp:posOffset>73699</wp:posOffset>
            </wp:positionV>
            <wp:extent cx="1067155" cy="152400"/>
            <wp:effectExtent l="0" t="0" r="0" b="0"/>
            <wp:wrapNone/>
            <wp:docPr id="43" name="image22.png"/>
            <wp:cNvGraphicFramePr>
              <a:graphicFrameLocks noChangeAspect="1"/>
            </wp:cNvGraphicFramePr>
            <a:graphic>
              <a:graphicData uri="http://schemas.openxmlformats.org/drawingml/2006/picture">
                <pic:pic>
                  <pic:nvPicPr>
                    <pic:cNvPr id="44" name="image22.png"/>
                    <pic:cNvPicPr/>
                  </pic:nvPicPr>
                  <pic:blipFill>
                    <a:blip r:embed="rId27" cstate="print"/>
                    <a:stretch>
                      <a:fillRect/>
                    </a:stretch>
                  </pic:blipFill>
                  <pic:spPr>
                    <a:xfrm>
                      <a:off x="0" y="0"/>
                      <a:ext cx="1067155" cy="152400"/>
                    </a:xfrm>
                    <a:prstGeom prst="rect">
                      <a:avLst/>
                    </a:prstGeom>
                  </pic:spPr>
                </pic:pic>
              </a:graphicData>
            </a:graphic>
          </wp:anchor>
        </w:drawing>
      </w:r>
      <w:r>
        <w:rPr>
          <w:position w:val="-4"/>
        </w:rPr>
        <w:drawing>
          <wp:inline distT="0" distB="0" distL="0" distR="0">
            <wp:extent cx="609600" cy="152400"/>
            <wp:effectExtent l="0" t="0" r="0" b="0"/>
            <wp:docPr id="45" name="image23.png"/>
            <wp:cNvGraphicFramePr>
              <a:graphicFrameLocks noChangeAspect="1"/>
            </wp:cNvGraphicFramePr>
            <a:graphic>
              <a:graphicData uri="http://schemas.openxmlformats.org/drawingml/2006/picture">
                <pic:pic>
                  <pic:nvPicPr>
                    <pic:cNvPr id="46" name="image23.png"/>
                    <pic:cNvPicPr/>
                  </pic:nvPicPr>
                  <pic:blipFill>
                    <a:blip r:embed="rId28"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2"/>
          <w:sz w:val="20"/>
        </w:rPr>
        <w:t> </w:t>
      </w:r>
      <w:hyperlink w:history="true" w:anchor="_bookmark10">
        <w:r>
          <w:rPr>
            <w:rFonts w:ascii="Times New Roman"/>
            <w:sz w:val="24"/>
          </w:rPr>
          <w:t>.....................................................................................</w:t>
        </w:r>
        <w:r>
          <w:rPr>
            <w:rFonts w:ascii="Times New Roman"/>
            <w:spacing w:val="-5"/>
            <w:sz w:val="24"/>
          </w:rPr>
          <w:t> </w:t>
        </w:r>
        <w:r>
          <w:rPr>
            <w:rFonts w:ascii="Times New Roman"/>
            <w:sz w:val="24"/>
          </w:rPr>
          <w:t>10</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54336">
            <wp:simplePos x="0" y="0"/>
            <wp:positionH relativeFrom="page">
              <wp:posOffset>1815338</wp:posOffset>
            </wp:positionH>
            <wp:positionV relativeFrom="paragraph">
              <wp:posOffset>73699</wp:posOffset>
            </wp:positionV>
            <wp:extent cx="457200" cy="152400"/>
            <wp:effectExtent l="0" t="0" r="0" b="0"/>
            <wp:wrapNone/>
            <wp:docPr id="47" name="image24.png"/>
            <wp:cNvGraphicFramePr>
              <a:graphicFrameLocks noChangeAspect="1"/>
            </wp:cNvGraphicFramePr>
            <a:graphic>
              <a:graphicData uri="http://schemas.openxmlformats.org/drawingml/2006/picture">
                <pic:pic>
                  <pic:nvPicPr>
                    <pic:cNvPr id="48" name="image24.png"/>
                    <pic:cNvPicPr/>
                  </pic:nvPicPr>
                  <pic:blipFill>
                    <a:blip r:embed="rId29"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30"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9"/>
          <w:sz w:val="20"/>
        </w:rPr>
        <w:t> </w:t>
      </w:r>
      <w:hyperlink w:history="true" w:anchor="_bookmark11">
        <w:r>
          <w:rPr>
            <w:rFonts w:ascii="Times New Roman"/>
            <w:sz w:val="24"/>
          </w:rPr>
          <w:t>.....................................................................................................</w:t>
        </w:r>
        <w:r>
          <w:rPr>
            <w:rFonts w:ascii="Times New Roman"/>
            <w:spacing w:val="-5"/>
            <w:sz w:val="24"/>
          </w:rPr>
          <w:t> </w:t>
        </w:r>
        <w:r>
          <w:rPr>
            <w:rFonts w:ascii="Times New Roman"/>
            <w:sz w:val="24"/>
          </w:rPr>
          <w:t>12</w:t>
        </w:r>
      </w:hyperlink>
    </w:p>
    <w:p>
      <w:pPr>
        <w:tabs>
          <w:tab w:pos="5842" w:val="left" w:leader="none"/>
        </w:tabs>
        <w:spacing w:before="84"/>
        <w:ind w:left="0" w:right="1127" w:firstLine="0"/>
        <w:jc w:val="right"/>
        <w:rPr>
          <w:rFonts w:ascii="Times New Roman"/>
          <w:sz w:val="24"/>
        </w:rPr>
      </w:pPr>
      <w:r>
        <w:rPr/>
        <w:pict>
          <v:group style="position:absolute;margin-left:133.940002pt;margin-top:5.803114pt;width:240.05pt;height:12pt;mso-position-horizontal-relative:page;mso-position-vertical-relative:paragraph;z-index:-17861632" coordorigin="2679,116" coordsize="4801,240">
            <v:shape style="position:absolute;left:2678;top:116;width:1200;height:240" type="#_x0000_t75" stroked="false">
              <v:imagedata r:id="rId31" o:title=""/>
            </v:shape>
            <v:shape style="position:absolute;left:3638;top:116;width:3841;height:240" type="#_x0000_t75" stroked="false">
              <v:imagedata r:id="rId32" o:title=""/>
            </v:shape>
            <w10:wrap type="none"/>
          </v:group>
        </w:pict>
      </w:r>
      <w:r>
        <w:rPr>
          <w:position w:val="-4"/>
        </w:rPr>
        <w:drawing>
          <wp:inline distT="0" distB="0" distL="0" distR="0">
            <wp:extent cx="609600" cy="152400"/>
            <wp:effectExtent l="0" t="0" r="0" b="0"/>
            <wp:docPr id="51" name="image28.png"/>
            <wp:cNvGraphicFramePr>
              <a:graphicFrameLocks noChangeAspect="1"/>
            </wp:cNvGraphicFramePr>
            <a:graphic>
              <a:graphicData uri="http://schemas.openxmlformats.org/drawingml/2006/picture">
                <pic:pic>
                  <pic:nvPicPr>
                    <pic:cNvPr id="52" name="image28.png"/>
                    <pic:cNvPicPr/>
                  </pic:nvPicPr>
                  <pic:blipFill>
                    <a:blip r:embed="rId33"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18"/>
          <w:sz w:val="20"/>
        </w:rPr>
        <w:t> </w:t>
      </w:r>
      <w:hyperlink w:history="true" w:anchor="_bookmark12">
        <w:r>
          <w:rPr>
            <w:rFonts w:ascii="Times New Roman"/>
            <w:sz w:val="24"/>
          </w:rPr>
          <w:t>....................................</w:t>
        </w:r>
        <w:r>
          <w:rPr>
            <w:rFonts w:ascii="Times New Roman"/>
            <w:spacing w:val="-5"/>
            <w:sz w:val="24"/>
          </w:rPr>
          <w:t> </w:t>
        </w:r>
        <w:r>
          <w:rPr>
            <w:rFonts w:ascii="Times New Roman"/>
            <w:sz w:val="24"/>
          </w:rPr>
          <w:t>15</w:t>
        </w:r>
      </w:hyperlink>
    </w:p>
    <w:p>
      <w:pPr>
        <w:tabs>
          <w:tab w:pos="578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5360">
            <wp:simplePos x="0" y="0"/>
            <wp:positionH relativeFrom="page">
              <wp:posOffset>1815338</wp:posOffset>
            </wp:positionH>
            <wp:positionV relativeFrom="paragraph">
              <wp:posOffset>73699</wp:posOffset>
            </wp:positionV>
            <wp:extent cx="3048635" cy="152400"/>
            <wp:effectExtent l="0" t="0" r="0" b="0"/>
            <wp:wrapNone/>
            <wp:docPr id="53" name="image29.png"/>
            <wp:cNvGraphicFramePr>
              <a:graphicFrameLocks noChangeAspect="1"/>
            </wp:cNvGraphicFramePr>
            <a:graphic>
              <a:graphicData uri="http://schemas.openxmlformats.org/drawingml/2006/picture">
                <pic:pic>
                  <pic:nvPicPr>
                    <pic:cNvPr id="54" name="image29.png"/>
                    <pic:cNvPicPr/>
                  </pic:nvPicPr>
                  <pic:blipFill>
                    <a:blip r:embed="rId34" cstate="print"/>
                    <a:stretch>
                      <a:fillRect/>
                    </a:stretch>
                  </pic:blipFill>
                  <pic:spPr>
                    <a:xfrm>
                      <a:off x="0" y="0"/>
                      <a:ext cx="3048635" cy="152400"/>
                    </a:xfrm>
                    <a:prstGeom prst="rect">
                      <a:avLst/>
                    </a:prstGeom>
                  </pic:spPr>
                </pic:pic>
              </a:graphicData>
            </a:graphic>
          </wp:anchor>
        </w:drawing>
      </w:r>
      <w:r>
        <w:rPr>
          <w:position w:val="-4"/>
        </w:rPr>
        <w:drawing>
          <wp:inline distT="0" distB="0" distL="0" distR="0">
            <wp:extent cx="609600" cy="152400"/>
            <wp:effectExtent l="0" t="0" r="0" b="0"/>
            <wp:docPr id="55" name="image30.png"/>
            <wp:cNvGraphicFramePr>
              <a:graphicFrameLocks noChangeAspect="1"/>
            </wp:cNvGraphicFramePr>
            <a:graphic>
              <a:graphicData uri="http://schemas.openxmlformats.org/drawingml/2006/picture">
                <pic:pic>
                  <pic:nvPicPr>
                    <pic:cNvPr id="56" name="image30.png"/>
                    <pic:cNvPicPr/>
                  </pic:nvPicPr>
                  <pic:blipFill>
                    <a:blip r:embed="rId35"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2"/>
          <w:sz w:val="20"/>
        </w:rPr>
        <w:t> </w:t>
      </w:r>
      <w:hyperlink w:history="true" w:anchor="_bookmark13">
        <w:r>
          <w:rPr>
            <w:rFonts w:ascii="Times New Roman"/>
            <w:sz w:val="24"/>
          </w:rPr>
          <w:t>.................................</w:t>
        </w:r>
        <w:r>
          <w:rPr>
            <w:rFonts w:ascii="Times New Roman"/>
            <w:spacing w:val="-5"/>
            <w:sz w:val="24"/>
          </w:rPr>
          <w:t> </w:t>
        </w:r>
        <w:r>
          <w:rPr>
            <w:rFonts w:ascii="Times New Roman"/>
            <w:sz w:val="24"/>
          </w:rPr>
          <w:t>15</w:t>
        </w:r>
      </w:hyperlink>
    </w:p>
    <w:p>
      <w:pPr>
        <w:tabs>
          <w:tab w:pos="458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5872">
            <wp:simplePos x="0" y="0"/>
            <wp:positionH relativeFrom="page">
              <wp:posOffset>1815338</wp:posOffset>
            </wp:positionH>
            <wp:positionV relativeFrom="paragraph">
              <wp:posOffset>73699</wp:posOffset>
            </wp:positionV>
            <wp:extent cx="2286381" cy="152400"/>
            <wp:effectExtent l="0" t="0" r="0" b="0"/>
            <wp:wrapNone/>
            <wp:docPr id="57" name="image31.png"/>
            <wp:cNvGraphicFramePr>
              <a:graphicFrameLocks noChangeAspect="1"/>
            </wp:cNvGraphicFramePr>
            <a:graphic>
              <a:graphicData uri="http://schemas.openxmlformats.org/drawingml/2006/picture">
                <pic:pic>
                  <pic:nvPicPr>
                    <pic:cNvPr id="58" name="image31.png"/>
                    <pic:cNvPicPr/>
                  </pic:nvPicPr>
                  <pic:blipFill>
                    <a:blip r:embed="rId36" cstate="print"/>
                    <a:stretch>
                      <a:fillRect/>
                    </a:stretch>
                  </pic:blipFill>
                  <pic:spPr>
                    <a:xfrm>
                      <a:off x="0" y="0"/>
                      <a:ext cx="2286381" cy="152400"/>
                    </a:xfrm>
                    <a:prstGeom prst="rect">
                      <a:avLst/>
                    </a:prstGeom>
                  </pic:spPr>
                </pic:pic>
              </a:graphicData>
            </a:graphic>
          </wp:anchor>
        </w:drawing>
      </w:r>
      <w:r>
        <w:rPr>
          <w:position w:val="-4"/>
        </w:rPr>
        <w:drawing>
          <wp:inline distT="0" distB="0" distL="0" distR="0">
            <wp:extent cx="609600" cy="152400"/>
            <wp:effectExtent l="0" t="0" r="0" b="0"/>
            <wp:docPr id="59" name="image32.png"/>
            <wp:cNvGraphicFramePr>
              <a:graphicFrameLocks noChangeAspect="1"/>
            </wp:cNvGraphicFramePr>
            <a:graphic>
              <a:graphicData uri="http://schemas.openxmlformats.org/drawingml/2006/picture">
                <pic:pic>
                  <pic:nvPicPr>
                    <pic:cNvPr id="60" name="image32.png"/>
                    <pic:cNvPicPr/>
                  </pic:nvPicPr>
                  <pic:blipFill>
                    <a:blip r:embed="rId37"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2"/>
          <w:sz w:val="20"/>
        </w:rPr>
        <w:t> </w:t>
      </w:r>
      <w:hyperlink w:history="true" w:anchor="_bookmark14">
        <w:r>
          <w:rPr>
            <w:rFonts w:ascii="Times New Roman"/>
            <w:sz w:val="24"/>
          </w:rPr>
          <w:t>.....................................................</w:t>
        </w:r>
        <w:r>
          <w:rPr>
            <w:rFonts w:ascii="Times New Roman"/>
            <w:spacing w:val="-5"/>
            <w:sz w:val="24"/>
          </w:rPr>
          <w:t> </w:t>
        </w:r>
        <w:r>
          <w:rPr>
            <w:rFonts w:ascii="Times New Roman"/>
            <w:sz w:val="24"/>
          </w:rPr>
          <w:t>17</w:t>
        </w:r>
      </w:hyperlink>
    </w:p>
    <w:p>
      <w:pPr>
        <w:tabs>
          <w:tab w:pos="530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6384">
            <wp:simplePos x="0" y="0"/>
            <wp:positionH relativeFrom="page">
              <wp:posOffset>1815338</wp:posOffset>
            </wp:positionH>
            <wp:positionV relativeFrom="paragraph">
              <wp:posOffset>73699</wp:posOffset>
            </wp:positionV>
            <wp:extent cx="2743835" cy="152400"/>
            <wp:effectExtent l="0" t="0" r="0" b="0"/>
            <wp:wrapNone/>
            <wp:docPr id="61" name="image33.png"/>
            <wp:cNvGraphicFramePr>
              <a:graphicFrameLocks noChangeAspect="1"/>
            </wp:cNvGraphicFramePr>
            <a:graphic>
              <a:graphicData uri="http://schemas.openxmlformats.org/drawingml/2006/picture">
                <pic:pic>
                  <pic:nvPicPr>
                    <pic:cNvPr id="62" name="image33.png"/>
                    <pic:cNvPicPr/>
                  </pic:nvPicPr>
                  <pic:blipFill>
                    <a:blip r:embed="rId38" cstate="print"/>
                    <a:stretch>
                      <a:fillRect/>
                    </a:stretch>
                  </pic:blipFill>
                  <pic:spPr>
                    <a:xfrm>
                      <a:off x="0" y="0"/>
                      <a:ext cx="2743835" cy="152400"/>
                    </a:xfrm>
                    <a:prstGeom prst="rect">
                      <a:avLst/>
                    </a:prstGeom>
                  </pic:spPr>
                </pic:pic>
              </a:graphicData>
            </a:graphic>
          </wp:anchor>
        </w:drawing>
      </w:r>
      <w:r>
        <w:rPr>
          <w:position w:val="-4"/>
        </w:rPr>
        <w:drawing>
          <wp:inline distT="0" distB="0" distL="0" distR="0">
            <wp:extent cx="609600" cy="152400"/>
            <wp:effectExtent l="0" t="0" r="0" b="0"/>
            <wp:docPr id="63" name="image34.png"/>
            <wp:cNvGraphicFramePr>
              <a:graphicFrameLocks noChangeAspect="1"/>
            </wp:cNvGraphicFramePr>
            <a:graphic>
              <a:graphicData uri="http://schemas.openxmlformats.org/drawingml/2006/picture">
                <pic:pic>
                  <pic:nvPicPr>
                    <pic:cNvPr id="64" name="image34.png"/>
                    <pic:cNvPicPr/>
                  </pic:nvPicPr>
                  <pic:blipFill>
                    <a:blip r:embed="rId39"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8"/>
          <w:sz w:val="20"/>
        </w:rPr>
        <w:t> </w:t>
      </w:r>
      <w:hyperlink w:history="true" w:anchor="_bookmark15">
        <w:r>
          <w:rPr>
            <w:rFonts w:ascii="Times New Roman"/>
            <w:sz w:val="24"/>
          </w:rPr>
          <w:t>.........................................</w:t>
        </w:r>
        <w:r>
          <w:rPr>
            <w:rFonts w:ascii="Times New Roman"/>
            <w:spacing w:val="-5"/>
            <w:sz w:val="24"/>
          </w:rPr>
          <w:t> </w:t>
        </w:r>
        <w:r>
          <w:rPr>
            <w:rFonts w:ascii="Times New Roman"/>
            <w:sz w:val="24"/>
          </w:rPr>
          <w:t>26</w:t>
        </w:r>
      </w:hyperlink>
    </w:p>
    <w:p>
      <w:pPr>
        <w:tabs>
          <w:tab w:pos="5062" w:val="left" w:leader="none"/>
        </w:tabs>
        <w:spacing w:before="85"/>
        <w:ind w:left="0" w:right="1127" w:firstLine="0"/>
        <w:jc w:val="right"/>
        <w:rPr>
          <w:rFonts w:ascii="Times New Roman"/>
          <w:sz w:val="24"/>
        </w:rPr>
      </w:pPr>
      <w:r>
        <w:rPr/>
        <w:drawing>
          <wp:anchor distT="0" distB="0" distL="0" distR="0" allowOverlap="1" layoutInCell="1" locked="0" behindDoc="1" simplePos="0" relativeHeight="485456896">
            <wp:simplePos x="0" y="0"/>
            <wp:positionH relativeFrom="page">
              <wp:posOffset>1815338</wp:posOffset>
            </wp:positionH>
            <wp:positionV relativeFrom="paragraph">
              <wp:posOffset>74334</wp:posOffset>
            </wp:positionV>
            <wp:extent cx="2591435" cy="152400"/>
            <wp:effectExtent l="0" t="0" r="0" b="0"/>
            <wp:wrapNone/>
            <wp:docPr id="65" name="image35.png"/>
            <wp:cNvGraphicFramePr>
              <a:graphicFrameLocks noChangeAspect="1"/>
            </wp:cNvGraphicFramePr>
            <a:graphic>
              <a:graphicData uri="http://schemas.openxmlformats.org/drawingml/2006/picture">
                <pic:pic>
                  <pic:nvPicPr>
                    <pic:cNvPr id="66" name="image35.png"/>
                    <pic:cNvPicPr/>
                  </pic:nvPicPr>
                  <pic:blipFill>
                    <a:blip r:embed="rId40" cstate="print"/>
                    <a:stretch>
                      <a:fillRect/>
                    </a:stretch>
                  </pic:blipFill>
                  <pic:spPr>
                    <a:xfrm>
                      <a:off x="0" y="0"/>
                      <a:ext cx="2591435" cy="152400"/>
                    </a:xfrm>
                    <a:prstGeom prst="rect">
                      <a:avLst/>
                    </a:prstGeom>
                  </pic:spPr>
                </pic:pic>
              </a:graphicData>
            </a:graphic>
          </wp:anchor>
        </w:drawing>
      </w:r>
      <w:r>
        <w:rPr>
          <w:position w:val="-4"/>
        </w:rPr>
        <w:drawing>
          <wp:inline distT="0" distB="0" distL="0" distR="0">
            <wp:extent cx="609600" cy="152400"/>
            <wp:effectExtent l="0" t="0" r="0" b="0"/>
            <wp:docPr id="67" name="image36.png"/>
            <wp:cNvGraphicFramePr>
              <a:graphicFrameLocks noChangeAspect="1"/>
            </wp:cNvGraphicFramePr>
            <a:graphic>
              <a:graphicData uri="http://schemas.openxmlformats.org/drawingml/2006/picture">
                <pic:pic>
                  <pic:nvPicPr>
                    <pic:cNvPr id="68" name="image36.png"/>
                    <pic:cNvPicPr/>
                  </pic:nvPicPr>
                  <pic:blipFill>
                    <a:blip r:embed="rId41"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
          <w:sz w:val="20"/>
        </w:rPr>
        <w:t> </w:t>
      </w:r>
      <w:hyperlink w:history="true" w:anchor="_bookmark16">
        <w:r>
          <w:rPr>
            <w:rFonts w:ascii="Times New Roman"/>
            <w:sz w:val="24"/>
          </w:rPr>
          <w:t>.............................................</w:t>
        </w:r>
        <w:r>
          <w:rPr>
            <w:rFonts w:ascii="Times New Roman"/>
            <w:spacing w:val="-5"/>
            <w:sz w:val="24"/>
          </w:rPr>
          <w:t> </w:t>
        </w:r>
        <w:r>
          <w:rPr>
            <w:rFonts w:ascii="Times New Roman"/>
            <w:sz w:val="24"/>
          </w:rPr>
          <w:t>29</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57408">
            <wp:simplePos x="0" y="0"/>
            <wp:positionH relativeFrom="page">
              <wp:posOffset>1815338</wp:posOffset>
            </wp:positionH>
            <wp:positionV relativeFrom="paragraph">
              <wp:posOffset>73699</wp:posOffset>
            </wp:positionV>
            <wp:extent cx="457200" cy="152400"/>
            <wp:effectExtent l="0" t="0" r="0" b="0"/>
            <wp:wrapNone/>
            <wp:docPr id="69" name="image24.png"/>
            <wp:cNvGraphicFramePr>
              <a:graphicFrameLocks noChangeAspect="1"/>
            </wp:cNvGraphicFramePr>
            <a:graphic>
              <a:graphicData uri="http://schemas.openxmlformats.org/drawingml/2006/picture">
                <pic:pic>
                  <pic:nvPicPr>
                    <pic:cNvPr id="70" name="image24.png"/>
                    <pic:cNvPicPr/>
                  </pic:nvPicPr>
                  <pic:blipFill>
                    <a:blip r:embed="rId29"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71" name="image37.png"/>
            <wp:cNvGraphicFramePr>
              <a:graphicFrameLocks noChangeAspect="1"/>
            </wp:cNvGraphicFramePr>
            <a:graphic>
              <a:graphicData uri="http://schemas.openxmlformats.org/drawingml/2006/picture">
                <pic:pic>
                  <pic:nvPicPr>
                    <pic:cNvPr id="72" name="image37.png"/>
                    <pic:cNvPicPr/>
                  </pic:nvPicPr>
                  <pic:blipFill>
                    <a:blip r:embed="rId42"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9"/>
          <w:sz w:val="20"/>
        </w:rPr>
        <w:t> </w:t>
      </w:r>
      <w:hyperlink w:history="true" w:anchor="_bookmark17">
        <w:r>
          <w:rPr>
            <w:rFonts w:ascii="Times New Roman"/>
            <w:sz w:val="24"/>
          </w:rPr>
          <w:t>.....................................................................................................</w:t>
        </w:r>
        <w:r>
          <w:rPr>
            <w:rFonts w:ascii="Times New Roman"/>
            <w:spacing w:val="-5"/>
            <w:sz w:val="24"/>
          </w:rPr>
          <w:t> </w:t>
        </w:r>
        <w:r>
          <w:rPr>
            <w:rFonts w:ascii="Times New Roman"/>
            <w:sz w:val="24"/>
          </w:rPr>
          <w:t>32</w:t>
        </w:r>
      </w:hyperlink>
    </w:p>
    <w:p>
      <w:pPr>
        <w:spacing w:before="84"/>
        <w:ind w:left="0" w:right="1127" w:firstLine="0"/>
        <w:jc w:val="right"/>
        <w:rPr>
          <w:rFonts w:ascii="Times New Roman"/>
          <w:sz w:val="24"/>
        </w:rPr>
      </w:pPr>
      <w:r>
        <w:rPr/>
        <w:pict>
          <v:group style="position:absolute;margin-left:70.944pt;margin-top:5.803125pt;width:48pt;height:12pt;mso-position-horizontal-relative:page;mso-position-vertical-relative:paragraph;z-index:15738368" coordorigin="1419,116" coordsize="960,240">
            <v:shape style="position:absolute;left:1418;top:116;width:480;height:240" type="#_x0000_t75" stroked="false">
              <v:imagedata r:id="rId43" o:title=""/>
            </v:shape>
            <v:shape style="position:absolute;left:1658;top:116;width:720;height:240" type="#_x0000_t75" stroked="false">
              <v:imagedata r:id="rId44" o:title=""/>
            </v:shape>
            <w10:wrap type="none"/>
          </v:group>
        </w:pict>
      </w:r>
      <w:r>
        <w:rPr/>
        <w:drawing>
          <wp:anchor distT="0" distB="0" distL="0" distR="0" allowOverlap="1" layoutInCell="1" locked="0" behindDoc="1" simplePos="0" relativeHeight="485458432">
            <wp:simplePos x="0" y="0"/>
            <wp:positionH relativeFrom="page">
              <wp:posOffset>1701038</wp:posOffset>
            </wp:positionH>
            <wp:positionV relativeFrom="paragraph">
              <wp:posOffset>73699</wp:posOffset>
            </wp:positionV>
            <wp:extent cx="1676781" cy="152400"/>
            <wp:effectExtent l="0" t="0" r="0" b="0"/>
            <wp:wrapNone/>
            <wp:docPr id="73" name="image40.png"/>
            <wp:cNvGraphicFramePr>
              <a:graphicFrameLocks noChangeAspect="1"/>
            </wp:cNvGraphicFramePr>
            <a:graphic>
              <a:graphicData uri="http://schemas.openxmlformats.org/drawingml/2006/picture">
                <pic:pic>
                  <pic:nvPicPr>
                    <pic:cNvPr id="74" name="image40.png"/>
                    <pic:cNvPicPr/>
                  </pic:nvPicPr>
                  <pic:blipFill>
                    <a:blip r:embed="rId45" cstate="print"/>
                    <a:stretch>
                      <a:fillRect/>
                    </a:stretch>
                  </pic:blipFill>
                  <pic:spPr>
                    <a:xfrm>
                      <a:off x="0" y="0"/>
                      <a:ext cx="1676781" cy="152400"/>
                    </a:xfrm>
                    <a:prstGeom prst="rect">
                      <a:avLst/>
                    </a:prstGeom>
                  </pic:spPr>
                </pic:pic>
              </a:graphicData>
            </a:graphic>
          </wp:anchor>
        </w:drawing>
      </w:r>
      <w:hyperlink w:history="true" w:anchor="_bookmark18">
        <w:r>
          <w:rPr>
            <w:rFonts w:ascii="Times New Roman"/>
            <w:sz w:val="24"/>
          </w:rPr>
          <w:t>........................................................................</w:t>
        </w:r>
        <w:r>
          <w:rPr>
            <w:rFonts w:ascii="Times New Roman"/>
            <w:spacing w:val="-5"/>
            <w:sz w:val="24"/>
          </w:rPr>
          <w:t> </w:t>
        </w:r>
        <w:r>
          <w:rPr>
            <w:rFonts w:ascii="Times New Roman"/>
            <w:sz w:val="24"/>
          </w:rPr>
          <w:t>34</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58944">
            <wp:simplePos x="0" y="0"/>
            <wp:positionH relativeFrom="page">
              <wp:posOffset>1815338</wp:posOffset>
            </wp:positionH>
            <wp:positionV relativeFrom="paragraph">
              <wp:posOffset>73699</wp:posOffset>
            </wp:positionV>
            <wp:extent cx="457200" cy="152400"/>
            <wp:effectExtent l="0" t="0" r="0" b="0"/>
            <wp:wrapNone/>
            <wp:docPr id="75" name="image41.png"/>
            <wp:cNvGraphicFramePr>
              <a:graphicFrameLocks noChangeAspect="1"/>
            </wp:cNvGraphicFramePr>
            <a:graphic>
              <a:graphicData uri="http://schemas.openxmlformats.org/drawingml/2006/picture">
                <pic:pic>
                  <pic:nvPicPr>
                    <pic:cNvPr id="76" name="image41.png"/>
                    <pic:cNvPicPr/>
                  </pic:nvPicPr>
                  <pic:blipFill>
                    <a:blip r:embed="rId46"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77" name="image42.png"/>
            <wp:cNvGraphicFramePr>
              <a:graphicFrameLocks noChangeAspect="1"/>
            </wp:cNvGraphicFramePr>
            <a:graphic>
              <a:graphicData uri="http://schemas.openxmlformats.org/drawingml/2006/picture">
                <pic:pic>
                  <pic:nvPicPr>
                    <pic:cNvPr id="78" name="image42.png"/>
                    <pic:cNvPicPr/>
                  </pic:nvPicPr>
                  <pic:blipFill>
                    <a:blip r:embed="rId47"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9"/>
          <w:sz w:val="20"/>
        </w:rPr>
        <w:t> </w:t>
      </w:r>
      <w:hyperlink w:history="true" w:anchor="_bookmark19">
        <w:r>
          <w:rPr>
            <w:rFonts w:ascii="Times New Roman"/>
            <w:sz w:val="24"/>
          </w:rPr>
          <w:t>.....................................................................................................</w:t>
        </w:r>
        <w:r>
          <w:rPr>
            <w:rFonts w:ascii="Times New Roman"/>
            <w:spacing w:val="-5"/>
            <w:sz w:val="24"/>
          </w:rPr>
          <w:t> </w:t>
        </w:r>
        <w:r>
          <w:rPr>
            <w:rFonts w:ascii="Times New Roman"/>
            <w:sz w:val="24"/>
          </w:rPr>
          <w:t>34</w:t>
        </w:r>
      </w:hyperlink>
    </w:p>
    <w:p>
      <w:pPr>
        <w:tabs>
          <w:tab w:pos="602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59456">
            <wp:simplePos x="0" y="0"/>
            <wp:positionH relativeFrom="page">
              <wp:posOffset>1815338</wp:posOffset>
            </wp:positionH>
            <wp:positionV relativeFrom="paragraph">
              <wp:posOffset>73699</wp:posOffset>
            </wp:positionV>
            <wp:extent cx="3201035" cy="152400"/>
            <wp:effectExtent l="0" t="0" r="0" b="0"/>
            <wp:wrapNone/>
            <wp:docPr id="79" name="image43.png"/>
            <wp:cNvGraphicFramePr>
              <a:graphicFrameLocks noChangeAspect="1"/>
            </wp:cNvGraphicFramePr>
            <a:graphic>
              <a:graphicData uri="http://schemas.openxmlformats.org/drawingml/2006/picture">
                <pic:pic>
                  <pic:nvPicPr>
                    <pic:cNvPr id="80" name="image43.png"/>
                    <pic:cNvPicPr/>
                  </pic:nvPicPr>
                  <pic:blipFill>
                    <a:blip r:embed="rId48" cstate="print"/>
                    <a:stretch>
                      <a:fillRect/>
                    </a:stretch>
                  </pic:blipFill>
                  <pic:spPr>
                    <a:xfrm>
                      <a:off x="0" y="0"/>
                      <a:ext cx="3201035" cy="152400"/>
                    </a:xfrm>
                    <a:prstGeom prst="rect">
                      <a:avLst/>
                    </a:prstGeom>
                  </pic:spPr>
                </pic:pic>
              </a:graphicData>
            </a:graphic>
          </wp:anchor>
        </w:drawing>
      </w:r>
      <w:r>
        <w:rPr>
          <w:position w:val="-4"/>
        </w:rPr>
        <w:drawing>
          <wp:inline distT="0" distB="0" distL="0" distR="0">
            <wp:extent cx="609600" cy="152400"/>
            <wp:effectExtent l="0" t="0" r="0" b="0"/>
            <wp:docPr id="81" name="image44.png"/>
            <wp:cNvGraphicFramePr>
              <a:graphicFrameLocks noChangeAspect="1"/>
            </wp:cNvGraphicFramePr>
            <a:graphic>
              <a:graphicData uri="http://schemas.openxmlformats.org/drawingml/2006/picture">
                <pic:pic>
                  <pic:nvPicPr>
                    <pic:cNvPr id="82" name="image44.png"/>
                    <pic:cNvPicPr/>
                  </pic:nvPicPr>
                  <pic:blipFill>
                    <a:blip r:embed="rId49"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12"/>
          <w:sz w:val="20"/>
        </w:rPr>
        <w:t> </w:t>
      </w:r>
      <w:hyperlink w:history="true" w:anchor="_bookmark20">
        <w:r>
          <w:rPr>
            <w:rFonts w:ascii="Times New Roman"/>
            <w:sz w:val="24"/>
          </w:rPr>
          <w:t>.............................</w:t>
        </w:r>
        <w:r>
          <w:rPr>
            <w:rFonts w:ascii="Times New Roman"/>
            <w:spacing w:val="-5"/>
            <w:sz w:val="24"/>
          </w:rPr>
          <w:t> </w:t>
        </w:r>
        <w:r>
          <w:rPr>
            <w:rFonts w:ascii="Times New Roman"/>
            <w:sz w:val="24"/>
          </w:rPr>
          <w:t>34</w:t>
        </w:r>
      </w:hyperlink>
    </w:p>
    <w:p>
      <w:pPr>
        <w:tabs>
          <w:tab w:pos="6502" w:val="left" w:leader="none"/>
        </w:tabs>
        <w:spacing w:before="84"/>
        <w:ind w:left="0" w:right="1127" w:firstLine="0"/>
        <w:jc w:val="right"/>
        <w:rPr>
          <w:rFonts w:ascii="Times New Roman"/>
          <w:sz w:val="24"/>
        </w:rPr>
      </w:pPr>
      <w:r>
        <w:rPr/>
        <w:pict>
          <v:group style="position:absolute;margin-left:142.940002pt;margin-top:5.803125pt;width:276.1pt;height:12pt;mso-position-horizontal-relative:page;mso-position-vertical-relative:paragraph;z-index:-17856512" coordorigin="2859,116" coordsize="5522,240">
            <v:shape style="position:absolute;left:2858;top:116;width:1440;height:240" type="#_x0000_t75" stroked="false">
              <v:imagedata r:id="rId50" o:title=""/>
            </v:shape>
            <v:shape style="position:absolute;left:4059;top:116;width:4321;height:240" type="#_x0000_t75" stroked="false">
              <v:imagedata r:id="rId51" o:title=""/>
            </v:shape>
            <w10:wrap type="none"/>
          </v:group>
        </w:pict>
      </w:r>
      <w:r>
        <w:rPr>
          <w:position w:val="-4"/>
        </w:rPr>
        <w:drawing>
          <wp:inline distT="0" distB="0" distL="0" distR="0">
            <wp:extent cx="609600" cy="152400"/>
            <wp:effectExtent l="0" t="0" r="0" b="0"/>
            <wp:docPr id="83" name="image47.png"/>
            <wp:cNvGraphicFramePr>
              <a:graphicFrameLocks noChangeAspect="1"/>
            </wp:cNvGraphicFramePr>
            <a:graphic>
              <a:graphicData uri="http://schemas.openxmlformats.org/drawingml/2006/picture">
                <pic:pic>
                  <pic:nvPicPr>
                    <pic:cNvPr id="84" name="image47.png"/>
                    <pic:cNvPicPr/>
                  </pic:nvPicPr>
                  <pic:blipFill>
                    <a:blip r:embed="rId52"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8"/>
          <w:sz w:val="20"/>
        </w:rPr>
        <w:t> </w:t>
      </w:r>
      <w:hyperlink w:history="true" w:anchor="_bookmark21">
        <w:r>
          <w:rPr>
            <w:rFonts w:ascii="Times New Roman"/>
            <w:sz w:val="24"/>
          </w:rPr>
          <w:t>.....................</w:t>
        </w:r>
        <w:r>
          <w:rPr>
            <w:rFonts w:ascii="Times New Roman"/>
            <w:spacing w:val="-5"/>
            <w:sz w:val="24"/>
          </w:rPr>
          <w:t> </w:t>
        </w:r>
        <w:r>
          <w:rPr>
            <w:rFonts w:ascii="Times New Roman"/>
            <w:sz w:val="24"/>
          </w:rPr>
          <w:t>37</w:t>
        </w:r>
      </w:hyperlink>
    </w:p>
    <w:p>
      <w:pPr>
        <w:tabs>
          <w:tab w:pos="482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60480">
            <wp:simplePos x="0" y="0"/>
            <wp:positionH relativeFrom="page">
              <wp:posOffset>1815338</wp:posOffset>
            </wp:positionH>
            <wp:positionV relativeFrom="paragraph">
              <wp:posOffset>73699</wp:posOffset>
            </wp:positionV>
            <wp:extent cx="2438781" cy="152400"/>
            <wp:effectExtent l="0" t="0" r="0" b="0"/>
            <wp:wrapNone/>
            <wp:docPr id="85" name="image48.png"/>
            <wp:cNvGraphicFramePr>
              <a:graphicFrameLocks noChangeAspect="1"/>
            </wp:cNvGraphicFramePr>
            <a:graphic>
              <a:graphicData uri="http://schemas.openxmlformats.org/drawingml/2006/picture">
                <pic:pic>
                  <pic:nvPicPr>
                    <pic:cNvPr id="86" name="image48.png"/>
                    <pic:cNvPicPr/>
                  </pic:nvPicPr>
                  <pic:blipFill>
                    <a:blip r:embed="rId53" cstate="print"/>
                    <a:stretch>
                      <a:fillRect/>
                    </a:stretch>
                  </pic:blipFill>
                  <pic:spPr>
                    <a:xfrm>
                      <a:off x="0" y="0"/>
                      <a:ext cx="2438781" cy="152400"/>
                    </a:xfrm>
                    <a:prstGeom prst="rect">
                      <a:avLst/>
                    </a:prstGeom>
                  </pic:spPr>
                </pic:pic>
              </a:graphicData>
            </a:graphic>
          </wp:anchor>
        </w:drawing>
      </w:r>
      <w:r>
        <w:rPr>
          <w:position w:val="-4"/>
        </w:rPr>
        <w:drawing>
          <wp:inline distT="0" distB="0" distL="0" distR="0">
            <wp:extent cx="609600" cy="152400"/>
            <wp:effectExtent l="0" t="0" r="0" b="0"/>
            <wp:docPr id="87" name="image49.png"/>
            <wp:cNvGraphicFramePr>
              <a:graphicFrameLocks noChangeAspect="1"/>
            </wp:cNvGraphicFramePr>
            <a:graphic>
              <a:graphicData uri="http://schemas.openxmlformats.org/drawingml/2006/picture">
                <pic:pic>
                  <pic:nvPicPr>
                    <pic:cNvPr id="88" name="image49.png"/>
                    <pic:cNvPicPr/>
                  </pic:nvPicPr>
                  <pic:blipFill>
                    <a:blip r:embed="rId54"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12"/>
          <w:sz w:val="20"/>
        </w:rPr>
        <w:t> </w:t>
      </w:r>
      <w:hyperlink w:history="true" w:anchor="_bookmark22">
        <w:r>
          <w:rPr>
            <w:rFonts w:ascii="Times New Roman"/>
            <w:sz w:val="24"/>
          </w:rPr>
          <w:t>.................................................</w:t>
        </w:r>
        <w:r>
          <w:rPr>
            <w:rFonts w:ascii="Times New Roman"/>
            <w:spacing w:val="-5"/>
            <w:sz w:val="24"/>
          </w:rPr>
          <w:t> </w:t>
        </w:r>
        <w:r>
          <w:rPr>
            <w:rFonts w:ascii="Times New Roman"/>
            <w:sz w:val="24"/>
          </w:rPr>
          <w:t>39</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0992">
            <wp:simplePos x="0" y="0"/>
            <wp:positionH relativeFrom="page">
              <wp:posOffset>1815338</wp:posOffset>
            </wp:positionH>
            <wp:positionV relativeFrom="paragraph">
              <wp:posOffset>73699</wp:posOffset>
            </wp:positionV>
            <wp:extent cx="457200" cy="152400"/>
            <wp:effectExtent l="0" t="0" r="0" b="0"/>
            <wp:wrapNone/>
            <wp:docPr id="89" name="image50.png"/>
            <wp:cNvGraphicFramePr>
              <a:graphicFrameLocks noChangeAspect="1"/>
            </wp:cNvGraphicFramePr>
            <a:graphic>
              <a:graphicData uri="http://schemas.openxmlformats.org/drawingml/2006/picture">
                <pic:pic>
                  <pic:nvPicPr>
                    <pic:cNvPr id="90" name="image50.png"/>
                    <pic:cNvPicPr/>
                  </pic:nvPicPr>
                  <pic:blipFill>
                    <a:blip r:embed="rId55"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91" name="image51.png"/>
            <wp:cNvGraphicFramePr>
              <a:graphicFrameLocks noChangeAspect="1"/>
            </wp:cNvGraphicFramePr>
            <a:graphic>
              <a:graphicData uri="http://schemas.openxmlformats.org/drawingml/2006/picture">
                <pic:pic>
                  <pic:nvPicPr>
                    <pic:cNvPr id="92" name="image51.png"/>
                    <pic:cNvPicPr/>
                  </pic:nvPicPr>
                  <pic:blipFill>
                    <a:blip r:embed="rId56"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9"/>
          <w:sz w:val="20"/>
        </w:rPr>
        <w:t> </w:t>
      </w:r>
      <w:hyperlink w:history="true" w:anchor="_bookmark23">
        <w:r>
          <w:rPr>
            <w:rFonts w:ascii="Times New Roman"/>
            <w:sz w:val="24"/>
          </w:rPr>
          <w:t>.....................................................................................................</w:t>
        </w:r>
        <w:r>
          <w:rPr>
            <w:rFonts w:ascii="Times New Roman"/>
            <w:spacing w:val="-5"/>
            <w:sz w:val="24"/>
          </w:rPr>
          <w:t> </w:t>
        </w:r>
        <w:r>
          <w:rPr>
            <w:rFonts w:ascii="Times New Roman"/>
            <w:sz w:val="24"/>
          </w:rPr>
          <w:t>39</w:t>
        </w:r>
      </w:hyperlink>
    </w:p>
    <w:p>
      <w:pPr>
        <w:tabs>
          <w:tab w:pos="4882" w:val="left" w:leader="none"/>
        </w:tabs>
        <w:spacing w:before="84"/>
        <w:ind w:left="0" w:right="1127" w:firstLine="0"/>
        <w:jc w:val="right"/>
        <w:rPr>
          <w:rFonts w:ascii="Times New Roman"/>
          <w:sz w:val="24"/>
        </w:rPr>
      </w:pPr>
      <w:r>
        <w:rPr/>
        <w:pict>
          <v:group style="position:absolute;margin-left:133.940002pt;margin-top:5.803125pt;width:192.1pt;height:12pt;mso-position-horizontal-relative:page;mso-position-vertical-relative:paragraph;z-index:-17854976" coordorigin="2679,116" coordsize="3842,240">
            <v:shape style="position:absolute;left:2678;top:116;width:1681;height:240" type="#_x0000_t75" stroked="false">
              <v:imagedata r:id="rId57" o:title=""/>
            </v:shape>
            <v:shape style="position:absolute;left:4119;top:116;width:2401;height:240" type="#_x0000_t75" stroked="false">
              <v:imagedata r:id="rId58" o:title=""/>
            </v:shape>
            <w10:wrap type="none"/>
          </v:group>
        </w:pict>
      </w:r>
      <w:r>
        <w:rPr>
          <w:position w:val="-4"/>
        </w:rPr>
        <w:drawing>
          <wp:inline distT="0" distB="0" distL="0" distR="0">
            <wp:extent cx="609600" cy="152400"/>
            <wp:effectExtent l="0" t="0" r="0" b="0"/>
            <wp:docPr id="93" name="image54.png"/>
            <wp:cNvGraphicFramePr>
              <a:graphicFrameLocks noChangeAspect="1"/>
            </wp:cNvGraphicFramePr>
            <a:graphic>
              <a:graphicData uri="http://schemas.openxmlformats.org/drawingml/2006/picture">
                <pic:pic>
                  <pic:nvPicPr>
                    <pic:cNvPr id="94" name="image54.png"/>
                    <pic:cNvPicPr/>
                  </pic:nvPicPr>
                  <pic:blipFill>
                    <a:blip r:embed="rId59"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2"/>
          <w:sz w:val="20"/>
        </w:rPr>
        <w:t> </w:t>
      </w:r>
      <w:hyperlink w:history="true" w:anchor="_bookmark24">
        <w:r>
          <w:rPr>
            <w:rFonts w:ascii="Times New Roman"/>
            <w:sz w:val="24"/>
          </w:rPr>
          <w:t>....................................................</w:t>
        </w:r>
        <w:r>
          <w:rPr>
            <w:rFonts w:ascii="Times New Roman"/>
            <w:spacing w:val="-5"/>
            <w:sz w:val="24"/>
          </w:rPr>
          <w:t> </w:t>
        </w:r>
        <w:r>
          <w:rPr>
            <w:rFonts w:ascii="Times New Roman"/>
            <w:sz w:val="24"/>
          </w:rPr>
          <w:t>42</w:t>
        </w:r>
      </w:hyperlink>
    </w:p>
    <w:p>
      <w:pPr>
        <w:tabs>
          <w:tab w:pos="4102" w:val="left" w:leader="none"/>
        </w:tabs>
        <w:spacing w:before="85"/>
        <w:ind w:left="0" w:right="1127" w:firstLine="0"/>
        <w:jc w:val="right"/>
        <w:rPr>
          <w:rFonts w:ascii="Times New Roman"/>
          <w:sz w:val="24"/>
        </w:rPr>
      </w:pPr>
      <w:r>
        <w:rPr/>
        <w:drawing>
          <wp:anchor distT="0" distB="0" distL="0" distR="0" allowOverlap="1" layoutInCell="1" locked="0" behindDoc="1" simplePos="0" relativeHeight="485462016">
            <wp:simplePos x="0" y="0"/>
            <wp:positionH relativeFrom="page">
              <wp:posOffset>1815338</wp:posOffset>
            </wp:positionH>
            <wp:positionV relativeFrom="paragraph">
              <wp:posOffset>74334</wp:posOffset>
            </wp:positionV>
            <wp:extent cx="1981581" cy="152400"/>
            <wp:effectExtent l="0" t="0" r="0" b="0"/>
            <wp:wrapNone/>
            <wp:docPr id="95" name="image55.png"/>
            <wp:cNvGraphicFramePr>
              <a:graphicFrameLocks noChangeAspect="1"/>
            </wp:cNvGraphicFramePr>
            <a:graphic>
              <a:graphicData uri="http://schemas.openxmlformats.org/drawingml/2006/picture">
                <pic:pic>
                  <pic:nvPicPr>
                    <pic:cNvPr id="96" name="image55.png"/>
                    <pic:cNvPicPr/>
                  </pic:nvPicPr>
                  <pic:blipFill>
                    <a:blip r:embed="rId60" cstate="print"/>
                    <a:stretch>
                      <a:fillRect/>
                    </a:stretch>
                  </pic:blipFill>
                  <pic:spPr>
                    <a:xfrm>
                      <a:off x="0" y="0"/>
                      <a:ext cx="1981581" cy="152400"/>
                    </a:xfrm>
                    <a:prstGeom prst="rect">
                      <a:avLst/>
                    </a:prstGeom>
                  </pic:spPr>
                </pic:pic>
              </a:graphicData>
            </a:graphic>
          </wp:anchor>
        </w:drawing>
      </w:r>
      <w:r>
        <w:rPr>
          <w:position w:val="-4"/>
        </w:rPr>
        <w:drawing>
          <wp:inline distT="0" distB="0" distL="0" distR="0">
            <wp:extent cx="609600" cy="152400"/>
            <wp:effectExtent l="0" t="0" r="0" b="0"/>
            <wp:docPr id="97" name="image56.png"/>
            <wp:cNvGraphicFramePr>
              <a:graphicFrameLocks noChangeAspect="1"/>
            </wp:cNvGraphicFramePr>
            <a:graphic>
              <a:graphicData uri="http://schemas.openxmlformats.org/drawingml/2006/picture">
                <pic:pic>
                  <pic:nvPicPr>
                    <pic:cNvPr id="98" name="image56.png"/>
                    <pic:cNvPicPr/>
                  </pic:nvPicPr>
                  <pic:blipFill>
                    <a:blip r:embed="rId61"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8"/>
          <w:sz w:val="20"/>
        </w:rPr>
        <w:t> </w:t>
      </w:r>
      <w:hyperlink w:history="true" w:anchor="_bookmark25">
        <w:r>
          <w:rPr>
            <w:rFonts w:ascii="Times New Roman"/>
            <w:sz w:val="24"/>
          </w:rPr>
          <w:t>.............................................................</w:t>
        </w:r>
        <w:r>
          <w:rPr>
            <w:rFonts w:ascii="Times New Roman"/>
            <w:spacing w:val="-5"/>
            <w:sz w:val="24"/>
          </w:rPr>
          <w:t> </w:t>
        </w:r>
        <w:r>
          <w:rPr>
            <w:rFonts w:ascii="Times New Roman"/>
            <w:sz w:val="24"/>
          </w:rPr>
          <w:t>42</w:t>
        </w:r>
      </w:hyperlink>
    </w:p>
    <w:p>
      <w:pPr>
        <w:tabs>
          <w:tab w:pos="410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62528">
            <wp:simplePos x="0" y="0"/>
            <wp:positionH relativeFrom="page">
              <wp:posOffset>1815338</wp:posOffset>
            </wp:positionH>
            <wp:positionV relativeFrom="paragraph">
              <wp:posOffset>73699</wp:posOffset>
            </wp:positionV>
            <wp:extent cx="1981581" cy="152400"/>
            <wp:effectExtent l="0" t="0" r="0" b="0"/>
            <wp:wrapNone/>
            <wp:docPr id="99" name="image57.png"/>
            <wp:cNvGraphicFramePr>
              <a:graphicFrameLocks noChangeAspect="1"/>
            </wp:cNvGraphicFramePr>
            <a:graphic>
              <a:graphicData uri="http://schemas.openxmlformats.org/drawingml/2006/picture">
                <pic:pic>
                  <pic:nvPicPr>
                    <pic:cNvPr id="100" name="image57.png"/>
                    <pic:cNvPicPr/>
                  </pic:nvPicPr>
                  <pic:blipFill>
                    <a:blip r:embed="rId62" cstate="print"/>
                    <a:stretch>
                      <a:fillRect/>
                    </a:stretch>
                  </pic:blipFill>
                  <pic:spPr>
                    <a:xfrm>
                      <a:off x="0" y="0"/>
                      <a:ext cx="1981581" cy="152400"/>
                    </a:xfrm>
                    <a:prstGeom prst="rect">
                      <a:avLst/>
                    </a:prstGeom>
                  </pic:spPr>
                </pic:pic>
              </a:graphicData>
            </a:graphic>
          </wp:anchor>
        </w:drawing>
      </w:r>
      <w:r>
        <w:rPr>
          <w:position w:val="-4"/>
        </w:rPr>
        <w:drawing>
          <wp:inline distT="0" distB="0" distL="0" distR="0">
            <wp:extent cx="609600" cy="152400"/>
            <wp:effectExtent l="0" t="0" r="0" b="0"/>
            <wp:docPr id="101" name="image58.png"/>
            <wp:cNvGraphicFramePr>
              <a:graphicFrameLocks noChangeAspect="1"/>
            </wp:cNvGraphicFramePr>
            <a:graphic>
              <a:graphicData uri="http://schemas.openxmlformats.org/drawingml/2006/picture">
                <pic:pic>
                  <pic:nvPicPr>
                    <pic:cNvPr id="102" name="image58.png"/>
                    <pic:cNvPicPr/>
                  </pic:nvPicPr>
                  <pic:blipFill>
                    <a:blip r:embed="rId63"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8"/>
          <w:sz w:val="20"/>
        </w:rPr>
        <w:t> </w:t>
      </w:r>
      <w:hyperlink w:history="true" w:anchor="_bookmark26">
        <w:r>
          <w:rPr>
            <w:rFonts w:ascii="Times New Roman"/>
            <w:sz w:val="24"/>
          </w:rPr>
          <w:t>.............................................................</w:t>
        </w:r>
        <w:r>
          <w:rPr>
            <w:rFonts w:ascii="Times New Roman"/>
            <w:spacing w:val="-5"/>
            <w:sz w:val="24"/>
          </w:rPr>
          <w:t> </w:t>
        </w:r>
        <w:r>
          <w:rPr>
            <w:rFonts w:ascii="Times New Roman"/>
            <w:sz w:val="24"/>
          </w:rPr>
          <w:t>46</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3040">
            <wp:simplePos x="0" y="0"/>
            <wp:positionH relativeFrom="page">
              <wp:posOffset>1815338</wp:posOffset>
            </wp:positionH>
            <wp:positionV relativeFrom="paragraph">
              <wp:posOffset>73699</wp:posOffset>
            </wp:positionV>
            <wp:extent cx="1219542" cy="152400"/>
            <wp:effectExtent l="0" t="0" r="0" b="0"/>
            <wp:wrapNone/>
            <wp:docPr id="103" name="image59.png"/>
            <wp:cNvGraphicFramePr>
              <a:graphicFrameLocks noChangeAspect="1"/>
            </wp:cNvGraphicFramePr>
            <a:graphic>
              <a:graphicData uri="http://schemas.openxmlformats.org/drawingml/2006/picture">
                <pic:pic>
                  <pic:nvPicPr>
                    <pic:cNvPr id="104" name="image59.png"/>
                    <pic:cNvPicPr/>
                  </pic:nvPicPr>
                  <pic:blipFill>
                    <a:blip r:embed="rId64" cstate="print"/>
                    <a:stretch>
                      <a:fillRect/>
                    </a:stretch>
                  </pic:blipFill>
                  <pic:spPr>
                    <a:xfrm>
                      <a:off x="0" y="0"/>
                      <a:ext cx="1219542" cy="152400"/>
                    </a:xfrm>
                    <a:prstGeom prst="rect">
                      <a:avLst/>
                    </a:prstGeom>
                  </pic:spPr>
                </pic:pic>
              </a:graphicData>
            </a:graphic>
          </wp:anchor>
        </w:drawing>
      </w:r>
      <w:r>
        <w:rPr>
          <w:position w:val="-4"/>
        </w:rPr>
        <w:drawing>
          <wp:inline distT="0" distB="0" distL="0" distR="0">
            <wp:extent cx="609600" cy="152400"/>
            <wp:effectExtent l="0" t="0" r="0" b="0"/>
            <wp:docPr id="105" name="image60.png"/>
            <wp:cNvGraphicFramePr>
              <a:graphicFrameLocks noChangeAspect="1"/>
            </wp:cNvGraphicFramePr>
            <a:graphic>
              <a:graphicData uri="http://schemas.openxmlformats.org/drawingml/2006/picture">
                <pic:pic>
                  <pic:nvPicPr>
                    <pic:cNvPr id="106" name="image60.png"/>
                    <pic:cNvPicPr/>
                  </pic:nvPicPr>
                  <pic:blipFill>
                    <a:blip r:embed="rId65"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8"/>
          <w:sz w:val="20"/>
        </w:rPr>
        <w:t> </w:t>
      </w:r>
      <w:hyperlink w:history="true" w:anchor="_bookmark27">
        <w:r>
          <w:rPr>
            <w:rFonts w:ascii="Times New Roman"/>
            <w:sz w:val="24"/>
          </w:rPr>
          <w:t>.................................................................................</w:t>
        </w:r>
        <w:r>
          <w:rPr>
            <w:rFonts w:ascii="Times New Roman"/>
            <w:spacing w:val="-5"/>
            <w:sz w:val="24"/>
          </w:rPr>
          <w:t> </w:t>
        </w:r>
        <w:r>
          <w:rPr>
            <w:rFonts w:ascii="Times New Roman"/>
            <w:sz w:val="24"/>
          </w:rPr>
          <w:t>52</w:t>
        </w:r>
      </w:hyperlink>
    </w:p>
    <w:p>
      <w:pPr>
        <w:tabs>
          <w:tab w:pos="458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63552">
            <wp:simplePos x="0" y="0"/>
            <wp:positionH relativeFrom="page">
              <wp:posOffset>1815338</wp:posOffset>
            </wp:positionH>
            <wp:positionV relativeFrom="paragraph">
              <wp:posOffset>73699</wp:posOffset>
            </wp:positionV>
            <wp:extent cx="2286381" cy="152400"/>
            <wp:effectExtent l="0" t="0" r="0" b="0"/>
            <wp:wrapNone/>
            <wp:docPr id="107" name="image61.png"/>
            <wp:cNvGraphicFramePr>
              <a:graphicFrameLocks noChangeAspect="1"/>
            </wp:cNvGraphicFramePr>
            <a:graphic>
              <a:graphicData uri="http://schemas.openxmlformats.org/drawingml/2006/picture">
                <pic:pic>
                  <pic:nvPicPr>
                    <pic:cNvPr id="108" name="image61.png"/>
                    <pic:cNvPicPr/>
                  </pic:nvPicPr>
                  <pic:blipFill>
                    <a:blip r:embed="rId66" cstate="print"/>
                    <a:stretch>
                      <a:fillRect/>
                    </a:stretch>
                  </pic:blipFill>
                  <pic:spPr>
                    <a:xfrm>
                      <a:off x="0" y="0"/>
                      <a:ext cx="2286381" cy="152400"/>
                    </a:xfrm>
                    <a:prstGeom prst="rect">
                      <a:avLst/>
                    </a:prstGeom>
                  </pic:spPr>
                </pic:pic>
              </a:graphicData>
            </a:graphic>
          </wp:anchor>
        </w:drawing>
      </w:r>
      <w:r>
        <w:rPr>
          <w:position w:val="-4"/>
        </w:rPr>
        <w:drawing>
          <wp:inline distT="0" distB="0" distL="0" distR="0">
            <wp:extent cx="609600" cy="152400"/>
            <wp:effectExtent l="0" t="0" r="0" b="0"/>
            <wp:docPr id="109" name="image62.png"/>
            <wp:cNvGraphicFramePr>
              <a:graphicFrameLocks noChangeAspect="1"/>
            </wp:cNvGraphicFramePr>
            <a:graphic>
              <a:graphicData uri="http://schemas.openxmlformats.org/drawingml/2006/picture">
                <pic:pic>
                  <pic:nvPicPr>
                    <pic:cNvPr id="110" name="image62.png"/>
                    <pic:cNvPicPr/>
                  </pic:nvPicPr>
                  <pic:blipFill>
                    <a:blip r:embed="rId67"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2"/>
          <w:sz w:val="20"/>
        </w:rPr>
        <w:t> </w:t>
      </w:r>
      <w:hyperlink w:history="true" w:anchor="_bookmark28">
        <w:r>
          <w:rPr>
            <w:rFonts w:ascii="Times New Roman"/>
            <w:sz w:val="24"/>
          </w:rPr>
          <w:t>.....................................................</w:t>
        </w:r>
        <w:r>
          <w:rPr>
            <w:rFonts w:ascii="Times New Roman"/>
            <w:spacing w:val="-5"/>
            <w:sz w:val="24"/>
          </w:rPr>
          <w:t> </w:t>
        </w:r>
        <w:r>
          <w:rPr>
            <w:rFonts w:ascii="Times New Roman"/>
            <w:sz w:val="24"/>
          </w:rPr>
          <w:t>54</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4064">
            <wp:simplePos x="0" y="0"/>
            <wp:positionH relativeFrom="page">
              <wp:posOffset>1701038</wp:posOffset>
            </wp:positionH>
            <wp:positionV relativeFrom="paragraph">
              <wp:posOffset>73699</wp:posOffset>
            </wp:positionV>
            <wp:extent cx="914400" cy="152400"/>
            <wp:effectExtent l="0" t="0" r="0" b="0"/>
            <wp:wrapNone/>
            <wp:docPr id="111" name="image63.png"/>
            <wp:cNvGraphicFramePr>
              <a:graphicFrameLocks noChangeAspect="1"/>
            </wp:cNvGraphicFramePr>
            <a:graphic>
              <a:graphicData uri="http://schemas.openxmlformats.org/drawingml/2006/picture">
                <pic:pic>
                  <pic:nvPicPr>
                    <pic:cNvPr id="112" name="image63.png"/>
                    <pic:cNvPicPr/>
                  </pic:nvPicPr>
                  <pic:blipFill>
                    <a:blip r:embed="rId68" cstate="print"/>
                    <a:stretch>
                      <a:fillRect/>
                    </a:stretch>
                  </pic:blipFill>
                  <pic:spPr>
                    <a:xfrm>
                      <a:off x="0" y="0"/>
                      <a:ext cx="914400" cy="152400"/>
                    </a:xfrm>
                    <a:prstGeom prst="rect">
                      <a:avLst/>
                    </a:prstGeom>
                  </pic:spPr>
                </pic:pic>
              </a:graphicData>
            </a:graphic>
          </wp:anchor>
        </w:drawing>
      </w:r>
      <w:r>
        <w:rPr>
          <w:position w:val="-4"/>
        </w:rPr>
        <w:drawing>
          <wp:inline distT="0" distB="0" distL="0" distR="0">
            <wp:extent cx="609600" cy="152400"/>
            <wp:effectExtent l="0" t="0" r="0" b="0"/>
            <wp:docPr id="113" name="image64.png"/>
            <wp:cNvGraphicFramePr>
              <a:graphicFrameLocks noChangeAspect="1"/>
            </wp:cNvGraphicFramePr>
            <a:graphic>
              <a:graphicData uri="http://schemas.openxmlformats.org/drawingml/2006/picture">
                <pic:pic>
                  <pic:nvPicPr>
                    <pic:cNvPr id="114" name="image64.png"/>
                    <pic:cNvPicPr/>
                  </pic:nvPicPr>
                  <pic:blipFill>
                    <a:blip r:embed="rId69"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22"/>
          <w:sz w:val="20"/>
        </w:rPr>
        <w:t> </w:t>
      </w:r>
      <w:hyperlink w:history="true" w:anchor="_bookmark29">
        <w:r>
          <w:rPr>
            <w:rFonts w:ascii="Times New Roman"/>
            <w:sz w:val="24"/>
          </w:rPr>
          <w:t>............................................................................................</w:t>
        </w:r>
        <w:r>
          <w:rPr>
            <w:rFonts w:ascii="Times New Roman"/>
            <w:spacing w:val="-5"/>
            <w:sz w:val="24"/>
          </w:rPr>
          <w:t> </w:t>
        </w:r>
        <w:r>
          <w:rPr>
            <w:rFonts w:ascii="Times New Roman"/>
            <w:sz w:val="24"/>
          </w:rPr>
          <w:t>55</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4576">
            <wp:simplePos x="0" y="0"/>
            <wp:positionH relativeFrom="page">
              <wp:posOffset>1815338</wp:posOffset>
            </wp:positionH>
            <wp:positionV relativeFrom="paragraph">
              <wp:posOffset>73699</wp:posOffset>
            </wp:positionV>
            <wp:extent cx="457200" cy="152400"/>
            <wp:effectExtent l="0" t="0" r="0" b="0"/>
            <wp:wrapNone/>
            <wp:docPr id="115" name="image65.png"/>
            <wp:cNvGraphicFramePr>
              <a:graphicFrameLocks noChangeAspect="1"/>
            </wp:cNvGraphicFramePr>
            <a:graphic>
              <a:graphicData uri="http://schemas.openxmlformats.org/drawingml/2006/picture">
                <pic:pic>
                  <pic:nvPicPr>
                    <pic:cNvPr id="116" name="image65.png"/>
                    <pic:cNvPicPr/>
                  </pic:nvPicPr>
                  <pic:blipFill>
                    <a:blip r:embed="rId70"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117" name="image66.png"/>
            <wp:cNvGraphicFramePr>
              <a:graphicFrameLocks noChangeAspect="1"/>
            </wp:cNvGraphicFramePr>
            <a:graphic>
              <a:graphicData uri="http://schemas.openxmlformats.org/drawingml/2006/picture">
                <pic:pic>
                  <pic:nvPicPr>
                    <pic:cNvPr id="118" name="image66.png"/>
                    <pic:cNvPicPr/>
                  </pic:nvPicPr>
                  <pic:blipFill>
                    <a:blip r:embed="rId71"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9"/>
          <w:sz w:val="20"/>
        </w:rPr>
        <w:t> </w:t>
      </w:r>
      <w:hyperlink w:history="true" w:anchor="_bookmark30">
        <w:r>
          <w:rPr>
            <w:rFonts w:ascii="Times New Roman"/>
            <w:sz w:val="24"/>
          </w:rPr>
          <w:t>.....................................................................................................</w:t>
        </w:r>
        <w:r>
          <w:rPr>
            <w:rFonts w:ascii="Times New Roman"/>
            <w:spacing w:val="-5"/>
            <w:sz w:val="24"/>
          </w:rPr>
          <w:t> </w:t>
        </w:r>
        <w:r>
          <w:rPr>
            <w:rFonts w:ascii="Times New Roman"/>
            <w:sz w:val="24"/>
          </w:rPr>
          <w:t>55</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5088">
            <wp:simplePos x="0" y="0"/>
            <wp:positionH relativeFrom="page">
              <wp:posOffset>1815338</wp:posOffset>
            </wp:positionH>
            <wp:positionV relativeFrom="paragraph">
              <wp:posOffset>73699</wp:posOffset>
            </wp:positionV>
            <wp:extent cx="457200" cy="152400"/>
            <wp:effectExtent l="0" t="0" r="0" b="0"/>
            <wp:wrapNone/>
            <wp:docPr id="119" name="image67.png"/>
            <wp:cNvGraphicFramePr>
              <a:graphicFrameLocks noChangeAspect="1"/>
            </wp:cNvGraphicFramePr>
            <a:graphic>
              <a:graphicData uri="http://schemas.openxmlformats.org/drawingml/2006/picture">
                <pic:pic>
                  <pic:nvPicPr>
                    <pic:cNvPr id="120" name="image67.png"/>
                    <pic:cNvPicPr/>
                  </pic:nvPicPr>
                  <pic:blipFill>
                    <a:blip r:embed="rId72" cstate="print"/>
                    <a:stretch>
                      <a:fillRect/>
                    </a:stretch>
                  </pic:blipFill>
                  <pic:spPr>
                    <a:xfrm>
                      <a:off x="0" y="0"/>
                      <a:ext cx="457200" cy="152400"/>
                    </a:xfrm>
                    <a:prstGeom prst="rect">
                      <a:avLst/>
                    </a:prstGeom>
                  </pic:spPr>
                </pic:pic>
              </a:graphicData>
            </a:graphic>
          </wp:anchor>
        </w:drawing>
      </w:r>
      <w:r>
        <w:rPr>
          <w:position w:val="-4"/>
        </w:rPr>
        <w:drawing>
          <wp:inline distT="0" distB="0" distL="0" distR="0">
            <wp:extent cx="609600" cy="152400"/>
            <wp:effectExtent l="0" t="0" r="0" b="0"/>
            <wp:docPr id="121" name="image68.png"/>
            <wp:cNvGraphicFramePr>
              <a:graphicFrameLocks noChangeAspect="1"/>
            </wp:cNvGraphicFramePr>
            <a:graphic>
              <a:graphicData uri="http://schemas.openxmlformats.org/drawingml/2006/picture">
                <pic:pic>
                  <pic:nvPicPr>
                    <pic:cNvPr id="122" name="image68.png"/>
                    <pic:cNvPicPr/>
                  </pic:nvPicPr>
                  <pic:blipFill>
                    <a:blip r:embed="rId73"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              </w:t>
      </w:r>
      <w:r>
        <w:rPr>
          <w:rFonts w:ascii="Times New Roman"/>
          <w:spacing w:val="-9"/>
          <w:sz w:val="20"/>
        </w:rPr>
        <w:t> </w:t>
      </w:r>
      <w:hyperlink w:history="true" w:anchor="_bookmark31">
        <w:r>
          <w:rPr>
            <w:rFonts w:ascii="Times New Roman"/>
            <w:sz w:val="24"/>
          </w:rPr>
          <w:t>.....................................................................................................</w:t>
        </w:r>
        <w:r>
          <w:rPr>
            <w:rFonts w:ascii="Times New Roman"/>
            <w:spacing w:val="-5"/>
            <w:sz w:val="24"/>
          </w:rPr>
          <w:t> </w:t>
        </w:r>
        <w:r>
          <w:rPr>
            <w:rFonts w:ascii="Times New Roman"/>
            <w:sz w:val="24"/>
          </w:rPr>
          <w:t>58</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5600">
            <wp:simplePos x="0" y="0"/>
            <wp:positionH relativeFrom="page">
              <wp:posOffset>900988</wp:posOffset>
            </wp:positionH>
            <wp:positionV relativeFrom="paragraph">
              <wp:posOffset>73699</wp:posOffset>
            </wp:positionV>
            <wp:extent cx="2591435" cy="152400"/>
            <wp:effectExtent l="0" t="0" r="0" b="0"/>
            <wp:wrapNone/>
            <wp:docPr id="123" name="image69.png"/>
            <wp:cNvGraphicFramePr>
              <a:graphicFrameLocks noChangeAspect="1"/>
            </wp:cNvGraphicFramePr>
            <a:graphic>
              <a:graphicData uri="http://schemas.openxmlformats.org/drawingml/2006/picture">
                <pic:pic>
                  <pic:nvPicPr>
                    <pic:cNvPr id="124" name="image69.png"/>
                    <pic:cNvPicPr/>
                  </pic:nvPicPr>
                  <pic:blipFill>
                    <a:blip r:embed="rId74" cstate="print"/>
                    <a:stretch>
                      <a:fillRect/>
                    </a:stretch>
                  </pic:blipFill>
                  <pic:spPr>
                    <a:xfrm>
                      <a:off x="0" y="0"/>
                      <a:ext cx="2591435" cy="152400"/>
                    </a:xfrm>
                    <a:prstGeom prst="rect">
                      <a:avLst/>
                    </a:prstGeom>
                  </pic:spPr>
                </pic:pic>
              </a:graphicData>
            </a:graphic>
          </wp:anchor>
        </w:drawing>
      </w:r>
      <w:hyperlink w:history="true" w:anchor="_bookmark32">
        <w:r>
          <w:rPr>
            <w:rFonts w:ascii="Times New Roman"/>
            <w:sz w:val="24"/>
          </w:rPr>
          <w:t>.....................................................................</w:t>
        </w:r>
        <w:r>
          <w:rPr>
            <w:rFonts w:ascii="Times New Roman"/>
            <w:spacing w:val="-5"/>
            <w:sz w:val="24"/>
          </w:rPr>
          <w:t> </w:t>
        </w:r>
        <w:r>
          <w:rPr>
            <w:rFonts w:ascii="Times New Roman"/>
            <w:sz w:val="24"/>
          </w:rPr>
          <w:t>63</w:t>
        </w:r>
      </w:hyperlink>
    </w:p>
    <w:p>
      <w:pPr>
        <w:tabs>
          <w:tab w:pos="3862" w:val="left" w:leader="none"/>
        </w:tabs>
        <w:spacing w:before="84"/>
        <w:ind w:left="0" w:right="1127" w:firstLine="0"/>
        <w:jc w:val="right"/>
        <w:rPr>
          <w:rFonts w:ascii="Times New Roman"/>
          <w:sz w:val="24"/>
        </w:rPr>
      </w:pPr>
      <w:r>
        <w:rPr/>
        <w:drawing>
          <wp:anchor distT="0" distB="0" distL="0" distR="0" allowOverlap="1" layoutInCell="1" locked="0" behindDoc="1" simplePos="0" relativeHeight="485466112">
            <wp:simplePos x="0" y="0"/>
            <wp:positionH relativeFrom="page">
              <wp:posOffset>1815338</wp:posOffset>
            </wp:positionH>
            <wp:positionV relativeFrom="paragraph">
              <wp:posOffset>73699</wp:posOffset>
            </wp:positionV>
            <wp:extent cx="1829181" cy="152400"/>
            <wp:effectExtent l="0" t="0" r="0" b="0"/>
            <wp:wrapNone/>
            <wp:docPr id="125" name="image70.png"/>
            <wp:cNvGraphicFramePr>
              <a:graphicFrameLocks noChangeAspect="1"/>
            </wp:cNvGraphicFramePr>
            <a:graphic>
              <a:graphicData uri="http://schemas.openxmlformats.org/drawingml/2006/picture">
                <pic:pic>
                  <pic:nvPicPr>
                    <pic:cNvPr id="126" name="image70.png"/>
                    <pic:cNvPicPr/>
                  </pic:nvPicPr>
                  <pic:blipFill>
                    <a:blip r:embed="rId75" cstate="print"/>
                    <a:stretch>
                      <a:fillRect/>
                    </a:stretch>
                  </pic:blipFill>
                  <pic:spPr>
                    <a:xfrm>
                      <a:off x="0" y="0"/>
                      <a:ext cx="1829181" cy="152400"/>
                    </a:xfrm>
                    <a:prstGeom prst="rect">
                      <a:avLst/>
                    </a:prstGeom>
                  </pic:spPr>
                </pic:pic>
              </a:graphicData>
            </a:graphic>
          </wp:anchor>
        </w:drawing>
      </w:r>
      <w:r>
        <w:rPr>
          <w:position w:val="-4"/>
        </w:rPr>
        <w:drawing>
          <wp:inline distT="0" distB="0" distL="0" distR="0">
            <wp:extent cx="609600" cy="152400"/>
            <wp:effectExtent l="0" t="0" r="0" b="0"/>
            <wp:docPr id="127" name="image71.png"/>
            <wp:cNvGraphicFramePr>
              <a:graphicFrameLocks noChangeAspect="1"/>
            </wp:cNvGraphicFramePr>
            <a:graphic>
              <a:graphicData uri="http://schemas.openxmlformats.org/drawingml/2006/picture">
                <pic:pic>
                  <pic:nvPicPr>
                    <pic:cNvPr id="128" name="image71.png"/>
                    <pic:cNvPicPr/>
                  </pic:nvPicPr>
                  <pic:blipFill>
                    <a:blip r:embed="rId76"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
          <w:sz w:val="20"/>
        </w:rPr>
        <w:t> </w:t>
      </w:r>
      <w:hyperlink w:history="true" w:anchor="_bookmark33">
        <w:r>
          <w:rPr>
            <w:rFonts w:ascii="Times New Roman"/>
            <w:sz w:val="24"/>
          </w:rPr>
          <w:t>.................................................................</w:t>
        </w:r>
        <w:r>
          <w:rPr>
            <w:rFonts w:ascii="Times New Roman"/>
            <w:spacing w:val="-5"/>
            <w:sz w:val="24"/>
          </w:rPr>
          <w:t> </w:t>
        </w:r>
        <w:r>
          <w:rPr>
            <w:rFonts w:ascii="Times New Roman"/>
            <w:sz w:val="24"/>
          </w:rPr>
          <w:t>63</w:t>
        </w:r>
      </w:hyperlink>
    </w:p>
    <w:p>
      <w:pPr>
        <w:spacing w:before="84"/>
        <w:ind w:left="0" w:right="1127" w:firstLine="0"/>
        <w:jc w:val="right"/>
        <w:rPr>
          <w:rFonts w:ascii="Times New Roman"/>
          <w:sz w:val="24"/>
        </w:rPr>
      </w:pPr>
      <w:r>
        <w:rPr/>
        <w:drawing>
          <wp:anchor distT="0" distB="0" distL="0" distR="0" allowOverlap="1" layoutInCell="1" locked="0" behindDoc="0" simplePos="0" relativeHeight="15747072">
            <wp:simplePos x="0" y="0"/>
            <wp:positionH relativeFrom="page">
              <wp:posOffset>1053388</wp:posOffset>
            </wp:positionH>
            <wp:positionV relativeFrom="paragraph">
              <wp:posOffset>73699</wp:posOffset>
            </wp:positionV>
            <wp:extent cx="609600" cy="152400"/>
            <wp:effectExtent l="0" t="0" r="0" b="0"/>
            <wp:wrapNone/>
            <wp:docPr id="129" name="image72.png"/>
            <wp:cNvGraphicFramePr>
              <a:graphicFrameLocks noChangeAspect="1"/>
            </wp:cNvGraphicFramePr>
            <a:graphic>
              <a:graphicData uri="http://schemas.openxmlformats.org/drawingml/2006/picture">
                <pic:pic>
                  <pic:nvPicPr>
                    <pic:cNvPr id="130" name="image72.png"/>
                    <pic:cNvPicPr/>
                  </pic:nvPicPr>
                  <pic:blipFill>
                    <a:blip r:embed="rId77" cstate="print"/>
                    <a:stretch>
                      <a:fillRect/>
                    </a:stretch>
                  </pic:blipFill>
                  <pic:spPr>
                    <a:xfrm>
                      <a:off x="0" y="0"/>
                      <a:ext cx="609600" cy="152400"/>
                    </a:xfrm>
                    <a:prstGeom prst="rect">
                      <a:avLst/>
                    </a:prstGeom>
                  </pic:spPr>
                </pic:pic>
              </a:graphicData>
            </a:graphic>
          </wp:anchor>
        </w:drawing>
      </w:r>
      <w:r>
        <w:rPr/>
        <w:drawing>
          <wp:anchor distT="0" distB="0" distL="0" distR="0" allowOverlap="1" layoutInCell="1" locked="0" behindDoc="1" simplePos="0" relativeHeight="485467136">
            <wp:simplePos x="0" y="0"/>
            <wp:positionH relativeFrom="page">
              <wp:posOffset>1815338</wp:posOffset>
            </wp:positionH>
            <wp:positionV relativeFrom="paragraph">
              <wp:posOffset>73699</wp:posOffset>
            </wp:positionV>
            <wp:extent cx="1524381" cy="152400"/>
            <wp:effectExtent l="0" t="0" r="0" b="0"/>
            <wp:wrapNone/>
            <wp:docPr id="131" name="image73.png"/>
            <wp:cNvGraphicFramePr>
              <a:graphicFrameLocks noChangeAspect="1"/>
            </wp:cNvGraphicFramePr>
            <a:graphic>
              <a:graphicData uri="http://schemas.openxmlformats.org/drawingml/2006/picture">
                <pic:pic>
                  <pic:nvPicPr>
                    <pic:cNvPr id="132" name="image73.png"/>
                    <pic:cNvPicPr/>
                  </pic:nvPicPr>
                  <pic:blipFill>
                    <a:blip r:embed="rId78" cstate="print"/>
                    <a:stretch>
                      <a:fillRect/>
                    </a:stretch>
                  </pic:blipFill>
                  <pic:spPr>
                    <a:xfrm>
                      <a:off x="0" y="0"/>
                      <a:ext cx="1524381" cy="152400"/>
                    </a:xfrm>
                    <a:prstGeom prst="rect">
                      <a:avLst/>
                    </a:prstGeom>
                  </pic:spPr>
                </pic:pic>
              </a:graphicData>
            </a:graphic>
          </wp:anchor>
        </w:drawing>
      </w:r>
      <w:hyperlink w:history="true" w:anchor="_bookmark34">
        <w:r>
          <w:rPr>
            <w:rFonts w:ascii="Times New Roman"/>
            <w:sz w:val="24"/>
          </w:rPr>
          <w:t>.........................................................................</w:t>
        </w:r>
        <w:r>
          <w:rPr>
            <w:rFonts w:ascii="Times New Roman"/>
            <w:spacing w:val="-5"/>
            <w:sz w:val="24"/>
          </w:rPr>
          <w:t> </w:t>
        </w:r>
        <w:r>
          <w:rPr>
            <w:rFonts w:ascii="Times New Roman"/>
            <w:sz w:val="24"/>
          </w:rPr>
          <w:t>66</w:t>
        </w:r>
      </w:hyperlink>
    </w:p>
    <w:p>
      <w:pPr>
        <w:spacing w:before="84"/>
        <w:ind w:left="0" w:right="1127" w:firstLine="0"/>
        <w:jc w:val="right"/>
        <w:rPr>
          <w:rFonts w:ascii="Times New Roman"/>
          <w:sz w:val="24"/>
        </w:rPr>
      </w:pPr>
      <w:r>
        <w:rPr/>
        <w:drawing>
          <wp:anchor distT="0" distB="0" distL="0" distR="0" allowOverlap="1" layoutInCell="1" locked="0" behindDoc="0" simplePos="0" relativeHeight="15748096">
            <wp:simplePos x="0" y="0"/>
            <wp:positionH relativeFrom="page">
              <wp:posOffset>1053388</wp:posOffset>
            </wp:positionH>
            <wp:positionV relativeFrom="paragraph">
              <wp:posOffset>73699</wp:posOffset>
            </wp:positionV>
            <wp:extent cx="609600" cy="152400"/>
            <wp:effectExtent l="0" t="0" r="0" b="0"/>
            <wp:wrapNone/>
            <wp:docPr id="133" name="image74.png"/>
            <wp:cNvGraphicFramePr>
              <a:graphicFrameLocks noChangeAspect="1"/>
            </wp:cNvGraphicFramePr>
            <a:graphic>
              <a:graphicData uri="http://schemas.openxmlformats.org/drawingml/2006/picture">
                <pic:pic>
                  <pic:nvPicPr>
                    <pic:cNvPr id="134" name="image74.png"/>
                    <pic:cNvPicPr/>
                  </pic:nvPicPr>
                  <pic:blipFill>
                    <a:blip r:embed="rId79" cstate="print"/>
                    <a:stretch>
                      <a:fillRect/>
                    </a:stretch>
                  </pic:blipFill>
                  <pic:spPr>
                    <a:xfrm>
                      <a:off x="0" y="0"/>
                      <a:ext cx="609600" cy="152400"/>
                    </a:xfrm>
                    <a:prstGeom prst="rect">
                      <a:avLst/>
                    </a:prstGeom>
                  </pic:spPr>
                </pic:pic>
              </a:graphicData>
            </a:graphic>
          </wp:anchor>
        </w:drawing>
      </w:r>
      <w:r>
        <w:rPr/>
        <w:drawing>
          <wp:anchor distT="0" distB="0" distL="0" distR="0" allowOverlap="1" layoutInCell="1" locked="0" behindDoc="1" simplePos="0" relativeHeight="485468160">
            <wp:simplePos x="0" y="0"/>
            <wp:positionH relativeFrom="page">
              <wp:posOffset>1815338</wp:posOffset>
            </wp:positionH>
            <wp:positionV relativeFrom="paragraph">
              <wp:posOffset>73699</wp:posOffset>
            </wp:positionV>
            <wp:extent cx="1981581" cy="152400"/>
            <wp:effectExtent l="0" t="0" r="0" b="0"/>
            <wp:wrapNone/>
            <wp:docPr id="135" name="image75.png"/>
            <wp:cNvGraphicFramePr>
              <a:graphicFrameLocks noChangeAspect="1"/>
            </wp:cNvGraphicFramePr>
            <a:graphic>
              <a:graphicData uri="http://schemas.openxmlformats.org/drawingml/2006/picture">
                <pic:pic>
                  <pic:nvPicPr>
                    <pic:cNvPr id="136" name="image75.png"/>
                    <pic:cNvPicPr/>
                  </pic:nvPicPr>
                  <pic:blipFill>
                    <a:blip r:embed="rId80" cstate="print"/>
                    <a:stretch>
                      <a:fillRect/>
                    </a:stretch>
                  </pic:blipFill>
                  <pic:spPr>
                    <a:xfrm>
                      <a:off x="0" y="0"/>
                      <a:ext cx="1981581" cy="152400"/>
                    </a:xfrm>
                    <a:prstGeom prst="rect">
                      <a:avLst/>
                    </a:prstGeom>
                  </pic:spPr>
                </pic:pic>
              </a:graphicData>
            </a:graphic>
          </wp:anchor>
        </w:drawing>
      </w:r>
      <w:hyperlink w:history="true" w:anchor="_bookmark35">
        <w:r>
          <w:rPr>
            <w:rFonts w:ascii="Times New Roman"/>
            <w:sz w:val="24"/>
          </w:rPr>
          <w:t>.............................................................</w:t>
        </w:r>
        <w:r>
          <w:rPr>
            <w:rFonts w:ascii="Times New Roman"/>
            <w:spacing w:val="-5"/>
            <w:sz w:val="24"/>
          </w:rPr>
          <w:t> </w:t>
        </w:r>
        <w:r>
          <w:rPr>
            <w:rFonts w:ascii="Times New Roman"/>
            <w:sz w:val="24"/>
          </w:rPr>
          <w:t>70</w:t>
        </w:r>
      </w:hyperlink>
    </w:p>
    <w:p>
      <w:pPr>
        <w:spacing w:after="0"/>
        <w:jc w:val="right"/>
        <w:rPr>
          <w:rFonts w:ascii="Times New Roman"/>
          <w:sz w:val="24"/>
        </w:rPr>
        <w:sectPr>
          <w:pgSz w:w="11910" w:h="16840"/>
          <w:pgMar w:header="0" w:footer="1017" w:top="1560" w:bottom="1200" w:left="1120" w:right="1060"/>
        </w:sectPr>
      </w:pPr>
    </w:p>
    <w:p>
      <w:pPr>
        <w:tabs>
          <w:tab w:pos="3862" w:val="left" w:leader="none"/>
        </w:tabs>
        <w:spacing w:before="70"/>
        <w:ind w:left="0" w:right="1127" w:firstLine="0"/>
        <w:jc w:val="right"/>
        <w:rPr>
          <w:rFonts w:ascii="Times New Roman"/>
          <w:sz w:val="24"/>
        </w:rPr>
      </w:pPr>
      <w:r>
        <w:rPr/>
        <w:drawing>
          <wp:anchor distT="0" distB="0" distL="0" distR="0" allowOverlap="1" layoutInCell="1" locked="0" behindDoc="1" simplePos="0" relativeHeight="485468672">
            <wp:simplePos x="0" y="0"/>
            <wp:positionH relativeFrom="page">
              <wp:posOffset>1815338</wp:posOffset>
            </wp:positionH>
            <wp:positionV relativeFrom="paragraph">
              <wp:posOffset>64809</wp:posOffset>
            </wp:positionV>
            <wp:extent cx="1829181" cy="152400"/>
            <wp:effectExtent l="0" t="0" r="0" b="0"/>
            <wp:wrapNone/>
            <wp:docPr id="137" name="image76.png"/>
            <wp:cNvGraphicFramePr>
              <a:graphicFrameLocks noChangeAspect="1"/>
            </wp:cNvGraphicFramePr>
            <a:graphic>
              <a:graphicData uri="http://schemas.openxmlformats.org/drawingml/2006/picture">
                <pic:pic>
                  <pic:nvPicPr>
                    <pic:cNvPr id="138" name="image76.png"/>
                    <pic:cNvPicPr/>
                  </pic:nvPicPr>
                  <pic:blipFill>
                    <a:blip r:embed="rId81" cstate="print"/>
                    <a:stretch>
                      <a:fillRect/>
                    </a:stretch>
                  </pic:blipFill>
                  <pic:spPr>
                    <a:xfrm>
                      <a:off x="0" y="0"/>
                      <a:ext cx="1829181" cy="152400"/>
                    </a:xfrm>
                    <a:prstGeom prst="rect">
                      <a:avLst/>
                    </a:prstGeom>
                  </pic:spPr>
                </pic:pic>
              </a:graphicData>
            </a:graphic>
          </wp:anchor>
        </w:drawing>
      </w:r>
      <w:r>
        <w:rPr>
          <w:position w:val="-4"/>
        </w:rPr>
        <w:drawing>
          <wp:inline distT="0" distB="0" distL="0" distR="0">
            <wp:extent cx="609600" cy="152400"/>
            <wp:effectExtent l="0" t="0" r="0" b="0"/>
            <wp:docPr id="139" name="image77.png"/>
            <wp:cNvGraphicFramePr>
              <a:graphicFrameLocks noChangeAspect="1"/>
            </wp:cNvGraphicFramePr>
            <a:graphic>
              <a:graphicData uri="http://schemas.openxmlformats.org/drawingml/2006/picture">
                <pic:pic>
                  <pic:nvPicPr>
                    <pic:cNvPr id="140" name="image77.png"/>
                    <pic:cNvPicPr/>
                  </pic:nvPicPr>
                  <pic:blipFill>
                    <a:blip r:embed="rId82" cstate="print"/>
                    <a:stretch>
                      <a:fillRect/>
                    </a:stretch>
                  </pic:blipFill>
                  <pic:spPr>
                    <a:xfrm>
                      <a:off x="0" y="0"/>
                      <a:ext cx="609600" cy="152400"/>
                    </a:xfrm>
                    <a:prstGeom prst="rect">
                      <a:avLst/>
                    </a:prstGeom>
                  </pic:spPr>
                </pic:pic>
              </a:graphicData>
            </a:graphic>
          </wp:inline>
        </w:drawing>
      </w:r>
      <w:r>
        <w:rPr>
          <w:position w:val="-4"/>
        </w:rPr>
      </w:r>
      <w:r>
        <w:rPr>
          <w:rFonts w:ascii="Times New Roman"/>
          <w:sz w:val="20"/>
        </w:rPr>
        <w:tab/>
      </w:r>
      <w:r>
        <w:rPr>
          <w:rFonts w:ascii="Times New Roman"/>
          <w:spacing w:val="2"/>
          <w:sz w:val="20"/>
        </w:rPr>
        <w:t> </w:t>
      </w:r>
      <w:hyperlink w:history="true" w:anchor="_bookmark36">
        <w:r>
          <w:rPr>
            <w:rFonts w:ascii="Times New Roman"/>
            <w:sz w:val="24"/>
          </w:rPr>
          <w:t>.................................................................</w:t>
        </w:r>
        <w:r>
          <w:rPr>
            <w:rFonts w:ascii="Times New Roman"/>
            <w:spacing w:val="-5"/>
            <w:sz w:val="24"/>
          </w:rPr>
          <w:t> </w:t>
        </w:r>
        <w:r>
          <w:rPr>
            <w:rFonts w:ascii="Times New Roman"/>
            <w:sz w:val="24"/>
          </w:rPr>
          <w:t>79</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9184">
            <wp:simplePos x="0" y="0"/>
            <wp:positionH relativeFrom="page">
              <wp:posOffset>900988</wp:posOffset>
            </wp:positionH>
            <wp:positionV relativeFrom="paragraph">
              <wp:posOffset>73699</wp:posOffset>
            </wp:positionV>
            <wp:extent cx="2286380" cy="152400"/>
            <wp:effectExtent l="0" t="0" r="0" b="0"/>
            <wp:wrapNone/>
            <wp:docPr id="141" name="image78.png"/>
            <wp:cNvGraphicFramePr>
              <a:graphicFrameLocks noChangeAspect="1"/>
            </wp:cNvGraphicFramePr>
            <a:graphic>
              <a:graphicData uri="http://schemas.openxmlformats.org/drawingml/2006/picture">
                <pic:pic>
                  <pic:nvPicPr>
                    <pic:cNvPr id="142" name="image78.png"/>
                    <pic:cNvPicPr/>
                  </pic:nvPicPr>
                  <pic:blipFill>
                    <a:blip r:embed="rId83" cstate="print"/>
                    <a:stretch>
                      <a:fillRect/>
                    </a:stretch>
                  </pic:blipFill>
                  <pic:spPr>
                    <a:xfrm>
                      <a:off x="0" y="0"/>
                      <a:ext cx="2286380" cy="152400"/>
                    </a:xfrm>
                    <a:prstGeom prst="rect">
                      <a:avLst/>
                    </a:prstGeom>
                  </pic:spPr>
                </pic:pic>
              </a:graphicData>
            </a:graphic>
          </wp:anchor>
        </w:drawing>
      </w:r>
      <w:hyperlink w:history="true" w:anchor="_bookmark37">
        <w:r>
          <w:rPr>
            <w:rFonts w:ascii="Times New Roman"/>
            <w:sz w:val="24"/>
          </w:rPr>
          <w:t>.............................................................................</w:t>
        </w:r>
        <w:r>
          <w:rPr>
            <w:rFonts w:ascii="Times New Roman"/>
            <w:spacing w:val="-5"/>
            <w:sz w:val="24"/>
          </w:rPr>
          <w:t> </w:t>
        </w:r>
        <w:r>
          <w:rPr>
            <w:rFonts w:ascii="Times New Roman"/>
            <w:sz w:val="24"/>
          </w:rPr>
          <w:t>92</w:t>
        </w:r>
      </w:hyperlink>
    </w:p>
    <w:p>
      <w:pPr>
        <w:spacing w:before="84"/>
        <w:ind w:left="0" w:right="1127" w:firstLine="0"/>
        <w:jc w:val="right"/>
        <w:rPr>
          <w:rFonts w:ascii="Times New Roman"/>
          <w:sz w:val="24"/>
        </w:rPr>
      </w:pPr>
      <w:r>
        <w:rPr/>
        <w:drawing>
          <wp:anchor distT="0" distB="0" distL="0" distR="0" allowOverlap="1" layoutInCell="1" locked="0" behindDoc="1" simplePos="0" relativeHeight="485469696">
            <wp:simplePos x="0" y="0"/>
            <wp:positionH relativeFrom="page">
              <wp:posOffset>900988</wp:posOffset>
            </wp:positionH>
            <wp:positionV relativeFrom="paragraph">
              <wp:posOffset>73699</wp:posOffset>
            </wp:positionV>
            <wp:extent cx="2286380" cy="152400"/>
            <wp:effectExtent l="0" t="0" r="0" b="0"/>
            <wp:wrapNone/>
            <wp:docPr id="143" name="image79.png"/>
            <wp:cNvGraphicFramePr>
              <a:graphicFrameLocks noChangeAspect="1"/>
            </wp:cNvGraphicFramePr>
            <a:graphic>
              <a:graphicData uri="http://schemas.openxmlformats.org/drawingml/2006/picture">
                <pic:pic>
                  <pic:nvPicPr>
                    <pic:cNvPr id="144" name="image79.png"/>
                    <pic:cNvPicPr/>
                  </pic:nvPicPr>
                  <pic:blipFill>
                    <a:blip r:embed="rId84" cstate="print"/>
                    <a:stretch>
                      <a:fillRect/>
                    </a:stretch>
                  </pic:blipFill>
                  <pic:spPr>
                    <a:xfrm>
                      <a:off x="0" y="0"/>
                      <a:ext cx="2286380" cy="152400"/>
                    </a:xfrm>
                    <a:prstGeom prst="rect">
                      <a:avLst/>
                    </a:prstGeom>
                  </pic:spPr>
                </pic:pic>
              </a:graphicData>
            </a:graphic>
          </wp:anchor>
        </w:drawing>
      </w:r>
      <w:hyperlink w:history="true" w:anchor="_bookmark38">
        <w:r>
          <w:rPr>
            <w:rFonts w:ascii="Times New Roman"/>
            <w:sz w:val="24"/>
          </w:rPr>
          <w:t>.............................................................................</w:t>
        </w:r>
        <w:r>
          <w:rPr>
            <w:rFonts w:ascii="Times New Roman"/>
            <w:spacing w:val="-5"/>
            <w:sz w:val="24"/>
          </w:rPr>
          <w:t> </w:t>
        </w:r>
        <w:r>
          <w:rPr>
            <w:rFonts w:ascii="Times New Roman"/>
            <w:sz w:val="24"/>
          </w:rPr>
          <w:t>95</w:t>
        </w:r>
      </w:hyperlink>
    </w:p>
    <w:p>
      <w:pPr>
        <w:spacing w:before="84"/>
        <w:ind w:left="0" w:right="1127" w:firstLine="0"/>
        <w:jc w:val="right"/>
        <w:rPr>
          <w:rFonts w:ascii="Times New Roman"/>
          <w:sz w:val="24"/>
        </w:rPr>
      </w:pPr>
      <w:r>
        <w:rPr>
          <w:position w:val="-4"/>
        </w:rPr>
        <w:drawing>
          <wp:inline distT="0" distB="0" distL="0" distR="0">
            <wp:extent cx="762000" cy="152400"/>
            <wp:effectExtent l="0" t="0" r="0" b="0"/>
            <wp:docPr id="145" name="image80.png"/>
            <wp:cNvGraphicFramePr>
              <a:graphicFrameLocks noChangeAspect="1"/>
            </wp:cNvGraphicFramePr>
            <a:graphic>
              <a:graphicData uri="http://schemas.openxmlformats.org/drawingml/2006/picture">
                <pic:pic>
                  <pic:nvPicPr>
                    <pic:cNvPr id="146" name="image80.png"/>
                    <pic:cNvPicPr/>
                  </pic:nvPicPr>
                  <pic:blipFill>
                    <a:blip r:embed="rId85" cstate="print"/>
                    <a:stretch>
                      <a:fillRect/>
                    </a:stretch>
                  </pic:blipFill>
                  <pic:spPr>
                    <a:xfrm>
                      <a:off x="0" y="0"/>
                      <a:ext cx="762000" cy="152400"/>
                    </a:xfrm>
                    <a:prstGeom prst="rect">
                      <a:avLst/>
                    </a:prstGeom>
                  </pic:spPr>
                </pic:pic>
              </a:graphicData>
            </a:graphic>
          </wp:inline>
        </w:drawing>
      </w:r>
      <w:r>
        <w:rPr>
          <w:position w:val="-4"/>
        </w:rPr>
      </w:r>
      <w:r>
        <w:rPr>
          <w:rFonts w:ascii="Times New Roman"/>
          <w:sz w:val="20"/>
        </w:rPr>
        <w:t> </w:t>
      </w:r>
      <w:r>
        <w:rPr>
          <w:rFonts w:ascii="Times New Roman"/>
          <w:spacing w:val="-19"/>
          <w:sz w:val="20"/>
        </w:rPr>
        <w:t> </w:t>
      </w:r>
      <w:hyperlink w:history="true" w:anchor="_bookmark39">
        <w:r>
          <w:rPr>
            <w:rFonts w:ascii="Times New Roman"/>
            <w:sz w:val="24"/>
          </w:rPr>
          <w:t>................................................................................................................</w:t>
        </w:r>
        <w:r>
          <w:rPr>
            <w:rFonts w:ascii="Times New Roman"/>
            <w:spacing w:val="-5"/>
            <w:sz w:val="24"/>
          </w:rPr>
          <w:t> </w:t>
        </w:r>
        <w:r>
          <w:rPr>
            <w:rFonts w:ascii="Times New Roman"/>
            <w:sz w:val="24"/>
          </w:rPr>
          <w:t>99</w:t>
        </w:r>
      </w:hyperlink>
    </w:p>
    <w:p>
      <w:pPr>
        <w:spacing w:after="0"/>
        <w:jc w:val="right"/>
        <w:rPr>
          <w:rFonts w:ascii="Times New Roman"/>
          <w:sz w:val="24"/>
        </w:rPr>
        <w:sectPr>
          <w:pgSz w:w="11910" w:h="16840"/>
          <w:pgMar w:header="0" w:footer="1017" w:top="1380" w:bottom="1200" w:left="1120" w:right="1060"/>
        </w:sectPr>
      </w:pPr>
    </w:p>
    <w:p>
      <w:pPr>
        <w:pStyle w:val="BodyText"/>
        <w:ind w:left="7209"/>
        <w:rPr>
          <w:rFonts w:ascii="Times New Roman"/>
          <w:sz w:val="20"/>
        </w:rPr>
      </w:pPr>
      <w:r>
        <w:rPr>
          <w:rFonts w:ascii="Times New Roman"/>
          <w:sz w:val="20"/>
        </w:rPr>
        <w:drawing>
          <wp:inline distT="0" distB="0" distL="0" distR="0">
            <wp:extent cx="1524380" cy="152400"/>
            <wp:effectExtent l="0" t="0" r="0" b="0"/>
            <wp:docPr id="147" name="image81.png"/>
            <wp:cNvGraphicFramePr>
              <a:graphicFrameLocks noChangeAspect="1"/>
            </wp:cNvGraphicFramePr>
            <a:graphic>
              <a:graphicData uri="http://schemas.openxmlformats.org/drawingml/2006/picture">
                <pic:pic>
                  <pic:nvPicPr>
                    <pic:cNvPr id="148" name="image81.png"/>
                    <pic:cNvPicPr/>
                  </pic:nvPicPr>
                  <pic:blipFill>
                    <a:blip r:embed="rId87" cstate="print"/>
                    <a:stretch>
                      <a:fillRect/>
                    </a:stretch>
                  </pic:blipFill>
                  <pic:spPr>
                    <a:xfrm>
                      <a:off x="0" y="0"/>
                      <a:ext cx="1524380" cy="152400"/>
                    </a:xfrm>
                    <a:prstGeom prst="rect">
                      <a:avLst/>
                    </a:prstGeom>
                  </pic:spPr>
                </pic:pic>
              </a:graphicData>
            </a:graphic>
          </wp:inline>
        </w:drawing>
      </w:r>
      <w:r>
        <w:rPr>
          <w:rFonts w:ascii="Times New Roman"/>
          <w:sz w:val="20"/>
        </w:rPr>
      </w:r>
    </w:p>
    <w:p>
      <w:pPr>
        <w:pStyle w:val="BodyText"/>
        <w:rPr>
          <w:rFonts w:ascii="Times New Roman"/>
          <w:sz w:val="20"/>
        </w:rPr>
      </w:pPr>
    </w:p>
    <w:p>
      <w:pPr>
        <w:pStyle w:val="BodyText"/>
        <w:spacing w:before="3"/>
        <w:rPr>
          <w:rFonts w:ascii="Times New Roman"/>
          <w:sz w:val="20"/>
        </w:rPr>
      </w:pPr>
      <w:r>
        <w:rPr/>
        <w:drawing>
          <wp:anchor distT="0" distB="0" distL="0" distR="0" allowOverlap="1" layoutInCell="1" locked="0" behindDoc="0" simplePos="0" relativeHeight="43">
            <wp:simplePos x="0" y="0"/>
            <wp:positionH relativeFrom="page">
              <wp:posOffset>3001391</wp:posOffset>
            </wp:positionH>
            <wp:positionV relativeFrom="paragraph">
              <wp:posOffset>172732</wp:posOffset>
            </wp:positionV>
            <wp:extent cx="914400" cy="228600"/>
            <wp:effectExtent l="0" t="0" r="0" b="0"/>
            <wp:wrapTopAndBottom/>
            <wp:docPr id="149" name="image82.png"/>
            <wp:cNvGraphicFramePr>
              <a:graphicFrameLocks noChangeAspect="1"/>
            </wp:cNvGraphicFramePr>
            <a:graphic>
              <a:graphicData uri="http://schemas.openxmlformats.org/drawingml/2006/picture">
                <pic:pic>
                  <pic:nvPicPr>
                    <pic:cNvPr id="150" name="image82.png"/>
                    <pic:cNvPicPr/>
                  </pic:nvPicPr>
                  <pic:blipFill>
                    <a:blip r:embed="rId88" cstate="print"/>
                    <a:stretch>
                      <a:fillRect/>
                    </a:stretch>
                  </pic:blipFill>
                  <pic:spPr>
                    <a:xfrm>
                      <a:off x="0" y="0"/>
                      <a:ext cx="914400" cy="228600"/>
                    </a:xfrm>
                    <a:prstGeom prst="rect">
                      <a:avLst/>
                    </a:prstGeom>
                  </pic:spPr>
                </pic:pic>
              </a:graphicData>
            </a:graphic>
          </wp:anchor>
        </w:drawing>
      </w:r>
      <w:r>
        <w:rPr/>
        <w:drawing>
          <wp:anchor distT="0" distB="0" distL="0" distR="0" allowOverlap="1" layoutInCell="1" locked="0" behindDoc="0" simplePos="0" relativeHeight="44">
            <wp:simplePos x="0" y="0"/>
            <wp:positionH relativeFrom="page">
              <wp:posOffset>3982846</wp:posOffset>
            </wp:positionH>
            <wp:positionV relativeFrom="paragraph">
              <wp:posOffset>172732</wp:posOffset>
            </wp:positionV>
            <wp:extent cx="685800" cy="228600"/>
            <wp:effectExtent l="0" t="0" r="0" b="0"/>
            <wp:wrapTopAndBottom/>
            <wp:docPr id="151" name="image83.png"/>
            <wp:cNvGraphicFramePr>
              <a:graphicFrameLocks noChangeAspect="1"/>
            </wp:cNvGraphicFramePr>
            <a:graphic>
              <a:graphicData uri="http://schemas.openxmlformats.org/drawingml/2006/picture">
                <pic:pic>
                  <pic:nvPicPr>
                    <pic:cNvPr id="152" name="image83.png"/>
                    <pic:cNvPicPr/>
                  </pic:nvPicPr>
                  <pic:blipFill>
                    <a:blip r:embed="rId89" cstate="print"/>
                    <a:stretch>
                      <a:fillRect/>
                    </a:stretch>
                  </pic:blipFill>
                  <pic:spPr>
                    <a:xfrm>
                      <a:off x="0" y="0"/>
                      <a:ext cx="685800" cy="228600"/>
                    </a:xfrm>
                    <a:prstGeom prst="rect">
                      <a:avLst/>
                    </a:prstGeom>
                  </pic:spPr>
                </pic:pic>
              </a:graphicData>
            </a:graphic>
          </wp:anchor>
        </w:drawing>
      </w:r>
      <w:r>
        <w:rPr/>
        <w:drawing>
          <wp:anchor distT="0" distB="0" distL="0" distR="0" allowOverlap="1" layoutInCell="1" locked="0" behindDoc="0" simplePos="0" relativeHeight="45">
            <wp:simplePos x="0" y="0"/>
            <wp:positionH relativeFrom="page">
              <wp:posOffset>2551810</wp:posOffset>
            </wp:positionH>
            <wp:positionV relativeFrom="paragraph">
              <wp:posOffset>643648</wp:posOffset>
            </wp:positionV>
            <wp:extent cx="812799" cy="202692"/>
            <wp:effectExtent l="0" t="0" r="0" b="0"/>
            <wp:wrapTopAndBottom/>
            <wp:docPr id="153" name="image84.png"/>
            <wp:cNvGraphicFramePr>
              <a:graphicFrameLocks noChangeAspect="1"/>
            </wp:cNvGraphicFramePr>
            <a:graphic>
              <a:graphicData uri="http://schemas.openxmlformats.org/drawingml/2006/picture">
                <pic:pic>
                  <pic:nvPicPr>
                    <pic:cNvPr id="154" name="image84.png"/>
                    <pic:cNvPicPr/>
                  </pic:nvPicPr>
                  <pic:blipFill>
                    <a:blip r:embed="rId90" cstate="print"/>
                    <a:stretch>
                      <a:fillRect/>
                    </a:stretch>
                  </pic:blipFill>
                  <pic:spPr>
                    <a:xfrm>
                      <a:off x="0" y="0"/>
                      <a:ext cx="812799" cy="202692"/>
                    </a:xfrm>
                    <a:prstGeom prst="rect">
                      <a:avLst/>
                    </a:prstGeom>
                  </pic:spPr>
                </pic:pic>
              </a:graphicData>
            </a:graphic>
          </wp:anchor>
        </w:drawing>
      </w:r>
      <w:r>
        <w:rPr/>
        <w:drawing>
          <wp:anchor distT="0" distB="0" distL="0" distR="0" allowOverlap="1" layoutInCell="1" locked="0" behindDoc="0" simplePos="0" relativeHeight="46">
            <wp:simplePos x="0" y="0"/>
            <wp:positionH relativeFrom="page">
              <wp:posOffset>3466210</wp:posOffset>
            </wp:positionH>
            <wp:positionV relativeFrom="paragraph">
              <wp:posOffset>643648</wp:posOffset>
            </wp:positionV>
            <wp:extent cx="1627123" cy="202692"/>
            <wp:effectExtent l="0" t="0" r="0" b="0"/>
            <wp:wrapTopAndBottom/>
            <wp:docPr id="155" name="image85.png"/>
            <wp:cNvGraphicFramePr>
              <a:graphicFrameLocks noChangeAspect="1"/>
            </wp:cNvGraphicFramePr>
            <a:graphic>
              <a:graphicData uri="http://schemas.openxmlformats.org/drawingml/2006/picture">
                <pic:pic>
                  <pic:nvPicPr>
                    <pic:cNvPr id="156" name="image85.png"/>
                    <pic:cNvPicPr/>
                  </pic:nvPicPr>
                  <pic:blipFill>
                    <a:blip r:embed="rId91" cstate="print"/>
                    <a:stretch>
                      <a:fillRect/>
                    </a:stretch>
                  </pic:blipFill>
                  <pic:spPr>
                    <a:xfrm>
                      <a:off x="0" y="0"/>
                      <a:ext cx="1627123" cy="202692"/>
                    </a:xfrm>
                    <a:prstGeom prst="rect">
                      <a:avLst/>
                    </a:prstGeom>
                  </pic:spPr>
                </pic:pic>
              </a:graphicData>
            </a:graphic>
          </wp:anchor>
        </w:drawing>
      </w:r>
      <w:r>
        <w:rPr/>
        <w:pict>
          <v:group style="position:absolute;margin-left:98.903999pt;margin-top:82.960976pt;width:429.55pt;height:14.05pt;mso-position-horizontal-relative:page;mso-position-vertical-relative:paragraph;z-index:-15704576;mso-wrap-distance-left:0;mso-wrap-distance-right:0" coordorigin="1978,1659" coordsize="8591,281">
            <v:shape style="position:absolute;left:1978;top:1659;width:2604;height:281" type="#_x0000_t75" stroked="false">
              <v:imagedata r:id="rId92" o:title=""/>
            </v:shape>
            <v:shape style="position:absolute;left:4292;top:1659;width:519;height:281" type="#_x0000_t75" stroked="false">
              <v:imagedata r:id="rId93" o:title=""/>
            </v:shape>
            <v:shape style="position:absolute;left:4637;top:1659;width:951;height:281" type="#_x0000_t75" stroked="false">
              <v:imagedata r:id="rId94" o:title=""/>
            </v:shape>
            <v:shape style="position:absolute;left:5271;top:1659;width:418;height:281" type="#_x0000_t75" stroked="false">
              <v:imagedata r:id="rId95" o:title=""/>
            </v:shape>
            <v:shape style="position:absolute;left:5480;top:1659;width:5088;height:281" type="#_x0000_t75" stroked="false">
              <v:imagedata r:id="rId96" o:title=""/>
            </v:shape>
            <w10:wrap type="topAndBottom"/>
          </v:group>
        </w:pict>
      </w:r>
      <w:r>
        <w:rPr/>
        <w:drawing>
          <wp:anchor distT="0" distB="0" distL="0" distR="0" allowOverlap="1" layoutInCell="1" locked="0" behindDoc="0" simplePos="0" relativeHeight="48">
            <wp:simplePos x="0" y="0"/>
            <wp:positionH relativeFrom="page">
              <wp:posOffset>900988</wp:posOffset>
            </wp:positionH>
            <wp:positionV relativeFrom="paragraph">
              <wp:posOffset>1332496</wp:posOffset>
            </wp:positionV>
            <wp:extent cx="5816219" cy="178307"/>
            <wp:effectExtent l="0" t="0" r="0" b="0"/>
            <wp:wrapTopAndBottom/>
            <wp:docPr id="157" name="image91.png"/>
            <wp:cNvGraphicFramePr>
              <a:graphicFrameLocks noChangeAspect="1"/>
            </wp:cNvGraphicFramePr>
            <a:graphic>
              <a:graphicData uri="http://schemas.openxmlformats.org/drawingml/2006/picture">
                <pic:pic>
                  <pic:nvPicPr>
                    <pic:cNvPr id="158" name="image91.png"/>
                    <pic:cNvPicPr/>
                  </pic:nvPicPr>
                  <pic:blipFill>
                    <a:blip r:embed="rId97"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49">
            <wp:simplePos x="0" y="0"/>
            <wp:positionH relativeFrom="page">
              <wp:posOffset>900988</wp:posOffset>
            </wp:positionH>
            <wp:positionV relativeFrom="paragraph">
              <wp:posOffset>1612912</wp:posOffset>
            </wp:positionV>
            <wp:extent cx="5816219" cy="178307"/>
            <wp:effectExtent l="0" t="0" r="0" b="0"/>
            <wp:wrapTopAndBottom/>
            <wp:docPr id="159" name="image92.png"/>
            <wp:cNvGraphicFramePr>
              <a:graphicFrameLocks noChangeAspect="1"/>
            </wp:cNvGraphicFramePr>
            <a:graphic>
              <a:graphicData uri="http://schemas.openxmlformats.org/drawingml/2006/picture">
                <pic:pic>
                  <pic:nvPicPr>
                    <pic:cNvPr id="160" name="image92.png"/>
                    <pic:cNvPicPr/>
                  </pic:nvPicPr>
                  <pic:blipFill>
                    <a:blip r:embed="rId98"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50">
            <wp:simplePos x="0" y="0"/>
            <wp:positionH relativeFrom="page">
              <wp:posOffset>900988</wp:posOffset>
            </wp:positionH>
            <wp:positionV relativeFrom="paragraph">
              <wp:posOffset>1891804</wp:posOffset>
            </wp:positionV>
            <wp:extent cx="5816219" cy="178307"/>
            <wp:effectExtent l="0" t="0" r="0" b="0"/>
            <wp:wrapTopAndBottom/>
            <wp:docPr id="161" name="image93.png"/>
            <wp:cNvGraphicFramePr>
              <a:graphicFrameLocks noChangeAspect="1"/>
            </wp:cNvGraphicFramePr>
            <a:graphic>
              <a:graphicData uri="http://schemas.openxmlformats.org/drawingml/2006/picture">
                <pic:pic>
                  <pic:nvPicPr>
                    <pic:cNvPr id="162" name="image93.png"/>
                    <pic:cNvPicPr/>
                  </pic:nvPicPr>
                  <pic:blipFill>
                    <a:blip r:embed="rId99" cstate="print"/>
                    <a:stretch>
                      <a:fillRect/>
                    </a:stretch>
                  </pic:blipFill>
                  <pic:spPr>
                    <a:xfrm>
                      <a:off x="0" y="0"/>
                      <a:ext cx="5816219" cy="178307"/>
                    </a:xfrm>
                    <a:prstGeom prst="rect">
                      <a:avLst/>
                    </a:prstGeom>
                  </pic:spPr>
                </pic:pic>
              </a:graphicData>
            </a:graphic>
          </wp:anchor>
        </w:drawing>
      </w:r>
      <w:r>
        <w:rPr/>
        <w:pict>
          <v:group style="position:absolute;margin-left:70.944pt;margin-top:170.950974pt;width:457.95pt;height:14.05pt;mso-position-horizontal-relative:page;mso-position-vertical-relative:paragraph;z-index:-15702528;mso-wrap-distance-left:0;mso-wrap-distance-right:0" coordorigin="1419,3419" coordsize="9159,281">
            <v:shape style="position:absolute;left:1418;top:3419;width:1964;height:281" type="#_x0000_t75" stroked="false">
              <v:imagedata r:id="rId100" o:title=""/>
            </v:shape>
            <v:shape style="position:absolute;left:3101;top:3419;width:836;height:281" type="#_x0000_t75" stroked="false">
              <v:imagedata r:id="rId101" o:title=""/>
            </v:shape>
            <v:shape style="position:absolute;left:3658;top:3419;width:6919;height:281" type="#_x0000_t75" stroked="false">
              <v:imagedata r:id="rId102" o:title=""/>
            </v:shape>
            <w10:wrap type="topAndBottom"/>
          </v:group>
        </w:pict>
      </w:r>
      <w:r>
        <w:rPr/>
        <w:drawing>
          <wp:anchor distT="0" distB="0" distL="0" distR="0" allowOverlap="1" layoutInCell="1" locked="0" behindDoc="0" simplePos="0" relativeHeight="52">
            <wp:simplePos x="0" y="0"/>
            <wp:positionH relativeFrom="page">
              <wp:posOffset>900988</wp:posOffset>
            </wp:positionH>
            <wp:positionV relativeFrom="paragraph">
              <wp:posOffset>2451493</wp:posOffset>
            </wp:positionV>
            <wp:extent cx="5816219" cy="178307"/>
            <wp:effectExtent l="0" t="0" r="0" b="0"/>
            <wp:wrapTopAndBottom/>
            <wp:docPr id="163" name="image97.png"/>
            <wp:cNvGraphicFramePr>
              <a:graphicFrameLocks noChangeAspect="1"/>
            </wp:cNvGraphicFramePr>
            <a:graphic>
              <a:graphicData uri="http://schemas.openxmlformats.org/drawingml/2006/picture">
                <pic:pic>
                  <pic:nvPicPr>
                    <pic:cNvPr id="164" name="image97.png"/>
                    <pic:cNvPicPr/>
                  </pic:nvPicPr>
                  <pic:blipFill>
                    <a:blip r:embed="rId103" cstate="print"/>
                    <a:stretch>
                      <a:fillRect/>
                    </a:stretch>
                  </pic:blipFill>
                  <pic:spPr>
                    <a:xfrm>
                      <a:off x="0" y="0"/>
                      <a:ext cx="5816219" cy="178307"/>
                    </a:xfrm>
                    <a:prstGeom prst="rect">
                      <a:avLst/>
                    </a:prstGeom>
                  </pic:spPr>
                </pic:pic>
              </a:graphicData>
            </a:graphic>
          </wp:anchor>
        </w:drawing>
      </w:r>
      <w:r>
        <w:rPr/>
        <w:pict>
          <v:group style="position:absolute;margin-left:70.944pt;margin-top:214.990982pt;width:458.05pt;height:14.05pt;mso-position-horizontal-relative:page;mso-position-vertical-relative:paragraph;z-index:-15701504;mso-wrap-distance-left:0;mso-wrap-distance-right:0" coordorigin="1419,4300" coordsize="9161,281">
            <v:shape style="position:absolute;left:1418;top:4299;width:2520;height:281" type="#_x0000_t75" stroked="false">
              <v:imagedata r:id="rId104" o:title=""/>
            </v:shape>
            <v:shape style="position:absolute;left:3658;top:4299;width:3862;height:281" type="#_x0000_t75" stroked="false">
              <v:imagedata r:id="rId105" o:title=""/>
            </v:shape>
            <v:shape style="position:absolute;left:7232;top:4299;width:3347;height:281" type="#_x0000_t75" stroked="false">
              <v:imagedata r:id="rId106" o:title=""/>
            </v:shape>
            <w10:wrap type="topAndBottom"/>
          </v:group>
        </w:pict>
      </w:r>
      <w:r>
        <w:rPr/>
        <w:pict>
          <v:group style="position:absolute;margin-left:70.944pt;margin-top:236.950974pt;width:336.05pt;height:14.05pt;mso-position-horizontal-relative:page;mso-position-vertical-relative:paragraph;z-index:-15700992;mso-wrap-distance-left:0;mso-wrap-distance-right:0" coordorigin="1419,4739" coordsize="6721,281">
            <v:shape style="position:absolute;left:1418;top:4739;width:4760;height:281" type="#_x0000_t75" stroked="false">
              <v:imagedata r:id="rId107" o:title=""/>
            </v:shape>
            <v:shape style="position:absolute;left:5897;top:4739;width:2242;height:281" type="#_x0000_t75" stroked="false">
              <v:imagedata r:id="rId108" o:title=""/>
            </v:shape>
            <w10:wrap type="topAndBottom"/>
          </v:group>
        </w:pict>
      </w:r>
      <w:r>
        <w:rPr/>
        <w:drawing>
          <wp:anchor distT="0" distB="0" distL="0" distR="0" allowOverlap="1" layoutInCell="1" locked="0" behindDoc="0" simplePos="0" relativeHeight="55">
            <wp:simplePos x="0" y="0"/>
            <wp:positionH relativeFrom="page">
              <wp:posOffset>1256080</wp:posOffset>
            </wp:positionH>
            <wp:positionV relativeFrom="paragraph">
              <wp:posOffset>3289693</wp:posOffset>
            </wp:positionV>
            <wp:extent cx="5460745" cy="178308"/>
            <wp:effectExtent l="0" t="0" r="0" b="0"/>
            <wp:wrapTopAndBottom/>
            <wp:docPr id="165" name="image103.png"/>
            <wp:cNvGraphicFramePr>
              <a:graphicFrameLocks noChangeAspect="1"/>
            </wp:cNvGraphicFramePr>
            <a:graphic>
              <a:graphicData uri="http://schemas.openxmlformats.org/drawingml/2006/picture">
                <pic:pic>
                  <pic:nvPicPr>
                    <pic:cNvPr id="166" name="image103.png"/>
                    <pic:cNvPicPr/>
                  </pic:nvPicPr>
                  <pic:blipFill>
                    <a:blip r:embed="rId109" cstate="print"/>
                    <a:stretch>
                      <a:fillRect/>
                    </a:stretch>
                  </pic:blipFill>
                  <pic:spPr>
                    <a:xfrm>
                      <a:off x="0" y="0"/>
                      <a:ext cx="5460745" cy="178308"/>
                    </a:xfrm>
                    <a:prstGeom prst="rect">
                      <a:avLst/>
                    </a:prstGeom>
                  </pic:spPr>
                </pic:pic>
              </a:graphicData>
            </a:graphic>
          </wp:anchor>
        </w:drawing>
      </w:r>
      <w:r>
        <w:rPr/>
        <w:pict>
          <v:group style="position:absolute;margin-left:70.944pt;margin-top:280.990967pt;width:451.05pt;height:14.05pt;mso-position-horizontal-relative:page;mso-position-vertical-relative:paragraph;z-index:-15699968;mso-wrap-distance-left:0;mso-wrap-distance-right:0" coordorigin="1419,5620" coordsize="9021,281">
            <v:shape style="position:absolute;left:1418;top:5619;width:8890;height:281" type="#_x0000_t75" stroked="false">
              <v:imagedata r:id="rId110" o:title=""/>
            </v:shape>
            <v:shape style="position:absolute;left:10022;top:5619;width:418;height:281" type="#_x0000_t75" stroked="false">
              <v:imagedata r:id="rId111" o:title=""/>
            </v:shape>
            <w10:wrap type="topAndBottom"/>
          </v:group>
        </w:pict>
      </w:r>
      <w:r>
        <w:rPr/>
        <w:drawing>
          <wp:anchor distT="0" distB="0" distL="0" distR="0" allowOverlap="1" layoutInCell="1" locked="0" behindDoc="0" simplePos="0" relativeHeight="57">
            <wp:simplePos x="0" y="0"/>
            <wp:positionH relativeFrom="page">
              <wp:posOffset>900988</wp:posOffset>
            </wp:positionH>
            <wp:positionV relativeFrom="paragraph">
              <wp:posOffset>3847477</wp:posOffset>
            </wp:positionV>
            <wp:extent cx="5816218" cy="178308"/>
            <wp:effectExtent l="0" t="0" r="0" b="0"/>
            <wp:wrapTopAndBottom/>
            <wp:docPr id="167" name="image106.png"/>
            <wp:cNvGraphicFramePr>
              <a:graphicFrameLocks noChangeAspect="1"/>
            </wp:cNvGraphicFramePr>
            <a:graphic>
              <a:graphicData uri="http://schemas.openxmlformats.org/drawingml/2006/picture">
                <pic:pic>
                  <pic:nvPicPr>
                    <pic:cNvPr id="168" name="image106.png"/>
                    <pic:cNvPicPr/>
                  </pic:nvPicPr>
                  <pic:blipFill>
                    <a:blip r:embed="rId112"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58">
            <wp:simplePos x="0" y="0"/>
            <wp:positionH relativeFrom="page">
              <wp:posOffset>900988</wp:posOffset>
            </wp:positionH>
            <wp:positionV relativeFrom="paragraph">
              <wp:posOffset>4127893</wp:posOffset>
            </wp:positionV>
            <wp:extent cx="5816218" cy="178308"/>
            <wp:effectExtent l="0" t="0" r="0" b="0"/>
            <wp:wrapTopAndBottom/>
            <wp:docPr id="169" name="image107.png"/>
            <wp:cNvGraphicFramePr>
              <a:graphicFrameLocks noChangeAspect="1"/>
            </wp:cNvGraphicFramePr>
            <a:graphic>
              <a:graphicData uri="http://schemas.openxmlformats.org/drawingml/2006/picture">
                <pic:pic>
                  <pic:nvPicPr>
                    <pic:cNvPr id="170" name="image107.png"/>
                    <pic:cNvPicPr/>
                  </pic:nvPicPr>
                  <pic:blipFill>
                    <a:blip r:embed="rId113"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59">
            <wp:simplePos x="0" y="0"/>
            <wp:positionH relativeFrom="page">
              <wp:posOffset>900988</wp:posOffset>
            </wp:positionH>
            <wp:positionV relativeFrom="paragraph">
              <wp:posOffset>4407039</wp:posOffset>
            </wp:positionV>
            <wp:extent cx="5816218" cy="178308"/>
            <wp:effectExtent l="0" t="0" r="0" b="0"/>
            <wp:wrapTopAndBottom/>
            <wp:docPr id="171" name="image108.png"/>
            <wp:cNvGraphicFramePr>
              <a:graphicFrameLocks noChangeAspect="1"/>
            </wp:cNvGraphicFramePr>
            <a:graphic>
              <a:graphicData uri="http://schemas.openxmlformats.org/drawingml/2006/picture">
                <pic:pic>
                  <pic:nvPicPr>
                    <pic:cNvPr id="172" name="image108.png"/>
                    <pic:cNvPicPr/>
                  </pic:nvPicPr>
                  <pic:blipFill>
                    <a:blip r:embed="rId114"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60">
            <wp:simplePos x="0" y="0"/>
            <wp:positionH relativeFrom="page">
              <wp:posOffset>900988</wp:posOffset>
            </wp:positionH>
            <wp:positionV relativeFrom="paragraph">
              <wp:posOffset>4685931</wp:posOffset>
            </wp:positionV>
            <wp:extent cx="5816218" cy="178308"/>
            <wp:effectExtent l="0" t="0" r="0" b="0"/>
            <wp:wrapTopAndBottom/>
            <wp:docPr id="173" name="image109.png"/>
            <wp:cNvGraphicFramePr>
              <a:graphicFrameLocks noChangeAspect="1"/>
            </wp:cNvGraphicFramePr>
            <a:graphic>
              <a:graphicData uri="http://schemas.openxmlformats.org/drawingml/2006/picture">
                <pic:pic>
                  <pic:nvPicPr>
                    <pic:cNvPr id="174" name="image109.png"/>
                    <pic:cNvPicPr/>
                  </pic:nvPicPr>
                  <pic:blipFill>
                    <a:blip r:embed="rId115" cstate="print"/>
                    <a:stretch>
                      <a:fillRect/>
                    </a:stretch>
                  </pic:blipFill>
                  <pic:spPr>
                    <a:xfrm>
                      <a:off x="0" y="0"/>
                      <a:ext cx="5816218" cy="178308"/>
                    </a:xfrm>
                    <a:prstGeom prst="rect">
                      <a:avLst/>
                    </a:prstGeom>
                  </pic:spPr>
                </pic:pic>
              </a:graphicData>
            </a:graphic>
          </wp:anchor>
        </w:drawing>
      </w:r>
      <w:r>
        <w:rPr/>
        <w:pict>
          <v:group style="position:absolute;margin-left:70.944pt;margin-top:391.050964pt;width:457.7pt;height:14.05pt;mso-position-horizontal-relative:page;mso-position-vertical-relative:paragraph;z-index:-15697408;mso-wrap-distance-left:0;mso-wrap-distance-right:0" coordorigin="1419,7821" coordsize="9154,281">
            <v:shape style="position:absolute;left:1418;top:7821;width:2558;height:281" type="#_x0000_t75" stroked="false">
              <v:imagedata r:id="rId116" o:title=""/>
            </v:shape>
            <v:shape style="position:absolute;left:3691;top:7821;width:519;height:281" type="#_x0000_t75" stroked="false">
              <v:imagedata r:id="rId117" o:title=""/>
            </v:shape>
            <v:shape style="position:absolute;left:4037;top:7821;width:6535;height:281" type="#_x0000_t75" stroked="false">
              <v:imagedata r:id="rId118" o:title=""/>
            </v:shape>
            <w10:wrap type="topAndBottom"/>
          </v:group>
        </w:pict>
      </w:r>
      <w:r>
        <w:rPr/>
        <w:pict>
          <v:group style="position:absolute;margin-left:70.944pt;margin-top:413.010986pt;width:456.6pt;height:14.05pt;mso-position-horizontal-relative:page;mso-position-vertical-relative:paragraph;z-index:-15696896;mso-wrap-distance-left:0;mso-wrap-distance-right:0" coordorigin="1419,8260" coordsize="9132,281">
            <v:shape style="position:absolute;left:1418;top:8260;width:6961;height:281" type="#_x0000_t75" stroked="false">
              <v:imagedata r:id="rId119" o:title=""/>
            </v:shape>
            <v:shape style="position:absolute;left:8111;top:8260;width:522;height:281" type="#_x0000_t75" stroked="false">
              <v:imagedata r:id="rId120" o:title=""/>
            </v:shape>
            <v:shape style="position:absolute;left:8459;top:8260;width:947;height:281" type="#_x0000_t75" stroked="false">
              <v:imagedata r:id="rId121" o:title=""/>
            </v:shape>
            <v:shape style="position:absolute;left:9090;top:8260;width:418;height:281" type="#_x0000_t75" stroked="false">
              <v:imagedata r:id="rId122" o:title=""/>
            </v:shape>
            <v:shape style="position:absolute;left:9299;top:8260;width:1251;height:281" type="#_x0000_t75" stroked="false">
              <v:imagedata r:id="rId123" o:title=""/>
            </v:shape>
            <w10:wrap type="topAndBottom"/>
          </v:group>
        </w:pict>
      </w:r>
      <w:r>
        <w:rPr/>
        <w:drawing>
          <wp:anchor distT="0" distB="0" distL="0" distR="0" allowOverlap="1" layoutInCell="1" locked="0" behindDoc="0" simplePos="0" relativeHeight="63">
            <wp:simplePos x="0" y="0"/>
            <wp:positionH relativeFrom="page">
              <wp:posOffset>900988</wp:posOffset>
            </wp:positionH>
            <wp:positionV relativeFrom="paragraph">
              <wp:posOffset>5524131</wp:posOffset>
            </wp:positionV>
            <wp:extent cx="5821933" cy="178308"/>
            <wp:effectExtent l="0" t="0" r="0" b="0"/>
            <wp:wrapTopAndBottom/>
            <wp:docPr id="175" name="image118.png"/>
            <wp:cNvGraphicFramePr>
              <a:graphicFrameLocks noChangeAspect="1"/>
            </wp:cNvGraphicFramePr>
            <a:graphic>
              <a:graphicData uri="http://schemas.openxmlformats.org/drawingml/2006/picture">
                <pic:pic>
                  <pic:nvPicPr>
                    <pic:cNvPr id="176" name="image118.png"/>
                    <pic:cNvPicPr/>
                  </pic:nvPicPr>
                  <pic:blipFill>
                    <a:blip r:embed="rId124" cstate="print"/>
                    <a:stretch>
                      <a:fillRect/>
                    </a:stretch>
                  </pic:blipFill>
                  <pic:spPr>
                    <a:xfrm>
                      <a:off x="0" y="0"/>
                      <a:ext cx="5821933" cy="178308"/>
                    </a:xfrm>
                    <a:prstGeom prst="rect">
                      <a:avLst/>
                    </a:prstGeom>
                  </pic:spPr>
                </pic:pic>
              </a:graphicData>
            </a:graphic>
          </wp:anchor>
        </w:drawing>
      </w:r>
      <w:r>
        <w:rPr/>
        <w:drawing>
          <wp:anchor distT="0" distB="0" distL="0" distR="0" allowOverlap="1" layoutInCell="1" locked="0" behindDoc="0" simplePos="0" relativeHeight="64">
            <wp:simplePos x="0" y="0"/>
            <wp:positionH relativeFrom="page">
              <wp:posOffset>900988</wp:posOffset>
            </wp:positionH>
            <wp:positionV relativeFrom="paragraph">
              <wp:posOffset>5804547</wp:posOffset>
            </wp:positionV>
            <wp:extent cx="5816218" cy="178308"/>
            <wp:effectExtent l="0" t="0" r="0" b="0"/>
            <wp:wrapTopAndBottom/>
            <wp:docPr id="177" name="image119.png"/>
            <wp:cNvGraphicFramePr>
              <a:graphicFrameLocks noChangeAspect="1"/>
            </wp:cNvGraphicFramePr>
            <a:graphic>
              <a:graphicData uri="http://schemas.openxmlformats.org/drawingml/2006/picture">
                <pic:pic>
                  <pic:nvPicPr>
                    <pic:cNvPr id="178" name="image119.png"/>
                    <pic:cNvPicPr/>
                  </pic:nvPicPr>
                  <pic:blipFill>
                    <a:blip r:embed="rId125" cstate="print"/>
                    <a:stretch>
                      <a:fillRect/>
                    </a:stretch>
                  </pic:blipFill>
                  <pic:spPr>
                    <a:xfrm>
                      <a:off x="0" y="0"/>
                      <a:ext cx="5816218" cy="178308"/>
                    </a:xfrm>
                    <a:prstGeom prst="rect">
                      <a:avLst/>
                    </a:prstGeom>
                  </pic:spPr>
                </pic:pic>
              </a:graphicData>
            </a:graphic>
          </wp:anchor>
        </w:drawing>
      </w:r>
      <w:r>
        <w:rPr/>
        <w:pict>
          <v:group style="position:absolute;margin-left:70.944pt;margin-top:479.010986pt;width:458.15pt;height:14.05pt;mso-position-horizontal-relative:page;mso-position-vertical-relative:paragraph;z-index:-15695360;mso-wrap-distance-left:0;mso-wrap-distance-right:0" coordorigin="1419,9580" coordsize="9163,281">
            <v:shape style="position:absolute;left:1418;top:9580;width:7752;height:281" type="#_x0000_t75" stroked="false">
              <v:imagedata r:id="rId126" o:title=""/>
            </v:shape>
            <v:shape style="position:absolute;left:8894;top:9580;width:567;height:281" type="#_x0000_t75" stroked="false">
              <v:imagedata r:id="rId127" o:title=""/>
            </v:shape>
            <v:shape style="position:absolute;left:9177;top:9580;width:1404;height:281" type="#_x0000_t75" stroked="false">
              <v:imagedata r:id="rId128" o:title=""/>
            </v:shape>
            <w10:wrap type="topAndBottom"/>
          </v:group>
        </w:pict>
      </w:r>
      <w:r>
        <w:rPr/>
        <w:pict>
          <v:group style="position:absolute;margin-left:70.944pt;margin-top:499.800964pt;width:129.4pt;height:15.25pt;mso-position-horizontal-relative:page;mso-position-vertical-relative:paragraph;z-index:-15694848;mso-wrap-distance-left:0;mso-wrap-distance-right:0" coordorigin="1419,9996" coordsize="2588,305">
            <v:shape style="position:absolute;left:1418;top:10020;width:2242;height:281" type="#_x0000_t75" stroked="false">
              <v:imagedata r:id="rId129" o:title=""/>
            </v:shape>
            <v:shape style="position:absolute;left:3379;top:9996;width:140;height:140" type="#_x0000_t75" stroked="false">
              <v:imagedata r:id="rId130" o:title=""/>
            </v:shape>
            <v:shape style="position:absolute;left:3449;top:10020;width:557;height:281" type="#_x0000_t75" stroked="false">
              <v:imagedata r:id="rId131" o:title=""/>
            </v:shape>
            <w10:wrap type="topAndBottom"/>
          </v:group>
        </w:pict>
      </w:r>
      <w:r>
        <w:rPr/>
        <w:pict>
          <v:group style="position:absolute;margin-left:98.903999pt;margin-top:523.080994pt;width:429.95pt;height:14.05pt;mso-position-horizontal-relative:page;mso-position-vertical-relative:paragraph;z-index:-15694336;mso-wrap-distance-left:0;mso-wrap-distance-right:0" coordorigin="1978,10462" coordsize="8599,281">
            <v:shape style="position:absolute;left:1978;top:10461;width:5840;height:281" type="#_x0000_t75" stroked="false">
              <v:imagedata r:id="rId132" o:title=""/>
            </v:shape>
            <v:shape style="position:absolute;left:7539;top:10461;width:3037;height:281" type="#_x0000_t75" stroked="false">
              <v:imagedata r:id="rId133" o:title=""/>
            </v:shape>
            <w10:wrap type="topAndBottom"/>
          </v:group>
        </w:pict>
      </w:r>
      <w:r>
        <w:rPr/>
        <w:pict>
          <v:group style="position:absolute;margin-left:70.944pt;margin-top:545.040955pt;width:457.95pt;height:14.05pt;mso-position-horizontal-relative:page;mso-position-vertical-relative:paragraph;z-index:-15693824;mso-wrap-distance-left:0;mso-wrap-distance-right:0" coordorigin="1419,10901" coordsize="9159,281">
            <v:shape style="position:absolute;left:1418;top:10900;width:1124;height:281" type="#_x0000_t75" stroked="false">
              <v:imagedata r:id="rId134" o:title=""/>
            </v:shape>
            <v:shape style="position:absolute;left:2261;top:10900;width:8317;height:281" type="#_x0000_t75" stroked="false">
              <v:imagedata r:id="rId135" o:title=""/>
            </v:shape>
            <w10:wrap type="topAndBottom"/>
          </v:group>
        </w:pict>
      </w:r>
      <w:r>
        <w:rPr/>
        <w:drawing>
          <wp:anchor distT="0" distB="0" distL="0" distR="0" allowOverlap="1" layoutInCell="1" locked="0" behindDoc="0" simplePos="0" relativeHeight="69">
            <wp:simplePos x="0" y="0"/>
            <wp:positionH relativeFrom="page">
              <wp:posOffset>900988</wp:posOffset>
            </wp:positionH>
            <wp:positionV relativeFrom="paragraph">
              <wp:posOffset>7200912</wp:posOffset>
            </wp:positionV>
            <wp:extent cx="5821934" cy="178307"/>
            <wp:effectExtent l="0" t="0" r="0" b="0"/>
            <wp:wrapTopAndBottom/>
            <wp:docPr id="179" name="image130.png"/>
            <wp:cNvGraphicFramePr>
              <a:graphicFrameLocks noChangeAspect="1"/>
            </wp:cNvGraphicFramePr>
            <a:graphic>
              <a:graphicData uri="http://schemas.openxmlformats.org/drawingml/2006/picture">
                <pic:pic>
                  <pic:nvPicPr>
                    <pic:cNvPr id="180" name="image130.png"/>
                    <pic:cNvPicPr/>
                  </pic:nvPicPr>
                  <pic:blipFill>
                    <a:blip r:embed="rId136" cstate="print"/>
                    <a:stretch>
                      <a:fillRect/>
                    </a:stretch>
                  </pic:blipFill>
                  <pic:spPr>
                    <a:xfrm>
                      <a:off x="0" y="0"/>
                      <a:ext cx="5821934" cy="178307"/>
                    </a:xfrm>
                    <a:prstGeom prst="rect">
                      <a:avLst/>
                    </a:prstGeom>
                  </pic:spPr>
                </pic:pic>
              </a:graphicData>
            </a:graphic>
          </wp:anchor>
        </w:drawing>
      </w:r>
      <w:r>
        <w:rPr/>
        <w:drawing>
          <wp:anchor distT="0" distB="0" distL="0" distR="0" allowOverlap="1" layoutInCell="1" locked="0" behindDoc="0" simplePos="0" relativeHeight="70">
            <wp:simplePos x="0" y="0"/>
            <wp:positionH relativeFrom="page">
              <wp:posOffset>900988</wp:posOffset>
            </wp:positionH>
            <wp:positionV relativeFrom="paragraph">
              <wp:posOffset>7481328</wp:posOffset>
            </wp:positionV>
            <wp:extent cx="4267581" cy="178307"/>
            <wp:effectExtent l="0" t="0" r="0" b="0"/>
            <wp:wrapTopAndBottom/>
            <wp:docPr id="181" name="image131.png"/>
            <wp:cNvGraphicFramePr>
              <a:graphicFrameLocks noChangeAspect="1"/>
            </wp:cNvGraphicFramePr>
            <a:graphic>
              <a:graphicData uri="http://schemas.openxmlformats.org/drawingml/2006/picture">
                <pic:pic>
                  <pic:nvPicPr>
                    <pic:cNvPr id="182" name="image131.png"/>
                    <pic:cNvPicPr/>
                  </pic:nvPicPr>
                  <pic:blipFill>
                    <a:blip r:embed="rId137" cstate="print"/>
                    <a:stretch>
                      <a:fillRect/>
                    </a:stretch>
                  </pic:blipFill>
                  <pic:spPr>
                    <a:xfrm>
                      <a:off x="0" y="0"/>
                      <a:ext cx="4267581" cy="178307"/>
                    </a:xfrm>
                    <a:prstGeom prst="rect">
                      <a:avLst/>
                    </a:prstGeom>
                  </pic:spPr>
                </pic:pic>
              </a:graphicData>
            </a:graphic>
          </wp:anchor>
        </w:drawing>
      </w:r>
    </w:p>
    <w:p>
      <w:pPr>
        <w:pStyle w:val="BodyText"/>
        <w:spacing w:before="3"/>
        <w:rPr>
          <w:rFonts w:ascii="Times New Roman"/>
          <w:sz w:val="27"/>
        </w:rPr>
      </w:pPr>
    </w:p>
    <w:p>
      <w:pPr>
        <w:pStyle w:val="BodyText"/>
        <w:spacing w:before="5"/>
        <w:rPr>
          <w:rFonts w:ascii="Times New Roman"/>
          <w:sz w:val="22"/>
        </w:rPr>
      </w:pPr>
    </w:p>
    <w:p>
      <w:pPr>
        <w:pStyle w:val="BodyText"/>
        <w:spacing w:before="9"/>
        <w:rPr>
          <w:rFonts w:ascii="Times New Roman"/>
          <w:sz w:val="7"/>
        </w:rPr>
      </w:pPr>
    </w:p>
    <w:p>
      <w:pPr>
        <w:pStyle w:val="BodyText"/>
        <w:rPr>
          <w:rFonts w:ascii="Times New Roman"/>
          <w:sz w:val="8"/>
        </w:rPr>
      </w:pPr>
    </w:p>
    <w:p>
      <w:pPr>
        <w:pStyle w:val="BodyText"/>
        <w:spacing w:before="9"/>
        <w:rPr>
          <w:rFonts w:ascii="Times New Roman"/>
          <w:sz w:val="7"/>
        </w:rPr>
      </w:pPr>
    </w:p>
    <w:p>
      <w:pPr>
        <w:pStyle w:val="BodyText"/>
        <w:spacing w:before="10"/>
        <w:rPr>
          <w:rFonts w:ascii="Times New Roman"/>
          <w:sz w:val="7"/>
        </w:rPr>
      </w:pPr>
    </w:p>
    <w:p>
      <w:pPr>
        <w:pStyle w:val="BodyText"/>
        <w:rPr>
          <w:rFonts w:ascii="Times New Roman"/>
          <w:sz w:val="8"/>
        </w:rPr>
      </w:pPr>
    </w:p>
    <w:p>
      <w:pPr>
        <w:pStyle w:val="BodyText"/>
        <w:spacing w:before="9"/>
        <w:rPr>
          <w:rFonts w:ascii="Times New Roman"/>
          <w:sz w:val="7"/>
        </w:rPr>
      </w:pPr>
    </w:p>
    <w:p>
      <w:pPr>
        <w:pStyle w:val="BodyText"/>
        <w:spacing w:before="9"/>
        <w:rPr>
          <w:rFonts w:ascii="Times New Roman"/>
          <w:sz w:val="7"/>
        </w:rPr>
      </w:pPr>
    </w:p>
    <w:p>
      <w:pPr>
        <w:pStyle w:val="BodyText"/>
        <w:rPr>
          <w:rFonts w:ascii="Times New Roman"/>
          <w:sz w:val="8"/>
        </w:rPr>
      </w:pPr>
    </w:p>
    <w:p>
      <w:pPr>
        <w:pStyle w:val="BodyText"/>
        <w:spacing w:before="9"/>
        <w:rPr>
          <w:rFonts w:ascii="Times New Roman"/>
          <w:sz w:val="7"/>
        </w:rPr>
      </w:pPr>
    </w:p>
    <w:p>
      <w:pPr>
        <w:pStyle w:val="BodyText"/>
        <w:spacing w:before="9"/>
        <w:rPr>
          <w:rFonts w:ascii="Times New Roman"/>
          <w:sz w:val="7"/>
        </w:rPr>
      </w:pPr>
    </w:p>
    <w:p>
      <w:pPr>
        <w:pStyle w:val="BodyText"/>
        <w:rPr>
          <w:rFonts w:ascii="Times New Roman"/>
          <w:sz w:val="8"/>
        </w:rPr>
      </w:pPr>
    </w:p>
    <w:p>
      <w:pPr>
        <w:pStyle w:val="BodyText"/>
        <w:spacing w:before="10"/>
        <w:rPr>
          <w:rFonts w:ascii="Times New Roman"/>
          <w:sz w:val="7"/>
        </w:rPr>
      </w:pPr>
    </w:p>
    <w:p>
      <w:pPr>
        <w:pStyle w:val="BodyText"/>
        <w:spacing w:before="9"/>
        <w:rPr>
          <w:rFonts w:ascii="Times New Roman"/>
          <w:sz w:val="7"/>
        </w:rPr>
      </w:pPr>
    </w:p>
    <w:p>
      <w:pPr>
        <w:pStyle w:val="BodyText"/>
        <w:rPr>
          <w:rFonts w:ascii="Times New Roman"/>
          <w:sz w:val="8"/>
        </w:rPr>
      </w:pPr>
    </w:p>
    <w:p>
      <w:pPr>
        <w:pStyle w:val="BodyText"/>
        <w:spacing w:before="9"/>
        <w:rPr>
          <w:rFonts w:ascii="Times New Roman"/>
          <w:sz w:val="7"/>
        </w:rPr>
      </w:pPr>
    </w:p>
    <w:p>
      <w:pPr>
        <w:pStyle w:val="BodyText"/>
        <w:spacing w:before="9"/>
        <w:rPr>
          <w:rFonts w:ascii="Times New Roman"/>
          <w:sz w:val="7"/>
        </w:rPr>
      </w:pPr>
    </w:p>
    <w:p>
      <w:pPr>
        <w:pStyle w:val="BodyText"/>
        <w:rPr>
          <w:rFonts w:ascii="Times New Roman"/>
          <w:sz w:val="8"/>
        </w:rPr>
      </w:pPr>
    </w:p>
    <w:p>
      <w:pPr>
        <w:pStyle w:val="BodyText"/>
        <w:spacing w:before="9"/>
        <w:rPr>
          <w:rFonts w:ascii="Times New Roman"/>
          <w:sz w:val="7"/>
        </w:rPr>
      </w:pPr>
    </w:p>
    <w:p>
      <w:pPr>
        <w:pStyle w:val="BodyText"/>
        <w:spacing w:before="9"/>
        <w:rPr>
          <w:rFonts w:ascii="Times New Roman"/>
          <w:sz w:val="5"/>
        </w:rPr>
      </w:pPr>
    </w:p>
    <w:p>
      <w:pPr>
        <w:pStyle w:val="BodyText"/>
        <w:rPr>
          <w:rFonts w:ascii="Times New Roman"/>
          <w:sz w:val="8"/>
        </w:rPr>
      </w:pPr>
    </w:p>
    <w:p>
      <w:pPr>
        <w:pStyle w:val="BodyText"/>
        <w:spacing w:before="9"/>
        <w:rPr>
          <w:rFonts w:ascii="Times New Roman"/>
          <w:sz w:val="7"/>
        </w:rPr>
      </w:pPr>
    </w:p>
    <w:p>
      <w:pPr>
        <w:pStyle w:val="BodyText"/>
        <w:spacing w:before="9"/>
        <w:rPr>
          <w:rFonts w:ascii="Times New Roman"/>
          <w:sz w:val="7"/>
        </w:rPr>
      </w:pPr>
    </w:p>
    <w:p>
      <w:pPr>
        <w:pStyle w:val="BodyText"/>
        <w:rPr>
          <w:rFonts w:ascii="Times New Roman"/>
          <w:sz w:val="8"/>
        </w:rPr>
      </w:pPr>
    </w:p>
    <w:p>
      <w:pPr>
        <w:pStyle w:val="BodyText"/>
        <w:rPr>
          <w:rFonts w:ascii="Times New Roman"/>
          <w:sz w:val="20"/>
        </w:rPr>
      </w:pPr>
    </w:p>
    <w:p>
      <w:pPr>
        <w:pStyle w:val="BodyText"/>
        <w:spacing w:before="5"/>
        <w:rPr>
          <w:rFonts w:ascii="Times New Roman"/>
          <w:sz w:val="17"/>
        </w:rPr>
      </w:pPr>
      <w:r>
        <w:rPr/>
        <w:pict>
          <v:rect style="position:absolute;margin-left:94.944pt;margin-top:12.010997pt;width:144.020pt;height:.599980pt;mso-position-horizontal-relative:page;mso-position-vertical-relative:paragraph;z-index:-15692288;mso-wrap-distance-left:0;mso-wrap-distance-right:0" filled="true" fillcolor="#000000" stroked="false">
            <v:fill type="solid"/>
            <w10:wrap type="topAndBottom"/>
          </v:rect>
        </w:pict>
      </w:r>
    </w:p>
    <w:p>
      <w:pPr>
        <w:pStyle w:val="BodyText"/>
        <w:spacing w:before="7"/>
        <w:rPr>
          <w:rFonts w:ascii="Times New Roman"/>
          <w:sz w:val="10"/>
        </w:rPr>
      </w:pPr>
    </w:p>
    <w:p>
      <w:pPr>
        <w:spacing w:before="95"/>
        <w:ind w:left="298" w:right="0" w:firstLine="0"/>
        <w:jc w:val="left"/>
        <w:rPr>
          <w:rFonts w:ascii="Times New Roman"/>
          <w:sz w:val="13"/>
        </w:rPr>
      </w:pPr>
      <w:r>
        <w:rPr/>
        <w:drawing>
          <wp:anchor distT="0" distB="0" distL="0" distR="0" allowOverlap="1" layoutInCell="1" locked="0" behindDoc="0" simplePos="0" relativeHeight="15766528">
            <wp:simplePos x="0" y="0"/>
            <wp:positionH relativeFrom="page">
              <wp:posOffset>1006144</wp:posOffset>
            </wp:positionH>
            <wp:positionV relativeFrom="paragraph">
              <wp:posOffset>73385</wp:posOffset>
            </wp:positionV>
            <wp:extent cx="5639689" cy="152400"/>
            <wp:effectExtent l="0" t="0" r="0" b="0"/>
            <wp:wrapNone/>
            <wp:docPr id="183" name="image132.png"/>
            <wp:cNvGraphicFramePr>
              <a:graphicFrameLocks noChangeAspect="1"/>
            </wp:cNvGraphicFramePr>
            <a:graphic>
              <a:graphicData uri="http://schemas.openxmlformats.org/drawingml/2006/picture">
                <pic:pic>
                  <pic:nvPicPr>
                    <pic:cNvPr id="184" name="image132.png"/>
                    <pic:cNvPicPr/>
                  </pic:nvPicPr>
                  <pic:blipFill>
                    <a:blip r:embed="rId138" cstate="print"/>
                    <a:stretch>
                      <a:fillRect/>
                    </a:stretch>
                  </pic:blipFill>
                  <pic:spPr>
                    <a:xfrm>
                      <a:off x="0" y="0"/>
                      <a:ext cx="5639689" cy="152400"/>
                    </a:xfrm>
                    <a:prstGeom prst="rect">
                      <a:avLst/>
                    </a:prstGeom>
                  </pic:spPr>
                </pic:pic>
              </a:graphicData>
            </a:graphic>
          </wp:anchor>
        </w:drawing>
      </w:r>
      <w:bookmarkStart w:name="_bookmark0" w:id="1"/>
      <w:bookmarkEnd w:id="1"/>
      <w:r>
        <w:rPr/>
      </w:r>
      <w:bookmarkStart w:name="_bookmark1" w:id="2"/>
      <w:bookmarkEnd w:id="2"/>
      <w:r>
        <w:rPr/>
      </w:r>
      <w:r>
        <w:rPr>
          <w:rFonts w:ascii="Times New Roman"/>
          <w:w w:val="99"/>
          <w:sz w:val="13"/>
        </w:rPr>
        <w:t>1</w:t>
      </w:r>
    </w:p>
    <w:p>
      <w:pPr>
        <w:pStyle w:val="BodyText"/>
        <w:spacing w:before="6"/>
        <w:rPr>
          <w:rFonts w:ascii="Times New Roman"/>
          <w:sz w:val="12"/>
        </w:rPr>
      </w:pPr>
      <w:r>
        <w:rPr/>
        <w:pict>
          <v:group style="position:absolute;margin-left:80.903999pt;margin-top:9.166123pt;width:408.1pt;height:12pt;mso-position-horizontal-relative:page;mso-position-vertical-relative:paragraph;z-index:-15691776;mso-wrap-distance-left:0;mso-wrap-distance-right:0" coordorigin="1618,183" coordsize="8162,240">
            <v:shape style="position:absolute;left:1618;top:183;width:1200;height:240" type="#_x0000_t75" stroked="false">
              <v:imagedata r:id="rId139" o:title=""/>
            </v:shape>
            <v:shape style="position:absolute;left:2578;top:183;width:2401;height:240" type="#_x0000_t75" stroked="false">
              <v:imagedata r:id="rId140" o:title=""/>
            </v:shape>
            <v:shape style="position:absolute;left:4738;top:183;width:360;height:240" type="#_x0000_t75" stroked="false">
              <v:imagedata r:id="rId141" o:title=""/>
            </v:shape>
            <v:shape style="position:absolute;left:4978;top:183;width:4801;height:240" type="#_x0000_t75" stroked="false">
              <v:imagedata r:id="rId142" o:title=""/>
            </v:shape>
            <w10:wrap type="topAndBottom"/>
          </v:group>
        </w:pict>
      </w:r>
    </w:p>
    <w:p>
      <w:pPr>
        <w:pStyle w:val="BodyText"/>
        <w:spacing w:before="8"/>
        <w:rPr>
          <w:rFonts w:ascii="Times New Roman"/>
          <w:sz w:val="3"/>
        </w:rPr>
      </w:pPr>
    </w:p>
    <w:p>
      <w:pPr>
        <w:pStyle w:val="BodyText"/>
        <w:ind w:left="498"/>
        <w:rPr>
          <w:rFonts w:ascii="Times New Roman"/>
          <w:sz w:val="20"/>
        </w:rPr>
      </w:pPr>
      <w:r>
        <w:rPr>
          <w:rFonts w:ascii="Times New Roman"/>
          <w:sz w:val="20"/>
        </w:rPr>
        <w:pict>
          <v:group style="width:438.1pt;height:28pt;mso-position-horizontal-relative:char;mso-position-vertical-relative:line" coordorigin="0,0" coordsize="8762,560">
            <v:shape style="position:absolute;left:0;top:0;width:8762;height:240" type="#_x0000_t75" stroked="false">
              <v:imagedata r:id="rId143" o:title=""/>
            </v:shape>
            <v:rect style="position:absolute;left:0;top:235;width:8642;height:12" filled="true" fillcolor="#0000ff" stroked="false">
              <v:fill type="solid"/>
            </v:rect>
            <v:shape style="position:absolute;left:0;top:312;width:2281;height:240" type="#_x0000_t75" stroked="false">
              <v:imagedata r:id="rId144" o:title=""/>
            </v:shape>
            <v:rect style="position:absolute;left:0;top:547;width:2160;height:12" filled="true" fillcolor="#0000ff" stroked="false">
              <v:fill type="solid"/>
            </v:rect>
            <v:shape style="position:absolute;left:2159;top:312;width:480;height:240" type="#_x0000_t75" stroked="false">
              <v:imagedata r:id="rId145" o:title=""/>
            </v:shape>
          </v:group>
        </w:pict>
      </w:r>
      <w:r>
        <w:rPr>
          <w:rFonts w:ascii="Times New Roman"/>
          <w:sz w:val="20"/>
        </w:rPr>
      </w:r>
    </w:p>
    <w:p>
      <w:pPr>
        <w:spacing w:after="0"/>
        <w:rPr>
          <w:rFonts w:ascii="Times New Roman"/>
          <w:sz w:val="20"/>
        </w:rPr>
        <w:sectPr>
          <w:footerReference w:type="default" r:id="rId86"/>
          <w:pgSz w:w="11910" w:h="16840"/>
          <w:pgMar w:footer="1017" w:header="0" w:top="860" w:bottom="1200" w:left="1120" w:right="1060"/>
          <w:pgNumType w:start="1"/>
        </w:sectPr>
      </w:pPr>
    </w:p>
    <w:p>
      <w:pPr>
        <w:spacing w:before="54"/>
        <w:ind w:left="0" w:right="379" w:firstLine="0"/>
        <w:jc w:val="right"/>
        <w:rPr>
          <w:sz w:val="21"/>
        </w:rPr>
      </w:pPr>
      <w:r>
        <w:rPr>
          <w:w w:val="110"/>
          <w:sz w:val="21"/>
        </w:rPr>
        <w:t>復審參加制度之研究</w:t>
      </w:r>
    </w:p>
    <w:p>
      <w:pPr>
        <w:pStyle w:val="BodyText"/>
        <w:rPr>
          <w:sz w:val="20"/>
        </w:rPr>
      </w:pPr>
    </w:p>
    <w:p>
      <w:pPr>
        <w:tabs>
          <w:tab w:pos="1405" w:val="left" w:leader="none"/>
        </w:tabs>
        <w:spacing w:before="211"/>
        <w:ind w:left="0" w:right="221" w:firstLine="0"/>
        <w:jc w:val="center"/>
        <w:rPr>
          <w:sz w:val="28"/>
        </w:rPr>
      </w:pPr>
      <w:bookmarkStart w:name="_bookmark2" w:id="3"/>
      <w:bookmarkEnd w:id="3"/>
      <w:r>
        <w:rPr/>
      </w:r>
      <w:r>
        <w:rPr>
          <w:w w:val="110"/>
          <w:sz w:val="30"/>
        </w:rPr>
        <w:t>第二節</w:t>
        <w:tab/>
      </w:r>
      <w:r>
        <w:rPr>
          <w:w w:val="110"/>
          <w:sz w:val="28"/>
        </w:rPr>
        <w:t>硏究範圍與方法</w:t>
      </w:r>
    </w:p>
    <w:p>
      <w:pPr>
        <w:pStyle w:val="BodyText"/>
        <w:spacing w:before="7"/>
        <w:rPr>
          <w:sz w:val="21"/>
        </w:rPr>
      </w:pPr>
    </w:p>
    <w:p>
      <w:pPr>
        <w:pStyle w:val="BodyText"/>
        <w:spacing w:line="331" w:lineRule="auto"/>
        <w:ind w:left="302" w:right="500" w:firstLine="566"/>
        <w:jc w:val="both"/>
      </w:pPr>
      <w:r>
        <w:rPr>
          <w:w w:val="110"/>
        </w:rPr>
        <w:t>本研究之研究範圍，係以復審參加制度為核心。首先研究復審程序中第三人権利保護之需求，璀立建構復審參加制度之正噹性。其次探討行政程序及行政爭訟程序中第三人權利保護之制度，作為建構復審參加制度之參考依據。再由比較法之觀點出發，探討德國法上有關人事處分救濟之相關問題，以供本研究參考。並從保訓會實務運作之角度，論述消極競爭者爭訟之合法性。最後綜合上述內容，常試具體建構復審參加制度，並提出修法建議，以供委託硏究機關參考。</w:t>
      </w:r>
    </w:p>
    <w:p>
      <w:pPr>
        <w:pStyle w:val="BodyText"/>
        <w:spacing w:line="331" w:lineRule="auto"/>
        <w:ind w:left="880" w:right="5908" w:hanging="12"/>
      </w:pPr>
      <w:r>
        <w:rPr>
          <w:w w:val="105"/>
        </w:rPr>
        <w:t>本研究之研究方法如下：</w:t>
      </w:r>
      <w:r>
        <w:rPr>
          <w:spacing w:val="-129"/>
          <w:w w:val="105"/>
        </w:rPr>
        <w:t> </w:t>
      </w:r>
      <w:r>
        <w:rPr>
          <w:w w:val="105"/>
        </w:rPr>
        <w:t>一、文獻整理分析法：</w:t>
      </w:r>
    </w:p>
    <w:p>
      <w:pPr>
        <w:pStyle w:val="BodyText"/>
        <w:spacing w:line="328" w:lineRule="auto"/>
        <w:ind w:left="306" w:right="516" w:firstLine="562"/>
        <w:jc w:val="both"/>
      </w:pPr>
      <w:r>
        <w:rPr>
          <w:w w:val="110"/>
        </w:rPr>
        <w:t>本研究將研究範圍內現存之資料如教科書、專書、研究報告、期刊論文、行政法院裁判及保訓會之相關復審決定加以蒐集、整理並分析，以供本研究使用。</w:t>
      </w:r>
    </w:p>
    <w:p>
      <w:pPr>
        <w:pStyle w:val="BodyText"/>
        <w:ind w:left="870"/>
      </w:pPr>
      <w:r>
        <w:rPr/>
        <w:t>二、比較法：</w:t>
      </w:r>
    </w:p>
    <w:p>
      <w:pPr>
        <w:spacing w:line="314" w:lineRule="auto" w:before="108"/>
        <w:ind w:left="299" w:right="518" w:firstLine="569"/>
        <w:jc w:val="both"/>
        <w:rPr>
          <w:sz w:val="25"/>
        </w:rPr>
      </w:pPr>
      <w:r>
        <w:rPr>
          <w:sz w:val="25"/>
        </w:rPr>
        <w:t>本研究蒐集、整理並分析外國立法例之相關資料，以供本研究參考。   </w:t>
      </w:r>
      <w:r>
        <w:rPr>
          <w:spacing w:val="44"/>
          <w:sz w:val="25"/>
        </w:rPr>
        <w:t> </w:t>
      </w:r>
      <w:r>
        <w:rPr>
          <w:spacing w:val="30"/>
          <w:w w:val="108"/>
          <w:sz w:val="25"/>
        </w:rPr>
        <w:t>德</w:t>
      </w:r>
      <w:r>
        <w:rPr>
          <w:spacing w:val="53"/>
          <w:w w:val="91"/>
          <w:sz w:val="25"/>
        </w:rPr>
        <w:t>國</w:t>
      </w:r>
      <w:r>
        <w:rPr>
          <w:spacing w:val="16"/>
          <w:w w:val="102"/>
          <w:sz w:val="25"/>
        </w:rPr>
        <w:t>法部</w:t>
      </w:r>
      <w:r>
        <w:rPr>
          <w:w w:val="105"/>
          <w:sz w:val="25"/>
        </w:rPr>
        <w:t>份</w:t>
      </w:r>
      <w:r>
        <w:rPr>
          <w:spacing w:val="-24"/>
          <w:sz w:val="25"/>
        </w:rPr>
        <w:t> </w:t>
      </w:r>
      <w:r>
        <w:rPr>
          <w:w w:val="62"/>
          <w:sz w:val="25"/>
        </w:rPr>
        <w:t>，</w:t>
      </w:r>
      <w:r>
        <w:rPr>
          <w:spacing w:val="-59"/>
          <w:sz w:val="25"/>
        </w:rPr>
        <w:t> </w:t>
      </w:r>
      <w:r>
        <w:rPr>
          <w:w w:val="93"/>
          <w:sz w:val="25"/>
        </w:rPr>
        <w:t>包括：</w:t>
      </w:r>
      <w:r>
        <w:rPr>
          <w:spacing w:val="-39"/>
          <w:sz w:val="25"/>
        </w:rPr>
        <w:t> </w:t>
      </w:r>
      <w:r>
        <w:rPr>
          <w:spacing w:val="28"/>
          <w:w w:val="105"/>
          <w:sz w:val="25"/>
        </w:rPr>
        <w:t>教</w:t>
      </w:r>
      <w:r>
        <w:rPr>
          <w:spacing w:val="25"/>
          <w:w w:val="106"/>
          <w:sz w:val="25"/>
        </w:rPr>
        <w:t>科</w:t>
      </w:r>
      <w:r>
        <w:rPr>
          <w:w w:val="100"/>
          <w:sz w:val="25"/>
        </w:rPr>
        <w:t>書</w:t>
      </w:r>
      <w:r>
        <w:rPr>
          <w:spacing w:val="-1"/>
          <w:sz w:val="25"/>
        </w:rPr>
        <w:t> </w:t>
      </w:r>
      <w:r>
        <w:rPr>
          <w:rFonts w:ascii="Times New Roman" w:eastAsia="Times New Roman"/>
          <w:w w:val="100"/>
          <w:sz w:val="29"/>
        </w:rPr>
        <w:t>(</w:t>
      </w:r>
      <w:r>
        <w:rPr>
          <w:rFonts w:ascii="Times New Roman" w:eastAsia="Times New Roman"/>
          <w:spacing w:val="-15"/>
          <w:sz w:val="29"/>
        </w:rPr>
        <w:t> </w:t>
      </w:r>
      <w:r>
        <w:rPr>
          <w:rFonts w:ascii="Times New Roman" w:eastAsia="Times New Roman"/>
          <w:spacing w:val="-1"/>
          <w:w w:val="76"/>
          <w:sz w:val="29"/>
        </w:rPr>
        <w:t>L</w:t>
      </w:r>
      <w:r>
        <w:rPr>
          <w:rFonts w:ascii="Times New Roman" w:eastAsia="Times New Roman"/>
          <w:w w:val="76"/>
          <w:sz w:val="29"/>
        </w:rPr>
        <w:t>e</w:t>
      </w:r>
      <w:r>
        <w:rPr>
          <w:rFonts w:ascii="Times New Roman" w:eastAsia="Times New Roman"/>
          <w:spacing w:val="-28"/>
          <w:sz w:val="29"/>
        </w:rPr>
        <w:t> </w:t>
      </w:r>
      <w:r>
        <w:rPr>
          <w:rFonts w:ascii="Times New Roman" w:eastAsia="Times New Roman"/>
          <w:w w:val="93"/>
          <w:sz w:val="29"/>
        </w:rPr>
        <w:t>hr</w:t>
      </w:r>
      <w:r>
        <w:rPr>
          <w:rFonts w:ascii="Times New Roman" w:eastAsia="Times New Roman"/>
          <w:spacing w:val="-7"/>
          <w:sz w:val="29"/>
        </w:rPr>
        <w:t> </w:t>
      </w:r>
      <w:r>
        <w:rPr>
          <w:rFonts w:ascii="Times New Roman" w:eastAsia="Times New Roman"/>
          <w:w w:val="93"/>
          <w:sz w:val="29"/>
        </w:rPr>
        <w:t>bucher</w:t>
      </w:r>
      <w:r>
        <w:rPr>
          <w:rFonts w:ascii="Times New Roman" w:eastAsia="Times New Roman"/>
          <w:spacing w:val="1"/>
          <w:sz w:val="29"/>
        </w:rPr>
        <w:t>  </w:t>
      </w:r>
      <w:r>
        <w:rPr>
          <w:rFonts w:ascii="Times New Roman" w:eastAsia="Times New Roman"/>
          <w:spacing w:val="5"/>
          <w:w w:val="107"/>
          <w:sz w:val="29"/>
        </w:rPr>
        <w:t>)</w:t>
      </w:r>
      <w:r>
        <w:rPr>
          <w:spacing w:val="26"/>
          <w:w w:val="92"/>
          <w:sz w:val="25"/>
        </w:rPr>
        <w:t>丶</w:t>
      </w:r>
      <w:r>
        <w:rPr>
          <w:spacing w:val="10"/>
          <w:w w:val="108"/>
          <w:sz w:val="25"/>
        </w:rPr>
        <w:t>註</w:t>
      </w:r>
      <w:r>
        <w:rPr>
          <w:spacing w:val="27"/>
          <w:w w:val="107"/>
          <w:sz w:val="25"/>
        </w:rPr>
        <w:t>釋</w:t>
      </w:r>
      <w:r>
        <w:rPr>
          <w:w w:val="100"/>
          <w:sz w:val="25"/>
        </w:rPr>
        <w:t>書</w:t>
      </w:r>
      <w:r>
        <w:rPr>
          <w:spacing w:val="-1"/>
          <w:sz w:val="25"/>
        </w:rPr>
        <w:t> </w:t>
      </w:r>
      <w:r>
        <w:rPr>
          <w:rFonts w:ascii="Times New Roman" w:eastAsia="Times New Roman"/>
          <w:w w:val="100"/>
          <w:sz w:val="29"/>
        </w:rPr>
        <w:t>(</w:t>
      </w:r>
      <w:r>
        <w:rPr>
          <w:rFonts w:ascii="Times New Roman" w:eastAsia="Times New Roman"/>
          <w:spacing w:val="-13"/>
          <w:sz w:val="29"/>
        </w:rPr>
        <w:t> </w:t>
      </w:r>
      <w:r>
        <w:rPr>
          <w:rFonts w:ascii="Times New Roman" w:eastAsia="Times New Roman"/>
          <w:spacing w:val="5"/>
          <w:w w:val="61"/>
          <w:sz w:val="29"/>
        </w:rPr>
        <w:t>K</w:t>
      </w:r>
      <w:r>
        <w:rPr>
          <w:rFonts w:ascii="Times New Roman" w:eastAsia="Times New Roman"/>
          <w:w w:val="101"/>
          <w:sz w:val="29"/>
        </w:rPr>
        <w:t>om</w:t>
      </w:r>
      <w:r>
        <w:rPr>
          <w:rFonts w:ascii="Times New Roman" w:eastAsia="Times New Roman"/>
          <w:spacing w:val="-176"/>
          <w:w w:val="101"/>
          <w:sz w:val="29"/>
        </w:rPr>
        <w:t>m</w:t>
      </w:r>
      <w:r>
        <w:rPr>
          <w:rFonts w:ascii="Times New Roman" w:eastAsia="Times New Roman"/>
          <w:spacing w:val="-1"/>
          <w:w w:val="99"/>
          <w:sz w:val="29"/>
        </w:rPr>
        <w:t>e</w:t>
      </w:r>
      <w:r>
        <w:rPr>
          <w:rFonts w:ascii="Times New Roman" w:eastAsia="Times New Roman"/>
          <w:spacing w:val="20"/>
          <w:w w:val="99"/>
          <w:sz w:val="29"/>
        </w:rPr>
        <w:t>n</w:t>
      </w:r>
      <w:r>
        <w:rPr>
          <w:rFonts w:ascii="Times New Roman" w:eastAsia="Times New Roman"/>
          <w:w w:val="99"/>
          <w:sz w:val="29"/>
        </w:rPr>
        <w:t>t</w:t>
      </w:r>
      <w:r>
        <w:rPr>
          <w:rFonts w:ascii="Times New Roman" w:eastAsia="Times New Roman"/>
          <w:spacing w:val="-26"/>
          <w:sz w:val="29"/>
        </w:rPr>
        <w:t> </w:t>
      </w:r>
      <w:r>
        <w:rPr>
          <w:rFonts w:ascii="Times New Roman" w:eastAsia="Times New Roman"/>
          <w:spacing w:val="13"/>
          <w:w w:val="108"/>
          <w:sz w:val="29"/>
        </w:rPr>
        <w:t>a</w:t>
      </w:r>
      <w:r>
        <w:rPr>
          <w:rFonts w:ascii="Times New Roman" w:eastAsia="Times New Roman"/>
          <w:spacing w:val="26"/>
          <w:w w:val="108"/>
          <w:sz w:val="29"/>
        </w:rPr>
        <w:t>r</w:t>
      </w:r>
      <w:r>
        <w:rPr>
          <w:rFonts w:ascii="Times New Roman" w:eastAsia="Times New Roman"/>
          <w:w w:val="107"/>
          <w:sz w:val="29"/>
        </w:rPr>
        <w:t>e</w:t>
      </w:r>
      <w:r>
        <w:rPr>
          <w:rFonts w:ascii="Times New Roman" w:eastAsia="Times New Roman"/>
          <w:spacing w:val="-29"/>
          <w:sz w:val="29"/>
        </w:rPr>
        <w:t> </w:t>
      </w:r>
      <w:r>
        <w:rPr>
          <w:rFonts w:ascii="Times New Roman" w:eastAsia="Times New Roman"/>
          <w:w w:val="107"/>
          <w:sz w:val="29"/>
        </w:rPr>
        <w:t>)</w:t>
      </w:r>
      <w:r>
        <w:rPr>
          <w:rFonts w:ascii="Times New Roman" w:eastAsia="Times New Roman"/>
          <w:spacing w:val="-14"/>
          <w:sz w:val="29"/>
        </w:rPr>
        <w:t> </w:t>
      </w:r>
      <w:r>
        <w:rPr>
          <w:spacing w:val="-25"/>
          <w:w w:val="107"/>
          <w:sz w:val="25"/>
        </w:rPr>
        <w:t>、期</w:t>
      </w:r>
      <w:r>
        <w:rPr>
          <w:w w:val="104"/>
          <w:sz w:val="25"/>
        </w:rPr>
        <w:t>刊</w:t>
      </w:r>
      <w:r>
        <w:rPr>
          <w:spacing w:val="-10"/>
          <w:w w:val="95"/>
          <w:sz w:val="25"/>
        </w:rPr>
        <w:t>論文 、聯邦 憲法 法院 </w:t>
      </w:r>
      <w:r>
        <w:rPr>
          <w:rFonts w:ascii="Times New Roman" w:eastAsia="Times New Roman"/>
          <w:spacing w:val="-11"/>
          <w:w w:val="95"/>
          <w:sz w:val="29"/>
        </w:rPr>
        <w:t>( </w:t>
      </w:r>
      <w:r>
        <w:rPr>
          <w:rFonts w:ascii="Times New Roman" w:eastAsia="Times New Roman"/>
          <w:w w:val="95"/>
          <w:sz w:val="29"/>
        </w:rPr>
        <w:t>Bundesver</w:t>
      </w:r>
      <w:r>
        <w:rPr>
          <w:rFonts w:ascii="Times New Roman" w:eastAsia="Times New Roman"/>
          <w:spacing w:val="18"/>
          <w:w w:val="95"/>
          <w:sz w:val="29"/>
        </w:rPr>
        <w:t> </w:t>
      </w:r>
      <w:r>
        <w:rPr>
          <w:rFonts w:ascii="Times New Roman" w:eastAsia="Times New Roman"/>
          <w:w w:val="95"/>
          <w:sz w:val="29"/>
        </w:rPr>
        <w:t>f</w:t>
      </w:r>
      <w:r>
        <w:rPr>
          <w:rFonts w:ascii="Times New Roman" w:eastAsia="Times New Roman"/>
          <w:spacing w:val="-20"/>
          <w:w w:val="95"/>
          <w:sz w:val="29"/>
        </w:rPr>
        <w:t> </w:t>
      </w:r>
      <w:r>
        <w:rPr>
          <w:rFonts w:ascii="Times New Roman" w:eastAsia="Times New Roman"/>
          <w:w w:val="95"/>
          <w:sz w:val="29"/>
        </w:rPr>
        <w:t>as</w:t>
      </w:r>
      <w:r>
        <w:rPr>
          <w:rFonts w:ascii="Times New Roman" w:eastAsia="Times New Roman"/>
          <w:spacing w:val="22"/>
          <w:w w:val="95"/>
          <w:sz w:val="29"/>
        </w:rPr>
        <w:t> </w:t>
      </w:r>
      <w:r>
        <w:rPr>
          <w:rFonts w:ascii="Times New Roman" w:eastAsia="Times New Roman"/>
          <w:w w:val="95"/>
          <w:sz w:val="29"/>
        </w:rPr>
        <w:t>s</w:t>
      </w:r>
      <w:r>
        <w:rPr>
          <w:rFonts w:ascii="Times New Roman" w:eastAsia="Times New Roman"/>
          <w:spacing w:val="-16"/>
          <w:w w:val="95"/>
          <w:sz w:val="29"/>
        </w:rPr>
        <w:t> </w:t>
      </w:r>
      <w:r>
        <w:rPr>
          <w:rFonts w:ascii="Times New Roman" w:eastAsia="Times New Roman"/>
          <w:w w:val="95"/>
          <w:sz w:val="29"/>
        </w:rPr>
        <w:t>ungs</w:t>
      </w:r>
      <w:r>
        <w:rPr>
          <w:rFonts w:ascii="Times New Roman" w:eastAsia="Times New Roman"/>
          <w:spacing w:val="-13"/>
          <w:w w:val="95"/>
          <w:sz w:val="29"/>
        </w:rPr>
        <w:t> </w:t>
      </w:r>
      <w:r>
        <w:rPr>
          <w:rFonts w:ascii="Times New Roman" w:eastAsia="Times New Roman"/>
          <w:w w:val="95"/>
          <w:sz w:val="29"/>
        </w:rPr>
        <w:t>ger</w:t>
      </w:r>
      <w:r>
        <w:rPr>
          <w:rFonts w:ascii="Times New Roman" w:eastAsia="Times New Roman"/>
          <w:spacing w:val="6"/>
          <w:w w:val="95"/>
          <w:sz w:val="29"/>
        </w:rPr>
        <w:t> </w:t>
      </w:r>
      <w:r>
        <w:rPr>
          <w:rFonts w:ascii="Times New Roman" w:eastAsia="Times New Roman"/>
          <w:w w:val="95"/>
          <w:sz w:val="29"/>
        </w:rPr>
        <w:t>i</w:t>
      </w:r>
      <w:r>
        <w:rPr>
          <w:rFonts w:ascii="Times New Roman" w:eastAsia="Times New Roman"/>
          <w:spacing w:val="-37"/>
          <w:w w:val="95"/>
          <w:sz w:val="29"/>
        </w:rPr>
        <w:t> </w:t>
      </w:r>
      <w:r>
        <w:rPr>
          <w:rFonts w:ascii="Times New Roman" w:eastAsia="Times New Roman"/>
          <w:w w:val="95"/>
          <w:sz w:val="29"/>
        </w:rPr>
        <w:t>cht</w:t>
      </w:r>
      <w:r>
        <w:rPr>
          <w:rFonts w:ascii="Times New Roman" w:eastAsia="Times New Roman"/>
          <w:spacing w:val="22"/>
          <w:w w:val="95"/>
          <w:sz w:val="29"/>
        </w:rPr>
        <w:t> ; </w:t>
      </w:r>
      <w:r>
        <w:rPr>
          <w:rFonts w:ascii="Times New Roman" w:eastAsia="Times New Roman"/>
          <w:w w:val="95"/>
          <w:sz w:val="29"/>
        </w:rPr>
        <w:t>BVer</w:t>
      </w:r>
      <w:r>
        <w:rPr>
          <w:rFonts w:ascii="Times New Roman" w:eastAsia="Times New Roman"/>
          <w:spacing w:val="-16"/>
          <w:w w:val="95"/>
          <w:sz w:val="29"/>
        </w:rPr>
        <w:t> </w:t>
      </w:r>
      <w:r>
        <w:rPr>
          <w:rFonts w:ascii="Times New Roman" w:eastAsia="Times New Roman"/>
          <w:w w:val="95"/>
          <w:sz w:val="29"/>
        </w:rPr>
        <w:t>f</w:t>
      </w:r>
      <w:r>
        <w:rPr>
          <w:rFonts w:ascii="Times New Roman" w:eastAsia="Times New Roman"/>
          <w:spacing w:val="-25"/>
          <w:w w:val="95"/>
          <w:sz w:val="29"/>
        </w:rPr>
        <w:t> </w:t>
      </w:r>
      <w:r>
        <w:rPr>
          <w:rFonts w:ascii="Times New Roman" w:eastAsia="Times New Roman"/>
          <w:w w:val="95"/>
          <w:sz w:val="29"/>
        </w:rPr>
        <w:t>G</w:t>
      </w:r>
      <w:r>
        <w:rPr>
          <w:rFonts w:ascii="Times New Roman" w:eastAsia="Times New Roman"/>
          <w:spacing w:val="12"/>
          <w:w w:val="95"/>
          <w:sz w:val="29"/>
        </w:rPr>
        <w:t>) </w:t>
      </w:r>
      <w:r>
        <w:rPr>
          <w:spacing w:val="-4"/>
          <w:w w:val="95"/>
          <w:sz w:val="25"/>
        </w:rPr>
        <w:t>及聯邦行 政</w:t>
      </w:r>
      <w:r>
        <w:rPr>
          <w:spacing w:val="16"/>
          <w:w w:val="95"/>
          <w:sz w:val="25"/>
        </w:rPr>
        <w:t>法院 </w:t>
      </w:r>
      <w:r>
        <w:rPr>
          <w:rFonts w:ascii="Times New Roman" w:eastAsia="Times New Roman"/>
          <w:spacing w:val="-7"/>
          <w:w w:val="95"/>
          <w:sz w:val="29"/>
        </w:rPr>
        <w:t>( </w:t>
      </w:r>
      <w:r>
        <w:rPr>
          <w:rFonts w:ascii="Times New Roman" w:eastAsia="Times New Roman"/>
          <w:w w:val="95"/>
          <w:sz w:val="29"/>
        </w:rPr>
        <w:t>Bundesverwa1tungsger</w:t>
      </w:r>
      <w:r>
        <w:rPr>
          <w:rFonts w:ascii="Times New Roman" w:eastAsia="Times New Roman"/>
          <w:spacing w:val="-9"/>
          <w:w w:val="95"/>
          <w:sz w:val="29"/>
        </w:rPr>
        <w:t> </w:t>
      </w:r>
      <w:r>
        <w:rPr>
          <w:rFonts w:ascii="Times New Roman" w:eastAsia="Times New Roman"/>
          <w:spacing w:val="10"/>
          <w:w w:val="95"/>
          <w:sz w:val="29"/>
        </w:rPr>
        <w:t>icht</w:t>
      </w:r>
      <w:r>
        <w:rPr>
          <w:rFonts w:ascii="Times New Roman" w:eastAsia="Times New Roman"/>
          <w:spacing w:val="18"/>
          <w:w w:val="95"/>
          <w:sz w:val="29"/>
        </w:rPr>
        <w:t> ; </w:t>
      </w:r>
      <w:r>
        <w:rPr>
          <w:rFonts w:ascii="Times New Roman" w:eastAsia="Times New Roman"/>
          <w:w w:val="95"/>
          <w:sz w:val="29"/>
        </w:rPr>
        <w:t>BVerwG</w:t>
      </w:r>
      <w:r>
        <w:rPr>
          <w:rFonts w:ascii="Times New Roman" w:eastAsia="Times New Roman"/>
          <w:spacing w:val="21"/>
          <w:w w:val="95"/>
          <w:sz w:val="29"/>
        </w:rPr>
        <w:t>) </w:t>
      </w:r>
      <w:r>
        <w:rPr>
          <w:spacing w:val="-2"/>
          <w:w w:val="95"/>
          <w:sz w:val="25"/>
        </w:rPr>
        <w:t>之裁判等 。日文部 份 ， 包括</w:t>
      </w:r>
      <w:r>
        <w:rPr>
          <w:sz w:val="25"/>
        </w:rPr>
        <w:t>教科書、期刊論文、及各級法院之裁判。</w:t>
      </w:r>
    </w:p>
    <w:p>
      <w:pPr>
        <w:spacing w:after="0" w:line="314" w:lineRule="auto"/>
        <w:jc w:val="both"/>
        <w:rPr>
          <w:sz w:val="25"/>
        </w:rPr>
        <w:sectPr>
          <w:pgSz w:w="11910" w:h="16840"/>
          <w:pgMar w:header="0" w:footer="1017" w:top="760" w:bottom="1200" w:left="1120" w:right="1060"/>
        </w:sectPr>
      </w:pPr>
    </w:p>
    <w:p>
      <w:pPr>
        <w:pStyle w:val="BodyText"/>
        <w:spacing w:line="240" w:lineRule="exact"/>
        <w:ind w:left="7209"/>
        <w:rPr>
          <w:sz w:val="20"/>
        </w:rPr>
      </w:pPr>
      <w:r>
        <w:rPr>
          <w:position w:val="-4"/>
          <w:sz w:val="20"/>
        </w:rPr>
        <w:drawing>
          <wp:inline distT="0" distB="0" distL="0" distR="0">
            <wp:extent cx="1524380" cy="152400"/>
            <wp:effectExtent l="0" t="0" r="0" b="0"/>
            <wp:docPr id="185" name="image140.png"/>
            <wp:cNvGraphicFramePr>
              <a:graphicFrameLocks noChangeAspect="1"/>
            </wp:cNvGraphicFramePr>
            <a:graphic>
              <a:graphicData uri="http://schemas.openxmlformats.org/drawingml/2006/picture">
                <pic:pic>
                  <pic:nvPicPr>
                    <pic:cNvPr id="186" name="image140.png"/>
                    <pic:cNvPicPr/>
                  </pic:nvPicPr>
                  <pic:blipFill>
                    <a:blip r:embed="rId146" cstate="print"/>
                    <a:stretch>
                      <a:fillRect/>
                    </a:stretch>
                  </pic:blipFill>
                  <pic:spPr>
                    <a:xfrm>
                      <a:off x="0" y="0"/>
                      <a:ext cx="1524380" cy="152400"/>
                    </a:xfrm>
                    <a:prstGeom prst="rect">
                      <a:avLst/>
                    </a:prstGeom>
                  </pic:spPr>
                </pic:pic>
              </a:graphicData>
            </a:graphic>
          </wp:inline>
        </w:drawing>
      </w:r>
      <w:r>
        <w:rPr>
          <w:position w:val="-4"/>
          <w:sz w:val="20"/>
        </w:rPr>
      </w:r>
    </w:p>
    <w:p>
      <w:pPr>
        <w:pStyle w:val="BodyText"/>
        <w:rPr>
          <w:sz w:val="20"/>
        </w:rPr>
      </w:pPr>
    </w:p>
    <w:p>
      <w:pPr>
        <w:pStyle w:val="BodyText"/>
        <w:spacing w:before="1"/>
        <w:rPr>
          <w:sz w:val="16"/>
        </w:rPr>
      </w:pPr>
      <w:r>
        <w:rPr/>
        <w:drawing>
          <wp:anchor distT="0" distB="0" distL="0" distR="0" allowOverlap="1" layoutInCell="1" locked="0" behindDoc="0" simplePos="0" relativeHeight="75">
            <wp:simplePos x="0" y="0"/>
            <wp:positionH relativeFrom="page">
              <wp:posOffset>1513586</wp:posOffset>
            </wp:positionH>
            <wp:positionV relativeFrom="paragraph">
              <wp:posOffset>156051</wp:posOffset>
            </wp:positionV>
            <wp:extent cx="914400" cy="228600"/>
            <wp:effectExtent l="0" t="0" r="0" b="0"/>
            <wp:wrapTopAndBottom/>
            <wp:docPr id="187" name="image141.png"/>
            <wp:cNvGraphicFramePr>
              <a:graphicFrameLocks noChangeAspect="1"/>
            </wp:cNvGraphicFramePr>
            <a:graphic>
              <a:graphicData uri="http://schemas.openxmlformats.org/drawingml/2006/picture">
                <pic:pic>
                  <pic:nvPicPr>
                    <pic:cNvPr id="188" name="image141.png"/>
                    <pic:cNvPicPr/>
                  </pic:nvPicPr>
                  <pic:blipFill>
                    <a:blip r:embed="rId147" cstate="print"/>
                    <a:stretch>
                      <a:fillRect/>
                    </a:stretch>
                  </pic:blipFill>
                  <pic:spPr>
                    <a:xfrm>
                      <a:off x="0" y="0"/>
                      <a:ext cx="914400" cy="228600"/>
                    </a:xfrm>
                    <a:prstGeom prst="rect">
                      <a:avLst/>
                    </a:prstGeom>
                  </pic:spPr>
                </pic:pic>
              </a:graphicData>
            </a:graphic>
          </wp:anchor>
        </w:drawing>
      </w:r>
      <w:r>
        <w:rPr/>
        <w:drawing>
          <wp:anchor distT="0" distB="0" distL="0" distR="0" allowOverlap="1" layoutInCell="1" locked="0" behindDoc="0" simplePos="0" relativeHeight="76">
            <wp:simplePos x="0" y="0"/>
            <wp:positionH relativeFrom="page">
              <wp:posOffset>2495423</wp:posOffset>
            </wp:positionH>
            <wp:positionV relativeFrom="paragraph">
              <wp:posOffset>156051</wp:posOffset>
            </wp:positionV>
            <wp:extent cx="3661537" cy="228600"/>
            <wp:effectExtent l="0" t="0" r="0" b="0"/>
            <wp:wrapTopAndBottom/>
            <wp:docPr id="189" name="image142.png"/>
            <wp:cNvGraphicFramePr>
              <a:graphicFrameLocks noChangeAspect="1"/>
            </wp:cNvGraphicFramePr>
            <a:graphic>
              <a:graphicData uri="http://schemas.openxmlformats.org/drawingml/2006/picture">
                <pic:pic>
                  <pic:nvPicPr>
                    <pic:cNvPr id="190" name="image142.png"/>
                    <pic:cNvPicPr/>
                  </pic:nvPicPr>
                  <pic:blipFill>
                    <a:blip r:embed="rId148" cstate="print"/>
                    <a:stretch>
                      <a:fillRect/>
                    </a:stretch>
                  </pic:blipFill>
                  <pic:spPr>
                    <a:xfrm>
                      <a:off x="0" y="0"/>
                      <a:ext cx="3661537" cy="228600"/>
                    </a:xfrm>
                    <a:prstGeom prst="rect">
                      <a:avLst/>
                    </a:prstGeom>
                  </pic:spPr>
                </pic:pic>
              </a:graphicData>
            </a:graphic>
          </wp:anchor>
        </w:drawing>
      </w:r>
      <w:r>
        <w:rPr/>
        <w:pict>
          <v:group style="position:absolute;margin-left:98.903999pt;margin-top:45.647499pt;width:430.15pt;height:14.05pt;mso-position-horizontal-relative:page;mso-position-vertical-relative:paragraph;z-index:-15689216;mso-wrap-distance-left:0;mso-wrap-distance-right:0" coordorigin="1978,913" coordsize="8603,281">
            <v:shape style="position:absolute;left:1978;top:912;width:2604;height:281" type="#_x0000_t75" stroked="false">
              <v:imagedata r:id="rId92" o:title=""/>
            </v:shape>
            <v:shape style="position:absolute;left:4292;top:912;width:519;height:281" type="#_x0000_t75" stroked="false">
              <v:imagedata r:id="rId149" o:title=""/>
            </v:shape>
            <v:shape style="position:absolute;left:4637;top:912;width:951;height:281" type="#_x0000_t75" stroked="false">
              <v:imagedata r:id="rId94" o:title=""/>
            </v:shape>
            <v:shape style="position:absolute;left:5271;top:912;width:418;height:281" type="#_x0000_t75" stroked="false">
              <v:imagedata r:id="rId122" o:title=""/>
            </v:shape>
            <v:shape style="position:absolute;left:5480;top:912;width:1417;height:281" type="#_x0000_t75" stroked="false">
              <v:imagedata r:id="rId150" o:title=""/>
            </v:shape>
            <v:shape style="position:absolute;left:6661;top:912;width:3919;height:281" type="#_x0000_t75" stroked="false">
              <v:imagedata r:id="rId151" o:title=""/>
            </v:shape>
            <w10:wrap type="topAndBottom"/>
          </v:group>
        </w:pict>
      </w:r>
      <w:r>
        <w:rPr/>
        <w:drawing>
          <wp:anchor distT="0" distB="0" distL="0" distR="0" allowOverlap="1" layoutInCell="1" locked="0" behindDoc="0" simplePos="0" relativeHeight="78">
            <wp:simplePos x="0" y="0"/>
            <wp:positionH relativeFrom="page">
              <wp:posOffset>900988</wp:posOffset>
            </wp:positionH>
            <wp:positionV relativeFrom="paragraph">
              <wp:posOffset>858615</wp:posOffset>
            </wp:positionV>
            <wp:extent cx="5689473" cy="178307"/>
            <wp:effectExtent l="0" t="0" r="0" b="0"/>
            <wp:wrapTopAndBottom/>
            <wp:docPr id="191" name="image146.png"/>
            <wp:cNvGraphicFramePr>
              <a:graphicFrameLocks noChangeAspect="1"/>
            </wp:cNvGraphicFramePr>
            <a:graphic>
              <a:graphicData uri="http://schemas.openxmlformats.org/drawingml/2006/picture">
                <pic:pic>
                  <pic:nvPicPr>
                    <pic:cNvPr id="192" name="image146.png"/>
                    <pic:cNvPicPr/>
                  </pic:nvPicPr>
                  <pic:blipFill>
                    <a:blip r:embed="rId152" cstate="print"/>
                    <a:stretch>
                      <a:fillRect/>
                    </a:stretch>
                  </pic:blipFill>
                  <pic:spPr>
                    <a:xfrm>
                      <a:off x="0" y="0"/>
                      <a:ext cx="5689473" cy="178307"/>
                    </a:xfrm>
                    <a:prstGeom prst="rect">
                      <a:avLst/>
                    </a:prstGeom>
                  </pic:spPr>
                </pic:pic>
              </a:graphicData>
            </a:graphic>
          </wp:anchor>
        </w:drawing>
      </w:r>
      <w:r>
        <w:rPr/>
        <w:drawing>
          <wp:anchor distT="0" distB="0" distL="0" distR="0" allowOverlap="1" layoutInCell="1" locked="0" behindDoc="0" simplePos="0" relativeHeight="79">
            <wp:simplePos x="0" y="0"/>
            <wp:positionH relativeFrom="page">
              <wp:posOffset>900988</wp:posOffset>
            </wp:positionH>
            <wp:positionV relativeFrom="paragraph">
              <wp:posOffset>1139031</wp:posOffset>
            </wp:positionV>
            <wp:extent cx="5816219" cy="178307"/>
            <wp:effectExtent l="0" t="0" r="0" b="0"/>
            <wp:wrapTopAndBottom/>
            <wp:docPr id="193" name="image147.png"/>
            <wp:cNvGraphicFramePr>
              <a:graphicFrameLocks noChangeAspect="1"/>
            </wp:cNvGraphicFramePr>
            <a:graphic>
              <a:graphicData uri="http://schemas.openxmlformats.org/drawingml/2006/picture">
                <pic:pic>
                  <pic:nvPicPr>
                    <pic:cNvPr id="194" name="image147.png"/>
                    <pic:cNvPicPr/>
                  </pic:nvPicPr>
                  <pic:blipFill>
                    <a:blip r:embed="rId153" cstate="print"/>
                    <a:stretch>
                      <a:fillRect/>
                    </a:stretch>
                  </pic:blipFill>
                  <pic:spPr>
                    <a:xfrm>
                      <a:off x="0" y="0"/>
                      <a:ext cx="5816219" cy="178307"/>
                    </a:xfrm>
                    <a:prstGeom prst="rect">
                      <a:avLst/>
                    </a:prstGeom>
                  </pic:spPr>
                </pic:pic>
              </a:graphicData>
            </a:graphic>
          </wp:anchor>
        </w:drawing>
      </w:r>
      <w:r>
        <w:rPr/>
        <w:pict>
          <v:group style="position:absolute;margin-left:70.944pt;margin-top:111.647499pt;width:454.4pt;height:14.05pt;mso-position-horizontal-relative:page;mso-position-vertical-relative:paragraph;z-index:-15687680;mso-wrap-distance-left:0;mso-wrap-distance-right:0" coordorigin="1419,2233" coordsize="9088,281">
            <v:shape style="position:absolute;left:1418;top:2232;width:5248;height:281" type="#_x0000_t75" stroked="false">
              <v:imagedata r:id="rId154" o:title=""/>
            </v:shape>
            <v:shape style="position:absolute;left:6390;top:2232;width:526;height:281" type="#_x0000_t75" stroked="false">
              <v:imagedata r:id="rId155" o:title=""/>
            </v:shape>
            <v:shape style="position:absolute;left:6740;top:2232;width:947;height:281" type="#_x0000_t75" stroked="false">
              <v:imagedata r:id="rId121" o:title=""/>
            </v:shape>
            <v:shape style="position:absolute;left:7371;top:2232;width:418;height:281" type="#_x0000_t75" stroked="false">
              <v:imagedata r:id="rId122" o:title=""/>
            </v:shape>
            <v:shape style="position:absolute;left:7580;top:2232;width:2926;height:281" type="#_x0000_t75" stroked="false">
              <v:imagedata r:id="rId156" o:title=""/>
            </v:shape>
            <w10:wrap type="topAndBottom"/>
          </v:group>
        </w:pict>
      </w:r>
      <w:r>
        <w:rPr/>
        <w:drawing>
          <wp:anchor distT="0" distB="0" distL="0" distR="0" allowOverlap="1" layoutInCell="1" locked="0" behindDoc="0" simplePos="0" relativeHeight="81">
            <wp:simplePos x="0" y="0"/>
            <wp:positionH relativeFrom="page">
              <wp:posOffset>900988</wp:posOffset>
            </wp:positionH>
            <wp:positionV relativeFrom="paragraph">
              <wp:posOffset>1696815</wp:posOffset>
            </wp:positionV>
            <wp:extent cx="5816219" cy="178307"/>
            <wp:effectExtent l="0" t="0" r="0" b="0"/>
            <wp:wrapTopAndBottom/>
            <wp:docPr id="195" name="image151.png"/>
            <wp:cNvGraphicFramePr>
              <a:graphicFrameLocks noChangeAspect="1"/>
            </wp:cNvGraphicFramePr>
            <a:graphic>
              <a:graphicData uri="http://schemas.openxmlformats.org/drawingml/2006/picture">
                <pic:pic>
                  <pic:nvPicPr>
                    <pic:cNvPr id="196" name="image151.png"/>
                    <pic:cNvPicPr/>
                  </pic:nvPicPr>
                  <pic:blipFill>
                    <a:blip r:embed="rId157"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82">
            <wp:simplePos x="0" y="0"/>
            <wp:positionH relativeFrom="page">
              <wp:posOffset>900988</wp:posOffset>
            </wp:positionH>
            <wp:positionV relativeFrom="paragraph">
              <wp:posOffset>1977231</wp:posOffset>
            </wp:positionV>
            <wp:extent cx="5776722" cy="178307"/>
            <wp:effectExtent l="0" t="0" r="0" b="0"/>
            <wp:wrapTopAndBottom/>
            <wp:docPr id="197" name="image152.png"/>
            <wp:cNvGraphicFramePr>
              <a:graphicFrameLocks noChangeAspect="1"/>
            </wp:cNvGraphicFramePr>
            <a:graphic>
              <a:graphicData uri="http://schemas.openxmlformats.org/drawingml/2006/picture">
                <pic:pic>
                  <pic:nvPicPr>
                    <pic:cNvPr id="198" name="image152.png"/>
                    <pic:cNvPicPr/>
                  </pic:nvPicPr>
                  <pic:blipFill>
                    <a:blip r:embed="rId158" cstate="print"/>
                    <a:stretch>
                      <a:fillRect/>
                    </a:stretch>
                  </pic:blipFill>
                  <pic:spPr>
                    <a:xfrm>
                      <a:off x="0" y="0"/>
                      <a:ext cx="5776722" cy="178307"/>
                    </a:xfrm>
                    <a:prstGeom prst="rect">
                      <a:avLst/>
                    </a:prstGeom>
                  </pic:spPr>
                </pic:pic>
              </a:graphicData>
            </a:graphic>
          </wp:anchor>
        </w:drawing>
      </w:r>
      <w:r>
        <w:rPr/>
        <w:drawing>
          <wp:anchor distT="0" distB="0" distL="0" distR="0" allowOverlap="1" layoutInCell="1" locked="0" behindDoc="0" simplePos="0" relativeHeight="83">
            <wp:simplePos x="0" y="0"/>
            <wp:positionH relativeFrom="page">
              <wp:posOffset>900988</wp:posOffset>
            </wp:positionH>
            <wp:positionV relativeFrom="paragraph">
              <wp:posOffset>2256504</wp:posOffset>
            </wp:positionV>
            <wp:extent cx="5816219" cy="178307"/>
            <wp:effectExtent l="0" t="0" r="0" b="0"/>
            <wp:wrapTopAndBottom/>
            <wp:docPr id="199" name="image153.png"/>
            <wp:cNvGraphicFramePr>
              <a:graphicFrameLocks noChangeAspect="1"/>
            </wp:cNvGraphicFramePr>
            <a:graphic>
              <a:graphicData uri="http://schemas.openxmlformats.org/drawingml/2006/picture">
                <pic:pic>
                  <pic:nvPicPr>
                    <pic:cNvPr id="200" name="image153.png"/>
                    <pic:cNvPicPr/>
                  </pic:nvPicPr>
                  <pic:blipFill>
                    <a:blip r:embed="rId159"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84">
            <wp:simplePos x="0" y="0"/>
            <wp:positionH relativeFrom="page">
              <wp:posOffset>900988</wp:posOffset>
            </wp:positionH>
            <wp:positionV relativeFrom="paragraph">
              <wp:posOffset>2535396</wp:posOffset>
            </wp:positionV>
            <wp:extent cx="5816219" cy="178307"/>
            <wp:effectExtent l="0" t="0" r="0" b="0"/>
            <wp:wrapTopAndBottom/>
            <wp:docPr id="201" name="image154.png"/>
            <wp:cNvGraphicFramePr>
              <a:graphicFrameLocks noChangeAspect="1"/>
            </wp:cNvGraphicFramePr>
            <a:graphic>
              <a:graphicData uri="http://schemas.openxmlformats.org/drawingml/2006/picture">
                <pic:pic>
                  <pic:nvPicPr>
                    <pic:cNvPr id="202" name="image154.png"/>
                    <pic:cNvPicPr/>
                  </pic:nvPicPr>
                  <pic:blipFill>
                    <a:blip r:embed="rId160" cstate="print"/>
                    <a:stretch>
                      <a:fillRect/>
                    </a:stretch>
                  </pic:blipFill>
                  <pic:spPr>
                    <a:xfrm>
                      <a:off x="0" y="0"/>
                      <a:ext cx="5816219" cy="178307"/>
                    </a:xfrm>
                    <a:prstGeom prst="rect">
                      <a:avLst/>
                    </a:prstGeom>
                  </pic:spPr>
                </pic:pic>
              </a:graphicData>
            </a:graphic>
          </wp:anchor>
        </w:drawing>
      </w:r>
      <w:r>
        <w:rPr/>
        <w:pict>
          <v:group style="position:absolute;margin-left:70.944pt;margin-top:220.517502pt;width:454.65pt;height:15.25pt;mso-position-horizontal-relative:page;mso-position-vertical-relative:paragraph;z-index:-15685120;mso-wrap-distance-left:0;mso-wrap-distance-right:0" coordorigin="1419,4410" coordsize="9093,305">
            <v:shape style="position:absolute;left:1418;top:4434;width:5539;height:281" type="#_x0000_t75" stroked="false">
              <v:imagedata r:id="rId161" o:title=""/>
            </v:shape>
            <v:shape style="position:absolute;left:6680;top:4434;width:3618;height:281" type="#_x0000_t75" stroked="false">
              <v:imagedata r:id="rId162" o:title=""/>
            </v:shape>
            <v:shape style="position:absolute;left:10019;top:4410;width:140;height:140" type="#_x0000_t75" stroked="false">
              <v:imagedata r:id="rId163" o:title=""/>
            </v:shape>
            <v:shape style="position:absolute;left:10089;top:4434;width:423;height:281" type="#_x0000_t75" stroked="false">
              <v:imagedata r:id="rId164" o:title=""/>
            </v:shape>
            <w10:wrap type="topAndBottom"/>
          </v:group>
        </w:pict>
      </w:r>
      <w:r>
        <w:rPr/>
        <w:drawing>
          <wp:anchor distT="0" distB="0" distL="0" distR="0" allowOverlap="1" layoutInCell="1" locked="0" behindDoc="0" simplePos="0" relativeHeight="86">
            <wp:simplePos x="0" y="0"/>
            <wp:positionH relativeFrom="page">
              <wp:posOffset>900988</wp:posOffset>
            </wp:positionH>
            <wp:positionV relativeFrom="paragraph">
              <wp:posOffset>3094704</wp:posOffset>
            </wp:positionV>
            <wp:extent cx="5816219" cy="178307"/>
            <wp:effectExtent l="0" t="0" r="0" b="0"/>
            <wp:wrapTopAndBottom/>
            <wp:docPr id="203" name="image159.png"/>
            <wp:cNvGraphicFramePr>
              <a:graphicFrameLocks noChangeAspect="1"/>
            </wp:cNvGraphicFramePr>
            <a:graphic>
              <a:graphicData uri="http://schemas.openxmlformats.org/drawingml/2006/picture">
                <pic:pic>
                  <pic:nvPicPr>
                    <pic:cNvPr id="204" name="image159.png"/>
                    <pic:cNvPicPr/>
                  </pic:nvPicPr>
                  <pic:blipFill>
                    <a:blip r:embed="rId165"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87">
            <wp:simplePos x="0" y="0"/>
            <wp:positionH relativeFrom="page">
              <wp:posOffset>900988</wp:posOffset>
            </wp:positionH>
            <wp:positionV relativeFrom="paragraph">
              <wp:posOffset>3373596</wp:posOffset>
            </wp:positionV>
            <wp:extent cx="5816218" cy="178308"/>
            <wp:effectExtent l="0" t="0" r="0" b="0"/>
            <wp:wrapTopAndBottom/>
            <wp:docPr id="205" name="image160.png"/>
            <wp:cNvGraphicFramePr>
              <a:graphicFrameLocks noChangeAspect="1"/>
            </wp:cNvGraphicFramePr>
            <a:graphic>
              <a:graphicData uri="http://schemas.openxmlformats.org/drawingml/2006/picture">
                <pic:pic>
                  <pic:nvPicPr>
                    <pic:cNvPr id="206" name="image160.png"/>
                    <pic:cNvPicPr/>
                  </pic:nvPicPr>
                  <pic:blipFill>
                    <a:blip r:embed="rId166"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88">
            <wp:simplePos x="0" y="0"/>
            <wp:positionH relativeFrom="page">
              <wp:posOffset>900988</wp:posOffset>
            </wp:positionH>
            <wp:positionV relativeFrom="paragraph">
              <wp:posOffset>3654012</wp:posOffset>
            </wp:positionV>
            <wp:extent cx="5810884" cy="178308"/>
            <wp:effectExtent l="0" t="0" r="0" b="0"/>
            <wp:wrapTopAndBottom/>
            <wp:docPr id="207" name="image161.png"/>
            <wp:cNvGraphicFramePr>
              <a:graphicFrameLocks noChangeAspect="1"/>
            </wp:cNvGraphicFramePr>
            <a:graphic>
              <a:graphicData uri="http://schemas.openxmlformats.org/drawingml/2006/picture">
                <pic:pic>
                  <pic:nvPicPr>
                    <pic:cNvPr id="208" name="image161.png"/>
                    <pic:cNvPicPr/>
                  </pic:nvPicPr>
                  <pic:blipFill>
                    <a:blip r:embed="rId167" cstate="print"/>
                    <a:stretch>
                      <a:fillRect/>
                    </a:stretch>
                  </pic:blipFill>
                  <pic:spPr>
                    <a:xfrm>
                      <a:off x="0" y="0"/>
                      <a:ext cx="5810884" cy="178308"/>
                    </a:xfrm>
                    <a:prstGeom prst="rect">
                      <a:avLst/>
                    </a:prstGeom>
                  </pic:spPr>
                </pic:pic>
              </a:graphicData>
            </a:graphic>
          </wp:anchor>
        </w:drawing>
      </w:r>
      <w:r>
        <w:rPr/>
        <w:drawing>
          <wp:anchor distT="0" distB="0" distL="0" distR="0" allowOverlap="1" layoutInCell="1" locked="0" behindDoc="0" simplePos="0" relativeHeight="89">
            <wp:simplePos x="0" y="0"/>
            <wp:positionH relativeFrom="page">
              <wp:posOffset>1256080</wp:posOffset>
            </wp:positionH>
            <wp:positionV relativeFrom="paragraph">
              <wp:posOffset>3932904</wp:posOffset>
            </wp:positionV>
            <wp:extent cx="5460745" cy="178308"/>
            <wp:effectExtent l="0" t="0" r="0" b="0"/>
            <wp:wrapTopAndBottom/>
            <wp:docPr id="209" name="image162.png"/>
            <wp:cNvGraphicFramePr>
              <a:graphicFrameLocks noChangeAspect="1"/>
            </wp:cNvGraphicFramePr>
            <a:graphic>
              <a:graphicData uri="http://schemas.openxmlformats.org/drawingml/2006/picture">
                <pic:pic>
                  <pic:nvPicPr>
                    <pic:cNvPr id="210" name="image162.png"/>
                    <pic:cNvPicPr/>
                  </pic:nvPicPr>
                  <pic:blipFill>
                    <a:blip r:embed="rId168" cstate="print"/>
                    <a:stretch>
                      <a:fillRect/>
                    </a:stretch>
                  </pic:blipFill>
                  <pic:spPr>
                    <a:xfrm>
                      <a:off x="0" y="0"/>
                      <a:ext cx="5460745" cy="178308"/>
                    </a:xfrm>
                    <a:prstGeom prst="rect">
                      <a:avLst/>
                    </a:prstGeom>
                  </pic:spPr>
                </pic:pic>
              </a:graphicData>
            </a:graphic>
          </wp:anchor>
        </w:drawing>
      </w:r>
      <w:r>
        <w:rPr/>
        <w:drawing>
          <wp:anchor distT="0" distB="0" distL="0" distR="0" allowOverlap="1" layoutInCell="1" locked="0" behindDoc="0" simplePos="0" relativeHeight="90">
            <wp:simplePos x="0" y="0"/>
            <wp:positionH relativeFrom="page">
              <wp:posOffset>900988</wp:posOffset>
            </wp:positionH>
            <wp:positionV relativeFrom="paragraph">
              <wp:posOffset>4212050</wp:posOffset>
            </wp:positionV>
            <wp:extent cx="5816218" cy="178308"/>
            <wp:effectExtent l="0" t="0" r="0" b="0"/>
            <wp:wrapTopAndBottom/>
            <wp:docPr id="211" name="image163.png"/>
            <wp:cNvGraphicFramePr>
              <a:graphicFrameLocks noChangeAspect="1"/>
            </wp:cNvGraphicFramePr>
            <a:graphic>
              <a:graphicData uri="http://schemas.openxmlformats.org/drawingml/2006/picture">
                <pic:pic>
                  <pic:nvPicPr>
                    <pic:cNvPr id="212" name="image163.png"/>
                    <pic:cNvPicPr/>
                  </pic:nvPicPr>
                  <pic:blipFill>
                    <a:blip r:embed="rId169"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91">
            <wp:simplePos x="0" y="0"/>
            <wp:positionH relativeFrom="page">
              <wp:posOffset>900988</wp:posOffset>
            </wp:positionH>
            <wp:positionV relativeFrom="paragraph">
              <wp:posOffset>4492466</wp:posOffset>
            </wp:positionV>
            <wp:extent cx="5810884" cy="178308"/>
            <wp:effectExtent l="0" t="0" r="0" b="0"/>
            <wp:wrapTopAndBottom/>
            <wp:docPr id="213" name="image164.png"/>
            <wp:cNvGraphicFramePr>
              <a:graphicFrameLocks noChangeAspect="1"/>
            </wp:cNvGraphicFramePr>
            <a:graphic>
              <a:graphicData uri="http://schemas.openxmlformats.org/drawingml/2006/picture">
                <pic:pic>
                  <pic:nvPicPr>
                    <pic:cNvPr id="214" name="image164.png"/>
                    <pic:cNvPicPr/>
                  </pic:nvPicPr>
                  <pic:blipFill>
                    <a:blip r:embed="rId170" cstate="print"/>
                    <a:stretch>
                      <a:fillRect/>
                    </a:stretch>
                  </pic:blipFill>
                  <pic:spPr>
                    <a:xfrm>
                      <a:off x="0" y="0"/>
                      <a:ext cx="5810884" cy="178308"/>
                    </a:xfrm>
                    <a:prstGeom prst="rect">
                      <a:avLst/>
                    </a:prstGeom>
                  </pic:spPr>
                </pic:pic>
              </a:graphicData>
            </a:graphic>
          </wp:anchor>
        </w:drawing>
      </w:r>
      <w:r>
        <w:rPr/>
        <w:drawing>
          <wp:anchor distT="0" distB="0" distL="0" distR="0" allowOverlap="1" layoutInCell="1" locked="0" behindDoc="0" simplePos="0" relativeHeight="92">
            <wp:simplePos x="0" y="0"/>
            <wp:positionH relativeFrom="page">
              <wp:posOffset>900988</wp:posOffset>
            </wp:positionH>
            <wp:positionV relativeFrom="paragraph">
              <wp:posOffset>4771358</wp:posOffset>
            </wp:positionV>
            <wp:extent cx="5816218" cy="178308"/>
            <wp:effectExtent l="0" t="0" r="0" b="0"/>
            <wp:wrapTopAndBottom/>
            <wp:docPr id="215" name="image165.png"/>
            <wp:cNvGraphicFramePr>
              <a:graphicFrameLocks noChangeAspect="1"/>
            </wp:cNvGraphicFramePr>
            <a:graphic>
              <a:graphicData uri="http://schemas.openxmlformats.org/drawingml/2006/picture">
                <pic:pic>
                  <pic:nvPicPr>
                    <pic:cNvPr id="216" name="image165.png"/>
                    <pic:cNvPicPr/>
                  </pic:nvPicPr>
                  <pic:blipFill>
                    <a:blip r:embed="rId171" cstate="print"/>
                    <a:stretch>
                      <a:fillRect/>
                    </a:stretch>
                  </pic:blipFill>
                  <pic:spPr>
                    <a:xfrm>
                      <a:off x="0" y="0"/>
                      <a:ext cx="5816218" cy="178308"/>
                    </a:xfrm>
                    <a:prstGeom prst="rect">
                      <a:avLst/>
                    </a:prstGeom>
                  </pic:spPr>
                </pic:pic>
              </a:graphicData>
            </a:graphic>
          </wp:anchor>
        </w:drawing>
      </w:r>
      <w:r>
        <w:rPr/>
        <w:pict>
          <v:group style="position:absolute;margin-left:70.944pt;margin-top:397.657501pt;width:448pt;height:14.05pt;mso-position-horizontal-relative:page;mso-position-vertical-relative:paragraph;z-index:-15681024;mso-wrap-distance-left:0;mso-wrap-distance-right:0" coordorigin="1419,7953" coordsize="8960,281">
            <v:shape style="position:absolute;left:1418;top:7953;width:5041;height:281" type="#_x0000_t75" stroked="false">
              <v:imagedata r:id="rId172" o:title=""/>
            </v:shape>
            <v:shape style="position:absolute;left:6178;top:7953;width:4201;height:281" type="#_x0000_t75" stroked="false">
              <v:imagedata r:id="rId173" o:title=""/>
            </v:shape>
            <w10:wrap type="topAndBottom"/>
          </v:group>
        </w:pict>
      </w:r>
      <w:r>
        <w:rPr/>
        <w:drawing>
          <wp:anchor distT="0" distB="0" distL="0" distR="0" allowOverlap="1" layoutInCell="1" locked="0" behindDoc="0" simplePos="0" relativeHeight="94">
            <wp:simplePos x="0" y="0"/>
            <wp:positionH relativeFrom="page">
              <wp:posOffset>900988</wp:posOffset>
            </wp:positionH>
            <wp:positionV relativeFrom="paragraph">
              <wp:posOffset>5330666</wp:posOffset>
            </wp:positionV>
            <wp:extent cx="5816218" cy="178308"/>
            <wp:effectExtent l="0" t="0" r="0" b="0"/>
            <wp:wrapTopAndBottom/>
            <wp:docPr id="217" name="image168.png"/>
            <wp:cNvGraphicFramePr>
              <a:graphicFrameLocks noChangeAspect="1"/>
            </wp:cNvGraphicFramePr>
            <a:graphic>
              <a:graphicData uri="http://schemas.openxmlformats.org/drawingml/2006/picture">
                <pic:pic>
                  <pic:nvPicPr>
                    <pic:cNvPr id="218" name="image168.png"/>
                    <pic:cNvPicPr/>
                  </pic:nvPicPr>
                  <pic:blipFill>
                    <a:blip r:embed="rId174"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95">
            <wp:simplePos x="0" y="0"/>
            <wp:positionH relativeFrom="page">
              <wp:posOffset>900988</wp:posOffset>
            </wp:positionH>
            <wp:positionV relativeFrom="paragraph">
              <wp:posOffset>5609558</wp:posOffset>
            </wp:positionV>
            <wp:extent cx="5816218" cy="178308"/>
            <wp:effectExtent l="0" t="0" r="0" b="0"/>
            <wp:wrapTopAndBottom/>
            <wp:docPr id="219" name="image169.png"/>
            <wp:cNvGraphicFramePr>
              <a:graphicFrameLocks noChangeAspect="1"/>
            </wp:cNvGraphicFramePr>
            <a:graphic>
              <a:graphicData uri="http://schemas.openxmlformats.org/drawingml/2006/picture">
                <pic:pic>
                  <pic:nvPicPr>
                    <pic:cNvPr id="220" name="image169.png"/>
                    <pic:cNvPicPr/>
                  </pic:nvPicPr>
                  <pic:blipFill>
                    <a:blip r:embed="rId175"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96">
            <wp:simplePos x="0" y="0"/>
            <wp:positionH relativeFrom="page">
              <wp:posOffset>900988</wp:posOffset>
            </wp:positionH>
            <wp:positionV relativeFrom="paragraph">
              <wp:posOffset>5888450</wp:posOffset>
            </wp:positionV>
            <wp:extent cx="5816218" cy="178308"/>
            <wp:effectExtent l="0" t="0" r="0" b="0"/>
            <wp:wrapTopAndBottom/>
            <wp:docPr id="221" name="image170.png"/>
            <wp:cNvGraphicFramePr>
              <a:graphicFrameLocks noChangeAspect="1"/>
            </wp:cNvGraphicFramePr>
            <a:graphic>
              <a:graphicData uri="http://schemas.openxmlformats.org/drawingml/2006/picture">
                <pic:pic>
                  <pic:nvPicPr>
                    <pic:cNvPr id="222" name="image170.png"/>
                    <pic:cNvPicPr/>
                  </pic:nvPicPr>
                  <pic:blipFill>
                    <a:blip r:embed="rId176" cstate="print"/>
                    <a:stretch>
                      <a:fillRect/>
                    </a:stretch>
                  </pic:blipFill>
                  <pic:spPr>
                    <a:xfrm>
                      <a:off x="0" y="0"/>
                      <a:ext cx="5816218" cy="178308"/>
                    </a:xfrm>
                    <a:prstGeom prst="rect">
                      <a:avLst/>
                    </a:prstGeom>
                  </pic:spPr>
                </pic:pic>
              </a:graphicData>
            </a:graphic>
          </wp:anchor>
        </w:drawing>
      </w:r>
      <w:r>
        <w:rPr/>
        <w:pict>
          <v:group style="position:absolute;margin-left:70.944pt;margin-top:485.737488pt;width:458.1pt;height:14.05pt;mso-position-horizontal-relative:page;mso-position-vertical-relative:paragraph;z-index:-15678976;mso-wrap-distance-left:0;mso-wrap-distance-right:0" coordorigin="1419,9715" coordsize="9162,281">
            <v:shape style="position:absolute;left:1418;top:9714;width:4397;height:281" type="#_x0000_t75" stroked="false">
              <v:imagedata r:id="rId177" o:title=""/>
            </v:shape>
            <v:shape style="position:absolute;left:5540;top:9714;width:557;height:281" type="#_x0000_t75" stroked="false">
              <v:imagedata r:id="rId178" o:title=""/>
            </v:shape>
            <v:shape style="position:absolute;left:5818;top:9714;width:4762;height:281" type="#_x0000_t75" stroked="false">
              <v:imagedata r:id="rId179" o:title=""/>
            </v:shape>
            <w10:wrap type="topAndBottom"/>
          </v:group>
        </w:pict>
      </w:r>
      <w:r>
        <w:rPr/>
        <w:drawing>
          <wp:anchor distT="0" distB="0" distL="0" distR="0" allowOverlap="1" layoutInCell="1" locked="0" behindDoc="0" simplePos="0" relativeHeight="98">
            <wp:simplePos x="0" y="0"/>
            <wp:positionH relativeFrom="page">
              <wp:posOffset>900988</wp:posOffset>
            </wp:positionH>
            <wp:positionV relativeFrom="paragraph">
              <wp:posOffset>6448139</wp:posOffset>
            </wp:positionV>
            <wp:extent cx="1244955" cy="178307"/>
            <wp:effectExtent l="0" t="0" r="0" b="0"/>
            <wp:wrapTopAndBottom/>
            <wp:docPr id="223" name="image174.png"/>
            <wp:cNvGraphicFramePr>
              <a:graphicFrameLocks noChangeAspect="1"/>
            </wp:cNvGraphicFramePr>
            <a:graphic>
              <a:graphicData uri="http://schemas.openxmlformats.org/drawingml/2006/picture">
                <pic:pic>
                  <pic:nvPicPr>
                    <pic:cNvPr id="224" name="image174.png"/>
                    <pic:cNvPicPr/>
                  </pic:nvPicPr>
                  <pic:blipFill>
                    <a:blip r:embed="rId180" cstate="print"/>
                    <a:stretch>
                      <a:fillRect/>
                    </a:stretch>
                  </pic:blipFill>
                  <pic:spPr>
                    <a:xfrm>
                      <a:off x="0" y="0"/>
                      <a:ext cx="1244955" cy="178307"/>
                    </a:xfrm>
                    <a:prstGeom prst="rect">
                      <a:avLst/>
                    </a:prstGeom>
                  </pic:spPr>
                </pic:pic>
              </a:graphicData>
            </a:graphic>
          </wp:anchor>
        </w:drawing>
      </w:r>
      <w:r>
        <w:rPr/>
        <w:drawing>
          <wp:anchor distT="0" distB="0" distL="0" distR="0" allowOverlap="1" layoutInCell="1" locked="0" behindDoc="0" simplePos="0" relativeHeight="99">
            <wp:simplePos x="0" y="0"/>
            <wp:positionH relativeFrom="page">
              <wp:posOffset>1534922</wp:posOffset>
            </wp:positionH>
            <wp:positionV relativeFrom="paragraph">
              <wp:posOffset>6774274</wp:posOffset>
            </wp:positionV>
            <wp:extent cx="812799" cy="202692"/>
            <wp:effectExtent l="0" t="0" r="0" b="0"/>
            <wp:wrapTopAndBottom/>
            <wp:docPr id="225" name="image84.png"/>
            <wp:cNvGraphicFramePr>
              <a:graphicFrameLocks noChangeAspect="1"/>
            </wp:cNvGraphicFramePr>
            <a:graphic>
              <a:graphicData uri="http://schemas.openxmlformats.org/drawingml/2006/picture">
                <pic:pic>
                  <pic:nvPicPr>
                    <pic:cNvPr id="226" name="image84.png"/>
                    <pic:cNvPicPr/>
                  </pic:nvPicPr>
                  <pic:blipFill>
                    <a:blip r:embed="rId90" cstate="print"/>
                    <a:stretch>
                      <a:fillRect/>
                    </a:stretch>
                  </pic:blipFill>
                  <pic:spPr>
                    <a:xfrm>
                      <a:off x="0" y="0"/>
                      <a:ext cx="812799" cy="202692"/>
                    </a:xfrm>
                    <a:prstGeom prst="rect">
                      <a:avLst/>
                    </a:prstGeom>
                  </pic:spPr>
                </pic:pic>
              </a:graphicData>
            </a:graphic>
          </wp:anchor>
        </w:drawing>
      </w:r>
      <w:r>
        <w:rPr/>
        <w:drawing>
          <wp:anchor distT="0" distB="0" distL="0" distR="0" allowOverlap="1" layoutInCell="1" locked="0" behindDoc="0" simplePos="0" relativeHeight="100">
            <wp:simplePos x="0" y="0"/>
            <wp:positionH relativeFrom="page">
              <wp:posOffset>2449702</wp:posOffset>
            </wp:positionH>
            <wp:positionV relativeFrom="paragraph">
              <wp:posOffset>6774274</wp:posOffset>
            </wp:positionV>
            <wp:extent cx="3660393" cy="202692"/>
            <wp:effectExtent l="0" t="0" r="0" b="0"/>
            <wp:wrapTopAndBottom/>
            <wp:docPr id="227" name="image175.png"/>
            <wp:cNvGraphicFramePr>
              <a:graphicFrameLocks noChangeAspect="1"/>
            </wp:cNvGraphicFramePr>
            <a:graphic>
              <a:graphicData uri="http://schemas.openxmlformats.org/drawingml/2006/picture">
                <pic:pic>
                  <pic:nvPicPr>
                    <pic:cNvPr id="228" name="image175.png"/>
                    <pic:cNvPicPr/>
                  </pic:nvPicPr>
                  <pic:blipFill>
                    <a:blip r:embed="rId181" cstate="print"/>
                    <a:stretch>
                      <a:fillRect/>
                    </a:stretch>
                  </pic:blipFill>
                  <pic:spPr>
                    <a:xfrm>
                      <a:off x="0" y="0"/>
                      <a:ext cx="3660393" cy="202692"/>
                    </a:xfrm>
                    <a:prstGeom prst="rect">
                      <a:avLst/>
                    </a:prstGeom>
                  </pic:spPr>
                </pic:pic>
              </a:graphicData>
            </a:graphic>
          </wp:anchor>
        </w:drawing>
      </w:r>
      <w:r>
        <w:rPr/>
        <w:pict>
          <v:group style="position:absolute;margin-left:98.903999pt;margin-top:565.6875pt;width:429.55pt;height:14.05pt;mso-position-horizontal-relative:page;mso-position-vertical-relative:paragraph;z-index:-15676928;mso-wrap-distance-left:0;mso-wrap-distance-right:0" coordorigin="1978,11314" coordsize="8591,281">
            <v:shape style="position:absolute;left:1978;top:11313;width:2604;height:281" type="#_x0000_t75" stroked="false">
              <v:imagedata r:id="rId92" o:title=""/>
            </v:shape>
            <v:shape style="position:absolute;left:4292;top:11313;width:519;height:281" type="#_x0000_t75" stroked="false">
              <v:imagedata r:id="rId149" o:title=""/>
            </v:shape>
            <v:shape style="position:absolute;left:4637;top:11313;width:951;height:281" type="#_x0000_t75" stroked="false">
              <v:imagedata r:id="rId94" o:title=""/>
            </v:shape>
            <v:shape style="position:absolute;left:5271;top:11313;width:418;height:281" type="#_x0000_t75" stroked="false">
              <v:imagedata r:id="rId122" o:title=""/>
            </v:shape>
            <v:shape style="position:absolute;left:5480;top:11313;width:5088;height:281" type="#_x0000_t75" stroked="false">
              <v:imagedata r:id="rId182" o:title=""/>
            </v:shape>
            <w10:wrap type="topAndBottom"/>
          </v:group>
        </w:pict>
      </w:r>
      <w:r>
        <w:rPr/>
        <w:pict>
          <v:rect style="position:absolute;margin-left:94.944pt;margin-top:595.44751pt;width:144.020pt;height:.599980pt;mso-position-horizontal-relative:page;mso-position-vertical-relative:paragraph;z-index:-15676416;mso-wrap-distance-left:0;mso-wrap-distance-right:0" filled="true" fillcolor="#000000" stroked="false">
            <v:fill type="solid"/>
            <w10:wrap type="topAndBottom"/>
          </v:rect>
        </w:pict>
      </w:r>
    </w:p>
    <w:p>
      <w:pPr>
        <w:pStyle w:val="BodyText"/>
        <w:spacing w:before="8"/>
        <w:rPr>
          <w:sz w:val="18"/>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spacing w:before="1"/>
        <w:rPr>
          <w:sz w:val="7"/>
        </w:rPr>
      </w:pPr>
    </w:p>
    <w:p>
      <w:pPr>
        <w:pStyle w:val="BodyText"/>
        <w:rPr>
          <w:sz w:val="7"/>
        </w:rPr>
      </w:pPr>
    </w:p>
    <w:p>
      <w:pPr>
        <w:pStyle w:val="BodyText"/>
        <w:spacing w:before="4"/>
        <w:rPr>
          <w:sz w:val="5"/>
        </w:rPr>
      </w:pPr>
    </w:p>
    <w:p>
      <w:pPr>
        <w:pStyle w:val="BodyText"/>
        <w:rPr>
          <w:sz w:val="7"/>
        </w:rPr>
      </w:pPr>
    </w:p>
    <w:p>
      <w:pPr>
        <w:pStyle w:val="BodyText"/>
        <w:rPr>
          <w:sz w:val="7"/>
        </w:rPr>
      </w:pPr>
    </w:p>
    <w:p>
      <w:pPr>
        <w:pStyle w:val="BodyText"/>
        <w:spacing w:before="3"/>
        <w:rPr>
          <w:sz w:val="7"/>
        </w:rPr>
      </w:pPr>
    </w:p>
    <w:p>
      <w:pPr>
        <w:pStyle w:val="BodyText"/>
        <w:rPr>
          <w:sz w:val="7"/>
        </w:rPr>
      </w:pPr>
    </w:p>
    <w:p>
      <w:pPr>
        <w:pStyle w:val="BodyText"/>
        <w:spacing w:before="1"/>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spacing w:before="1"/>
        <w:rPr>
          <w:sz w:val="7"/>
        </w:rPr>
      </w:pPr>
    </w:p>
    <w:p>
      <w:pPr>
        <w:pStyle w:val="BodyText"/>
        <w:spacing w:before="11"/>
        <w:rPr>
          <w:sz w:val="12"/>
        </w:rPr>
      </w:pPr>
    </w:p>
    <w:p>
      <w:pPr>
        <w:pStyle w:val="BodyText"/>
        <w:spacing w:before="2"/>
        <w:rPr>
          <w:sz w:val="20"/>
        </w:rPr>
      </w:pPr>
    </w:p>
    <w:p>
      <w:pPr>
        <w:pStyle w:val="BodyText"/>
        <w:spacing w:before="2"/>
        <w:rPr>
          <w:sz w:val="19"/>
        </w:rPr>
      </w:pPr>
    </w:p>
    <w:p>
      <w:pPr>
        <w:pStyle w:val="BodyText"/>
        <w:spacing w:before="7"/>
        <w:rPr>
          <w:sz w:val="9"/>
        </w:rPr>
      </w:pPr>
    </w:p>
    <w:p>
      <w:pPr>
        <w:spacing w:before="94"/>
        <w:ind w:left="298" w:right="0" w:firstLine="0"/>
        <w:jc w:val="left"/>
        <w:rPr>
          <w:rFonts w:ascii="Times New Roman"/>
          <w:sz w:val="13"/>
        </w:rPr>
      </w:pPr>
      <w:r>
        <w:rPr/>
        <w:pict>
          <v:group style="position:absolute;margin-left:79.223999pt;margin-top:5.728358pt;width:444.1pt;height:12pt;mso-position-horizontal-relative:page;mso-position-vertical-relative:paragraph;z-index:15783936" coordorigin="1584,115" coordsize="8882,240">
            <v:shape style="position:absolute;left:1584;top:114;width:6001;height:240" type="#_x0000_t75" stroked="false">
              <v:imagedata r:id="rId183" o:title=""/>
            </v:shape>
            <v:shape style="position:absolute;left:7345;top:114;width:3121;height:240" type="#_x0000_t75" stroked="false">
              <v:imagedata r:id="rId184" o:title=""/>
            </v:shape>
            <w10:wrap type="none"/>
          </v:group>
        </w:pict>
      </w:r>
      <w:bookmarkStart w:name="_bookmark3" w:id="4"/>
      <w:bookmarkEnd w:id="4"/>
      <w:r>
        <w:rPr/>
      </w:r>
      <w:bookmarkStart w:name="_bookmark4" w:id="5"/>
      <w:bookmarkEnd w:id="5"/>
      <w:r>
        <w:rPr/>
      </w:r>
      <w:r>
        <w:rPr>
          <w:rFonts w:ascii="Times New Roman"/>
          <w:w w:val="99"/>
          <w:sz w:val="13"/>
        </w:rPr>
        <w:t>2</w:t>
      </w:r>
    </w:p>
    <w:p>
      <w:pPr>
        <w:pStyle w:val="BodyText"/>
        <w:spacing w:before="6"/>
        <w:rPr>
          <w:rFonts w:ascii="Times New Roman"/>
          <w:sz w:val="12"/>
        </w:rPr>
      </w:pPr>
      <w:r>
        <w:rPr/>
        <w:pict>
          <v:group style="position:absolute;margin-left:80.903999pt;margin-top:9.180010pt;width:443.15pt;height:12pt;mso-position-horizontal-relative:page;mso-position-vertical-relative:paragraph;z-index:-15675904;mso-wrap-distance-left:0;mso-wrap-distance-right:0" coordorigin="1618,184" coordsize="8863,240">
            <v:shape style="position:absolute;left:1618;top:183;width:7006;height:240" type="#_x0000_t75" stroked="false">
              <v:imagedata r:id="rId185" o:title=""/>
            </v:shape>
            <v:shape style="position:absolute;left:8389;top:183;width:357;height:240" type="#_x0000_t75" stroked="false">
              <v:imagedata r:id="rId186" o:title=""/>
            </v:shape>
            <v:shape style="position:absolute;left:8627;top:183;width:877;height:240" type="#_x0000_t75" stroked="false">
              <v:imagedata r:id="rId187" o:title=""/>
            </v:shape>
            <v:shape style="position:absolute;left:9285;top:183;width:480;height:240" type="#_x0000_t75" stroked="false">
              <v:imagedata r:id="rId188" o:title=""/>
            </v:shape>
            <v:shape style="position:absolute;left:9645;top:183;width:240;height:240" type="#_x0000_t75" stroked="false">
              <v:imagedata r:id="rId189" o:title=""/>
            </v:shape>
            <v:shape style="position:absolute;left:9765;top:183;width:480;height:240" type="#_x0000_t75" stroked="false">
              <v:imagedata r:id="rId190" o:title=""/>
            </v:shape>
            <v:shape style="position:absolute;left:10120;top:183;width:360;height:240" type="#_x0000_t75" stroked="false">
              <v:imagedata r:id="rId191" o:title=""/>
            </v:shape>
            <w10:wrap type="topAndBottom"/>
          </v:group>
        </w:pict>
      </w:r>
    </w:p>
    <w:p>
      <w:pPr>
        <w:pStyle w:val="BodyText"/>
        <w:spacing w:before="10"/>
        <w:rPr>
          <w:rFonts w:ascii="Times New Roman"/>
          <w:sz w:val="3"/>
        </w:rPr>
      </w:pPr>
    </w:p>
    <w:p>
      <w:pPr>
        <w:pStyle w:val="BodyText"/>
        <w:ind w:left="498"/>
        <w:rPr>
          <w:rFonts w:ascii="Times New Roman"/>
          <w:sz w:val="20"/>
        </w:rPr>
      </w:pPr>
      <w:r>
        <w:rPr>
          <w:rFonts w:ascii="Times New Roman"/>
          <w:sz w:val="20"/>
        </w:rPr>
        <w:pict>
          <v:group style="width:444.1pt;height:12pt;mso-position-horizontal-relative:char;mso-position-vertical-relative:line" coordorigin="0,0" coordsize="8882,240">
            <v:shape style="position:absolute;left:0;top:0;width:600;height:240" type="#_x0000_t75" stroked="false">
              <v:imagedata r:id="rId192" o:title=""/>
            </v:shape>
            <v:shape style="position:absolute;left:479;top:0;width:480;height:240" type="#_x0000_t75" stroked="false">
              <v:imagedata r:id="rId193" o:title=""/>
            </v:shape>
            <v:shape style="position:absolute;left:719;top:0;width:360;height:240" type="#_x0000_t75" stroked="false">
              <v:imagedata r:id="rId194" o:title=""/>
            </v:shape>
            <v:shape style="position:absolute;left:959;top:0;width:7922;height:240" type="#_x0000_t75" stroked="false">
              <v:imagedata r:id="rId195" o:title=""/>
            </v:shape>
          </v:group>
        </w:pict>
      </w:r>
      <w:r>
        <w:rPr>
          <w:rFonts w:ascii="Times New Roman"/>
          <w:sz w:val="20"/>
        </w:rPr>
      </w:r>
    </w:p>
    <w:p>
      <w:pPr>
        <w:pStyle w:val="BodyText"/>
        <w:spacing w:before="5"/>
        <w:rPr>
          <w:rFonts w:ascii="Times New Roman"/>
          <w:sz w:val="5"/>
        </w:rPr>
      </w:pPr>
    </w:p>
    <w:p>
      <w:pPr>
        <w:pStyle w:val="BodyText"/>
        <w:ind w:left="498"/>
        <w:rPr>
          <w:rFonts w:ascii="Times New Roman"/>
          <w:sz w:val="20"/>
        </w:rPr>
      </w:pPr>
      <w:r>
        <w:rPr>
          <w:rFonts w:ascii="Times New Roman"/>
          <w:sz w:val="20"/>
        </w:rPr>
        <w:pict>
          <v:group style="width:444.1pt;height:12pt;mso-position-horizontal-relative:char;mso-position-vertical-relative:line" coordorigin="0,0" coordsize="8882,240">
            <v:shape style="position:absolute;left:0;top:0;width:3841;height:240" type="#_x0000_t75" stroked="false">
              <v:imagedata r:id="rId196" o:title=""/>
            </v:shape>
            <v:shape style="position:absolute;left:3600;top:0;width:360;height:240" type="#_x0000_t75" stroked="false">
              <v:imagedata r:id="rId197" o:title=""/>
            </v:shape>
            <v:shape style="position:absolute;left:3840;top:0;width:960;height:240" type="#_x0000_t75" stroked="false">
              <v:imagedata r:id="rId198" o:title=""/>
            </v:shape>
            <v:shape style="position:absolute;left:4560;top:0;width:360;height:240" type="#_x0000_t75" stroked="false">
              <v:imagedata r:id="rId199" o:title=""/>
            </v:shape>
            <v:shape style="position:absolute;left:4800;top:0;width:240;height:240" type="#_x0000_t75" stroked="false">
              <v:imagedata r:id="rId189" o:title=""/>
            </v:shape>
            <v:shape style="position:absolute;left:4920;top:0;width:360;height:240" type="#_x0000_t75" stroked="false">
              <v:imagedata r:id="rId200" o:title=""/>
            </v:shape>
            <v:shape style="position:absolute;left:5160;top:0;width:480;height:240" type="#_x0000_t75" stroked="false">
              <v:imagedata r:id="rId201" o:title=""/>
            </v:shape>
            <v:shape style="position:absolute;left:5400;top:0;width:600;height:240" type="#_x0000_t75" stroked="false">
              <v:imagedata r:id="rId202" o:title=""/>
            </v:shape>
            <v:shape style="position:absolute;left:5880;top:0;width:480;height:240" type="#_x0000_t75" stroked="false">
              <v:imagedata r:id="rId203" o:title=""/>
            </v:shape>
            <v:shape style="position:absolute;left:6120;top:0;width:240;height:240" type="#_x0000_t75" stroked="false">
              <v:imagedata r:id="rId204" o:title=""/>
            </v:shape>
            <v:shape style="position:absolute;left:6240;top:0;width:2641;height:240" type="#_x0000_t75" stroked="false">
              <v:imagedata r:id="rId205" o:title=""/>
            </v:shape>
          </v:group>
        </w:pict>
      </w:r>
      <w:r>
        <w:rPr>
          <w:rFonts w:ascii="Times New Roman"/>
          <w:sz w:val="20"/>
        </w:rPr>
      </w:r>
    </w:p>
    <w:p>
      <w:pPr>
        <w:pStyle w:val="BodyText"/>
        <w:spacing w:before="5"/>
        <w:rPr>
          <w:rFonts w:ascii="Times New Roman"/>
          <w:sz w:val="5"/>
        </w:rPr>
      </w:pPr>
    </w:p>
    <w:p>
      <w:pPr>
        <w:pStyle w:val="BodyText"/>
        <w:ind w:left="498"/>
        <w:rPr>
          <w:rFonts w:ascii="Times New Roman"/>
          <w:sz w:val="20"/>
        </w:rPr>
      </w:pPr>
      <w:r>
        <w:rPr>
          <w:rFonts w:ascii="Times New Roman"/>
          <w:sz w:val="20"/>
        </w:rPr>
        <w:pict>
          <v:group style="width:438.1pt;height:12pt;mso-position-horizontal-relative:char;mso-position-vertical-relative:line" coordorigin="0,0" coordsize="8762,240">
            <v:shape style="position:absolute;left:0;top:0;width:5761;height:240" type="#_x0000_t75" stroked="false">
              <v:imagedata r:id="rId206" o:title=""/>
            </v:shape>
            <v:shape style="position:absolute;left:5520;top:0;width:360;height:240" type="#_x0000_t75" stroked="false">
              <v:imagedata r:id="rId207" o:title=""/>
            </v:shape>
            <v:shape style="position:absolute;left:5760;top:0;width:960;height:240" type="#_x0000_t75" stroked="false">
              <v:imagedata r:id="rId208" o:title=""/>
            </v:shape>
            <v:shape style="position:absolute;left:6480;top:0;width:360;height:240" type="#_x0000_t75" stroked="false">
              <v:imagedata r:id="rId209" o:title=""/>
            </v:shape>
            <v:shape style="position:absolute;left:6720;top:0;width:960;height:240" type="#_x0000_t75" stroked="false">
              <v:imagedata r:id="rId210" o:title=""/>
            </v:shape>
            <v:shape style="position:absolute;left:7441;top:0;width:240;height:240" type="#_x0000_t75" stroked="false">
              <v:imagedata r:id="rId211" o:title=""/>
            </v:shape>
            <v:shape style="position:absolute;left:7561;top:0;width:240;height:240" type="#_x0000_t75" stroked="false">
              <v:imagedata r:id="rId212" o:title=""/>
            </v:shape>
            <v:shape style="position:absolute;left:7681;top:0;width:360;height:240" type="#_x0000_t75" stroked="false">
              <v:imagedata r:id="rId213" o:title=""/>
            </v:shape>
            <v:shape style="position:absolute;left:7921;top:0;width:480;height:240" type="#_x0000_t75" stroked="false">
              <v:imagedata r:id="rId214" o:title=""/>
            </v:shape>
            <v:shape style="position:absolute;left:8161;top:0;width:600;height:240" type="#_x0000_t75" stroked="false">
              <v:imagedata r:id="rId215" o:title=""/>
            </v:shape>
          </v:group>
        </w:pict>
      </w:r>
      <w:r>
        <w:rPr>
          <w:rFonts w:ascii="Times New Roman"/>
          <w:sz w:val="20"/>
        </w:rPr>
      </w:r>
    </w:p>
    <w:p>
      <w:pPr>
        <w:pStyle w:val="BodyText"/>
        <w:spacing w:before="4"/>
        <w:rPr>
          <w:rFonts w:ascii="Times New Roman"/>
          <w:sz w:val="5"/>
        </w:rPr>
      </w:pPr>
    </w:p>
    <w:p>
      <w:pPr>
        <w:pStyle w:val="BodyText"/>
        <w:ind w:left="498"/>
        <w:rPr>
          <w:rFonts w:ascii="Times New Roman"/>
          <w:sz w:val="20"/>
        </w:rPr>
      </w:pPr>
      <w:r>
        <w:rPr>
          <w:rFonts w:ascii="Times New Roman"/>
          <w:sz w:val="20"/>
        </w:rPr>
        <w:pict>
          <v:group style="width:60pt;height:12pt;mso-position-horizontal-relative:char;mso-position-vertical-relative:line" coordorigin="0,0" coordsize="1200,240">
            <v:shape style="position:absolute;left:0;top:0;width:480;height:240" type="#_x0000_t75" stroked="false">
              <v:imagedata r:id="rId216" o:title=""/>
            </v:shape>
            <v:shape style="position:absolute;left:240;top:0;width:360;height:240" type="#_x0000_t75" stroked="false">
              <v:imagedata r:id="rId217" o:title=""/>
            </v:shape>
            <v:shape style="position:absolute;left:479;top:0;width:720;height:240" type="#_x0000_t75" stroked="false">
              <v:imagedata r:id="rId218" o:title=""/>
            </v:shape>
          </v:group>
        </w:pict>
      </w:r>
      <w:r>
        <w:rPr>
          <w:rFonts w:ascii="Times New Roman"/>
          <w:sz w:val="20"/>
        </w:rPr>
      </w:r>
    </w:p>
    <w:p>
      <w:pPr>
        <w:spacing w:after="0"/>
        <w:rPr>
          <w:rFonts w:ascii="Times New Roman"/>
          <w:sz w:val="20"/>
        </w:rPr>
        <w:sectPr>
          <w:pgSz w:w="11910" w:h="16840"/>
          <w:pgMar w:header="0" w:footer="1017" w:top="860" w:bottom="1200" w:left="1120" w:right="1060"/>
        </w:sectPr>
      </w:pPr>
    </w:p>
    <w:p>
      <w:pPr>
        <w:pStyle w:val="BodyText"/>
        <w:rPr>
          <w:rFonts w:ascii="Times New Roman"/>
          <w:sz w:val="20"/>
        </w:rPr>
      </w:pPr>
    </w:p>
    <w:p>
      <w:pPr>
        <w:pStyle w:val="BodyText"/>
        <w:spacing w:before="9"/>
        <w:rPr>
          <w:rFonts w:ascii="Times New Roman"/>
          <w:sz w:val="18"/>
        </w:rPr>
      </w:pPr>
    </w:p>
    <w:p>
      <w:pPr>
        <w:spacing w:line="345" w:lineRule="auto" w:before="0"/>
        <w:ind w:left="305" w:right="497" w:firstLine="19"/>
        <w:jc w:val="left"/>
        <w:rPr>
          <w:sz w:val="24"/>
        </w:rPr>
      </w:pPr>
      <w:r>
        <w:rPr>
          <w:w w:val="115"/>
          <w:sz w:val="24"/>
        </w:rPr>
        <w:t>主管機關所為之行政處分，認為違法或顯然不噹，致損害其権利或利益</w:t>
      </w:r>
      <w:r>
        <w:rPr>
          <w:spacing w:val="1"/>
          <w:w w:val="115"/>
          <w:sz w:val="24"/>
        </w:rPr>
        <w:t> </w:t>
      </w:r>
      <w:r>
        <w:rPr>
          <w:w w:val="115"/>
          <w:sz w:val="24"/>
        </w:rPr>
        <w:t>者，得依本法提起復審。非現職公務人員基於其原公務人員身分之請求權遭受侵害時，亦同」。</w:t>
      </w:r>
    </w:p>
    <w:p>
      <w:pPr>
        <w:spacing w:line="345" w:lineRule="auto" w:before="0"/>
        <w:ind w:left="308" w:right="568" w:firstLine="555"/>
        <w:jc w:val="left"/>
        <w:rPr>
          <w:sz w:val="24"/>
        </w:rPr>
      </w:pPr>
      <w:r>
        <w:rPr>
          <w:w w:val="115"/>
          <w:sz w:val="24"/>
        </w:rPr>
        <w:t>提超撤銷復審，依當事人所不服之對象（行政處分），可區分為以下二種類型：</w:t>
      </w:r>
    </w:p>
    <w:p>
      <w:pPr>
        <w:spacing w:before="83"/>
        <w:ind w:left="3500" w:right="0" w:firstLine="0"/>
        <w:jc w:val="left"/>
        <w:rPr>
          <w:sz w:val="24"/>
        </w:rPr>
      </w:pPr>
      <w:r>
        <w:rPr>
          <w:w w:val="110"/>
          <w:sz w:val="24"/>
        </w:rPr>
        <w:t>一不服對己之亻受益虞分</w:t>
      </w:r>
    </w:p>
    <w:p>
      <w:pPr>
        <w:pStyle w:val="BodyText"/>
        <w:spacing w:before="10"/>
        <w:rPr>
          <w:sz w:val="24"/>
        </w:rPr>
      </w:pPr>
    </w:p>
    <w:p>
      <w:pPr>
        <w:spacing w:line="343" w:lineRule="auto" w:before="0"/>
        <w:ind w:left="302" w:right="500" w:firstLine="570"/>
        <w:jc w:val="both"/>
        <w:rPr>
          <w:sz w:val="24"/>
        </w:rPr>
      </w:pPr>
      <w:r>
        <w:rPr>
          <w:w w:val="115"/>
          <w:sz w:val="24"/>
        </w:rPr>
        <w:t>公務人員不服對己之侵益處分，提超撤銷復審者，以陞遷事件為例，</w:t>
      </w:r>
      <w:r>
        <w:rPr>
          <w:spacing w:val="-136"/>
          <w:w w:val="115"/>
          <w:sz w:val="24"/>
        </w:rPr>
        <w:t> </w:t>
      </w:r>
      <w:r>
        <w:rPr>
          <w:w w:val="115"/>
          <w:sz w:val="24"/>
        </w:rPr>
        <w:t>原處分機關對於復審人依法申請之陞遷案件，予以否准，損害其権利或利益者，復審人得向保訓會提超撒銷復審，請求撤銷未獲陞任之處分。</w:t>
      </w:r>
    </w:p>
    <w:p>
      <w:pPr>
        <w:spacing w:before="7"/>
        <w:ind w:left="877" w:right="0" w:firstLine="0"/>
        <w:jc w:val="left"/>
        <w:rPr>
          <w:sz w:val="24"/>
        </w:rPr>
      </w:pPr>
      <w:r>
        <w:rPr>
          <w:w w:val="115"/>
          <w:sz w:val="24"/>
        </w:rPr>
        <w:t>我國實務上，此類案件甚為常見。舉例如下：</w:t>
      </w:r>
    </w:p>
    <w:p>
      <w:pPr>
        <w:spacing w:line="328" w:lineRule="auto" w:before="112"/>
        <w:ind w:left="308" w:right="492" w:firstLine="555"/>
        <w:jc w:val="left"/>
        <w:rPr>
          <w:sz w:val="24"/>
        </w:rPr>
      </w:pPr>
      <w:r>
        <w:rPr>
          <w:spacing w:val="3"/>
          <w:w w:val="95"/>
          <w:sz w:val="24"/>
        </w:rPr>
        <w:t>保訓會 </w:t>
      </w:r>
      <w:r>
        <w:rPr>
          <w:rFonts w:ascii="Arial" w:eastAsia="Arial"/>
          <w:w w:val="95"/>
          <w:sz w:val="28"/>
        </w:rPr>
        <w:t>98</w:t>
      </w:r>
      <w:r>
        <w:rPr>
          <w:rFonts w:ascii="Arial" w:eastAsia="Arial"/>
          <w:spacing w:val="68"/>
          <w:w w:val="95"/>
          <w:sz w:val="28"/>
        </w:rPr>
        <w:t> </w:t>
      </w:r>
      <w:r>
        <w:rPr>
          <w:spacing w:val="17"/>
          <w:w w:val="95"/>
          <w:sz w:val="24"/>
        </w:rPr>
        <w:t>公 審決字第 </w:t>
      </w:r>
      <w:r>
        <w:rPr>
          <w:rFonts w:ascii="Arial" w:eastAsia="Arial"/>
          <w:w w:val="95"/>
          <w:sz w:val="28"/>
        </w:rPr>
        <w:t>0207</w:t>
      </w:r>
      <w:r>
        <w:rPr>
          <w:rFonts w:ascii="Arial" w:eastAsia="Arial"/>
          <w:spacing w:val="69"/>
          <w:w w:val="95"/>
          <w:sz w:val="28"/>
        </w:rPr>
        <w:t> </w:t>
      </w:r>
      <w:r>
        <w:rPr>
          <w:spacing w:val="-3"/>
          <w:w w:val="95"/>
          <w:sz w:val="24"/>
        </w:rPr>
        <w:t>號 復 審決定 。本件案例 事實略為： 復審人</w:t>
      </w:r>
      <w:r>
        <w:rPr>
          <w:w w:val="105"/>
          <w:sz w:val="24"/>
        </w:rPr>
        <w:t>現任財政部高雄關稅局薦任第八職等關務正二階股長，參加該局關務及工   </w:t>
      </w:r>
      <w:r>
        <w:rPr>
          <w:spacing w:val="111"/>
          <w:w w:val="105"/>
          <w:sz w:val="24"/>
        </w:rPr>
        <w:t> </w:t>
      </w:r>
      <w:r>
        <w:rPr>
          <w:w w:val="105"/>
          <w:sz w:val="24"/>
        </w:rPr>
        <w:t>程技術類薦任第九職等非主管人員陞任甄審，經財政部關稅總局暨所屬各   </w:t>
      </w:r>
      <w:r>
        <w:rPr>
          <w:spacing w:val="115"/>
          <w:w w:val="105"/>
          <w:sz w:val="24"/>
        </w:rPr>
        <w:t> </w:t>
      </w:r>
      <w:r>
        <w:rPr>
          <w:spacing w:val="9"/>
          <w:w w:val="95"/>
          <w:sz w:val="24"/>
        </w:rPr>
        <w:t>關稅局 </w:t>
      </w:r>
      <w:r>
        <w:rPr>
          <w:rFonts w:ascii="Arial" w:eastAsia="Arial"/>
          <w:w w:val="95"/>
          <w:sz w:val="28"/>
        </w:rPr>
        <w:t>98</w:t>
      </w:r>
      <w:r>
        <w:rPr>
          <w:rFonts w:ascii="Arial" w:eastAsia="Arial"/>
          <w:spacing w:val="48"/>
          <w:w w:val="95"/>
          <w:sz w:val="28"/>
        </w:rPr>
        <w:t> </w:t>
      </w:r>
      <w:r>
        <w:rPr>
          <w:spacing w:val="-17"/>
          <w:w w:val="95"/>
          <w:sz w:val="24"/>
        </w:rPr>
        <w:t>年 </w:t>
      </w:r>
      <w:r>
        <w:rPr>
          <w:rFonts w:ascii="Arial" w:eastAsia="Arial"/>
          <w:w w:val="95"/>
          <w:sz w:val="28"/>
        </w:rPr>
        <w:t>3</w:t>
      </w:r>
      <w:r>
        <w:rPr>
          <w:rFonts w:ascii="Arial" w:eastAsia="Arial"/>
          <w:spacing w:val="33"/>
          <w:w w:val="95"/>
          <w:sz w:val="28"/>
        </w:rPr>
        <w:t> </w:t>
      </w:r>
      <w:r>
        <w:rPr>
          <w:spacing w:val="1"/>
          <w:w w:val="95"/>
          <w:sz w:val="25"/>
        </w:rPr>
        <w:t>月 </w:t>
      </w:r>
      <w:r>
        <w:rPr>
          <w:rFonts w:ascii="Arial" w:eastAsia="Arial"/>
          <w:w w:val="95"/>
          <w:sz w:val="28"/>
        </w:rPr>
        <w:t>23</w:t>
      </w:r>
      <w:r>
        <w:rPr>
          <w:rFonts w:ascii="Arial" w:eastAsia="Arial"/>
          <w:spacing w:val="42"/>
          <w:w w:val="95"/>
          <w:sz w:val="28"/>
        </w:rPr>
        <w:t> </w:t>
      </w:r>
      <w:r>
        <w:rPr>
          <w:spacing w:val="10"/>
          <w:w w:val="95"/>
          <w:sz w:val="24"/>
        </w:rPr>
        <w:t>日 </w:t>
      </w:r>
      <w:r>
        <w:rPr>
          <w:rFonts w:ascii="Arial" w:eastAsia="Arial"/>
          <w:w w:val="95"/>
          <w:sz w:val="28"/>
        </w:rPr>
        <w:t>98</w:t>
      </w:r>
      <w:r>
        <w:rPr>
          <w:rFonts w:ascii="Arial" w:eastAsia="Arial"/>
          <w:spacing w:val="43"/>
          <w:w w:val="95"/>
          <w:sz w:val="28"/>
        </w:rPr>
        <w:t> </w:t>
      </w:r>
      <w:r>
        <w:rPr>
          <w:spacing w:val="11"/>
          <w:w w:val="95"/>
          <w:sz w:val="24"/>
        </w:rPr>
        <w:t>年第 </w:t>
      </w:r>
      <w:r>
        <w:rPr>
          <w:rFonts w:ascii="Arial" w:eastAsia="Arial"/>
          <w:w w:val="95"/>
          <w:sz w:val="28"/>
        </w:rPr>
        <w:t>2</w:t>
      </w:r>
      <w:r>
        <w:rPr>
          <w:rFonts w:ascii="Arial" w:eastAsia="Arial"/>
          <w:spacing w:val="8"/>
          <w:w w:val="95"/>
          <w:sz w:val="28"/>
        </w:rPr>
        <w:t> </w:t>
      </w:r>
      <w:r>
        <w:rPr>
          <w:spacing w:val="5"/>
          <w:w w:val="95"/>
          <w:sz w:val="24"/>
        </w:rPr>
        <w:t>次 陞遷甄審委員 會評審 ，嗣 該總局以同</w:t>
      </w:r>
      <w:r>
        <w:rPr>
          <w:spacing w:val="-7"/>
          <w:w w:val="95"/>
          <w:sz w:val="24"/>
        </w:rPr>
        <w:t>年 </w:t>
      </w:r>
      <w:r>
        <w:rPr>
          <w:rFonts w:ascii="Arial" w:eastAsia="Arial"/>
          <w:w w:val="95"/>
          <w:sz w:val="28"/>
        </w:rPr>
        <w:t>3</w:t>
      </w:r>
      <w:r>
        <w:rPr>
          <w:rFonts w:ascii="Arial" w:eastAsia="Arial"/>
          <w:spacing w:val="66"/>
          <w:w w:val="95"/>
          <w:sz w:val="28"/>
        </w:rPr>
        <w:t> </w:t>
      </w:r>
      <w:r>
        <w:rPr>
          <w:spacing w:val="14"/>
          <w:w w:val="95"/>
          <w:sz w:val="25"/>
        </w:rPr>
        <w:t>月 </w:t>
      </w:r>
      <w:r>
        <w:rPr>
          <w:rFonts w:ascii="Arial" w:eastAsia="Arial"/>
          <w:w w:val="95"/>
          <w:sz w:val="28"/>
        </w:rPr>
        <w:t>25</w:t>
      </w:r>
      <w:r>
        <w:rPr>
          <w:rFonts w:ascii="Arial" w:eastAsia="Arial"/>
          <w:spacing w:val="5"/>
          <w:w w:val="95"/>
          <w:sz w:val="28"/>
        </w:rPr>
        <w:t> </w:t>
      </w:r>
      <w:r>
        <w:rPr>
          <w:spacing w:val="12"/>
          <w:w w:val="95"/>
          <w:sz w:val="24"/>
        </w:rPr>
        <w:t>日 核定陞任 第三人等 ，復 審人不服未獲陞任之決定提超復審 。</w:t>
      </w:r>
    </w:p>
    <w:p>
      <w:pPr>
        <w:spacing w:line="336" w:lineRule="auto" w:before="5"/>
        <w:ind w:left="306" w:right="490" w:firstLine="563"/>
        <w:jc w:val="left"/>
        <w:rPr>
          <w:sz w:val="24"/>
        </w:rPr>
      </w:pPr>
      <w:r>
        <w:rPr>
          <w:spacing w:val="10"/>
          <w:w w:val="95"/>
          <w:sz w:val="24"/>
        </w:rPr>
        <w:t>保訓會 </w:t>
      </w:r>
      <w:r>
        <w:rPr>
          <w:rFonts w:ascii="Arial" w:eastAsia="Arial"/>
          <w:w w:val="95"/>
          <w:sz w:val="28"/>
        </w:rPr>
        <w:t>97</w:t>
      </w:r>
      <w:r>
        <w:rPr>
          <w:rFonts w:ascii="Arial" w:eastAsia="Arial"/>
          <w:spacing w:val="52"/>
          <w:w w:val="95"/>
          <w:sz w:val="28"/>
        </w:rPr>
        <w:t> </w:t>
      </w:r>
      <w:r>
        <w:rPr>
          <w:spacing w:val="16"/>
          <w:w w:val="95"/>
          <w:sz w:val="24"/>
        </w:rPr>
        <w:t>公 審決字第 </w:t>
      </w:r>
      <w:r>
        <w:rPr>
          <w:rFonts w:ascii="Arial" w:eastAsia="Arial"/>
          <w:w w:val="95"/>
          <w:sz w:val="28"/>
        </w:rPr>
        <w:t>0368</w:t>
      </w:r>
      <w:r>
        <w:rPr>
          <w:rFonts w:ascii="Arial" w:eastAsia="Arial"/>
          <w:spacing w:val="54"/>
          <w:w w:val="95"/>
          <w:sz w:val="28"/>
        </w:rPr>
        <w:t> </w:t>
      </w:r>
      <w:r>
        <w:rPr>
          <w:spacing w:val="-8"/>
          <w:w w:val="95"/>
          <w:sz w:val="24"/>
        </w:rPr>
        <w:t>號 復 審決定 。本件 案例 事實略為： 復審人</w:t>
      </w:r>
      <w:r>
        <w:rPr>
          <w:w w:val="105"/>
          <w:sz w:val="24"/>
        </w:rPr>
        <w:t>係臺灣雲林地方法院委任第四職等至第五職等三等書記官。其陞任二等書   </w:t>
      </w:r>
      <w:r>
        <w:rPr>
          <w:spacing w:val="115"/>
          <w:w w:val="105"/>
          <w:sz w:val="24"/>
        </w:rPr>
        <w:t> </w:t>
      </w:r>
      <w:r>
        <w:rPr>
          <w:w w:val="105"/>
          <w:sz w:val="24"/>
        </w:rPr>
        <w:t>記官派免建議案經雲林地院函轉臺灣高等法院報請司法院核定，案經司法    </w:t>
      </w:r>
      <w:r>
        <w:rPr>
          <w:spacing w:val="13"/>
          <w:w w:val="105"/>
          <w:sz w:val="24"/>
        </w:rPr>
        <w:t> </w:t>
      </w:r>
      <w:r>
        <w:rPr>
          <w:spacing w:val="2"/>
          <w:w w:val="95"/>
          <w:sz w:val="24"/>
        </w:rPr>
        <w:t>院秘書長以 </w:t>
      </w:r>
      <w:r>
        <w:rPr>
          <w:rFonts w:ascii="Arial" w:eastAsia="Arial"/>
          <w:w w:val="95"/>
          <w:sz w:val="28"/>
        </w:rPr>
        <w:t>97</w:t>
      </w:r>
      <w:r>
        <w:rPr>
          <w:rFonts w:ascii="Arial" w:eastAsia="Arial"/>
          <w:spacing w:val="27"/>
          <w:w w:val="95"/>
          <w:sz w:val="28"/>
        </w:rPr>
        <w:t> </w:t>
      </w:r>
      <w:r>
        <w:rPr>
          <w:spacing w:val="-22"/>
          <w:w w:val="95"/>
          <w:sz w:val="24"/>
        </w:rPr>
        <w:t>年 </w:t>
      </w:r>
      <w:r>
        <w:rPr>
          <w:rFonts w:ascii="Arial" w:eastAsia="Arial"/>
          <w:w w:val="95"/>
          <w:sz w:val="28"/>
        </w:rPr>
        <w:t>7</w:t>
      </w:r>
      <w:r>
        <w:rPr>
          <w:rFonts w:ascii="Arial" w:eastAsia="Arial"/>
          <w:spacing w:val="17"/>
          <w:w w:val="95"/>
          <w:sz w:val="28"/>
        </w:rPr>
        <w:t> </w:t>
      </w:r>
      <w:r>
        <w:rPr>
          <w:spacing w:val="-9"/>
          <w:w w:val="95"/>
          <w:sz w:val="25"/>
        </w:rPr>
        <w:t>月 </w:t>
      </w:r>
      <w:r>
        <w:rPr>
          <w:rFonts w:ascii="Arial" w:eastAsia="Arial"/>
          <w:w w:val="95"/>
          <w:sz w:val="28"/>
        </w:rPr>
        <w:t>9</w:t>
      </w:r>
      <w:r>
        <w:rPr>
          <w:rFonts w:ascii="Arial" w:eastAsia="Arial"/>
          <w:spacing w:val="17"/>
          <w:w w:val="95"/>
          <w:sz w:val="28"/>
        </w:rPr>
        <w:t> </w:t>
      </w:r>
      <w:r>
        <w:rPr>
          <w:spacing w:val="-1"/>
          <w:w w:val="95"/>
          <w:sz w:val="24"/>
        </w:rPr>
        <w:t>日 秘 台人二字第 </w:t>
      </w:r>
      <w:r>
        <w:rPr>
          <w:rFonts w:ascii="Arial" w:eastAsia="Arial"/>
          <w:w w:val="95"/>
          <w:sz w:val="28"/>
        </w:rPr>
        <w:t>09700</w:t>
      </w:r>
      <w:r>
        <w:rPr>
          <w:rFonts w:ascii="Arial" w:eastAsia="Arial"/>
          <w:spacing w:val="36"/>
          <w:w w:val="95"/>
          <w:sz w:val="28"/>
        </w:rPr>
        <w:t> </w:t>
      </w:r>
      <w:r>
        <w:rPr>
          <w:rFonts w:ascii="Arial" w:eastAsia="Arial"/>
          <w:w w:val="95"/>
          <w:sz w:val="28"/>
        </w:rPr>
        <w:t>13806</w:t>
      </w:r>
      <w:r>
        <w:rPr>
          <w:rFonts w:ascii="Arial" w:eastAsia="Arial"/>
          <w:spacing w:val="43"/>
          <w:w w:val="95"/>
          <w:sz w:val="28"/>
        </w:rPr>
        <w:t> </w:t>
      </w:r>
      <w:r>
        <w:rPr>
          <w:w w:val="95"/>
          <w:sz w:val="24"/>
        </w:rPr>
        <w:t>號 函 副知雲林 地院轉</w:t>
      </w:r>
      <w:r>
        <w:rPr>
          <w:w w:val="105"/>
          <w:sz w:val="24"/>
        </w:rPr>
        <w:t>知復審人陞任二等書記官案，經司法院甄審委員會決議不通過。復審人不   </w:t>
      </w:r>
      <w:r>
        <w:rPr>
          <w:spacing w:val="127"/>
          <w:w w:val="105"/>
          <w:sz w:val="24"/>
        </w:rPr>
        <w:t> </w:t>
      </w:r>
      <w:r>
        <w:rPr>
          <w:sz w:val="24"/>
        </w:rPr>
        <w:t>服，提超復審。</w:t>
      </w:r>
    </w:p>
    <w:p>
      <w:pPr>
        <w:spacing w:line="343" w:lineRule="auto" w:before="18"/>
        <w:ind w:left="321" w:right="496" w:firstLine="543"/>
        <w:jc w:val="both"/>
        <w:rPr>
          <w:sz w:val="24"/>
        </w:rPr>
      </w:pPr>
      <w:r>
        <w:rPr>
          <w:w w:val="115"/>
          <w:sz w:val="24"/>
        </w:rPr>
        <w:t>原處分機關對於復審人依法申請之陞遷案件，予以否准，損害其權利或利益者，復審人得向保訓會提超撤銷復審，請求撤銷未獲陞任之處分。此時，與復審人競爭該職務之第三人，是否有権益受損？</w:t>
      </w:r>
    </w:p>
    <w:p>
      <w:pPr>
        <w:spacing w:before="94"/>
        <w:ind w:left="777" w:right="549" w:firstLine="0"/>
        <w:jc w:val="center"/>
        <w:rPr>
          <w:sz w:val="24"/>
        </w:rPr>
      </w:pPr>
      <w:r>
        <w:rPr>
          <w:w w:val="120"/>
          <w:sz w:val="24"/>
        </w:rPr>
        <w:t>二不服對他人之授益虞分</w:t>
      </w:r>
    </w:p>
    <w:p>
      <w:pPr>
        <w:pStyle w:val="BodyText"/>
        <w:spacing w:before="1"/>
      </w:pPr>
    </w:p>
    <w:p>
      <w:pPr>
        <w:spacing w:line="343" w:lineRule="auto" w:before="0"/>
        <w:ind w:left="303" w:right="500" w:firstLine="569"/>
        <w:jc w:val="both"/>
        <w:rPr>
          <w:sz w:val="24"/>
        </w:rPr>
      </w:pPr>
      <w:r>
        <w:rPr>
          <w:w w:val="115"/>
          <w:sz w:val="24"/>
        </w:rPr>
        <w:t>公務人員不服對他人之投益處分，提超撤銷復審者，以陞遷事件為</w:t>
      </w:r>
      <w:r>
        <w:rPr>
          <w:spacing w:val="1"/>
          <w:w w:val="115"/>
          <w:sz w:val="24"/>
        </w:rPr>
        <w:t> </w:t>
      </w:r>
      <w:r>
        <w:rPr>
          <w:w w:val="115"/>
          <w:sz w:val="24"/>
        </w:rPr>
        <w:t>例，係指公務人員於人事主管機關對於其他第三人（競爭者）作成陞遷處分後，向保訓會提超撤銷復審，請求撤銷人事主管機關對於該第三人所作成陞遷處分之爭訟類型。</w:t>
      </w:r>
    </w:p>
    <w:p>
      <w:pPr>
        <w:spacing w:before="5"/>
        <w:ind w:left="869" w:right="0" w:firstLine="0"/>
        <w:jc w:val="left"/>
        <w:rPr>
          <w:sz w:val="24"/>
        </w:rPr>
      </w:pPr>
      <w:r>
        <w:rPr>
          <w:w w:val="115"/>
          <w:sz w:val="24"/>
        </w:rPr>
        <w:t>復審人以人事主管機關對於第三人（競爭者）所作成之陞遷處分為對</w:t>
      </w:r>
    </w:p>
    <w:p>
      <w:pPr>
        <w:spacing w:after="0"/>
        <w:jc w:val="left"/>
        <w:rPr>
          <w:sz w:val="24"/>
        </w:rPr>
        <w:sectPr>
          <w:headerReference w:type="default" r:id="rId219"/>
          <w:footerReference w:type="default" r:id="rId220"/>
          <w:pgSz w:w="11910" w:h="16840"/>
          <w:pgMar w:header="862" w:footer="1017" w:top="1060" w:bottom="1200" w:left="1120" w:right="1060"/>
        </w:sectPr>
      </w:pPr>
    </w:p>
    <w:p>
      <w:pPr>
        <w:pStyle w:val="BodyText"/>
        <w:spacing w:before="8"/>
        <w:rPr>
          <w:sz w:val="29"/>
        </w:rPr>
      </w:pPr>
    </w:p>
    <w:p>
      <w:pPr>
        <w:spacing w:line="343" w:lineRule="auto" w:before="67"/>
        <w:ind w:left="315" w:right="544" w:firstLine="17"/>
        <w:jc w:val="both"/>
        <w:rPr>
          <w:sz w:val="24"/>
        </w:rPr>
      </w:pPr>
      <w:r>
        <w:rPr>
          <w:w w:val="115"/>
          <w:sz w:val="24"/>
        </w:rPr>
        <w:t>象，提超撤銷復審，其爭訟是否合法？詳言之，由於復審人並非行政處分書上所記載之受處分人，則其得否主張該處分損害其權利或法律上利益，</w:t>
      </w:r>
      <w:r>
        <w:rPr>
          <w:spacing w:val="-136"/>
          <w:w w:val="115"/>
          <w:sz w:val="24"/>
        </w:rPr>
        <w:t> </w:t>
      </w:r>
      <w:r>
        <w:rPr>
          <w:w w:val="115"/>
          <w:sz w:val="24"/>
        </w:rPr>
        <w:t>而為正噹之噹事人並具有訴權，不無疑間。此等問題涉及完整建構公務員法上競爭爭訟制度之問題，將於本文稍後詳鈿探討。如其為合法，已獲陞遷處分之人應如何保障其権益？其他競爭者應如何保障其權益？</w:t>
      </w:r>
    </w:p>
    <w:p>
      <w:pPr>
        <w:pStyle w:val="Heading5"/>
        <w:spacing w:before="72"/>
        <w:ind w:left="1012"/>
        <w:jc w:val="both"/>
        <w:rPr>
          <w:rFonts w:ascii="SimSun" w:eastAsia="SimSun" w:hint="eastAsia"/>
        </w:rPr>
      </w:pPr>
      <w:bookmarkStart w:name="_bookmark5" w:id="6"/>
      <w:bookmarkEnd w:id="6"/>
      <w:r>
        <w:rPr/>
      </w:r>
      <w:r>
        <w:rPr>
          <w:rFonts w:ascii="SimSun" w:eastAsia="SimSun" w:hint="eastAsia"/>
          <w:w w:val="115"/>
        </w:rPr>
        <w:t>第二節  課予義務復審程序中第三人権利保護之需求</w:t>
      </w:r>
    </w:p>
    <w:p>
      <w:pPr>
        <w:pStyle w:val="BodyText"/>
        <w:spacing w:before="8"/>
        <w:rPr>
          <w:sz w:val="19"/>
        </w:rPr>
      </w:pPr>
    </w:p>
    <w:p>
      <w:pPr>
        <w:spacing w:line="343" w:lineRule="auto" w:before="0"/>
        <w:ind w:left="305" w:right="533" w:firstLine="566"/>
        <w:jc w:val="left"/>
        <w:rPr>
          <w:sz w:val="24"/>
        </w:rPr>
      </w:pPr>
      <w:r>
        <w:rPr>
          <w:spacing w:val="5"/>
          <w:sz w:val="24"/>
        </w:rPr>
        <w:t>公務人員保 障 法第 </w:t>
      </w:r>
      <w:r>
        <w:rPr>
          <w:rFonts w:ascii="Times New Roman" w:eastAsia="Times New Roman"/>
          <w:sz w:val="30"/>
        </w:rPr>
        <w:t>26</w:t>
      </w:r>
      <w:r>
        <w:rPr>
          <w:rFonts w:ascii="Times New Roman" w:eastAsia="Times New Roman"/>
          <w:spacing w:val="29"/>
          <w:sz w:val="30"/>
        </w:rPr>
        <w:t> </w:t>
      </w:r>
      <w:r>
        <w:rPr>
          <w:spacing w:val="1"/>
          <w:sz w:val="24"/>
        </w:rPr>
        <w:t>條 第 </w:t>
      </w:r>
      <w:r>
        <w:rPr>
          <w:rFonts w:ascii="Times New Roman" w:eastAsia="Times New Roman"/>
          <w:sz w:val="30"/>
        </w:rPr>
        <w:t>l</w:t>
      </w:r>
      <w:r>
        <w:rPr>
          <w:rFonts w:ascii="Times New Roman" w:eastAsia="Times New Roman"/>
          <w:spacing w:val="52"/>
          <w:sz w:val="30"/>
        </w:rPr>
        <w:t> </w:t>
      </w:r>
      <w:r>
        <w:rPr>
          <w:spacing w:val="3"/>
          <w:sz w:val="24"/>
        </w:rPr>
        <w:t>項規定：「公務人員 因原處分機關對其依</w:t>
      </w:r>
      <w:r>
        <w:rPr>
          <w:w w:val="110"/>
          <w:sz w:val="24"/>
        </w:rPr>
        <w:t>法申請之案件，於法定期間內應作為而不作為，認為損害其権利或利益  </w:t>
      </w:r>
      <w:r>
        <w:rPr>
          <w:spacing w:val="49"/>
          <w:w w:val="110"/>
          <w:sz w:val="24"/>
        </w:rPr>
        <w:t> </w:t>
      </w:r>
      <w:r>
        <w:rPr>
          <w:w w:val="110"/>
          <w:sz w:val="24"/>
        </w:rPr>
        <w:t>者，亦得提超復審」。以陞遷事件為例，原處分機關對於復審人依法申請</w:t>
      </w:r>
      <w:r>
        <w:rPr>
          <w:spacing w:val="49"/>
          <w:w w:val="110"/>
          <w:sz w:val="24"/>
        </w:rPr>
        <w:t> </w:t>
      </w:r>
      <w:r>
        <w:rPr>
          <w:w w:val="110"/>
          <w:sz w:val="24"/>
        </w:rPr>
        <w:t>之陞遷案件，於法定期間內應作為而不作為，損害其権利或利益者，復審</w:t>
      </w:r>
      <w:r>
        <w:rPr>
          <w:spacing w:val="49"/>
          <w:w w:val="110"/>
          <w:sz w:val="24"/>
        </w:rPr>
        <w:t> </w:t>
      </w:r>
      <w:r>
        <w:rPr>
          <w:w w:val="110"/>
          <w:sz w:val="24"/>
        </w:rPr>
        <w:t>人得向保訓會提超課予義務復審，請求命怠為處分之機關應對其作成陞遷</w:t>
      </w:r>
      <w:r>
        <w:rPr>
          <w:spacing w:val="49"/>
          <w:w w:val="110"/>
          <w:sz w:val="24"/>
        </w:rPr>
        <w:t> </w:t>
      </w:r>
      <w:r>
        <w:rPr>
          <w:w w:val="110"/>
          <w:sz w:val="24"/>
        </w:rPr>
        <w:t>處分。按公務人員之任命，其性質為行政處分，復審人向保訓會提超復審，</w:t>
      </w:r>
      <w:r>
        <w:rPr>
          <w:spacing w:val="1"/>
          <w:w w:val="110"/>
          <w:sz w:val="24"/>
        </w:rPr>
        <w:t> </w:t>
      </w:r>
      <w:r>
        <w:rPr>
          <w:w w:val="110"/>
          <w:sz w:val="24"/>
        </w:rPr>
        <w:t>請求命機關任命其為某職位之公務員，即為請求保訓會命機關作成特定內</w:t>
      </w:r>
      <w:r>
        <w:rPr>
          <w:spacing w:val="49"/>
          <w:w w:val="110"/>
          <w:sz w:val="24"/>
        </w:rPr>
        <w:t> </w:t>
      </w:r>
      <w:r>
        <w:rPr>
          <w:w w:val="110"/>
          <w:sz w:val="24"/>
        </w:rPr>
        <w:t>容之行政處分。</w:t>
      </w:r>
    </w:p>
    <w:p>
      <w:pPr>
        <w:spacing w:line="296" w:lineRule="exact" w:before="0"/>
        <w:ind w:left="877" w:right="0" w:firstLine="0"/>
        <w:jc w:val="both"/>
        <w:rPr>
          <w:sz w:val="24"/>
        </w:rPr>
      </w:pPr>
      <w:r>
        <w:rPr>
          <w:spacing w:val="5"/>
          <w:w w:val="90"/>
          <w:sz w:val="24"/>
        </w:rPr>
        <w:t>我國實務 上 ，公 務 人 員依 公 務 人員保障法第 </w:t>
      </w:r>
      <w:r>
        <w:rPr>
          <w:rFonts w:ascii="Times New Roman" w:eastAsia="Times New Roman"/>
          <w:w w:val="90"/>
          <w:sz w:val="30"/>
        </w:rPr>
        <w:t>26</w:t>
      </w:r>
      <w:r>
        <w:rPr>
          <w:rFonts w:ascii="Times New Roman" w:eastAsia="Times New Roman"/>
          <w:spacing w:val="34"/>
          <w:w w:val="90"/>
          <w:sz w:val="30"/>
        </w:rPr>
        <w:t> </w:t>
      </w:r>
      <w:r>
        <w:rPr>
          <w:spacing w:val="1"/>
          <w:w w:val="90"/>
          <w:sz w:val="24"/>
        </w:rPr>
        <w:t>條 第 </w:t>
      </w:r>
      <w:r>
        <w:rPr>
          <w:rFonts w:ascii="Times New Roman" w:eastAsia="Times New Roman"/>
          <w:w w:val="90"/>
          <w:sz w:val="30"/>
        </w:rPr>
        <w:t>l</w:t>
      </w:r>
      <w:r>
        <w:rPr>
          <w:rFonts w:ascii="Times New Roman" w:eastAsia="Times New Roman"/>
          <w:spacing w:val="55"/>
          <w:w w:val="90"/>
          <w:sz w:val="30"/>
        </w:rPr>
        <w:t> </w:t>
      </w:r>
      <w:r>
        <w:rPr>
          <w:w w:val="90"/>
          <w:sz w:val="24"/>
        </w:rPr>
        <w:t>項規定 ， 因原</w:t>
      </w:r>
    </w:p>
    <w:p>
      <w:pPr>
        <w:spacing w:line="338" w:lineRule="auto" w:before="135"/>
        <w:ind w:left="302" w:right="486" w:firstLine="5"/>
        <w:jc w:val="both"/>
        <w:rPr>
          <w:sz w:val="24"/>
        </w:rPr>
      </w:pPr>
      <w:r>
        <w:rPr>
          <w:w w:val="115"/>
          <w:sz w:val="24"/>
        </w:rPr>
        <w:t>處分機關對其依法申請之陞遷案件，於法定期間內應作為而不作為，認為損害其権利或利益，向保訓會提超課予義務復審，請求命怠為處分之機關應對其作成陞遷處分之案例，為數不多。蓋通常情形，公務人員參加陞任甄審，機關均於法定期間內作成處分，甚少有於法定期間內應作為而不作</w:t>
      </w:r>
      <w:r>
        <w:rPr>
          <w:spacing w:val="-3"/>
          <w:w w:val="95"/>
          <w:sz w:val="24"/>
        </w:rPr>
        <w:t>為之情形 。惟仍有 零星案例 ，如 ： 保訓會 </w:t>
      </w:r>
      <w:r>
        <w:rPr>
          <w:rFonts w:ascii="Arial" w:eastAsia="Arial"/>
          <w:w w:val="95"/>
          <w:sz w:val="29"/>
        </w:rPr>
        <w:t>98</w:t>
      </w:r>
      <w:r>
        <w:rPr>
          <w:rFonts w:ascii="Arial" w:eastAsia="Arial"/>
          <w:spacing w:val="40"/>
          <w:w w:val="95"/>
          <w:sz w:val="29"/>
        </w:rPr>
        <w:t> </w:t>
      </w:r>
      <w:r>
        <w:rPr>
          <w:spacing w:val="19"/>
          <w:w w:val="95"/>
          <w:sz w:val="24"/>
        </w:rPr>
        <w:t>年公審決字第 </w:t>
      </w:r>
      <w:r>
        <w:rPr>
          <w:rFonts w:ascii="Arial" w:eastAsia="Arial"/>
          <w:w w:val="95"/>
          <w:sz w:val="29"/>
        </w:rPr>
        <w:t>0406</w:t>
      </w:r>
      <w:r>
        <w:rPr>
          <w:rFonts w:ascii="Arial" w:eastAsia="Arial"/>
          <w:spacing w:val="18"/>
          <w:w w:val="95"/>
          <w:sz w:val="29"/>
        </w:rPr>
        <w:t> </w:t>
      </w:r>
      <w:r>
        <w:rPr>
          <w:spacing w:val="1"/>
          <w:w w:val="95"/>
          <w:sz w:val="24"/>
        </w:rPr>
        <w:t>號 復 審決</w:t>
      </w:r>
      <w:r>
        <w:rPr>
          <w:w w:val="115"/>
          <w:sz w:val="24"/>
        </w:rPr>
        <w:t>定。本件復審人因陞任事件，不服行政院海岸巡防署海洋巡防總局於法定期間應作為而不作為，提超復審＼</w:t>
      </w:r>
    </w:p>
    <w:p>
      <w:pPr>
        <w:spacing w:line="310" w:lineRule="exact" w:before="0"/>
        <w:ind w:left="892" w:right="0" w:firstLine="0"/>
        <w:jc w:val="both"/>
        <w:rPr>
          <w:sz w:val="24"/>
        </w:rPr>
      </w:pPr>
      <w:r>
        <w:rPr>
          <w:spacing w:val="14"/>
          <w:w w:val="95"/>
          <w:sz w:val="24"/>
        </w:rPr>
        <w:t>又我國公務 人 員保障法中並 未如行政訴訟法第 </w:t>
      </w:r>
      <w:r>
        <w:rPr>
          <w:rFonts w:ascii="Arial" w:eastAsia="Arial"/>
          <w:w w:val="90"/>
          <w:sz w:val="29"/>
        </w:rPr>
        <w:t>5</w:t>
      </w:r>
      <w:r>
        <w:rPr>
          <w:rFonts w:ascii="Arial" w:eastAsia="Arial"/>
          <w:spacing w:val="10"/>
          <w:w w:val="90"/>
          <w:sz w:val="29"/>
        </w:rPr>
        <w:t> </w:t>
      </w:r>
      <w:r>
        <w:rPr>
          <w:spacing w:val="8"/>
          <w:w w:val="90"/>
          <w:sz w:val="24"/>
        </w:rPr>
        <w:t>條 </w:t>
      </w:r>
      <w:r>
        <w:rPr>
          <w:spacing w:val="-2"/>
          <w:w w:val="95"/>
          <w:sz w:val="24"/>
        </w:rPr>
        <w:t>第 </w:t>
      </w:r>
      <w:r>
        <w:rPr>
          <w:rFonts w:ascii="Arial" w:eastAsia="Arial"/>
          <w:w w:val="90"/>
          <w:sz w:val="29"/>
        </w:rPr>
        <w:t>2</w:t>
      </w:r>
      <w:r>
        <w:rPr>
          <w:rFonts w:ascii="Arial" w:eastAsia="Arial"/>
          <w:spacing w:val="13"/>
          <w:w w:val="90"/>
          <w:sz w:val="29"/>
        </w:rPr>
        <w:t> </w:t>
      </w:r>
      <w:r>
        <w:rPr>
          <w:w w:val="95"/>
          <w:sz w:val="24"/>
        </w:rPr>
        <w:t>項</w:t>
      </w:r>
      <w:r>
        <w:rPr>
          <w:rFonts w:ascii="Times New Roman" w:eastAsia="Times New Roman"/>
          <w:w w:val="90"/>
          <w:sz w:val="15"/>
        </w:rPr>
        <w:t>4</w:t>
      </w:r>
      <w:r>
        <w:rPr>
          <w:rFonts w:ascii="Times New Roman" w:eastAsia="Times New Roman"/>
          <w:spacing w:val="15"/>
          <w:w w:val="90"/>
          <w:sz w:val="15"/>
        </w:rPr>
        <w:t> '</w:t>
      </w:r>
      <w:r>
        <w:rPr>
          <w:rFonts w:ascii="Times New Roman" w:eastAsia="Times New Roman"/>
          <w:spacing w:val="55"/>
          <w:sz w:val="15"/>
        </w:rPr>
        <w:t> </w:t>
      </w:r>
      <w:r>
        <w:rPr>
          <w:spacing w:val="19"/>
          <w:w w:val="90"/>
          <w:sz w:val="24"/>
        </w:rPr>
        <w:t>設 </w:t>
      </w:r>
      <w:r>
        <w:rPr>
          <w:spacing w:val="10"/>
          <w:w w:val="95"/>
          <w:sz w:val="24"/>
        </w:rPr>
        <w:t>有排</w:t>
      </w:r>
    </w:p>
    <w:p>
      <w:pPr>
        <w:spacing w:before="135"/>
        <w:ind w:left="303" w:right="0" w:firstLine="0"/>
        <w:jc w:val="left"/>
        <w:rPr>
          <w:sz w:val="24"/>
        </w:rPr>
      </w:pPr>
      <w:r>
        <w:rPr>
          <w:w w:val="115"/>
          <w:sz w:val="24"/>
        </w:rPr>
        <w:t>除否准之課予義務訴訟之爭訟類型。復審人以原處分機關對其依法申請之</w:t>
      </w:r>
    </w:p>
    <w:p>
      <w:pPr>
        <w:pStyle w:val="BodyText"/>
        <w:spacing w:before="7"/>
        <w:rPr>
          <w:sz w:val="28"/>
        </w:rPr>
      </w:pPr>
      <w:r>
        <w:rPr/>
        <w:pict>
          <v:shape style="position:absolute;margin-left:95.174004pt;margin-top:20.648973pt;width:144.25pt;height:.1pt;mso-position-horizontal-relative:page;mso-position-vertical-relative:paragraph;z-index:-15672832;mso-wrap-distance-left:0;mso-wrap-distance-right:0" coordorigin="1903,413" coordsize="2885,0" path="m1903,413l4788,413e" filled="false" stroked="true" strokeweight=".720821pt" strokecolor="#000000">
            <v:path arrowok="t"/>
            <v:stroke dashstyle="solid"/>
            <w10:wrap type="topAndBottom"/>
          </v:shape>
        </w:pict>
      </w:r>
    </w:p>
    <w:p>
      <w:pPr>
        <w:pStyle w:val="BodyText"/>
        <w:spacing w:before="10"/>
        <w:rPr>
          <w:sz w:val="10"/>
        </w:rPr>
      </w:pPr>
    </w:p>
    <w:p>
      <w:pPr>
        <w:spacing w:line="264" w:lineRule="auto" w:before="76"/>
        <w:ind w:left="512" w:right="566" w:hanging="214"/>
        <w:jc w:val="both"/>
        <w:rPr>
          <w:sz w:val="21"/>
        </w:rPr>
      </w:pPr>
      <w:r>
        <w:rPr>
          <w:rFonts w:ascii="Times New Roman" w:eastAsia="Times New Roman"/>
          <w:sz w:val="21"/>
          <w:vertAlign w:val="superscript"/>
        </w:rPr>
        <w:t>3</w:t>
      </w:r>
      <w:r>
        <w:rPr>
          <w:rFonts w:ascii="Times New Roman" w:eastAsia="Times New Roman"/>
          <w:sz w:val="21"/>
          <w:vertAlign w:val="baseline"/>
        </w:rPr>
        <w:t>                   </w:t>
      </w:r>
      <w:r>
        <w:rPr>
          <w:sz w:val="21"/>
          <w:vertAlign w:val="baseline"/>
        </w:rPr>
        <w:t>本件當事人提超課予義務復審後，保訓會作成不受理之復審決定謂：本件非屬依法申</w:t>
      </w:r>
      <w:r>
        <w:rPr>
          <w:spacing w:val="1"/>
          <w:sz w:val="21"/>
          <w:vertAlign w:val="baseline"/>
        </w:rPr>
        <w:t>請之案件至明 ， 洋巡總局 自 無作成行政處分之義務 。則復審人以其於</w:t>
      </w:r>
      <w:r>
        <w:rPr>
          <w:rFonts w:ascii="Arial" w:eastAsia="Arial"/>
          <w:sz w:val="25"/>
          <w:vertAlign w:val="baseline"/>
        </w:rPr>
        <w:t>93</w:t>
      </w:r>
      <w:r>
        <w:rPr>
          <w:rFonts w:ascii="Arial" w:eastAsia="Arial"/>
          <w:spacing w:val="-38"/>
          <w:sz w:val="25"/>
          <w:vertAlign w:val="baseline"/>
        </w:rPr>
        <w:t> </w:t>
      </w:r>
      <w:r>
        <w:rPr>
          <w:spacing w:val="10"/>
          <w:sz w:val="21"/>
          <w:vertAlign w:val="baseline"/>
        </w:rPr>
        <w:t>年參加中央</w:t>
      </w:r>
      <w:r>
        <w:rPr>
          <w:spacing w:val="21"/>
          <w:sz w:val="21"/>
          <w:vertAlign w:val="baseline"/>
        </w:rPr>
        <w:t>警察大學辦理海洋警佐班第</w:t>
      </w:r>
      <w:r>
        <w:rPr>
          <w:rFonts w:ascii="Times New Roman" w:eastAsia="Times New Roman"/>
          <w:sz w:val="26"/>
          <w:vertAlign w:val="baseline"/>
        </w:rPr>
        <w:t>3</w:t>
      </w:r>
      <w:r>
        <w:rPr>
          <w:spacing w:val="6"/>
          <w:sz w:val="21"/>
          <w:vertAlign w:val="baseline"/>
        </w:rPr>
        <w:t>期訓練期滿成績及格，向洋巡總局請求應予陞任 警佐一階</w:t>
      </w:r>
      <w:r>
        <w:rPr>
          <w:sz w:val="21"/>
          <w:vertAlign w:val="baseline"/>
        </w:rPr>
        <w:t>或警正四階至三階之科員或偵查員職務，係屬依法申請之案件，並以該總局於        法定期間內應作為而不作為而提超復審，核與首揭規定未合，應不予受理。</w:t>
      </w:r>
    </w:p>
    <w:p>
      <w:pPr>
        <w:spacing w:line="276" w:lineRule="auto" w:before="0"/>
        <w:ind w:left="504" w:right="544" w:hanging="206"/>
        <w:jc w:val="both"/>
        <w:rPr>
          <w:sz w:val="21"/>
        </w:rPr>
      </w:pPr>
      <w:r>
        <w:rPr>
          <w:rFonts w:ascii="Times New Roman" w:eastAsia="Times New Roman"/>
          <w:position w:val="7"/>
          <w:sz w:val="13"/>
        </w:rPr>
        <w:t>4</w:t>
      </w:r>
      <w:r>
        <w:rPr>
          <w:rFonts w:ascii="Times New Roman" w:eastAsia="Times New Roman"/>
          <w:spacing w:val="10"/>
          <w:position w:val="7"/>
          <w:sz w:val="13"/>
        </w:rPr>
        <w:t> </w:t>
      </w:r>
      <w:r>
        <w:rPr>
          <w:spacing w:val="16"/>
          <w:sz w:val="21"/>
        </w:rPr>
        <w:t>行政訴訟法</w:t>
      </w:r>
      <w:r>
        <w:rPr>
          <w:spacing w:val="31"/>
          <w:w w:val="95"/>
          <w:sz w:val="21"/>
        </w:rPr>
        <w:t>第</w:t>
      </w:r>
      <w:r>
        <w:rPr>
          <w:rFonts w:ascii="Arial" w:eastAsia="Arial"/>
          <w:w w:val="95"/>
          <w:sz w:val="25"/>
        </w:rPr>
        <w:t>5</w:t>
      </w:r>
      <w:r>
        <w:rPr>
          <w:spacing w:val="21"/>
          <w:w w:val="95"/>
          <w:sz w:val="21"/>
        </w:rPr>
        <w:t>條 第</w:t>
      </w:r>
      <w:r>
        <w:rPr>
          <w:rFonts w:ascii="Arial" w:eastAsia="Arial"/>
          <w:w w:val="95"/>
          <w:sz w:val="25"/>
        </w:rPr>
        <w:t>2</w:t>
      </w:r>
      <w:r>
        <w:rPr>
          <w:spacing w:val="4"/>
          <w:sz w:val="21"/>
        </w:rPr>
        <w:t>項規定：「人民因 中央或地方機關對其依法申請之案件 </w:t>
      </w:r>
      <w:r>
        <w:rPr>
          <w:spacing w:val="-33"/>
          <w:w w:val="95"/>
          <w:sz w:val="21"/>
        </w:rPr>
        <w:t>， </w:t>
      </w:r>
      <w:r>
        <w:rPr>
          <w:spacing w:val="12"/>
          <w:sz w:val="21"/>
        </w:rPr>
        <w:t>予以駁</w:t>
      </w:r>
      <w:r>
        <w:rPr>
          <w:w w:val="105"/>
          <w:sz w:val="21"/>
        </w:rPr>
        <w:t>回，認為其權利或法律上利益受違法損害者，經依訴願程序後，得向高等行政法浣   </w:t>
      </w:r>
      <w:r>
        <w:rPr>
          <w:spacing w:val="83"/>
          <w:w w:val="105"/>
          <w:sz w:val="21"/>
        </w:rPr>
        <w:t> </w:t>
      </w:r>
      <w:r>
        <w:rPr>
          <w:w w:val="105"/>
          <w:sz w:val="21"/>
        </w:rPr>
        <w:t>提超請求該機關應為行政處分或應為特定內容之行政處分之訴訟」，可資參照。</w:t>
      </w:r>
    </w:p>
    <w:p>
      <w:pPr>
        <w:spacing w:after="0" w:line="276" w:lineRule="auto"/>
        <w:jc w:val="both"/>
        <w:rPr>
          <w:sz w:val="21"/>
        </w:rPr>
        <w:sectPr>
          <w:pgSz w:w="11910" w:h="16840"/>
          <w:pgMar w:header="862" w:footer="1017" w:top="1060" w:bottom="1200" w:left="1120" w:right="1060"/>
        </w:sectPr>
      </w:pPr>
    </w:p>
    <w:p>
      <w:pPr>
        <w:pStyle w:val="BodyText"/>
        <w:spacing w:before="11"/>
        <w:rPr>
          <w:sz w:val="28"/>
        </w:rPr>
      </w:pPr>
    </w:p>
    <w:p>
      <w:pPr>
        <w:pStyle w:val="BodyText"/>
        <w:spacing w:line="314" w:lineRule="auto" w:before="65"/>
        <w:ind w:left="301" w:right="486" w:firstLine="13"/>
      </w:pPr>
      <w:r>
        <w:rPr/>
        <w:t>陞遷案件，予以否准，認為損害其権利或利益者，無從提超課予義務復審，  </w:t>
      </w:r>
      <w:r>
        <w:rPr>
          <w:spacing w:val="56"/>
        </w:rPr>
        <w:t> </w:t>
      </w:r>
      <w:r>
        <w:rPr>
          <w:spacing w:val="17"/>
        </w:rPr>
        <w:t>僅得依公務人員保障法第 </w:t>
      </w:r>
      <w:r>
        <w:rPr>
          <w:rFonts w:ascii="Times New Roman" w:eastAsia="Times New Roman"/>
          <w:sz w:val="30"/>
        </w:rPr>
        <w:t>25</w:t>
      </w:r>
      <w:r>
        <w:rPr>
          <w:rFonts w:ascii="Times New Roman" w:eastAsia="Times New Roman"/>
          <w:spacing w:val="50"/>
          <w:sz w:val="30"/>
        </w:rPr>
        <w:t> </w:t>
      </w:r>
      <w:r>
        <w:rPr>
          <w:spacing w:val="25"/>
        </w:rPr>
        <w:t>條第 </w:t>
      </w:r>
      <w:r>
        <w:rPr>
          <w:rFonts w:ascii="Times New Roman" w:eastAsia="Times New Roman"/>
          <w:sz w:val="30"/>
        </w:rPr>
        <w:t>l</w:t>
      </w:r>
      <w:r>
        <w:rPr>
          <w:rFonts w:ascii="Times New Roman" w:eastAsia="Times New Roman"/>
          <w:spacing w:val="84"/>
          <w:sz w:val="30"/>
        </w:rPr>
        <w:t> </w:t>
      </w:r>
      <w:r>
        <w:rPr>
          <w:spacing w:val="13"/>
        </w:rPr>
        <w:t>項前段規定請求保訓會撤銷未獲陞任</w:t>
      </w:r>
      <w:r>
        <w:rPr/>
        <w:t>之處分。</w:t>
      </w:r>
    </w:p>
    <w:p>
      <w:pPr>
        <w:pStyle w:val="BodyText"/>
        <w:spacing w:line="331" w:lineRule="auto" w:before="25"/>
        <w:ind w:left="313" w:right="507" w:firstLine="550"/>
        <w:jc w:val="both"/>
      </w:pPr>
      <w:r>
        <w:rPr>
          <w:w w:val="110"/>
        </w:rPr>
        <w:t>原處分機關對於復審人依法申請之陞遷案件，於法定期間內應作為而不作為，損害其權利或利益者，復審人得向保訓會提超課予義務復審，請求命怠為處分之機關應對其作成陞遷處分。此時，與復審人競爭該職務之第三人應如何保障其權益？</w:t>
      </w:r>
    </w:p>
    <w:p>
      <w:pPr>
        <w:pStyle w:val="Heading5"/>
        <w:spacing w:before="66"/>
        <w:ind w:left="1176"/>
        <w:jc w:val="both"/>
        <w:rPr>
          <w:rFonts w:ascii="SimSun" w:eastAsia="SimSun" w:hint="eastAsia"/>
        </w:rPr>
      </w:pPr>
      <w:bookmarkStart w:name="_bookmark6" w:id="7"/>
      <w:bookmarkEnd w:id="7"/>
      <w:r>
        <w:rPr/>
      </w:r>
      <w:r>
        <w:rPr>
          <w:rFonts w:ascii="SimSun" w:eastAsia="SimSun" w:hint="eastAsia"/>
          <w:w w:val="115"/>
        </w:rPr>
        <w:t>第三節  以噹事人之身分或第三人之身分尋求救濟</w:t>
      </w:r>
    </w:p>
    <w:p>
      <w:pPr>
        <w:pStyle w:val="BodyText"/>
        <w:spacing w:before="5"/>
        <w:rPr>
          <w:sz w:val="22"/>
        </w:rPr>
      </w:pPr>
    </w:p>
    <w:p>
      <w:pPr>
        <w:pStyle w:val="BodyText"/>
        <w:spacing w:line="331" w:lineRule="auto"/>
        <w:ind w:left="303" w:right="521" w:firstLine="562"/>
      </w:pPr>
      <w:r>
        <w:rPr>
          <w:w w:val="110"/>
        </w:rPr>
        <w:t>如前所述，競爭者事件之復審程序中，多有涉及復審人以外第三人之權益者。此等競爭者應如何保障其権益？</w:t>
      </w:r>
    </w:p>
    <w:p>
      <w:pPr>
        <w:pStyle w:val="BodyText"/>
        <w:spacing w:line="331" w:lineRule="auto"/>
        <w:ind w:left="302" w:right="499" w:firstLine="572"/>
        <w:jc w:val="both"/>
      </w:pPr>
      <w:r>
        <w:rPr>
          <w:w w:val="110"/>
        </w:rPr>
        <w:t>前逑案例中，固不乏競爭者得以自己名義提超復審以尋求救濟者。例如：復審人以人事主管機關對於第三人（競爭者）所作成之許可處分為對象，提超撒銷復審者，其他競爭者亦可能對於該許可處分不服，提超撤銷復審。惟在競爭者權益衝突最為激烈之情形，即復審人以人事主管機關對於第三人（競爭者）所作成之許可處分為對象，提超撤銷復審者，如其復審為合法，已獲許可處分之人應如何保障其権益之情形，其應如何保障其權益？</w:t>
      </w:r>
    </w:p>
    <w:p>
      <w:pPr>
        <w:pStyle w:val="BodyText"/>
        <w:spacing w:line="328" w:lineRule="auto"/>
        <w:ind w:left="316" w:right="514" w:firstLine="546"/>
      </w:pPr>
      <w:r>
        <w:rPr>
          <w:w w:val="110"/>
        </w:rPr>
        <w:t>按在行政法領域中，公法上法律關係常超出行政機關及其相對人之</w:t>
      </w:r>
      <w:r>
        <w:rPr>
          <w:spacing w:val="1"/>
          <w:w w:val="110"/>
        </w:rPr>
        <w:t> </w:t>
      </w:r>
      <w:r>
        <w:rPr>
          <w:w w:val="110"/>
        </w:rPr>
        <w:t>外，涉及第三人之法律上利益。以上逑復審人以人事主管機關對於第三人</w:t>
      </w:r>
    </w:p>
    <w:p>
      <w:pPr>
        <w:pStyle w:val="BodyText"/>
        <w:spacing w:line="324" w:lineRule="auto"/>
        <w:ind w:left="301" w:right="496" w:firstLine="114"/>
        <w:jc w:val="both"/>
        <w:rPr>
          <w:rFonts w:ascii="Arial" w:eastAsia="Arial"/>
          <w:sz w:val="8"/>
        </w:rPr>
      </w:pPr>
      <w:r>
        <w:rPr>
          <w:w w:val="105"/>
        </w:rPr>
        <w:t>（競爭者）所作成之許可處分為對象，提超撤銷復審之情形為例，若由實</w:t>
      </w:r>
      <w:r>
        <w:rPr>
          <w:spacing w:val="26"/>
          <w:w w:val="105"/>
        </w:rPr>
        <w:t> </w:t>
      </w:r>
      <w:r>
        <w:rPr>
          <w:w w:val="105"/>
        </w:rPr>
        <w:t>體法之面向觀之，該第三人（競爭者）始為復審人之權利義務相對人，其 </w:t>
      </w:r>
      <w:r>
        <w:rPr>
          <w:spacing w:val="21"/>
          <w:w w:val="105"/>
        </w:rPr>
        <w:t> </w:t>
      </w:r>
      <w:r>
        <w:rPr>
          <w:spacing w:val="-11"/>
        </w:rPr>
        <w:t>為實 質 意義之 噹事 人 </w:t>
      </w:r>
      <w:r>
        <w:rPr>
          <w:rFonts w:ascii="Times New Roman" w:eastAsia="Times New Roman"/>
          <w:sz w:val="29"/>
        </w:rPr>
        <w:t>(mat</w:t>
      </w:r>
      <w:r>
        <w:rPr>
          <w:rFonts w:ascii="Times New Roman" w:eastAsia="Times New Roman"/>
          <w:spacing w:val="-18"/>
          <w:sz w:val="29"/>
        </w:rPr>
        <w:t> </w:t>
      </w:r>
      <w:r>
        <w:rPr>
          <w:rFonts w:ascii="Times New Roman" w:eastAsia="Times New Roman"/>
          <w:sz w:val="29"/>
        </w:rPr>
        <w:t>er</w:t>
      </w:r>
      <w:r>
        <w:rPr>
          <w:rFonts w:ascii="Times New Roman" w:eastAsia="Times New Roman"/>
          <w:spacing w:val="-7"/>
          <w:sz w:val="29"/>
        </w:rPr>
        <w:t> </w:t>
      </w:r>
      <w:r>
        <w:rPr>
          <w:rFonts w:ascii="Times New Roman" w:eastAsia="Times New Roman"/>
          <w:spacing w:val="19"/>
          <w:sz w:val="29"/>
        </w:rPr>
        <w:t>iel</w:t>
      </w:r>
      <w:r>
        <w:rPr>
          <w:rFonts w:ascii="Times New Roman" w:eastAsia="Times New Roman"/>
          <w:spacing w:val="-13"/>
          <w:sz w:val="29"/>
        </w:rPr>
        <w:t> </w:t>
      </w:r>
      <w:r>
        <w:rPr>
          <w:rFonts w:ascii="Times New Roman" w:eastAsia="Times New Roman"/>
          <w:sz w:val="29"/>
        </w:rPr>
        <w:t>l</w:t>
      </w:r>
      <w:r>
        <w:rPr>
          <w:rFonts w:ascii="Times New Roman" w:eastAsia="Times New Roman"/>
          <w:spacing w:val="-27"/>
          <w:sz w:val="29"/>
        </w:rPr>
        <w:t> </w:t>
      </w:r>
      <w:r>
        <w:rPr>
          <w:rFonts w:ascii="Times New Roman" w:eastAsia="Times New Roman"/>
          <w:sz w:val="29"/>
        </w:rPr>
        <w:t>recht</w:t>
      </w:r>
      <w:r>
        <w:rPr>
          <w:rFonts w:ascii="Times New Roman" w:eastAsia="Times New Roman"/>
          <w:spacing w:val="7"/>
          <w:sz w:val="29"/>
        </w:rPr>
        <w:t> </w:t>
      </w:r>
      <w:r>
        <w:rPr>
          <w:rFonts w:ascii="Times New Roman" w:eastAsia="Times New Roman"/>
          <w:sz w:val="29"/>
        </w:rPr>
        <w:t>l</w:t>
      </w:r>
      <w:r>
        <w:rPr>
          <w:rFonts w:ascii="Times New Roman" w:eastAsia="Times New Roman"/>
          <w:spacing w:val="-14"/>
          <w:sz w:val="29"/>
        </w:rPr>
        <w:t> </w:t>
      </w:r>
      <w:r>
        <w:rPr>
          <w:rFonts w:ascii="Times New Roman" w:eastAsia="Times New Roman"/>
          <w:sz w:val="29"/>
        </w:rPr>
        <w:t>iche</w:t>
      </w:r>
      <w:r>
        <w:rPr>
          <w:rFonts w:ascii="Times New Roman" w:eastAsia="Times New Roman"/>
          <w:spacing w:val="41"/>
          <w:sz w:val="29"/>
        </w:rPr>
        <w:t> </w:t>
      </w:r>
      <w:r>
        <w:rPr>
          <w:rFonts w:ascii="Times New Roman" w:eastAsia="Times New Roman"/>
          <w:sz w:val="29"/>
        </w:rPr>
        <w:t>Par</w:t>
      </w:r>
      <w:r>
        <w:rPr>
          <w:rFonts w:ascii="Times New Roman" w:eastAsia="Times New Roman"/>
          <w:spacing w:val="-24"/>
          <w:sz w:val="29"/>
        </w:rPr>
        <w:t> </w:t>
      </w:r>
      <w:r>
        <w:rPr>
          <w:rFonts w:ascii="Times New Roman" w:eastAsia="Times New Roman"/>
          <w:sz w:val="29"/>
        </w:rPr>
        <w:t>t</w:t>
      </w:r>
      <w:r>
        <w:rPr>
          <w:rFonts w:ascii="Times New Roman" w:eastAsia="Times New Roman"/>
          <w:spacing w:val="-28"/>
          <w:sz w:val="29"/>
        </w:rPr>
        <w:t> </w:t>
      </w:r>
      <w:r>
        <w:rPr>
          <w:rFonts w:ascii="Times New Roman" w:eastAsia="Times New Roman"/>
          <w:spacing w:val="11"/>
          <w:sz w:val="29"/>
        </w:rPr>
        <w:t>ei</w:t>
      </w:r>
      <w:r>
        <w:rPr>
          <w:rFonts w:ascii="Times New Roman" w:eastAsia="Times New Roman"/>
          <w:spacing w:val="4"/>
          <w:sz w:val="29"/>
        </w:rPr>
        <w:t> ) </w:t>
      </w:r>
      <w:r>
        <w:rPr>
          <w:spacing w:val="8"/>
        </w:rPr>
        <w:t>。身為對造之行政</w:t>
      </w:r>
      <w:r>
        <w:rPr>
          <w:w w:val="105"/>
        </w:rPr>
        <w:t>機關，不過居於「形式上噹事人」之地位而已。第三人（競爭者）基於爭 </w:t>
      </w:r>
      <w:r>
        <w:rPr>
          <w:spacing w:val="9"/>
          <w:w w:val="105"/>
        </w:rPr>
        <w:t> </w:t>
      </w:r>
      <w:r>
        <w:rPr>
          <w:w w:val="105"/>
        </w:rPr>
        <w:t>訟結構之理由，不能成為爭訟程序之噹事人，然而復審機關之復審決定將 </w:t>
      </w:r>
      <w:r>
        <w:rPr>
          <w:spacing w:val="9"/>
          <w:w w:val="105"/>
        </w:rPr>
        <w:t> </w:t>
      </w:r>
      <w:r>
        <w:rPr>
          <w:w w:val="105"/>
        </w:rPr>
        <w:t>直接丶必然地創設、證實、確認、變更或廢棄該第三人之權利。因此，在 </w:t>
      </w:r>
      <w:r>
        <w:rPr>
          <w:spacing w:val="9"/>
          <w:w w:val="105"/>
        </w:rPr>
        <w:t> </w:t>
      </w:r>
      <w:r>
        <w:rPr>
          <w:w w:val="105"/>
        </w:rPr>
        <w:t>上逑復審程序中，勢需建構「復審參加」之制度，以保障該第三人（競爭</w:t>
      </w:r>
      <w:r>
        <w:rPr>
          <w:spacing w:val="116"/>
          <w:w w:val="105"/>
        </w:rPr>
        <w:t> </w:t>
      </w:r>
      <w:r>
        <w:rPr>
          <w:spacing w:val="24"/>
          <w:w w:val="105"/>
        </w:rPr>
        <w:t>者</w:t>
      </w:r>
      <w:r>
        <w:rPr>
          <w:w w:val="105"/>
        </w:rPr>
        <w:t>）</w:t>
      </w:r>
      <w:r>
        <w:rPr>
          <w:spacing w:val="10"/>
          <w:w w:val="105"/>
        </w:rPr>
        <w:t>之權益</w:t>
      </w:r>
      <w:r>
        <w:rPr>
          <w:rFonts w:ascii="Times New Roman" w:eastAsia="Times New Roman"/>
          <w:w w:val="90"/>
          <w:sz w:val="16"/>
        </w:rPr>
        <w:t>5</w:t>
      </w:r>
      <w:r>
        <w:rPr>
          <w:rFonts w:ascii="Times New Roman" w:eastAsia="Times New Roman"/>
          <w:spacing w:val="13"/>
          <w:w w:val="90"/>
          <w:sz w:val="16"/>
        </w:rPr>
        <w:t> </w:t>
      </w:r>
      <w:r>
        <w:rPr>
          <w:rFonts w:ascii="Arial" w:eastAsia="Arial"/>
          <w:w w:val="105"/>
          <w:sz w:val="8"/>
        </w:rPr>
        <w:t>0</w:t>
      </w:r>
    </w:p>
    <w:p>
      <w:pPr>
        <w:pStyle w:val="BodyText"/>
        <w:rPr>
          <w:rFonts w:ascii="Arial"/>
          <w:sz w:val="20"/>
        </w:rPr>
      </w:pPr>
    </w:p>
    <w:p>
      <w:pPr>
        <w:pStyle w:val="BodyText"/>
        <w:spacing w:before="9"/>
        <w:rPr>
          <w:rFonts w:ascii="Arial"/>
          <w:sz w:val="24"/>
        </w:rPr>
      </w:pPr>
      <w:r>
        <w:rPr/>
        <w:pict>
          <v:shape style="position:absolute;margin-left:95.174004pt;margin-top:16.466478pt;width:144.25pt;height:.1pt;mso-position-horizontal-relative:page;mso-position-vertical-relative:paragraph;z-index:-15672320;mso-wrap-distance-left:0;mso-wrap-distance-right:0" coordorigin="1903,329" coordsize="2885,0" path="m1903,329l4788,329e" filled="false" stroked="true" strokeweight=".480547pt" strokecolor="#000000">
            <v:path arrowok="t"/>
            <v:stroke dashstyle="solid"/>
            <w10:wrap type="topAndBottom"/>
          </v:shape>
        </w:pict>
      </w:r>
    </w:p>
    <w:p>
      <w:pPr>
        <w:pStyle w:val="BodyText"/>
        <w:rPr>
          <w:rFonts w:ascii="Arial"/>
          <w:sz w:val="12"/>
        </w:rPr>
      </w:pPr>
    </w:p>
    <w:p>
      <w:pPr>
        <w:spacing w:before="69"/>
        <w:ind w:left="298" w:right="0" w:firstLine="0"/>
        <w:jc w:val="left"/>
        <w:rPr>
          <w:sz w:val="22"/>
        </w:rPr>
      </w:pPr>
      <w:r>
        <w:rPr>
          <w:rFonts w:ascii="Times New Roman" w:eastAsia="Times New Roman"/>
          <w:w w:val="110"/>
          <w:sz w:val="22"/>
          <w:vertAlign w:val="superscript"/>
        </w:rPr>
        <w:t>5</w:t>
      </w:r>
      <w:r>
        <w:rPr>
          <w:rFonts w:ascii="Times New Roman" w:eastAsia="Times New Roman"/>
          <w:spacing w:val="28"/>
          <w:w w:val="110"/>
          <w:sz w:val="22"/>
          <w:vertAlign w:val="baseline"/>
        </w:rPr>
        <w:t> </w:t>
      </w:r>
      <w:r>
        <w:rPr>
          <w:w w:val="110"/>
          <w:sz w:val="22"/>
          <w:vertAlign w:val="baseline"/>
        </w:rPr>
        <w:t>有關行政爭訟事件中，第三人權利保護需求之問題，參閱：劉建宏，訴訟參加制度</w:t>
      </w:r>
    </w:p>
    <w:p>
      <w:pPr>
        <w:tabs>
          <w:tab w:pos="8979" w:val="left" w:leader="none"/>
        </w:tabs>
        <w:spacing w:before="8"/>
        <w:ind w:left="501" w:right="0" w:firstLine="0"/>
        <w:jc w:val="left"/>
        <w:rPr>
          <w:sz w:val="19"/>
        </w:rPr>
      </w:pPr>
      <w:r>
        <w:rPr>
          <w:spacing w:val="14"/>
          <w:w w:val="95"/>
          <w:sz w:val="22"/>
        </w:rPr>
        <w:t>在</w:t>
      </w:r>
      <w:r>
        <w:rPr>
          <w:spacing w:val="23"/>
          <w:w w:val="95"/>
          <w:sz w:val="22"/>
        </w:rPr>
        <w:t>我</w:t>
      </w:r>
      <w:r>
        <w:rPr>
          <w:w w:val="95"/>
          <w:sz w:val="22"/>
        </w:rPr>
        <w:t>國行</w:t>
      </w:r>
      <w:r>
        <w:rPr>
          <w:spacing w:val="21"/>
          <w:w w:val="95"/>
          <w:sz w:val="22"/>
        </w:rPr>
        <w:t> </w:t>
      </w:r>
      <w:r>
        <w:rPr>
          <w:w w:val="95"/>
          <w:sz w:val="22"/>
        </w:rPr>
        <w:t>政法院實務</w:t>
      </w:r>
      <w:r>
        <w:rPr>
          <w:spacing w:val="-12"/>
          <w:w w:val="95"/>
          <w:sz w:val="22"/>
        </w:rPr>
        <w:t> </w:t>
      </w:r>
      <w:r>
        <w:rPr>
          <w:w w:val="95"/>
          <w:sz w:val="22"/>
        </w:rPr>
        <w:t>上</w:t>
      </w:r>
      <w:r>
        <w:rPr>
          <w:spacing w:val="27"/>
          <w:w w:val="95"/>
          <w:sz w:val="22"/>
        </w:rPr>
        <w:t>之</w:t>
      </w:r>
      <w:r>
        <w:rPr>
          <w:spacing w:val="23"/>
          <w:w w:val="95"/>
          <w:sz w:val="22"/>
        </w:rPr>
        <w:t>適</w:t>
      </w:r>
      <w:r>
        <w:rPr>
          <w:w w:val="95"/>
          <w:sz w:val="22"/>
        </w:rPr>
        <w:t>用</w:t>
      </w:r>
      <w:r>
        <w:rPr>
          <w:spacing w:val="60"/>
          <w:w w:val="95"/>
          <w:sz w:val="22"/>
        </w:rPr>
        <w:t> </w:t>
      </w:r>
      <w:r>
        <w:rPr>
          <w:w w:val="95"/>
          <w:sz w:val="22"/>
        </w:rPr>
        <w:t>，</w:t>
      </w:r>
      <w:r>
        <w:rPr>
          <w:spacing w:val="-58"/>
          <w:w w:val="95"/>
          <w:sz w:val="22"/>
        </w:rPr>
        <w:t> </w:t>
      </w:r>
      <w:r>
        <w:rPr>
          <w:w w:val="95"/>
          <w:sz w:val="22"/>
        </w:rPr>
        <w:t>載：基本人權保</w:t>
      </w:r>
      <w:r>
        <w:rPr>
          <w:spacing w:val="21"/>
          <w:w w:val="95"/>
          <w:sz w:val="22"/>
        </w:rPr>
        <w:t>障</w:t>
      </w:r>
      <w:r>
        <w:rPr>
          <w:w w:val="95"/>
          <w:sz w:val="22"/>
        </w:rPr>
        <w:t>與</w:t>
      </w:r>
      <w:r>
        <w:rPr>
          <w:spacing w:val="17"/>
          <w:w w:val="95"/>
          <w:sz w:val="22"/>
        </w:rPr>
        <w:t>行</w:t>
      </w:r>
      <w:r>
        <w:rPr>
          <w:w w:val="95"/>
          <w:sz w:val="22"/>
        </w:rPr>
        <w:t>政</w:t>
      </w:r>
      <w:r>
        <w:rPr>
          <w:spacing w:val="14"/>
          <w:w w:val="95"/>
          <w:sz w:val="22"/>
        </w:rPr>
        <w:t>救</w:t>
      </w:r>
      <w:r>
        <w:rPr>
          <w:w w:val="95"/>
          <w:sz w:val="22"/>
        </w:rPr>
        <w:t>濟途很</w:t>
      </w:r>
      <w:r>
        <w:rPr>
          <w:spacing w:val="28"/>
          <w:w w:val="95"/>
          <w:sz w:val="22"/>
        </w:rPr>
        <w:t> </w:t>
      </w:r>
      <w:r>
        <w:rPr>
          <w:w w:val="95"/>
          <w:sz w:val="22"/>
        </w:rPr>
        <w:t>，</w:t>
      </w:r>
      <w:r>
        <w:rPr>
          <w:spacing w:val="-45"/>
          <w:w w:val="95"/>
          <w:sz w:val="22"/>
        </w:rPr>
        <w:t> </w:t>
      </w:r>
      <w:r>
        <w:rPr>
          <w:spacing w:val="14"/>
          <w:w w:val="95"/>
          <w:sz w:val="22"/>
        </w:rPr>
        <w:t>頁</w:t>
      </w:r>
      <w:r>
        <w:rPr>
          <w:rFonts w:ascii="Times New Roman" w:eastAsia="Times New Roman"/>
          <w:w w:val="95"/>
          <w:sz w:val="26"/>
        </w:rPr>
        <w:t>176-17,8</w:t>
        <w:tab/>
      </w:r>
      <w:r>
        <w:rPr>
          <w:w w:val="95"/>
          <w:sz w:val="19"/>
        </w:rPr>
        <w:t>元</w:t>
      </w:r>
    </w:p>
    <w:p>
      <w:pPr>
        <w:spacing w:before="12"/>
        <w:ind w:left="514" w:right="0" w:firstLine="0"/>
        <w:jc w:val="left"/>
        <w:rPr>
          <w:sz w:val="20"/>
        </w:rPr>
      </w:pPr>
      <w:r>
        <w:rPr>
          <w:spacing w:val="9"/>
          <w:w w:val="85"/>
          <w:sz w:val="20"/>
        </w:rPr>
        <w:t>照 出版公 司 ， </w:t>
      </w:r>
      <w:r>
        <w:rPr>
          <w:rFonts w:ascii="Times New Roman" w:eastAsia="Times New Roman"/>
          <w:w w:val="85"/>
          <w:sz w:val="26"/>
        </w:rPr>
        <w:t>2007</w:t>
      </w:r>
      <w:r>
        <w:rPr>
          <w:rFonts w:ascii="Times New Roman" w:eastAsia="Times New Roman"/>
          <w:spacing w:val="6"/>
          <w:w w:val="85"/>
          <w:sz w:val="26"/>
        </w:rPr>
        <w:t> </w:t>
      </w:r>
      <w:r>
        <w:rPr>
          <w:w w:val="85"/>
          <w:sz w:val="21"/>
        </w:rPr>
        <w:t>年</w:t>
      </w:r>
      <w:r>
        <w:rPr>
          <w:rFonts w:ascii="Times New Roman" w:eastAsia="Times New Roman"/>
          <w:w w:val="85"/>
          <w:sz w:val="26"/>
        </w:rPr>
        <w:t>9</w:t>
      </w:r>
      <w:r>
        <w:rPr>
          <w:rFonts w:ascii="Times New Roman" w:eastAsia="Times New Roman"/>
          <w:spacing w:val="-28"/>
          <w:w w:val="85"/>
          <w:sz w:val="26"/>
        </w:rPr>
        <w:t> </w:t>
      </w:r>
      <w:r>
        <w:rPr>
          <w:spacing w:val="6"/>
          <w:w w:val="85"/>
          <w:sz w:val="20"/>
        </w:rPr>
        <w:t>月 。</w:t>
      </w:r>
    </w:p>
    <w:p>
      <w:pPr>
        <w:spacing w:after="0"/>
        <w:jc w:val="left"/>
        <w:rPr>
          <w:sz w:val="20"/>
        </w:rPr>
        <w:sectPr>
          <w:pgSz w:w="11910" w:h="16840"/>
          <w:pgMar w:header="862" w:footer="1017" w:top="1060" w:bottom="1200" w:left="1120" w:right="1060"/>
        </w:sectPr>
      </w:pPr>
    </w:p>
    <w:p>
      <w:pPr>
        <w:pStyle w:val="BodyText"/>
        <w:spacing w:line="240" w:lineRule="exact"/>
        <w:ind w:left="7209"/>
        <w:rPr>
          <w:sz w:val="20"/>
        </w:rPr>
      </w:pPr>
      <w:r>
        <w:rPr>
          <w:position w:val="-4"/>
          <w:sz w:val="20"/>
        </w:rPr>
        <w:drawing>
          <wp:inline distT="0" distB="0" distL="0" distR="0">
            <wp:extent cx="1524380" cy="152400"/>
            <wp:effectExtent l="0" t="0" r="0" b="0"/>
            <wp:docPr id="229" name="image140.png"/>
            <wp:cNvGraphicFramePr>
              <a:graphicFrameLocks noChangeAspect="1"/>
            </wp:cNvGraphicFramePr>
            <a:graphic>
              <a:graphicData uri="http://schemas.openxmlformats.org/drawingml/2006/picture">
                <pic:pic>
                  <pic:nvPicPr>
                    <pic:cNvPr id="230" name="image140.png"/>
                    <pic:cNvPicPr/>
                  </pic:nvPicPr>
                  <pic:blipFill>
                    <a:blip r:embed="rId146" cstate="print"/>
                    <a:stretch>
                      <a:fillRect/>
                    </a:stretch>
                  </pic:blipFill>
                  <pic:spPr>
                    <a:xfrm>
                      <a:off x="0" y="0"/>
                      <a:ext cx="1524380" cy="152400"/>
                    </a:xfrm>
                    <a:prstGeom prst="rect">
                      <a:avLst/>
                    </a:prstGeom>
                  </pic:spPr>
                </pic:pic>
              </a:graphicData>
            </a:graphic>
          </wp:inline>
        </w:drawing>
      </w:r>
      <w:r>
        <w:rPr>
          <w:position w:val="-4"/>
          <w:sz w:val="20"/>
        </w:rPr>
      </w:r>
    </w:p>
    <w:p>
      <w:pPr>
        <w:pStyle w:val="BodyText"/>
        <w:rPr>
          <w:sz w:val="20"/>
        </w:rPr>
      </w:pPr>
    </w:p>
    <w:p>
      <w:pPr>
        <w:pStyle w:val="BodyText"/>
        <w:rPr>
          <w:sz w:val="12"/>
        </w:rPr>
      </w:pPr>
      <w:r>
        <w:rPr/>
        <w:drawing>
          <wp:anchor distT="0" distB="0" distL="0" distR="0" allowOverlap="1" layoutInCell="1" locked="0" behindDoc="0" simplePos="0" relativeHeight="111">
            <wp:simplePos x="0" y="0"/>
            <wp:positionH relativeFrom="page">
              <wp:posOffset>1256080</wp:posOffset>
            </wp:positionH>
            <wp:positionV relativeFrom="paragraph">
              <wp:posOffset>122523</wp:posOffset>
            </wp:positionV>
            <wp:extent cx="5460746" cy="178307"/>
            <wp:effectExtent l="0" t="0" r="0" b="0"/>
            <wp:wrapTopAndBottom/>
            <wp:docPr id="231" name="image213.png"/>
            <wp:cNvGraphicFramePr>
              <a:graphicFrameLocks noChangeAspect="1"/>
            </wp:cNvGraphicFramePr>
            <a:graphic>
              <a:graphicData uri="http://schemas.openxmlformats.org/drawingml/2006/picture">
                <pic:pic>
                  <pic:nvPicPr>
                    <pic:cNvPr id="232" name="image213.png"/>
                    <pic:cNvPicPr/>
                  </pic:nvPicPr>
                  <pic:blipFill>
                    <a:blip r:embed="rId223" cstate="print"/>
                    <a:stretch>
                      <a:fillRect/>
                    </a:stretch>
                  </pic:blipFill>
                  <pic:spPr>
                    <a:xfrm>
                      <a:off x="0" y="0"/>
                      <a:ext cx="5460746" cy="178307"/>
                    </a:xfrm>
                    <a:prstGeom prst="rect">
                      <a:avLst/>
                    </a:prstGeom>
                  </pic:spPr>
                </pic:pic>
              </a:graphicData>
            </a:graphic>
          </wp:anchor>
        </w:drawing>
      </w:r>
      <w:r>
        <w:rPr/>
        <w:drawing>
          <wp:anchor distT="0" distB="0" distL="0" distR="0" allowOverlap="1" layoutInCell="1" locked="0" behindDoc="0" simplePos="0" relativeHeight="112">
            <wp:simplePos x="0" y="0"/>
            <wp:positionH relativeFrom="page">
              <wp:posOffset>900988</wp:posOffset>
            </wp:positionH>
            <wp:positionV relativeFrom="paragraph">
              <wp:posOffset>401415</wp:posOffset>
            </wp:positionV>
            <wp:extent cx="5816219" cy="178307"/>
            <wp:effectExtent l="0" t="0" r="0" b="0"/>
            <wp:wrapTopAndBottom/>
            <wp:docPr id="233" name="image214.png"/>
            <wp:cNvGraphicFramePr>
              <a:graphicFrameLocks noChangeAspect="1"/>
            </wp:cNvGraphicFramePr>
            <a:graphic>
              <a:graphicData uri="http://schemas.openxmlformats.org/drawingml/2006/picture">
                <pic:pic>
                  <pic:nvPicPr>
                    <pic:cNvPr id="234" name="image214.png"/>
                    <pic:cNvPicPr/>
                  </pic:nvPicPr>
                  <pic:blipFill>
                    <a:blip r:embed="rId224"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113">
            <wp:simplePos x="0" y="0"/>
            <wp:positionH relativeFrom="page">
              <wp:posOffset>900988</wp:posOffset>
            </wp:positionH>
            <wp:positionV relativeFrom="paragraph">
              <wp:posOffset>681831</wp:posOffset>
            </wp:positionV>
            <wp:extent cx="2667127" cy="178307"/>
            <wp:effectExtent l="0" t="0" r="0" b="0"/>
            <wp:wrapTopAndBottom/>
            <wp:docPr id="235" name="image215.png"/>
            <wp:cNvGraphicFramePr>
              <a:graphicFrameLocks noChangeAspect="1"/>
            </wp:cNvGraphicFramePr>
            <a:graphic>
              <a:graphicData uri="http://schemas.openxmlformats.org/drawingml/2006/picture">
                <pic:pic>
                  <pic:nvPicPr>
                    <pic:cNvPr id="236" name="image215.png"/>
                    <pic:cNvPicPr/>
                  </pic:nvPicPr>
                  <pic:blipFill>
                    <a:blip r:embed="rId225" cstate="print"/>
                    <a:stretch>
                      <a:fillRect/>
                    </a:stretch>
                  </pic:blipFill>
                  <pic:spPr>
                    <a:xfrm>
                      <a:off x="0" y="0"/>
                      <a:ext cx="2667127" cy="178307"/>
                    </a:xfrm>
                    <a:prstGeom prst="rect">
                      <a:avLst/>
                    </a:prstGeom>
                  </pic:spPr>
                </pic:pic>
              </a:graphicData>
            </a:graphic>
          </wp:anchor>
        </w:drawing>
      </w:r>
    </w:p>
    <w:p>
      <w:pPr>
        <w:pStyle w:val="BodyText"/>
        <w:rPr>
          <w:sz w:val="7"/>
        </w:rPr>
      </w:pPr>
    </w:p>
    <w:p>
      <w:pPr>
        <w:pStyle w:val="BodyText"/>
        <w:spacing w:before="3"/>
        <w:rPr>
          <w:sz w:val="7"/>
        </w:rPr>
      </w:pPr>
    </w:p>
    <w:p>
      <w:pPr>
        <w:spacing w:after="0"/>
        <w:rPr>
          <w:sz w:val="7"/>
        </w:rPr>
        <w:sectPr>
          <w:headerReference w:type="default" r:id="rId221"/>
          <w:footerReference w:type="default" r:id="rId222"/>
          <w:pgSz w:w="11910" w:h="16840"/>
          <w:pgMar w:header="0" w:footer="937" w:top="860" w:bottom="1120" w:left="1120" w:right="1060"/>
        </w:sectPr>
      </w:pPr>
    </w:p>
    <w:p>
      <w:pPr>
        <w:pStyle w:val="BodyText"/>
        <w:rPr>
          <w:sz w:val="20"/>
        </w:rPr>
      </w:pPr>
    </w:p>
    <w:p>
      <w:pPr>
        <w:pStyle w:val="Heading2"/>
        <w:tabs>
          <w:tab w:pos="1504" w:val="left" w:leader="none"/>
        </w:tabs>
        <w:spacing w:before="222"/>
        <w:ind w:right="176"/>
      </w:pPr>
      <w:bookmarkStart w:name="_bookmark7" w:id="8"/>
      <w:bookmarkEnd w:id="8"/>
      <w:r>
        <w:rPr/>
      </w:r>
      <w:r>
        <w:rPr>
          <w:w w:val="115"/>
        </w:rPr>
        <w:t>第三章</w:t>
        <w:tab/>
      </w:r>
      <w:r>
        <w:rPr>
          <w:w w:val="110"/>
        </w:rPr>
        <w:t>行政程序及行政爭訟程序中第三人權利保護之</w:t>
      </w:r>
    </w:p>
    <w:p>
      <w:pPr>
        <w:pStyle w:val="BodyText"/>
        <w:spacing w:before="8"/>
        <w:rPr>
          <w:sz w:val="24"/>
        </w:rPr>
      </w:pPr>
    </w:p>
    <w:p>
      <w:pPr>
        <w:spacing w:before="0"/>
        <w:ind w:left="1892" w:right="549" w:firstLine="0"/>
        <w:jc w:val="center"/>
        <w:rPr>
          <w:sz w:val="32"/>
        </w:rPr>
      </w:pPr>
      <w:r>
        <w:rPr>
          <w:w w:val="110"/>
          <w:sz w:val="32"/>
        </w:rPr>
        <w:t>制度</w:t>
      </w:r>
    </w:p>
    <w:p>
      <w:pPr>
        <w:pStyle w:val="BodyText"/>
        <w:spacing w:line="328" w:lineRule="auto" w:before="265"/>
        <w:ind w:left="308" w:right="511" w:firstLine="552"/>
        <w:jc w:val="both"/>
      </w:pPr>
      <w:r>
        <w:rPr>
          <w:w w:val="110"/>
        </w:rPr>
        <w:t>行政程序中，多有涉及第三人權益者。我國行政程序法對於第三人之程序參與權，亦有規定加以保障。至於行政爭訟之程序，最為重要著，即為訴願及行政訴訟。訴願法及行政訴訟法中，均設有保護第三人権益之程序參加制度，即訴願法上之訴願參加及行政訴訟法上之訴訟參加。本章擬先論述此行政程序法、訴願法及行政訴訟法上程序參加制度之重要內容。</w:t>
      </w:r>
    </w:p>
    <w:p>
      <w:pPr>
        <w:tabs>
          <w:tab w:pos="1405" w:val="left" w:leader="none"/>
        </w:tabs>
        <w:spacing w:before="63"/>
        <w:ind w:left="0" w:right="222" w:firstLine="0"/>
        <w:jc w:val="center"/>
        <w:rPr>
          <w:sz w:val="28"/>
        </w:rPr>
      </w:pPr>
      <w:bookmarkStart w:name="_bookmark8" w:id="9"/>
      <w:bookmarkEnd w:id="9"/>
      <w:r>
        <w:rPr/>
      </w:r>
      <w:r>
        <w:rPr>
          <w:w w:val="105"/>
          <w:sz w:val="31"/>
        </w:rPr>
        <w:t>第一節</w:t>
        <w:tab/>
      </w:r>
      <w:r>
        <w:rPr>
          <w:w w:val="105"/>
          <w:sz w:val="28"/>
        </w:rPr>
        <w:t>行政程序參加</w:t>
      </w:r>
    </w:p>
    <w:p>
      <w:pPr>
        <w:pStyle w:val="BodyText"/>
        <w:spacing w:line="321" w:lineRule="auto" w:before="255"/>
        <w:ind w:left="310" w:right="521" w:firstLine="550"/>
        <w:jc w:val="both"/>
      </w:pPr>
      <w:r>
        <w:rPr>
          <w:spacing w:val="15"/>
        </w:rPr>
        <w:t>行政程序法第 </w:t>
      </w:r>
      <w:r>
        <w:rPr>
          <w:rFonts w:ascii="Arial" w:eastAsia="Arial"/>
          <w:w w:val="95"/>
          <w:sz w:val="28"/>
        </w:rPr>
        <w:t>23</w:t>
      </w:r>
      <w:r>
        <w:rPr>
          <w:rFonts w:ascii="Arial" w:eastAsia="Arial"/>
          <w:spacing w:val="54"/>
          <w:w w:val="95"/>
          <w:sz w:val="28"/>
        </w:rPr>
        <w:t> </w:t>
      </w:r>
      <w:r>
        <w:rPr>
          <w:spacing w:val="6"/>
        </w:rPr>
        <w:t>條規定：</w:t>
      </w:r>
      <w:r>
        <w:rPr/>
        <w:t>「因程 序之進行將影響第三 人之権利或法律</w:t>
      </w:r>
      <w:r>
        <w:rPr>
          <w:w w:val="105"/>
        </w:rPr>
        <w:t>上利益者，行政機關得依職權或依申請，通知其參加為當事人」。依本條</w:t>
      </w:r>
      <w:r>
        <w:rPr>
          <w:spacing w:val="106"/>
          <w:w w:val="105"/>
        </w:rPr>
        <w:t> </w:t>
      </w:r>
      <w:r>
        <w:rPr>
          <w:w w:val="105"/>
        </w:rPr>
        <w:t>之規定參加行政程序者，取得行政程序噹事人之地位。是以行政程序法第</w:t>
      </w:r>
      <w:r>
        <w:rPr>
          <w:spacing w:val="83"/>
          <w:w w:val="105"/>
        </w:rPr>
        <w:t> </w:t>
      </w:r>
      <w:r>
        <w:rPr>
          <w:rFonts w:ascii="Times New Roman" w:eastAsia="Times New Roman"/>
          <w:w w:val="95"/>
          <w:sz w:val="30"/>
        </w:rPr>
        <w:t>20</w:t>
      </w:r>
      <w:r>
        <w:rPr>
          <w:rFonts w:ascii="Times New Roman" w:eastAsia="Times New Roman"/>
          <w:spacing w:val="28"/>
          <w:w w:val="95"/>
          <w:sz w:val="30"/>
        </w:rPr>
        <w:t> </w:t>
      </w:r>
      <w:r>
        <w:rPr>
          <w:spacing w:val="17"/>
        </w:rPr>
        <w:t>條所規定之噹事人 </w:t>
      </w:r>
      <w:r>
        <w:rPr>
          <w:spacing w:val="-11"/>
          <w:w w:val="95"/>
        </w:rPr>
        <w:t>， </w:t>
      </w:r>
      <w:r>
        <w:rPr>
          <w:spacing w:val="8"/>
        </w:rPr>
        <w:t>亦包括「其他依本法規定參加行政程序之人」。</w:t>
      </w:r>
    </w:p>
    <w:p>
      <w:pPr>
        <w:pStyle w:val="BodyText"/>
        <w:spacing w:line="328" w:lineRule="auto" w:before="8"/>
        <w:ind w:left="302" w:right="510" w:firstLine="574"/>
        <w:jc w:val="both"/>
      </w:pPr>
      <w:r>
        <w:rPr>
          <w:w w:val="110"/>
        </w:rPr>
        <w:t>惟行政程序法上對於程序參加制度之內容，規定甚少。既未區分程序參加之類型，又未規定參加人之程序上權利義務關係。參加人得否處分行政程序之標的，如撒回行政程序、與對造噹事人和解？參加人之程序行為與其他當事人不一致時，如參加人之陳述不利於申請人或處分相對人，其效力如何？又參加人是否限於以輔助噹事人一造（如：申請人、行政處分相對人）為目的而參加行政程序，抑或得以交替對抗兩造噹事人？凡此間題，行政程序法上均無規定。行政程序法上之程序參加制度，其內容可謂十分空洞。</w:t>
      </w:r>
    </w:p>
    <w:p>
      <w:pPr>
        <w:tabs>
          <w:tab w:pos="1413" w:val="left" w:leader="none"/>
        </w:tabs>
        <w:spacing w:before="62"/>
        <w:ind w:left="0" w:right="203" w:firstLine="0"/>
        <w:jc w:val="center"/>
        <w:rPr>
          <w:sz w:val="28"/>
        </w:rPr>
      </w:pPr>
      <w:bookmarkStart w:name="_bookmark9" w:id="10"/>
      <w:bookmarkEnd w:id="10"/>
      <w:r>
        <w:rPr/>
      </w:r>
      <w:r>
        <w:rPr>
          <w:w w:val="105"/>
          <w:sz w:val="31"/>
        </w:rPr>
        <w:t>第二節</w:t>
        <w:tab/>
      </w:r>
      <w:r>
        <w:rPr>
          <w:w w:val="105"/>
          <w:sz w:val="28"/>
        </w:rPr>
        <w:t>訴願參加</w:t>
      </w:r>
    </w:p>
    <w:p>
      <w:pPr>
        <w:pStyle w:val="BodyText"/>
        <w:spacing w:before="4"/>
        <w:rPr>
          <w:sz w:val="21"/>
        </w:rPr>
      </w:pPr>
    </w:p>
    <w:p>
      <w:pPr>
        <w:pStyle w:val="BodyText"/>
        <w:spacing w:line="328" w:lineRule="auto"/>
        <w:ind w:left="302" w:right="517" w:firstLine="566"/>
        <w:jc w:val="both"/>
      </w:pPr>
      <w:r>
        <w:rPr>
          <w:w w:val="110"/>
        </w:rPr>
        <w:t>訴願參加者，訴願人以外之第三人，為維護其權益，經受理訴願機關之允許，或由受理訴願機關依職權通知，參加訴願程序之謂。訴願程序，</w:t>
      </w:r>
      <w:r>
        <w:rPr>
          <w:spacing w:val="-136"/>
          <w:w w:val="110"/>
        </w:rPr>
        <w:t> </w:t>
      </w:r>
      <w:r>
        <w:rPr>
          <w:w w:val="110"/>
        </w:rPr>
        <w:t>固然關涉訴願噹事人（訴願人）権益至鉅。訴願人以外之第三人權益受訴願程序影零之情形，亦屬常見。訴願參加制度即為提供第三人權利保護功能而設之制度。此外，訴願參加制度亦有一次解決當事人及參加人之間紛爭，並協助受理訴願機關廣泛調查事實之功能。是以受理訴願機關為求程序經濟，或為發現真實之必要，亦得不待第三人之申請，依職權通知其參加訴願。</w:t>
      </w:r>
    </w:p>
    <w:p>
      <w:pPr>
        <w:spacing w:after="0" w:line="328" w:lineRule="auto"/>
        <w:jc w:val="both"/>
        <w:sectPr>
          <w:headerReference w:type="default" r:id="rId226"/>
          <w:footerReference w:type="default" r:id="rId227"/>
          <w:pgSz w:w="11910" w:h="16840"/>
          <w:pgMar w:header="862" w:footer="937" w:top="1060" w:bottom="1120" w:left="1120" w:right="1060"/>
        </w:sectPr>
      </w:pPr>
    </w:p>
    <w:p>
      <w:pPr>
        <w:pStyle w:val="BodyText"/>
        <w:spacing w:before="12"/>
        <w:rPr>
          <w:sz w:val="28"/>
        </w:rPr>
      </w:pPr>
    </w:p>
    <w:p>
      <w:pPr>
        <w:pStyle w:val="BodyText"/>
        <w:spacing w:line="328" w:lineRule="auto" w:before="65"/>
        <w:ind w:left="313" w:right="524" w:firstLine="549"/>
      </w:pPr>
      <w:r>
        <w:rPr>
          <w:w w:val="110"/>
        </w:rPr>
        <w:t>依訴願法之規定，訴願參加可分為普通參加與必要參加二種類型。詳逑如下：</w:t>
      </w:r>
    </w:p>
    <w:p>
      <w:pPr>
        <w:pStyle w:val="BodyText"/>
        <w:spacing w:before="103"/>
        <w:ind w:left="4201"/>
      </w:pPr>
      <w:r>
        <w:rPr>
          <w:w w:val="125"/>
        </w:rPr>
        <w:t>一普通參加</w:t>
      </w:r>
    </w:p>
    <w:p>
      <w:pPr>
        <w:pStyle w:val="BodyText"/>
        <w:rPr>
          <w:sz w:val="21"/>
        </w:rPr>
      </w:pPr>
    </w:p>
    <w:p>
      <w:pPr>
        <w:pStyle w:val="BodyText"/>
        <w:spacing w:line="326" w:lineRule="auto" w:before="1"/>
        <w:ind w:left="301" w:right="527" w:firstLine="567"/>
        <w:jc w:val="both"/>
      </w:pPr>
      <w:r>
        <w:rPr>
          <w:spacing w:val="11"/>
        </w:rPr>
        <w:t>訴願法第 </w:t>
      </w:r>
      <w:r>
        <w:rPr>
          <w:rFonts w:ascii="Times New Roman" w:eastAsia="Times New Roman"/>
          <w:sz w:val="30"/>
        </w:rPr>
        <w:t>28</w:t>
      </w:r>
      <w:r>
        <w:rPr>
          <w:rFonts w:ascii="Times New Roman" w:eastAsia="Times New Roman"/>
          <w:spacing w:val="-1"/>
          <w:sz w:val="30"/>
        </w:rPr>
        <w:t> </w:t>
      </w:r>
      <w:r>
        <w:rPr>
          <w:spacing w:val="10"/>
        </w:rPr>
        <w:t>條第 </w:t>
      </w:r>
      <w:r>
        <w:rPr>
          <w:rFonts w:ascii="Times New Roman" w:eastAsia="Times New Roman"/>
          <w:sz w:val="30"/>
        </w:rPr>
        <w:t>l</w:t>
      </w:r>
      <w:r>
        <w:rPr>
          <w:rFonts w:ascii="Times New Roman" w:eastAsia="Times New Roman"/>
          <w:spacing w:val="55"/>
          <w:sz w:val="30"/>
        </w:rPr>
        <w:t> </w:t>
      </w:r>
      <w:r>
        <w:rPr>
          <w:spacing w:val="12"/>
        </w:rPr>
        <w:t>項規定：</w:t>
      </w:r>
      <w:r>
        <w:rPr>
          <w:spacing w:val="4"/>
        </w:rPr>
        <w:t>「與訴願人利害關係 相同之人</w:t>
      </w:r>
      <w:r>
        <w:rPr>
          <w:spacing w:val="-46"/>
          <w:w w:val="95"/>
        </w:rPr>
        <w:t>， </w:t>
      </w:r>
      <w:r>
        <w:rPr>
          <w:spacing w:val="18"/>
        </w:rPr>
        <w:t>經受理訴</w:t>
      </w:r>
      <w:r>
        <w:rPr/>
        <w:t>願機關允許，得為訴願人之利益參加訴願。受理訴願機關認有必要時，亦    </w:t>
      </w:r>
      <w:r>
        <w:rPr>
          <w:spacing w:val="28"/>
        </w:rPr>
        <w:t> </w:t>
      </w:r>
      <w:r>
        <w:rPr/>
        <w:t>得通知其參加訴願」。依本條項之規定而參加訴願者，稱之為普通參加。</w:t>
      </w:r>
    </w:p>
    <w:p>
      <w:pPr>
        <w:pStyle w:val="BodyText"/>
        <w:spacing w:line="328" w:lineRule="auto" w:before="5"/>
        <w:ind w:left="297" w:right="511" w:firstLine="592"/>
      </w:pPr>
      <w:r>
        <w:rPr>
          <w:w w:val="110"/>
        </w:rPr>
        <w:t>普通參加之參加人，其參加訴願之利害關係須與訴願人相同。換言</w:t>
      </w:r>
      <w:r>
        <w:rPr>
          <w:spacing w:val="1"/>
          <w:w w:val="110"/>
        </w:rPr>
        <w:t> </w:t>
      </w:r>
      <w:r>
        <w:rPr>
          <w:w w:val="110"/>
        </w:rPr>
        <w:t>之，訴願人所提超之訴願如獲訴願有理由之決定時，參加人將因此獲有法律上之利益，或者其義務或責任將被解除。例如：甲出售土地予乙，作為建築用地，乙向主管建築機關申請建第執照被駁回而提超訴願，甲與訴願人乙利害關係相同，得申請參加訴願。又如：甲客運公司與乙客運公司經核准經營某營運路線，該路線上下車招呼玷位置，遭主管機關以同一處分予以變更。甲客運公司對該處分不服提超訴願時，乙客運公司與其利害關係相同 </w:t>
      </w:r>
      <w:r>
        <w:rPr>
          <w:spacing w:val="-33"/>
          <w:w w:val="80"/>
        </w:rPr>
        <w:t>， </w:t>
      </w:r>
      <w:r>
        <w:rPr>
          <w:spacing w:val="7"/>
          <w:w w:val="110"/>
        </w:rPr>
        <w:t>得申請參加訴願</w:t>
      </w:r>
      <w:r>
        <w:rPr>
          <w:rFonts w:ascii="Times New Roman" w:eastAsia="Times New Roman"/>
          <w:w w:val="80"/>
          <w:sz w:val="16"/>
        </w:rPr>
        <w:t>6</w:t>
      </w:r>
      <w:r>
        <w:rPr>
          <w:rFonts w:ascii="Times New Roman" w:eastAsia="Times New Roman"/>
          <w:spacing w:val="15"/>
          <w:w w:val="80"/>
          <w:sz w:val="16"/>
        </w:rPr>
        <w:t> </w:t>
      </w:r>
      <w:r>
        <w:rPr>
          <w:w w:val="80"/>
        </w:rPr>
        <w:t>。</w:t>
      </w:r>
    </w:p>
    <w:p>
      <w:pPr>
        <w:pStyle w:val="BodyText"/>
        <w:spacing w:before="103"/>
        <w:ind w:left="4192"/>
      </w:pPr>
      <w:r>
        <w:rPr>
          <w:w w:val="125"/>
        </w:rPr>
        <w:t>二必要參加</w:t>
      </w:r>
    </w:p>
    <w:p>
      <w:pPr>
        <w:pStyle w:val="BodyText"/>
        <w:spacing w:before="10"/>
        <w:rPr>
          <w:sz w:val="21"/>
        </w:rPr>
      </w:pPr>
    </w:p>
    <w:p>
      <w:pPr>
        <w:pStyle w:val="BodyText"/>
        <w:spacing w:line="326" w:lineRule="auto"/>
        <w:ind w:left="308" w:right="516" w:firstLine="560"/>
        <w:jc w:val="both"/>
      </w:pPr>
      <w:r>
        <w:rPr>
          <w:spacing w:val="12"/>
        </w:rPr>
        <w:t>訴願法第 </w:t>
      </w:r>
      <w:r>
        <w:rPr>
          <w:rFonts w:ascii="Times New Roman" w:eastAsia="Times New Roman"/>
          <w:sz w:val="30"/>
        </w:rPr>
        <w:t>28</w:t>
      </w:r>
      <w:r>
        <w:rPr>
          <w:rFonts w:ascii="Times New Roman" w:eastAsia="Times New Roman"/>
          <w:spacing w:val="1"/>
          <w:sz w:val="30"/>
        </w:rPr>
        <w:t> </w:t>
      </w:r>
      <w:r>
        <w:rPr>
          <w:spacing w:val="7"/>
        </w:rPr>
        <w:t>條第 </w:t>
      </w:r>
      <w:r>
        <w:rPr>
          <w:rFonts w:ascii="Times New Roman" w:eastAsia="Times New Roman"/>
          <w:sz w:val="30"/>
        </w:rPr>
        <w:t>2</w:t>
      </w:r>
      <w:r>
        <w:rPr>
          <w:rFonts w:ascii="Times New Roman" w:eastAsia="Times New Roman"/>
          <w:spacing w:val="17"/>
          <w:sz w:val="30"/>
        </w:rPr>
        <w:t> </w:t>
      </w:r>
      <w:r>
        <w:rPr>
          <w:spacing w:val="12"/>
        </w:rPr>
        <w:t>項規定：</w:t>
      </w:r>
      <w:r>
        <w:rPr>
          <w:spacing w:val="-2"/>
        </w:rPr>
        <w:t>「訴願決定因撤 銷或變更原處分 </w:t>
      </w:r>
      <w:r>
        <w:rPr>
          <w:spacing w:val="-47"/>
          <w:w w:val="95"/>
        </w:rPr>
        <w:t>， </w:t>
      </w:r>
      <w:r>
        <w:rPr>
          <w:spacing w:val="4"/>
        </w:rPr>
        <w:t>足以影</w:t>
      </w:r>
      <w:r>
        <w:rPr/>
        <w:t>響第三人權益者，受理訴願機關應於作成訴願決定之前，通知其參加訴願    </w:t>
      </w:r>
      <w:r>
        <w:rPr>
          <w:spacing w:val="32"/>
        </w:rPr>
        <w:t> </w:t>
      </w:r>
      <w:r>
        <w:rPr/>
        <w:t>程序，表示意見」。依本條項之規定而參加訴願者，稱之為必要參加。</w:t>
      </w:r>
    </w:p>
    <w:p>
      <w:pPr>
        <w:pStyle w:val="BodyText"/>
        <w:spacing w:line="326" w:lineRule="auto" w:before="6"/>
        <w:ind w:left="300" w:right="514" w:firstLine="568"/>
        <w:jc w:val="both"/>
      </w:pPr>
      <w:r>
        <w:rPr/>
        <w:t>訴願決定因撤銷或變更原處分，足以影攀第三人權益者，原處分是否   </w:t>
      </w:r>
      <w:r>
        <w:rPr>
          <w:spacing w:val="99"/>
        </w:rPr>
        <w:t> </w:t>
      </w:r>
      <w:r>
        <w:rPr/>
        <w:t>撒銷或變更，對於第三人及訴願人須合一決定。受理訴願機關自應於作成    </w:t>
      </w:r>
      <w:r>
        <w:rPr>
          <w:spacing w:val="42"/>
        </w:rPr>
        <w:t> </w:t>
      </w:r>
      <w:r>
        <w:rPr/>
        <w:t>訴願決定前，通知第三人參加訴願，以保障其権益。例如：甲客運業者申    </w:t>
      </w:r>
      <w:r>
        <w:rPr>
          <w:spacing w:val="42"/>
        </w:rPr>
        <w:t> </w:t>
      </w:r>
      <w:r>
        <w:rPr/>
        <w:t>請延長營運路線，增加停靠玷，經主管機關核准。乙客運業者為該路線之    </w:t>
      </w:r>
      <w:r>
        <w:rPr>
          <w:spacing w:val="42"/>
        </w:rPr>
        <w:t> </w:t>
      </w:r>
      <w:r>
        <w:rPr/>
        <w:t>原經營者，不服該核准處分而提超訴願，請求撤銷原處分。此時，受理訴    </w:t>
      </w:r>
      <w:r>
        <w:rPr>
          <w:spacing w:val="24"/>
        </w:rPr>
        <w:t> </w:t>
      </w:r>
      <w:r>
        <w:rPr>
          <w:spacing w:val="13"/>
        </w:rPr>
        <w:t>願機關應依訴願法第 </w:t>
      </w:r>
      <w:r>
        <w:rPr>
          <w:rFonts w:ascii="Times New Roman" w:eastAsia="Times New Roman"/>
          <w:sz w:val="30"/>
        </w:rPr>
        <w:t>28</w:t>
      </w:r>
      <w:r>
        <w:rPr>
          <w:rFonts w:ascii="Times New Roman" w:eastAsia="Times New Roman"/>
          <w:spacing w:val="-5"/>
          <w:sz w:val="30"/>
        </w:rPr>
        <w:t> </w:t>
      </w:r>
      <w:r>
        <w:rPr>
          <w:spacing w:val="4"/>
        </w:rPr>
        <w:t>條第 </w:t>
      </w:r>
      <w:r>
        <w:rPr>
          <w:rFonts w:ascii="Times New Roman" w:eastAsia="Times New Roman"/>
          <w:sz w:val="30"/>
        </w:rPr>
        <w:t>2</w:t>
      </w:r>
      <w:r>
        <w:rPr>
          <w:rFonts w:ascii="Times New Roman" w:eastAsia="Times New Roman"/>
          <w:spacing w:val="14"/>
          <w:sz w:val="30"/>
        </w:rPr>
        <w:t> </w:t>
      </w:r>
      <w:r>
        <w:rPr>
          <w:spacing w:val="3"/>
        </w:rPr>
        <w:t>項之規定 </w:t>
      </w:r>
      <w:r>
        <w:rPr>
          <w:spacing w:val="-29"/>
          <w:w w:val="85"/>
        </w:rPr>
        <w:t>， </w:t>
      </w:r>
      <w:r>
        <w:rPr>
          <w:spacing w:val="12"/>
        </w:rPr>
        <w:t>通知甲客運業者參加訴願</w:t>
      </w:r>
      <w:r>
        <w:rPr>
          <w:rFonts w:ascii="Times New Roman" w:eastAsia="Times New Roman"/>
          <w:w w:val="85"/>
          <w:sz w:val="16"/>
        </w:rPr>
        <w:t>7</w:t>
      </w:r>
      <w:r>
        <w:rPr>
          <w:rFonts w:ascii="Times New Roman" w:eastAsia="Times New Roman"/>
          <w:spacing w:val="17"/>
          <w:w w:val="85"/>
          <w:sz w:val="16"/>
        </w:rPr>
        <w:t> </w:t>
      </w:r>
      <w:r>
        <w:rPr>
          <w:spacing w:val="-5"/>
          <w:w w:val="85"/>
        </w:rPr>
        <w:t>。 </w:t>
      </w:r>
      <w:r>
        <w:rPr/>
        <w:t>此外，在專利訴願之案例中，舉發人以申請專利人所申請不符專利要件提超    </w:t>
      </w:r>
      <w:r>
        <w:rPr>
          <w:spacing w:val="42"/>
        </w:rPr>
        <w:t> </w:t>
      </w:r>
      <w:r>
        <w:rPr/>
        <w:t>舉發，經經濟部智慧財產局審定舉發不成立，其對於舉發不成立之處分提</w:t>
      </w:r>
    </w:p>
    <w:p>
      <w:pPr>
        <w:pStyle w:val="BodyText"/>
        <w:spacing w:before="1"/>
        <w:rPr>
          <w:sz w:val="26"/>
        </w:rPr>
      </w:pPr>
      <w:r>
        <w:rPr/>
        <w:pict>
          <v:shape style="position:absolute;margin-left:95.174004pt;margin-top:18.933823pt;width:144.25pt;height:.1pt;mso-position-horizontal-relative:page;mso-position-vertical-relative:paragraph;z-index:-15670272;mso-wrap-distance-left:0;mso-wrap-distance-right:0" coordorigin="1903,379" coordsize="2885,0" path="m1903,379l4788,379e" filled="false" stroked="true" strokeweight=".480547pt" strokecolor="#000000">
            <v:path arrowok="t"/>
            <v:stroke dashstyle="solid"/>
            <w10:wrap type="topAndBottom"/>
          </v:shape>
        </w:pict>
      </w:r>
    </w:p>
    <w:p>
      <w:pPr>
        <w:pStyle w:val="BodyText"/>
        <w:spacing w:before="10"/>
        <w:rPr>
          <w:sz w:val="7"/>
        </w:rPr>
      </w:pPr>
    </w:p>
    <w:p>
      <w:pPr>
        <w:tabs>
          <w:tab w:pos="8487" w:val="left" w:leader="none"/>
        </w:tabs>
        <w:spacing w:before="89"/>
        <w:ind w:left="298" w:right="0" w:firstLine="0"/>
        <w:jc w:val="left"/>
        <w:rPr>
          <w:sz w:val="21"/>
        </w:rPr>
      </w:pPr>
      <w:r>
        <w:rPr>
          <w:rFonts w:ascii="Times New Roman" w:eastAsia="Times New Roman"/>
          <w:w w:val="95"/>
          <w:position w:val="7"/>
          <w:sz w:val="13"/>
        </w:rPr>
        <w:t>6</w:t>
      </w:r>
      <w:r>
        <w:rPr>
          <w:rFonts w:ascii="Times New Roman" w:eastAsia="Times New Roman"/>
          <w:spacing w:val="59"/>
          <w:position w:val="7"/>
          <w:sz w:val="13"/>
        </w:rPr>
        <w:t> </w:t>
      </w:r>
      <w:r>
        <w:rPr>
          <w:rFonts w:ascii="Times New Roman" w:eastAsia="Times New Roman"/>
          <w:spacing w:val="59"/>
          <w:position w:val="7"/>
          <w:sz w:val="13"/>
        </w:rPr>
        <w:t> </w:t>
      </w:r>
      <w:r>
        <w:rPr>
          <w:w w:val="95"/>
          <w:sz w:val="21"/>
        </w:rPr>
        <w:t>案例</w:t>
      </w:r>
      <w:r>
        <w:rPr>
          <w:spacing w:val="-1"/>
          <w:w w:val="95"/>
          <w:sz w:val="21"/>
        </w:rPr>
        <w:t> </w:t>
      </w:r>
      <w:r>
        <w:rPr>
          <w:spacing w:val="26"/>
          <w:w w:val="95"/>
          <w:sz w:val="21"/>
        </w:rPr>
        <w:t>引</w:t>
      </w:r>
      <w:r>
        <w:rPr>
          <w:w w:val="95"/>
          <w:sz w:val="21"/>
        </w:rPr>
        <w:t>自：</w:t>
      </w:r>
      <w:r>
        <w:rPr>
          <w:spacing w:val="4"/>
          <w:w w:val="95"/>
          <w:sz w:val="21"/>
        </w:rPr>
        <w:t> </w:t>
      </w:r>
      <w:r>
        <w:rPr>
          <w:w w:val="95"/>
          <w:sz w:val="21"/>
        </w:rPr>
        <w:t>交</w:t>
      </w:r>
      <w:r>
        <w:rPr>
          <w:spacing w:val="34"/>
          <w:w w:val="95"/>
          <w:sz w:val="21"/>
        </w:rPr>
        <w:t>通</w:t>
      </w:r>
      <w:r>
        <w:rPr>
          <w:spacing w:val="15"/>
          <w:w w:val="95"/>
          <w:sz w:val="21"/>
        </w:rPr>
        <w:t>部</w:t>
      </w:r>
      <w:r>
        <w:rPr>
          <w:w w:val="95"/>
          <w:sz w:val="21"/>
        </w:rPr>
        <w:t>訴</w:t>
      </w:r>
      <w:r>
        <w:rPr>
          <w:spacing w:val="12"/>
          <w:w w:val="95"/>
          <w:sz w:val="21"/>
        </w:rPr>
        <w:t>願</w:t>
      </w:r>
      <w:r>
        <w:rPr>
          <w:spacing w:val="18"/>
          <w:w w:val="95"/>
          <w:sz w:val="21"/>
        </w:rPr>
        <w:t>審</w:t>
      </w:r>
      <w:r>
        <w:rPr>
          <w:spacing w:val="30"/>
          <w:w w:val="95"/>
          <w:sz w:val="21"/>
        </w:rPr>
        <w:t>議</w:t>
      </w:r>
      <w:r>
        <w:rPr>
          <w:spacing w:val="24"/>
          <w:w w:val="95"/>
          <w:sz w:val="21"/>
        </w:rPr>
        <w:t>委</w:t>
      </w:r>
      <w:r>
        <w:rPr>
          <w:w w:val="95"/>
          <w:sz w:val="21"/>
        </w:rPr>
        <w:t>員</w:t>
      </w:r>
      <w:r>
        <w:rPr>
          <w:spacing w:val="-24"/>
          <w:w w:val="95"/>
          <w:sz w:val="21"/>
        </w:rPr>
        <w:t> </w:t>
      </w:r>
      <w:r>
        <w:rPr>
          <w:w w:val="95"/>
          <w:sz w:val="21"/>
        </w:rPr>
        <w:t>會</w:t>
      </w:r>
      <w:r>
        <w:rPr>
          <w:spacing w:val="44"/>
          <w:w w:val="95"/>
          <w:sz w:val="21"/>
        </w:rPr>
        <w:t>編</w:t>
      </w:r>
      <w:r>
        <w:rPr>
          <w:w w:val="95"/>
          <w:sz w:val="21"/>
        </w:rPr>
        <w:t>印</w:t>
      </w:r>
      <w:r>
        <w:rPr>
          <w:spacing w:val="5"/>
          <w:w w:val="95"/>
          <w:sz w:val="21"/>
        </w:rPr>
        <w:t> </w:t>
      </w:r>
      <w:r>
        <w:rPr>
          <w:w w:val="95"/>
          <w:sz w:val="21"/>
        </w:rPr>
        <w:t>，</w:t>
      </w:r>
      <w:r>
        <w:rPr>
          <w:spacing w:val="-48"/>
          <w:w w:val="95"/>
          <w:sz w:val="21"/>
        </w:rPr>
        <w:t> </w:t>
      </w:r>
      <w:r>
        <w:rPr>
          <w:w w:val="95"/>
          <w:sz w:val="21"/>
        </w:rPr>
        <w:t>交</w:t>
      </w:r>
      <w:r>
        <w:rPr>
          <w:spacing w:val="34"/>
          <w:w w:val="95"/>
          <w:sz w:val="21"/>
        </w:rPr>
        <w:t>通</w:t>
      </w:r>
      <w:r>
        <w:rPr>
          <w:spacing w:val="14"/>
          <w:w w:val="95"/>
          <w:sz w:val="21"/>
        </w:rPr>
        <w:t>部</w:t>
      </w:r>
      <w:r>
        <w:rPr>
          <w:w w:val="95"/>
          <w:sz w:val="21"/>
        </w:rPr>
        <w:t>訴</w:t>
      </w:r>
      <w:r>
        <w:rPr>
          <w:spacing w:val="12"/>
          <w:w w:val="95"/>
          <w:sz w:val="21"/>
        </w:rPr>
        <w:t>願</w:t>
      </w:r>
      <w:r>
        <w:rPr>
          <w:w w:val="95"/>
          <w:sz w:val="21"/>
        </w:rPr>
        <w:t>實</w:t>
      </w:r>
      <w:r>
        <w:rPr>
          <w:spacing w:val="10"/>
          <w:w w:val="95"/>
          <w:sz w:val="21"/>
        </w:rPr>
        <w:t>務</w:t>
      </w:r>
      <w:r>
        <w:rPr>
          <w:spacing w:val="33"/>
          <w:w w:val="95"/>
          <w:sz w:val="21"/>
        </w:rPr>
        <w:t>作</w:t>
      </w:r>
      <w:r>
        <w:rPr>
          <w:spacing w:val="36"/>
          <w:w w:val="95"/>
          <w:sz w:val="21"/>
        </w:rPr>
        <w:t>業</w:t>
      </w:r>
      <w:r>
        <w:rPr>
          <w:w w:val="95"/>
          <w:sz w:val="21"/>
        </w:rPr>
        <w:t>手冊</w:t>
      </w:r>
      <w:r>
        <w:rPr>
          <w:spacing w:val="73"/>
          <w:w w:val="95"/>
          <w:sz w:val="21"/>
        </w:rPr>
        <w:t> </w:t>
      </w:r>
      <w:r>
        <w:rPr>
          <w:w w:val="95"/>
          <w:sz w:val="21"/>
        </w:rPr>
        <w:t>，</w:t>
      </w:r>
      <w:r>
        <w:rPr>
          <w:spacing w:val="-44"/>
          <w:w w:val="95"/>
          <w:sz w:val="21"/>
        </w:rPr>
        <w:t> </w:t>
      </w:r>
      <w:r>
        <w:rPr>
          <w:spacing w:val="20"/>
          <w:w w:val="95"/>
          <w:sz w:val="21"/>
        </w:rPr>
        <w:t>頁</w:t>
      </w:r>
      <w:r>
        <w:rPr>
          <w:rFonts w:ascii="Times New Roman" w:eastAsia="Times New Roman"/>
          <w:w w:val="95"/>
          <w:sz w:val="26"/>
        </w:rPr>
        <w:t>16,6</w:t>
        <w:tab/>
      </w:r>
      <w:r>
        <w:rPr>
          <w:rFonts w:ascii="Times New Roman" w:eastAsia="Times New Roman"/>
          <w:w w:val="90"/>
          <w:sz w:val="26"/>
        </w:rPr>
        <w:t>2009</w:t>
      </w:r>
      <w:r>
        <w:rPr>
          <w:rFonts w:ascii="Times New Roman" w:eastAsia="Times New Roman"/>
          <w:spacing w:val="-7"/>
          <w:w w:val="90"/>
          <w:sz w:val="26"/>
        </w:rPr>
        <w:t> </w:t>
      </w:r>
      <w:r>
        <w:rPr>
          <w:w w:val="90"/>
          <w:sz w:val="21"/>
        </w:rPr>
        <w:t>年</w:t>
      </w:r>
    </w:p>
    <w:p>
      <w:pPr>
        <w:spacing w:line="252" w:lineRule="auto" w:before="6"/>
        <w:ind w:left="507" w:right="571" w:hanging="10"/>
        <w:jc w:val="left"/>
        <w:rPr>
          <w:sz w:val="21"/>
        </w:rPr>
      </w:pPr>
      <w:r>
        <w:rPr>
          <w:rFonts w:ascii="Times New Roman" w:eastAsia="Times New Roman"/>
          <w:w w:val="95"/>
          <w:sz w:val="26"/>
        </w:rPr>
        <w:t>12</w:t>
      </w:r>
      <w:r>
        <w:rPr>
          <w:spacing w:val="-1"/>
          <w:w w:val="95"/>
          <w:sz w:val="21"/>
        </w:rPr>
        <w:t>月 。應注恋者 ，本 例 中 ， 乙客運公司亦得 以訴願人之地位獨立提超訴願 ， 或依訴</w:t>
      </w:r>
      <w:r>
        <w:rPr>
          <w:spacing w:val="28"/>
          <w:sz w:val="21"/>
        </w:rPr>
        <w:t>願法第</w:t>
      </w:r>
      <w:r>
        <w:rPr>
          <w:rFonts w:ascii="Times New Roman" w:eastAsia="Times New Roman"/>
          <w:spacing w:val="10"/>
          <w:sz w:val="26"/>
        </w:rPr>
        <w:t>21</w:t>
      </w:r>
      <w:r>
        <w:rPr>
          <w:spacing w:val="3"/>
          <w:sz w:val="21"/>
        </w:rPr>
        <w:t>條規定與甲客運公司共 同提 超訴願 。</w:t>
      </w:r>
    </w:p>
    <w:p>
      <w:pPr>
        <w:spacing w:before="1"/>
        <w:ind w:left="298" w:right="0" w:firstLine="0"/>
        <w:jc w:val="left"/>
        <w:rPr>
          <w:sz w:val="21"/>
        </w:rPr>
      </w:pPr>
      <w:r>
        <w:rPr>
          <w:rFonts w:ascii="Times New Roman" w:eastAsia="Times New Roman"/>
          <w:w w:val="95"/>
          <w:position w:val="8"/>
          <w:sz w:val="13"/>
        </w:rPr>
        <w:t>7</w:t>
      </w:r>
      <w:r>
        <w:rPr>
          <w:rFonts w:ascii="Times New Roman" w:eastAsia="Times New Roman"/>
          <w:spacing w:val="30"/>
          <w:position w:val="8"/>
          <w:sz w:val="13"/>
        </w:rPr>
        <w:t>  </w:t>
      </w:r>
      <w:r>
        <w:rPr>
          <w:spacing w:val="17"/>
          <w:w w:val="95"/>
          <w:sz w:val="21"/>
        </w:rPr>
        <w:t>交通部</w:t>
      </w:r>
      <w:r>
        <w:rPr>
          <w:rFonts w:ascii="Times New Roman" w:eastAsia="Times New Roman"/>
          <w:spacing w:val="10"/>
          <w:w w:val="95"/>
          <w:sz w:val="26"/>
        </w:rPr>
        <w:t>91</w:t>
      </w:r>
      <w:r>
        <w:rPr>
          <w:spacing w:val="12"/>
          <w:w w:val="95"/>
          <w:sz w:val="21"/>
        </w:rPr>
        <w:t>年交訴 字第</w:t>
      </w:r>
      <w:r>
        <w:rPr>
          <w:rFonts w:ascii="Times New Roman" w:eastAsia="Times New Roman"/>
          <w:w w:val="95"/>
          <w:sz w:val="26"/>
        </w:rPr>
        <w:t>0910037826</w:t>
      </w:r>
      <w:r>
        <w:rPr>
          <w:rFonts w:ascii="Times New Roman" w:eastAsia="Times New Roman"/>
          <w:spacing w:val="14"/>
          <w:w w:val="95"/>
          <w:sz w:val="26"/>
        </w:rPr>
        <w:t> </w:t>
      </w:r>
      <w:r>
        <w:rPr>
          <w:spacing w:val="8"/>
          <w:w w:val="95"/>
          <w:sz w:val="21"/>
        </w:rPr>
        <w:t>號訴願決定參照 。</w:t>
      </w:r>
    </w:p>
    <w:p>
      <w:pPr>
        <w:spacing w:after="0"/>
        <w:jc w:val="left"/>
        <w:rPr>
          <w:sz w:val="21"/>
        </w:rPr>
        <w:sectPr>
          <w:pgSz w:w="11910" w:h="16840"/>
          <w:pgMar w:header="862" w:footer="937" w:top="1060" w:bottom="1200" w:left="1120" w:right="1060"/>
        </w:sectPr>
      </w:pPr>
    </w:p>
    <w:p>
      <w:pPr>
        <w:pStyle w:val="BodyText"/>
        <w:spacing w:before="8"/>
      </w:pPr>
    </w:p>
    <w:p>
      <w:pPr>
        <w:pStyle w:val="BodyText"/>
        <w:spacing w:line="304" w:lineRule="auto" w:before="91"/>
        <w:ind w:left="310" w:right="582" w:hanging="2"/>
        <w:rPr>
          <w:rFonts w:ascii="Arial" w:eastAsia="Arial"/>
          <w:sz w:val="8"/>
        </w:rPr>
      </w:pPr>
      <w:r>
        <w:rPr>
          <w:spacing w:val="10"/>
          <w:w w:val="95"/>
        </w:rPr>
        <w:t>超訴願時 ， 受理訴願機關亦應依訴願法第 </w:t>
      </w:r>
      <w:r>
        <w:rPr>
          <w:rFonts w:ascii="Arial" w:eastAsia="Arial"/>
          <w:w w:val="95"/>
          <w:sz w:val="29"/>
        </w:rPr>
        <w:t>28</w:t>
      </w:r>
      <w:r>
        <w:rPr>
          <w:rFonts w:ascii="Arial" w:eastAsia="Arial"/>
          <w:spacing w:val="58"/>
          <w:w w:val="95"/>
          <w:sz w:val="29"/>
        </w:rPr>
        <w:t> </w:t>
      </w:r>
      <w:r>
        <w:rPr>
          <w:spacing w:val="19"/>
          <w:w w:val="95"/>
        </w:rPr>
        <w:t>條第 </w:t>
      </w:r>
      <w:r>
        <w:rPr>
          <w:rFonts w:ascii="Arial" w:eastAsia="Arial"/>
          <w:w w:val="95"/>
          <w:sz w:val="29"/>
        </w:rPr>
        <w:t>2</w:t>
      </w:r>
      <w:r>
        <w:rPr>
          <w:rFonts w:ascii="Arial" w:eastAsia="Arial"/>
          <w:spacing w:val="49"/>
          <w:w w:val="95"/>
          <w:sz w:val="29"/>
        </w:rPr>
        <w:t> </w:t>
      </w:r>
      <w:r>
        <w:rPr>
          <w:spacing w:val="7"/>
          <w:w w:val="95"/>
        </w:rPr>
        <w:t>項之規定 ， 通知申請</w:t>
      </w:r>
      <w:r>
        <w:rPr>
          <w:spacing w:val="6"/>
        </w:rPr>
        <w:t>專利人參加訴願</w:t>
      </w:r>
      <w:r>
        <w:rPr>
          <w:rFonts w:ascii="Times New Roman" w:eastAsia="Times New Roman"/>
          <w:w w:val="95"/>
          <w:sz w:val="14"/>
        </w:rPr>
        <w:t>8</w:t>
      </w:r>
      <w:r>
        <w:rPr>
          <w:rFonts w:ascii="Times New Roman" w:eastAsia="Times New Roman"/>
          <w:spacing w:val="18"/>
          <w:w w:val="95"/>
          <w:sz w:val="14"/>
        </w:rPr>
        <w:t> </w:t>
      </w:r>
      <w:r>
        <w:rPr>
          <w:rFonts w:ascii="Arial" w:eastAsia="Arial"/>
          <w:sz w:val="8"/>
        </w:rPr>
        <w:t>0</w:t>
      </w:r>
    </w:p>
    <w:p>
      <w:pPr>
        <w:pStyle w:val="BodyText"/>
        <w:spacing w:before="148"/>
        <w:ind w:left="3777"/>
      </w:pPr>
      <w:r>
        <w:rPr>
          <w:w w:val="115"/>
        </w:rPr>
        <w:t>三訴願參加之效力</w:t>
      </w:r>
    </w:p>
    <w:p>
      <w:pPr>
        <w:pStyle w:val="BodyText"/>
        <w:spacing w:before="10"/>
        <w:rPr>
          <w:sz w:val="23"/>
        </w:rPr>
      </w:pPr>
    </w:p>
    <w:p>
      <w:pPr>
        <w:pStyle w:val="BodyText"/>
        <w:spacing w:line="321" w:lineRule="auto"/>
        <w:ind w:left="298" w:right="518" w:firstLine="570"/>
      </w:pPr>
      <w:r>
        <w:rPr>
          <w:w w:val="105"/>
        </w:rPr>
        <w:t>訴願人以外之第三人，既以參加人之地位參與他人之訴願程序，將來</w:t>
      </w:r>
      <w:r>
        <w:rPr>
          <w:spacing w:val="88"/>
          <w:w w:val="105"/>
        </w:rPr>
        <w:t> </w:t>
      </w:r>
      <w:r>
        <w:rPr>
          <w:spacing w:val="8"/>
        </w:rPr>
        <w:t>自 應受訴願決定效力之 拘束</w:t>
      </w:r>
      <w:r>
        <w:rPr>
          <w:w w:val="95"/>
        </w:rPr>
        <w:t>，</w:t>
      </w:r>
      <w:r>
        <w:rPr>
          <w:spacing w:val="-3"/>
        </w:rPr>
        <w:t>始為合理 。是以訴願法第 </w:t>
      </w:r>
      <w:r>
        <w:rPr>
          <w:rFonts w:ascii="Times New Roman" w:eastAsia="Times New Roman"/>
          <w:sz w:val="31"/>
        </w:rPr>
        <w:t>31</w:t>
      </w:r>
      <w:r>
        <w:rPr>
          <w:rFonts w:ascii="Times New Roman" w:eastAsia="Times New Roman"/>
          <w:spacing w:val="-10"/>
          <w:sz w:val="31"/>
        </w:rPr>
        <w:t> </w:t>
      </w:r>
      <w:r>
        <w:rPr>
          <w:spacing w:val="9"/>
        </w:rPr>
        <w:t>條前段規定：</w:t>
      </w:r>
      <w:r>
        <w:rPr>
          <w:spacing w:val="-113"/>
        </w:rPr>
        <w:t>「訴</w:t>
      </w:r>
      <w:r>
        <w:rPr>
          <w:w w:val="105"/>
        </w:rPr>
        <w:t>願決定對於參加人亦有效力」。此外，如第三人有參加訴願之権利竟怠於</w:t>
      </w:r>
      <w:r>
        <w:rPr>
          <w:spacing w:val="121"/>
          <w:w w:val="105"/>
        </w:rPr>
        <w:t> </w:t>
      </w:r>
      <w:r>
        <w:rPr>
          <w:w w:val="105"/>
        </w:rPr>
        <w:t>行使，則其既有影響訴願決定之機會，無論是否實際參與訴願程序，均應 </w:t>
      </w:r>
      <w:r>
        <w:rPr>
          <w:spacing w:val="2"/>
          <w:w w:val="105"/>
        </w:rPr>
        <w:t> </w:t>
      </w:r>
      <w:r>
        <w:rPr>
          <w:spacing w:val="20"/>
        </w:rPr>
        <w:t>受訴願決定之拘束。是以訴願法第 </w:t>
      </w:r>
      <w:r>
        <w:rPr>
          <w:rFonts w:ascii="Times New Roman" w:eastAsia="Times New Roman"/>
          <w:sz w:val="31"/>
        </w:rPr>
        <w:t>31</w:t>
      </w:r>
      <w:r>
        <w:rPr>
          <w:rFonts w:ascii="Times New Roman" w:eastAsia="Times New Roman"/>
          <w:spacing w:val="59"/>
          <w:sz w:val="31"/>
        </w:rPr>
        <w:t> </w:t>
      </w:r>
      <w:r>
        <w:rPr>
          <w:spacing w:val="-5"/>
        </w:rPr>
        <w:t>條後段規定：「經受理 訴願機關通知</w:t>
      </w:r>
      <w:r>
        <w:rPr>
          <w:w w:val="105"/>
        </w:rPr>
        <w:t>其參加或允許其參加而未參加者，亦同」。舉例而言，前述普通參加之案</w:t>
      </w:r>
      <w:r>
        <w:rPr>
          <w:spacing w:val="121"/>
          <w:w w:val="105"/>
        </w:rPr>
        <w:t> </w:t>
      </w:r>
      <w:r>
        <w:rPr>
          <w:w w:val="105"/>
        </w:rPr>
        <w:t>例，甲客運公司與乙客運公司經核准經營某營運路線，該路線上下車招呼</w:t>
      </w:r>
      <w:r>
        <w:rPr>
          <w:spacing w:val="121"/>
          <w:w w:val="105"/>
        </w:rPr>
        <w:t> </w:t>
      </w:r>
      <w:r>
        <w:rPr>
          <w:w w:val="105"/>
        </w:rPr>
        <w:t>站位置，遭主管機關以同一處分予以變更。甲客運公司對該處分不服提超</w:t>
      </w:r>
      <w:r>
        <w:rPr>
          <w:spacing w:val="121"/>
          <w:w w:val="105"/>
        </w:rPr>
        <w:t> </w:t>
      </w:r>
      <w:r>
        <w:rPr>
          <w:w w:val="105"/>
        </w:rPr>
        <w:t>訴願時，乙客運公司與其利害關係相同，得申請參加訴願。受理訴願機關</w:t>
      </w:r>
    </w:p>
    <w:p>
      <w:pPr>
        <w:pStyle w:val="BodyText"/>
        <w:spacing w:line="331" w:lineRule="auto" w:before="3"/>
        <w:ind w:left="317" w:right="528" w:hanging="15"/>
      </w:pPr>
      <w:r>
        <w:rPr>
          <w:w w:val="110"/>
        </w:rPr>
        <w:t>如允許其參加訴願，無論乙客運公司是否實際上參與訴願程序，均受訴願決定之拘束，將來即不得再對該處分提超訴願。</w:t>
      </w:r>
    </w:p>
    <w:p>
      <w:pPr>
        <w:tabs>
          <w:tab w:pos="1405" w:val="left" w:leader="none"/>
        </w:tabs>
        <w:spacing w:before="41"/>
        <w:ind w:left="0" w:right="222" w:firstLine="0"/>
        <w:jc w:val="center"/>
        <w:rPr>
          <w:sz w:val="28"/>
        </w:rPr>
      </w:pPr>
      <w:bookmarkStart w:name="_bookmark10" w:id="11"/>
      <w:bookmarkEnd w:id="11"/>
      <w:r>
        <w:rPr/>
      </w:r>
      <w:r>
        <w:rPr>
          <w:w w:val="105"/>
          <w:sz w:val="31"/>
        </w:rPr>
        <w:t>第三節</w:t>
        <w:tab/>
      </w:r>
      <w:r>
        <w:rPr>
          <w:w w:val="105"/>
          <w:sz w:val="28"/>
        </w:rPr>
        <w:t>行政訴訟參加</w:t>
      </w:r>
    </w:p>
    <w:p>
      <w:pPr>
        <w:pStyle w:val="BodyText"/>
        <w:spacing w:before="9"/>
        <w:rPr>
          <w:sz w:val="21"/>
        </w:rPr>
      </w:pPr>
    </w:p>
    <w:p>
      <w:pPr>
        <w:pStyle w:val="BodyText"/>
        <w:spacing w:line="328" w:lineRule="auto"/>
        <w:ind w:left="301" w:right="516" w:firstLine="559"/>
      </w:pPr>
      <w:r>
        <w:rPr>
          <w:w w:val="105"/>
        </w:rPr>
        <w:t>行政訴訟法上之「訴訟參加」者，原告或被告以外之第三人，參與他</w:t>
      </w:r>
      <w:r>
        <w:rPr>
          <w:spacing w:val="111"/>
          <w:w w:val="105"/>
        </w:rPr>
        <w:t> </w:t>
      </w:r>
      <w:r>
        <w:rPr>
          <w:spacing w:val="13"/>
          <w:w w:val="95"/>
        </w:rPr>
        <w:t>人間已繫屬訴訟程序之制度</w:t>
      </w:r>
      <w:r>
        <w:rPr>
          <w:rFonts w:ascii="Times New Roman" w:eastAsia="Times New Roman"/>
          <w:w w:val="85"/>
          <w:sz w:val="16"/>
        </w:rPr>
        <w:t>9</w:t>
      </w:r>
      <w:r>
        <w:rPr>
          <w:rFonts w:ascii="Times New Roman" w:eastAsia="Times New Roman"/>
          <w:spacing w:val="64"/>
          <w:sz w:val="16"/>
        </w:rPr>
        <w:t>  </w:t>
      </w:r>
      <w:r>
        <w:rPr>
          <w:w w:val="85"/>
        </w:rPr>
        <w:t>。行</w:t>
      </w:r>
      <w:r>
        <w:rPr>
          <w:spacing w:val="223"/>
        </w:rPr>
        <w:t> </w:t>
      </w:r>
      <w:r>
        <w:rPr>
          <w:spacing w:val="9"/>
          <w:w w:val="95"/>
        </w:rPr>
        <w:t>政訴訟程序 </w:t>
      </w:r>
      <w:r>
        <w:rPr>
          <w:spacing w:val="-23"/>
          <w:w w:val="85"/>
        </w:rPr>
        <w:t>， </w:t>
      </w:r>
      <w:r>
        <w:rPr>
          <w:spacing w:val="15"/>
          <w:w w:val="95"/>
        </w:rPr>
        <w:t>固然關涉原 、被告之権益</w:t>
      </w:r>
      <w:r>
        <w:rPr>
          <w:w w:val="105"/>
        </w:rPr>
        <w:t>至深。原、被告以外之其他人，其権利或法律上利益將受判決之影響，以</w:t>
      </w:r>
      <w:r>
        <w:rPr>
          <w:spacing w:val="120"/>
          <w:w w:val="105"/>
        </w:rPr>
        <w:t> </w:t>
      </w:r>
      <w:r>
        <w:rPr>
          <w:w w:val="105"/>
        </w:rPr>
        <w:t>第三人之身分參與他人間已繫屬訴訟程序之情形，亦甚為常見。為保障  </w:t>
      </w:r>
      <w:r>
        <w:rPr>
          <w:spacing w:val="124"/>
          <w:w w:val="105"/>
        </w:rPr>
        <w:t> </w:t>
      </w:r>
      <w:r>
        <w:rPr>
          <w:w w:val="103"/>
        </w:rPr>
        <w:t>原</w:t>
      </w:r>
      <w:r>
        <w:rPr>
          <w:spacing w:val="-53"/>
        </w:rPr>
        <w:t> </w:t>
      </w:r>
      <w:r>
        <w:rPr>
          <w:spacing w:val="-13"/>
          <w:w w:val="103"/>
        </w:rPr>
        <w:t>、被告</w:t>
      </w:r>
      <w:r>
        <w:rPr>
          <w:spacing w:val="24"/>
          <w:w w:val="109"/>
        </w:rPr>
        <w:t>以</w:t>
      </w:r>
      <w:r>
        <w:rPr>
          <w:spacing w:val="40"/>
          <w:w w:val="101"/>
        </w:rPr>
        <w:t>外</w:t>
      </w:r>
      <w:r>
        <w:rPr>
          <w:spacing w:val="44"/>
          <w:w w:val="88"/>
        </w:rPr>
        <w:t>第</w:t>
      </w:r>
      <w:r>
        <w:rPr>
          <w:spacing w:val="26"/>
          <w:w w:val="104"/>
        </w:rPr>
        <w:t>三</w:t>
      </w:r>
      <w:r>
        <w:rPr>
          <w:spacing w:val="7"/>
          <w:w w:val="106"/>
        </w:rPr>
        <w:t>人之</w:t>
      </w:r>
      <w:r>
        <w:rPr>
          <w:spacing w:val="32"/>
          <w:w w:val="105"/>
        </w:rPr>
        <w:t>權</w:t>
      </w:r>
      <w:r>
        <w:rPr>
          <w:w w:val="102"/>
        </w:rPr>
        <w:t>益</w:t>
      </w:r>
      <w:r>
        <w:rPr>
          <w:spacing w:val="-53"/>
        </w:rPr>
        <w:t> </w:t>
      </w:r>
      <w:r>
        <w:rPr>
          <w:w w:val="62"/>
        </w:rPr>
        <w:t>，行</w:t>
      </w:r>
      <w:r>
        <w:rPr>
          <w:spacing w:val="13"/>
        </w:rPr>
        <w:t> </w:t>
      </w:r>
      <w:r>
        <w:rPr>
          <w:spacing w:val="6"/>
          <w:w w:val="110"/>
        </w:rPr>
        <w:t>政</w:t>
      </w:r>
      <w:r>
        <w:rPr>
          <w:spacing w:val="20"/>
          <w:w w:val="106"/>
        </w:rPr>
        <w:t>訴訟</w:t>
      </w:r>
      <w:r>
        <w:rPr>
          <w:spacing w:val="17"/>
          <w:w w:val="102"/>
        </w:rPr>
        <w:t>法</w:t>
      </w:r>
      <w:r>
        <w:rPr>
          <w:spacing w:val="16"/>
          <w:w w:val="106"/>
        </w:rPr>
        <w:t>上設</w:t>
      </w:r>
      <w:r>
        <w:rPr>
          <w:spacing w:val="7"/>
          <w:w w:val="98"/>
        </w:rPr>
        <w:t>有「</w:t>
      </w:r>
      <w:r>
        <w:rPr>
          <w:spacing w:val="20"/>
          <w:w w:val="104"/>
        </w:rPr>
        <w:t>訴訟</w:t>
      </w:r>
      <w:r>
        <w:rPr>
          <w:spacing w:val="5"/>
          <w:w w:val="108"/>
        </w:rPr>
        <w:t>參加」</w:t>
      </w:r>
      <w:r>
        <w:rPr>
          <w:spacing w:val="-181"/>
          <w:w w:val="108"/>
        </w:rPr>
        <w:t>（</w:t>
      </w:r>
      <w:r>
        <w:rPr>
          <w:rFonts w:ascii="Times New Roman" w:eastAsia="Times New Roman"/>
          <w:spacing w:val="-1"/>
          <w:w w:val="76"/>
          <w:sz w:val="28"/>
        </w:rPr>
        <w:t>B</w:t>
      </w:r>
      <w:r>
        <w:rPr>
          <w:rFonts w:ascii="Times New Roman" w:eastAsia="Times New Roman"/>
          <w:w w:val="76"/>
          <w:sz w:val="28"/>
        </w:rPr>
        <w:t>e</w:t>
      </w:r>
      <w:r>
        <w:rPr>
          <w:rFonts w:ascii="Times New Roman" w:eastAsia="Times New Roman"/>
          <w:spacing w:val="-3"/>
          <w:sz w:val="28"/>
        </w:rPr>
        <w:t> </w:t>
      </w:r>
      <w:r>
        <w:rPr>
          <w:rFonts w:ascii="Times New Roman" w:eastAsia="Times New Roman"/>
          <w:w w:val="76"/>
          <w:sz w:val="28"/>
        </w:rPr>
        <w:t>i</w:t>
      </w:r>
      <w:r>
        <w:rPr>
          <w:rFonts w:ascii="Times New Roman" w:eastAsia="Times New Roman"/>
          <w:spacing w:val="9"/>
          <w:sz w:val="28"/>
        </w:rPr>
        <w:t> </w:t>
      </w:r>
      <w:r>
        <w:rPr>
          <w:rFonts w:ascii="Times New Roman" w:eastAsia="Times New Roman"/>
          <w:spacing w:val="-1"/>
          <w:w w:val="111"/>
          <w:sz w:val="28"/>
        </w:rPr>
        <w:t>ladung</w:t>
      </w:r>
      <w:r>
        <w:rPr>
          <w:rFonts w:ascii="Times New Roman" w:eastAsia="Times New Roman"/>
          <w:w w:val="111"/>
          <w:sz w:val="28"/>
        </w:rPr>
        <w:t>)</w:t>
      </w:r>
      <w:r>
        <w:rPr>
          <w:w w:val="105"/>
        </w:rPr>
        <w:t>之制度，使第三人得以藉由此等程序參與訴訟程序，實施攻防。</w:t>
      </w:r>
    </w:p>
    <w:p>
      <w:pPr>
        <w:pStyle w:val="BodyText"/>
        <w:spacing w:line="331" w:lineRule="auto"/>
        <w:ind w:left="308" w:right="465" w:firstLine="569"/>
      </w:pPr>
      <w:r>
        <w:rPr>
          <w:w w:val="105"/>
        </w:rPr>
        <w:t>我國行政訴訟法上之訴訟參加，可區分為「普通參加」及「必要參加」</w:t>
      </w:r>
      <w:r>
        <w:rPr>
          <w:w w:val="110"/>
        </w:rPr>
        <w:t>二種。詳述如下：</w:t>
      </w:r>
    </w:p>
    <w:p>
      <w:pPr>
        <w:pStyle w:val="BodyText"/>
        <w:spacing w:before="94"/>
        <w:ind w:left="4201"/>
      </w:pPr>
      <w:r>
        <w:rPr>
          <w:w w:val="125"/>
        </w:rPr>
        <w:t>一普通參加</w:t>
      </w:r>
    </w:p>
    <w:p>
      <w:pPr>
        <w:pStyle w:val="BodyText"/>
        <w:spacing w:before="9"/>
        <w:rPr>
          <w:sz w:val="20"/>
        </w:rPr>
      </w:pPr>
    </w:p>
    <w:p>
      <w:pPr>
        <w:pStyle w:val="BodyText"/>
        <w:ind w:left="861"/>
      </w:pPr>
      <w:r>
        <w:rPr>
          <w:w w:val="105"/>
        </w:rPr>
        <w:t>行</w:t>
      </w:r>
      <w:r>
        <w:rPr>
          <w:spacing w:val="9"/>
        </w:rPr>
        <w:t>政訴訟法第 </w:t>
      </w:r>
      <w:r>
        <w:rPr>
          <w:rFonts w:ascii="Times New Roman" w:eastAsia="Times New Roman"/>
          <w:sz w:val="31"/>
        </w:rPr>
        <w:t>42</w:t>
      </w:r>
      <w:r>
        <w:rPr>
          <w:rFonts w:ascii="Times New Roman" w:eastAsia="Times New Roman"/>
          <w:spacing w:val="7"/>
          <w:sz w:val="31"/>
        </w:rPr>
        <w:t> </w:t>
      </w:r>
      <w:r>
        <w:rPr>
          <w:spacing w:val="-4"/>
        </w:rPr>
        <w:t>條 第 </w:t>
      </w:r>
      <w:r>
        <w:rPr>
          <w:rFonts w:ascii="Times New Roman" w:eastAsia="Times New Roman"/>
          <w:sz w:val="31"/>
        </w:rPr>
        <w:t>l</w:t>
      </w:r>
      <w:r>
        <w:rPr>
          <w:rFonts w:ascii="Times New Roman" w:eastAsia="Times New Roman"/>
          <w:spacing w:val="31"/>
          <w:sz w:val="31"/>
        </w:rPr>
        <w:t> </w:t>
      </w:r>
      <w:r>
        <w:rPr>
          <w:spacing w:val="12"/>
        </w:rPr>
        <w:t>項規定：</w:t>
      </w:r>
      <w:r>
        <w:rPr/>
        <w:t>「行政法院認為撤 銷訴訟之結果</w:t>
      </w:r>
      <w:r>
        <w:rPr>
          <w:spacing w:val="-35"/>
          <w:w w:val="95"/>
        </w:rPr>
        <w:t>， </w:t>
      </w:r>
      <w:r>
        <w:rPr/>
        <w:t>第</w:t>
      </w:r>
    </w:p>
    <w:p>
      <w:pPr>
        <w:pStyle w:val="BodyText"/>
        <w:spacing w:before="1"/>
        <w:rPr>
          <w:sz w:val="23"/>
        </w:rPr>
      </w:pPr>
      <w:r>
        <w:rPr/>
        <w:pict>
          <v:shape style="position:absolute;margin-left:95.174004pt;margin-top:17.160215pt;width:144.25pt;height:.1pt;mso-position-horizontal-relative:page;mso-position-vertical-relative:paragraph;z-index:-15669760;mso-wrap-distance-left:0;mso-wrap-distance-right:0" coordorigin="1903,343" coordsize="2885,0" path="m1903,343l4788,343e" filled="false" stroked="true" strokeweight=".720821pt" strokecolor="#000000">
            <v:path arrowok="t"/>
            <v:stroke dashstyle="solid"/>
            <w10:wrap type="topAndBottom"/>
          </v:shape>
        </w:pict>
      </w:r>
    </w:p>
    <w:p>
      <w:pPr>
        <w:pStyle w:val="BodyText"/>
        <w:spacing w:before="12"/>
        <w:rPr>
          <w:sz w:val="7"/>
        </w:rPr>
      </w:pPr>
    </w:p>
    <w:p>
      <w:pPr>
        <w:spacing w:before="89"/>
        <w:ind w:left="298" w:right="0" w:firstLine="0"/>
        <w:jc w:val="left"/>
        <w:rPr>
          <w:sz w:val="21"/>
        </w:rPr>
      </w:pPr>
      <w:r>
        <w:rPr>
          <w:rFonts w:ascii="Times New Roman" w:eastAsia="Times New Roman"/>
          <w:w w:val="95"/>
          <w:position w:val="8"/>
          <w:sz w:val="13"/>
        </w:rPr>
        <w:t>8</w:t>
      </w:r>
      <w:r>
        <w:rPr>
          <w:rFonts w:ascii="Times New Roman" w:eastAsia="Times New Roman"/>
          <w:spacing w:val="22"/>
          <w:w w:val="95"/>
          <w:position w:val="8"/>
          <w:sz w:val="13"/>
        </w:rPr>
        <w:t> </w:t>
      </w:r>
      <w:r>
        <w:rPr>
          <w:spacing w:val="-7"/>
          <w:w w:val="95"/>
          <w:sz w:val="21"/>
        </w:rPr>
        <w:t>例 見： 經濟部</w:t>
      </w:r>
      <w:r>
        <w:rPr>
          <w:rFonts w:ascii="Times New Roman" w:eastAsia="Times New Roman"/>
          <w:spacing w:val="10"/>
          <w:w w:val="95"/>
          <w:sz w:val="26"/>
        </w:rPr>
        <w:t>93</w:t>
      </w:r>
      <w:r>
        <w:rPr>
          <w:w w:val="95"/>
          <w:sz w:val="21"/>
        </w:rPr>
        <w:t>年</w:t>
      </w:r>
      <w:r>
        <w:rPr>
          <w:rFonts w:ascii="Times New Roman" w:eastAsia="Times New Roman"/>
          <w:w w:val="95"/>
          <w:sz w:val="26"/>
        </w:rPr>
        <w:t>10</w:t>
      </w:r>
      <w:r>
        <w:rPr>
          <w:rFonts w:ascii="Times New Roman" w:eastAsia="Times New Roman"/>
          <w:spacing w:val="-34"/>
          <w:w w:val="95"/>
          <w:sz w:val="26"/>
        </w:rPr>
        <w:t> </w:t>
      </w:r>
      <w:r>
        <w:rPr>
          <w:spacing w:val="31"/>
          <w:w w:val="95"/>
          <w:sz w:val="21"/>
        </w:rPr>
        <w:t>月</w:t>
      </w:r>
      <w:r>
        <w:rPr>
          <w:rFonts w:ascii="Times New Roman" w:eastAsia="Times New Roman"/>
          <w:spacing w:val="23"/>
          <w:w w:val="95"/>
          <w:sz w:val="26"/>
        </w:rPr>
        <w:t>6</w:t>
      </w:r>
      <w:r>
        <w:rPr>
          <w:spacing w:val="17"/>
          <w:w w:val="95"/>
          <w:sz w:val="21"/>
        </w:rPr>
        <w:t>日經 訴字第</w:t>
      </w:r>
      <w:r>
        <w:rPr>
          <w:rFonts w:ascii="Times New Roman" w:eastAsia="Times New Roman"/>
          <w:w w:val="95"/>
          <w:sz w:val="26"/>
        </w:rPr>
        <w:t>09</w:t>
      </w:r>
      <w:r>
        <w:rPr>
          <w:rFonts w:ascii="Times New Roman" w:eastAsia="Times New Roman"/>
          <w:spacing w:val="-29"/>
          <w:w w:val="95"/>
          <w:sz w:val="26"/>
        </w:rPr>
        <w:t> </w:t>
      </w:r>
      <w:r>
        <w:rPr>
          <w:rFonts w:ascii="Times New Roman" w:eastAsia="Times New Roman"/>
          <w:w w:val="95"/>
          <w:sz w:val="26"/>
        </w:rPr>
        <w:t>306226450</w:t>
      </w:r>
      <w:r>
        <w:rPr>
          <w:rFonts w:ascii="Times New Roman" w:eastAsia="Times New Roman"/>
          <w:spacing w:val="16"/>
          <w:w w:val="95"/>
          <w:sz w:val="26"/>
        </w:rPr>
        <w:t> </w:t>
      </w:r>
      <w:r>
        <w:rPr>
          <w:w w:val="95"/>
          <w:sz w:val="21"/>
        </w:rPr>
        <w:t>號訴願決定 。</w:t>
      </w:r>
    </w:p>
    <w:p>
      <w:pPr>
        <w:tabs>
          <w:tab w:pos="3610" w:val="left" w:leader="none"/>
        </w:tabs>
        <w:spacing w:before="1"/>
        <w:ind w:left="298" w:right="0" w:firstLine="0"/>
        <w:jc w:val="left"/>
        <w:rPr>
          <w:rFonts w:ascii="Times New Roman" w:eastAsia="Times New Roman"/>
          <w:sz w:val="26"/>
        </w:rPr>
      </w:pPr>
      <w:r>
        <w:rPr>
          <w:rFonts w:ascii="Times New Roman" w:eastAsia="Times New Roman"/>
          <w:w w:val="80"/>
          <w:position w:val="7"/>
          <w:sz w:val="13"/>
        </w:rPr>
        <w:t>9</w:t>
      </w:r>
      <w:r>
        <w:rPr>
          <w:rFonts w:ascii="Times New Roman" w:eastAsia="Times New Roman"/>
          <w:spacing w:val="29"/>
          <w:position w:val="7"/>
          <w:sz w:val="13"/>
        </w:rPr>
        <w:t> </w:t>
      </w:r>
      <w:r>
        <w:rPr>
          <w:rFonts w:ascii="Times New Roman" w:eastAsia="Times New Roman"/>
          <w:spacing w:val="29"/>
          <w:position w:val="7"/>
          <w:sz w:val="13"/>
        </w:rPr>
        <w:t> </w:t>
      </w:r>
      <w:r>
        <w:rPr>
          <w:w w:val="80"/>
          <w:sz w:val="21"/>
        </w:rPr>
        <w:t>吳庚</w:t>
      </w:r>
      <w:r>
        <w:rPr>
          <w:spacing w:val="10"/>
          <w:w w:val="80"/>
          <w:sz w:val="21"/>
        </w:rPr>
        <w:t> </w:t>
      </w:r>
      <w:r>
        <w:rPr>
          <w:w w:val="80"/>
          <w:sz w:val="21"/>
        </w:rPr>
        <w:t>，行</w:t>
      </w:r>
      <w:r>
        <w:rPr>
          <w:spacing w:val="59"/>
          <w:w w:val="80"/>
          <w:sz w:val="21"/>
        </w:rPr>
        <w:t> </w:t>
      </w:r>
      <w:r>
        <w:rPr>
          <w:w w:val="80"/>
          <w:sz w:val="21"/>
        </w:rPr>
        <w:t>政</w:t>
      </w:r>
      <w:r>
        <w:rPr>
          <w:spacing w:val="20"/>
          <w:w w:val="80"/>
          <w:sz w:val="21"/>
        </w:rPr>
        <w:t> </w:t>
      </w:r>
      <w:r>
        <w:rPr>
          <w:w w:val="80"/>
          <w:sz w:val="21"/>
        </w:rPr>
        <w:t>爭</w:t>
      </w:r>
      <w:r>
        <w:rPr>
          <w:spacing w:val="21"/>
          <w:w w:val="80"/>
          <w:sz w:val="21"/>
        </w:rPr>
        <w:t> </w:t>
      </w:r>
      <w:r>
        <w:rPr>
          <w:w w:val="80"/>
          <w:sz w:val="21"/>
        </w:rPr>
        <w:t>訟</w:t>
      </w:r>
      <w:r>
        <w:rPr>
          <w:spacing w:val="38"/>
          <w:w w:val="80"/>
          <w:sz w:val="21"/>
        </w:rPr>
        <w:t> </w:t>
      </w:r>
      <w:r>
        <w:rPr>
          <w:w w:val="80"/>
          <w:sz w:val="21"/>
        </w:rPr>
        <w:t>法論</w:t>
      </w:r>
      <w:r>
        <w:rPr>
          <w:spacing w:val="19"/>
          <w:w w:val="80"/>
          <w:sz w:val="21"/>
        </w:rPr>
        <w:t> </w:t>
      </w:r>
      <w:r>
        <w:rPr>
          <w:w w:val="80"/>
          <w:sz w:val="21"/>
        </w:rPr>
        <w:t>，</w:t>
      </w:r>
      <w:r>
        <w:rPr>
          <w:spacing w:val="-36"/>
          <w:w w:val="80"/>
          <w:sz w:val="21"/>
        </w:rPr>
        <w:t> </w:t>
      </w:r>
      <w:r>
        <w:rPr>
          <w:spacing w:val="31"/>
          <w:w w:val="80"/>
          <w:sz w:val="21"/>
        </w:rPr>
        <w:t>頁</w:t>
      </w:r>
      <w:r>
        <w:rPr>
          <w:rFonts w:ascii="Times New Roman" w:eastAsia="Times New Roman"/>
          <w:w w:val="80"/>
          <w:sz w:val="26"/>
        </w:rPr>
        <w:t>7,2</w:t>
        <w:tab/>
      </w:r>
      <w:r>
        <w:rPr>
          <w:w w:val="85"/>
          <w:sz w:val="21"/>
        </w:rPr>
        <w:t>自版</w:t>
      </w:r>
      <w:r>
        <w:rPr>
          <w:spacing w:val="15"/>
          <w:w w:val="85"/>
          <w:sz w:val="21"/>
        </w:rPr>
        <w:t> </w:t>
      </w:r>
      <w:r>
        <w:rPr>
          <w:w w:val="85"/>
          <w:sz w:val="21"/>
        </w:rPr>
        <w:t>，</w:t>
      </w:r>
      <w:r>
        <w:rPr>
          <w:spacing w:val="-60"/>
          <w:w w:val="85"/>
          <w:sz w:val="21"/>
        </w:rPr>
        <w:t> </w:t>
      </w:r>
      <w:r>
        <w:rPr>
          <w:rFonts w:ascii="Times New Roman" w:eastAsia="Times New Roman"/>
          <w:w w:val="85"/>
          <w:sz w:val="26"/>
        </w:rPr>
        <w:t>200</w:t>
      </w:r>
      <w:r>
        <w:rPr>
          <w:rFonts w:ascii="Times New Roman" w:eastAsia="Times New Roman"/>
          <w:spacing w:val="-24"/>
          <w:w w:val="85"/>
          <w:sz w:val="26"/>
        </w:rPr>
        <w:t> </w:t>
      </w:r>
      <w:r>
        <w:rPr>
          <w:rFonts w:ascii="Times New Roman" w:eastAsia="Times New Roman"/>
          <w:w w:val="85"/>
          <w:sz w:val="26"/>
        </w:rPr>
        <w:t>8</w:t>
      </w:r>
      <w:r>
        <w:rPr>
          <w:w w:val="85"/>
          <w:sz w:val="21"/>
        </w:rPr>
        <w:t>年</w:t>
      </w:r>
      <w:r>
        <w:rPr>
          <w:rFonts w:ascii="Times New Roman" w:eastAsia="Times New Roman"/>
          <w:spacing w:val="11"/>
          <w:w w:val="85"/>
          <w:sz w:val="26"/>
        </w:rPr>
        <w:t>3</w:t>
      </w:r>
      <w:r>
        <w:rPr>
          <w:spacing w:val="33"/>
          <w:w w:val="85"/>
          <w:sz w:val="21"/>
        </w:rPr>
        <w:t>月</w:t>
      </w:r>
      <w:r>
        <w:rPr>
          <w:rFonts w:ascii="Times New Roman" w:eastAsia="Times New Roman"/>
          <w:w w:val="85"/>
          <w:sz w:val="26"/>
        </w:rPr>
        <w:t>4</w:t>
      </w:r>
      <w:r>
        <w:rPr>
          <w:w w:val="85"/>
          <w:sz w:val="21"/>
        </w:rPr>
        <w:t>版；</w:t>
      </w:r>
      <w:r>
        <w:rPr>
          <w:spacing w:val="24"/>
          <w:w w:val="85"/>
          <w:sz w:val="21"/>
        </w:rPr>
        <w:t> </w:t>
      </w:r>
      <w:r>
        <w:rPr>
          <w:w w:val="85"/>
          <w:sz w:val="21"/>
        </w:rPr>
        <w:t>林</w:t>
      </w:r>
      <w:r>
        <w:rPr>
          <w:spacing w:val="-26"/>
          <w:w w:val="85"/>
          <w:sz w:val="21"/>
        </w:rPr>
        <w:t> </w:t>
      </w:r>
      <w:r>
        <w:rPr>
          <w:w w:val="85"/>
          <w:sz w:val="21"/>
        </w:rPr>
        <w:t>騰</w:t>
      </w:r>
      <w:r>
        <w:rPr>
          <w:spacing w:val="-37"/>
          <w:w w:val="85"/>
          <w:sz w:val="21"/>
        </w:rPr>
        <w:t> </w:t>
      </w:r>
      <w:r>
        <w:rPr>
          <w:w w:val="85"/>
          <w:sz w:val="21"/>
        </w:rPr>
        <w:t>鷂</w:t>
      </w:r>
      <w:r>
        <w:rPr>
          <w:spacing w:val="42"/>
          <w:w w:val="85"/>
          <w:sz w:val="21"/>
        </w:rPr>
        <w:t> </w:t>
      </w:r>
      <w:r>
        <w:rPr>
          <w:w w:val="85"/>
          <w:sz w:val="21"/>
        </w:rPr>
        <w:t>，行</w:t>
      </w:r>
      <w:r>
        <w:rPr>
          <w:spacing w:val="48"/>
          <w:w w:val="85"/>
          <w:sz w:val="21"/>
        </w:rPr>
        <w:t> </w:t>
      </w:r>
      <w:r>
        <w:rPr>
          <w:w w:val="85"/>
          <w:sz w:val="21"/>
        </w:rPr>
        <w:t>政</w:t>
      </w:r>
      <w:r>
        <w:rPr>
          <w:spacing w:val="13"/>
          <w:w w:val="85"/>
          <w:sz w:val="21"/>
        </w:rPr>
        <w:t> </w:t>
      </w:r>
      <w:r>
        <w:rPr>
          <w:w w:val="85"/>
          <w:sz w:val="21"/>
        </w:rPr>
        <w:t>訴</w:t>
      </w:r>
      <w:r>
        <w:rPr>
          <w:spacing w:val="23"/>
          <w:w w:val="85"/>
          <w:sz w:val="21"/>
        </w:rPr>
        <w:t>訟</w:t>
      </w:r>
      <w:r>
        <w:rPr>
          <w:w w:val="85"/>
          <w:sz w:val="21"/>
        </w:rPr>
        <w:t>法</w:t>
      </w:r>
      <w:r>
        <w:rPr>
          <w:spacing w:val="-7"/>
          <w:w w:val="85"/>
          <w:sz w:val="21"/>
        </w:rPr>
        <w:t> </w:t>
      </w:r>
      <w:r>
        <w:rPr>
          <w:w w:val="85"/>
          <w:sz w:val="21"/>
        </w:rPr>
        <w:t>，</w:t>
      </w:r>
      <w:r>
        <w:rPr>
          <w:spacing w:val="-43"/>
          <w:w w:val="85"/>
          <w:sz w:val="21"/>
        </w:rPr>
        <w:t> </w:t>
      </w:r>
      <w:r>
        <w:rPr>
          <w:spacing w:val="35"/>
          <w:w w:val="85"/>
          <w:sz w:val="21"/>
        </w:rPr>
        <w:t>頁</w:t>
      </w:r>
      <w:r>
        <w:rPr>
          <w:rFonts w:ascii="Times New Roman" w:eastAsia="Times New Roman"/>
          <w:w w:val="85"/>
          <w:sz w:val="26"/>
        </w:rPr>
        <w:t>25,2</w:t>
      </w:r>
    </w:p>
    <w:p>
      <w:pPr>
        <w:spacing w:before="16"/>
        <w:ind w:left="510" w:right="0" w:firstLine="0"/>
        <w:jc w:val="left"/>
        <w:rPr>
          <w:sz w:val="21"/>
        </w:rPr>
      </w:pPr>
      <w:r>
        <w:rPr>
          <w:spacing w:val="2"/>
          <w:w w:val="95"/>
          <w:sz w:val="21"/>
        </w:rPr>
        <w:t>三民書局股份有限公 司 ， </w:t>
      </w:r>
      <w:r>
        <w:rPr>
          <w:rFonts w:ascii="Times New Roman" w:eastAsia="Times New Roman"/>
          <w:w w:val="95"/>
          <w:sz w:val="26"/>
        </w:rPr>
        <w:t>200</w:t>
      </w:r>
      <w:r>
        <w:rPr>
          <w:rFonts w:ascii="Times New Roman" w:eastAsia="Times New Roman"/>
          <w:spacing w:val="-28"/>
          <w:w w:val="95"/>
          <w:sz w:val="26"/>
        </w:rPr>
        <w:t> </w:t>
      </w:r>
      <w:r>
        <w:rPr>
          <w:rFonts w:ascii="Times New Roman" w:eastAsia="Times New Roman"/>
          <w:w w:val="95"/>
          <w:sz w:val="26"/>
        </w:rPr>
        <w:t>8</w:t>
      </w:r>
      <w:r>
        <w:rPr>
          <w:w w:val="95"/>
          <w:sz w:val="21"/>
        </w:rPr>
        <w:t>年</w:t>
      </w:r>
      <w:r>
        <w:rPr>
          <w:rFonts w:ascii="Times New Roman" w:eastAsia="Times New Roman"/>
          <w:spacing w:val="20"/>
          <w:w w:val="95"/>
          <w:sz w:val="26"/>
        </w:rPr>
        <w:t>1</w:t>
      </w:r>
      <w:r>
        <w:rPr>
          <w:spacing w:val="32"/>
          <w:w w:val="95"/>
          <w:sz w:val="21"/>
        </w:rPr>
        <w:t>月</w:t>
      </w:r>
      <w:r>
        <w:rPr>
          <w:rFonts w:ascii="Times New Roman" w:eastAsia="Times New Roman"/>
          <w:w w:val="95"/>
          <w:sz w:val="26"/>
        </w:rPr>
        <w:t>3</w:t>
      </w:r>
      <w:r>
        <w:rPr>
          <w:spacing w:val="-8"/>
          <w:w w:val="95"/>
          <w:sz w:val="21"/>
        </w:rPr>
        <w:t>版； 簫文生 ， 訴訟參加 ， 載： 翁岳生編 ，行 政</w:t>
      </w:r>
    </w:p>
    <w:p>
      <w:pPr>
        <w:tabs>
          <w:tab w:pos="3271" w:val="left" w:leader="none"/>
        </w:tabs>
        <w:spacing w:before="10"/>
        <w:ind w:left="510" w:right="0" w:firstLine="0"/>
        <w:jc w:val="left"/>
        <w:rPr>
          <w:rFonts w:ascii="Times New Roman" w:eastAsia="Times New Roman"/>
          <w:sz w:val="26"/>
        </w:rPr>
      </w:pPr>
      <w:r>
        <w:rPr>
          <w:spacing w:val="10"/>
          <w:w w:val="95"/>
          <w:sz w:val="21"/>
        </w:rPr>
        <w:t>訴</w:t>
      </w:r>
      <w:r>
        <w:rPr>
          <w:spacing w:val="19"/>
          <w:w w:val="95"/>
          <w:sz w:val="21"/>
        </w:rPr>
        <w:t>訟</w:t>
      </w:r>
      <w:r>
        <w:rPr>
          <w:spacing w:val="10"/>
          <w:w w:val="95"/>
          <w:sz w:val="21"/>
        </w:rPr>
        <w:t>法</w:t>
      </w:r>
      <w:r>
        <w:rPr>
          <w:spacing w:val="12"/>
          <w:w w:val="95"/>
          <w:sz w:val="21"/>
        </w:rPr>
        <w:t>逐</w:t>
      </w:r>
      <w:r>
        <w:rPr>
          <w:spacing w:val="19"/>
          <w:w w:val="95"/>
          <w:sz w:val="21"/>
        </w:rPr>
        <w:t>條</w:t>
      </w:r>
      <w:r>
        <w:rPr>
          <w:spacing w:val="20"/>
          <w:w w:val="95"/>
          <w:sz w:val="21"/>
        </w:rPr>
        <w:t>釋</w:t>
      </w:r>
      <w:r>
        <w:rPr>
          <w:w w:val="95"/>
          <w:sz w:val="21"/>
        </w:rPr>
        <w:t>義</w:t>
      </w:r>
      <w:r>
        <w:rPr>
          <w:spacing w:val="-2"/>
          <w:w w:val="95"/>
          <w:sz w:val="21"/>
        </w:rPr>
        <w:t> </w:t>
      </w:r>
      <w:r>
        <w:rPr>
          <w:w w:val="95"/>
          <w:sz w:val="21"/>
        </w:rPr>
        <w:t>，</w:t>
      </w:r>
      <w:r>
        <w:rPr>
          <w:spacing w:val="-55"/>
          <w:w w:val="95"/>
          <w:sz w:val="21"/>
        </w:rPr>
        <w:t> </w:t>
      </w:r>
      <w:r>
        <w:rPr>
          <w:spacing w:val="20"/>
          <w:w w:val="95"/>
          <w:sz w:val="21"/>
        </w:rPr>
        <w:t>頁</w:t>
      </w:r>
      <w:r>
        <w:rPr>
          <w:rFonts w:ascii="Times New Roman" w:eastAsia="Times New Roman"/>
          <w:w w:val="95"/>
          <w:sz w:val="26"/>
        </w:rPr>
        <w:t>25,1</w:t>
        <w:tab/>
      </w:r>
      <w:r>
        <w:rPr>
          <w:w w:val="90"/>
          <w:sz w:val="21"/>
        </w:rPr>
        <w:t>五</w:t>
      </w:r>
      <w:r>
        <w:rPr>
          <w:spacing w:val="65"/>
          <w:w w:val="90"/>
          <w:sz w:val="21"/>
        </w:rPr>
        <w:t> </w:t>
      </w:r>
      <w:r>
        <w:rPr>
          <w:w w:val="90"/>
          <w:sz w:val="21"/>
        </w:rPr>
        <w:t>南圖</w:t>
      </w:r>
      <w:r>
        <w:rPr>
          <w:spacing w:val="-1"/>
          <w:w w:val="90"/>
          <w:sz w:val="21"/>
        </w:rPr>
        <w:t> </w:t>
      </w:r>
      <w:r>
        <w:rPr>
          <w:spacing w:val="27"/>
          <w:w w:val="90"/>
          <w:sz w:val="21"/>
        </w:rPr>
        <w:t>書</w:t>
      </w:r>
      <w:r>
        <w:rPr>
          <w:w w:val="90"/>
          <w:sz w:val="21"/>
        </w:rPr>
        <w:t>出版</w:t>
      </w:r>
      <w:r>
        <w:rPr>
          <w:spacing w:val="-18"/>
          <w:w w:val="90"/>
          <w:sz w:val="21"/>
        </w:rPr>
        <w:t> </w:t>
      </w:r>
      <w:r>
        <w:rPr>
          <w:w w:val="90"/>
          <w:sz w:val="21"/>
        </w:rPr>
        <w:t>公</w:t>
      </w:r>
      <w:r>
        <w:rPr>
          <w:spacing w:val="-24"/>
          <w:w w:val="90"/>
          <w:sz w:val="21"/>
        </w:rPr>
        <w:t> </w:t>
      </w:r>
      <w:r>
        <w:rPr>
          <w:w w:val="90"/>
          <w:sz w:val="21"/>
        </w:rPr>
        <w:t>司</w:t>
      </w:r>
      <w:r>
        <w:rPr>
          <w:spacing w:val="16"/>
          <w:w w:val="90"/>
          <w:sz w:val="21"/>
        </w:rPr>
        <w:t> </w:t>
      </w:r>
      <w:r>
        <w:rPr>
          <w:w w:val="90"/>
          <w:sz w:val="21"/>
        </w:rPr>
        <w:t>，</w:t>
      </w:r>
      <w:r>
        <w:rPr>
          <w:spacing w:val="-64"/>
          <w:w w:val="90"/>
          <w:sz w:val="21"/>
        </w:rPr>
        <w:t> </w:t>
      </w:r>
      <w:r>
        <w:rPr>
          <w:rFonts w:ascii="Times New Roman" w:eastAsia="Times New Roman"/>
          <w:w w:val="90"/>
          <w:sz w:val="26"/>
        </w:rPr>
        <w:t>2003</w:t>
      </w:r>
      <w:r>
        <w:rPr>
          <w:rFonts w:ascii="Times New Roman" w:eastAsia="Times New Roman"/>
          <w:spacing w:val="-2"/>
          <w:w w:val="90"/>
          <w:sz w:val="26"/>
        </w:rPr>
        <w:t> </w:t>
      </w:r>
      <w:r>
        <w:rPr>
          <w:w w:val="90"/>
          <w:sz w:val="21"/>
        </w:rPr>
        <w:t>年</w:t>
      </w:r>
      <w:r>
        <w:rPr>
          <w:rFonts w:ascii="Times New Roman" w:eastAsia="Times New Roman"/>
          <w:spacing w:val="16"/>
          <w:w w:val="90"/>
          <w:sz w:val="26"/>
        </w:rPr>
        <w:t>5</w:t>
      </w:r>
      <w:r>
        <w:rPr>
          <w:w w:val="90"/>
          <w:sz w:val="21"/>
        </w:rPr>
        <w:t>月；</w:t>
      </w:r>
      <w:r>
        <w:rPr>
          <w:spacing w:val="-18"/>
          <w:w w:val="90"/>
          <w:sz w:val="21"/>
        </w:rPr>
        <w:t> </w:t>
      </w:r>
      <w:r>
        <w:rPr>
          <w:rFonts w:ascii="Times New Roman" w:eastAsia="Times New Roman"/>
          <w:w w:val="90"/>
          <w:sz w:val="26"/>
        </w:rPr>
        <w:t>Wurtenberger,</w:t>
      </w:r>
    </w:p>
    <w:p>
      <w:pPr>
        <w:pStyle w:val="Heading6"/>
        <w:spacing w:before="20"/>
        <w:ind w:left="507"/>
      </w:pPr>
      <w:r>
        <w:rPr>
          <w:w w:val="95"/>
        </w:rPr>
        <w:t>Verwal</w:t>
      </w:r>
      <w:r>
        <w:rPr>
          <w:spacing w:val="-8"/>
          <w:w w:val="95"/>
        </w:rPr>
        <w:t> </w:t>
      </w:r>
      <w:r>
        <w:rPr>
          <w:w w:val="95"/>
        </w:rPr>
        <w:t>tungsprozessrecht,</w:t>
      </w:r>
      <w:r>
        <w:rPr>
          <w:spacing w:val="78"/>
        </w:rPr>
        <w:t> </w:t>
      </w:r>
      <w:r>
        <w:rPr>
          <w:w w:val="95"/>
        </w:rPr>
        <w:t>2.</w:t>
      </w:r>
      <w:r>
        <w:rPr>
          <w:spacing w:val="73"/>
        </w:rPr>
        <w:t> </w:t>
      </w:r>
      <w:r>
        <w:rPr>
          <w:w w:val="95"/>
        </w:rPr>
        <w:t>Aufl.,</w:t>
      </w:r>
      <w:r>
        <w:rPr>
          <w:spacing w:val="90"/>
        </w:rPr>
        <w:t> </w:t>
      </w:r>
      <w:r>
        <w:rPr>
          <w:w w:val="95"/>
        </w:rPr>
        <w:t>2006,</w:t>
      </w:r>
      <w:r>
        <w:rPr>
          <w:spacing w:val="151"/>
        </w:rPr>
        <w:t> </w:t>
      </w:r>
      <w:r>
        <w:rPr>
          <w:w w:val="95"/>
        </w:rPr>
        <w:t>Rn.</w:t>
      </w:r>
      <w:r>
        <w:rPr>
          <w:spacing w:val="149"/>
        </w:rPr>
        <w:t> </w:t>
      </w:r>
      <w:r>
        <w:rPr>
          <w:w w:val="95"/>
        </w:rPr>
        <w:t>221.</w:t>
      </w:r>
    </w:p>
    <w:p>
      <w:pPr>
        <w:spacing w:after="0"/>
        <w:sectPr>
          <w:pgSz w:w="11910" w:h="16840"/>
          <w:pgMar w:header="862" w:footer="937" w:top="1060" w:bottom="1200" w:left="1120" w:right="1060"/>
        </w:sectPr>
      </w:pPr>
    </w:p>
    <w:p>
      <w:pPr>
        <w:pStyle w:val="BodyText"/>
        <w:rPr>
          <w:rFonts w:ascii="Times New Roman"/>
          <w:sz w:val="20"/>
        </w:rPr>
      </w:pPr>
    </w:p>
    <w:p>
      <w:pPr>
        <w:pStyle w:val="BodyText"/>
        <w:spacing w:line="328" w:lineRule="auto" w:before="208"/>
        <w:ind w:left="321" w:right="519" w:hanging="10"/>
      </w:pPr>
      <w:r>
        <w:rPr>
          <w:w w:val="110"/>
        </w:rPr>
        <w:t>三人之権利或法律上利益將受損害者，得依職権命其獨立參加訴訟，並得因該第三人之磬請，裁定允許其參加」，是為普通參加。</w:t>
      </w:r>
    </w:p>
    <w:p>
      <w:pPr>
        <w:pStyle w:val="BodyText"/>
        <w:spacing w:line="328" w:lineRule="auto"/>
        <w:ind w:left="296" w:right="530" w:firstLine="593"/>
        <w:jc w:val="both"/>
        <w:rPr>
          <w:rFonts w:ascii="Arial" w:eastAsia="Arial"/>
          <w:sz w:val="8"/>
        </w:rPr>
      </w:pPr>
      <w:r>
        <w:rPr/>
        <w:t>普通參加之參加人，須其權利或法律上利益將因行政訴訟之結果而受   </w:t>
      </w:r>
      <w:r>
        <w:rPr>
          <w:spacing w:val="62"/>
        </w:rPr>
        <w:t> </w:t>
      </w:r>
      <w:r>
        <w:rPr/>
        <w:t>損害者。我國實務上有如下案例：人民向公共工程施工之政府機關請求因    </w:t>
      </w:r>
      <w:r>
        <w:rPr>
          <w:spacing w:val="30"/>
        </w:rPr>
        <w:t> </w:t>
      </w:r>
      <w:r>
        <w:rPr/>
        <w:t>紇工所致之損害賠償時，行政法院以實際花作之承攬人（可能因此負民法    </w:t>
      </w:r>
      <w:r>
        <w:rPr>
          <w:spacing w:val="30"/>
        </w:rPr>
        <w:t> </w:t>
      </w:r>
      <w:r>
        <w:rPr>
          <w:spacing w:val="11"/>
        </w:rPr>
        <w:t>上損害賠償 責任之義務人）</w:t>
      </w:r>
      <w:r>
        <w:rPr>
          <w:spacing w:val="4"/>
        </w:rPr>
        <w:t>為普通參加人而依 職 權命其參加訴訟</w:t>
      </w:r>
      <w:r>
        <w:rPr>
          <w:rFonts w:ascii="Times New Roman" w:eastAsia="Times New Roman"/>
          <w:w w:val="70"/>
          <w:sz w:val="15"/>
        </w:rPr>
        <w:t>1</w:t>
      </w:r>
      <w:r>
        <w:rPr>
          <w:rFonts w:ascii="Times New Roman" w:eastAsia="Times New Roman"/>
          <w:spacing w:val="9"/>
          <w:w w:val="70"/>
          <w:sz w:val="15"/>
        </w:rPr>
        <w:t> </w:t>
      </w:r>
      <w:r>
        <w:rPr>
          <w:rFonts w:ascii="Times New Roman" w:eastAsia="Times New Roman"/>
          <w:w w:val="70"/>
          <w:sz w:val="15"/>
        </w:rPr>
        <w:t>0</w:t>
      </w:r>
      <w:r>
        <w:rPr>
          <w:rFonts w:ascii="Times New Roman" w:eastAsia="Times New Roman"/>
          <w:spacing w:val="6"/>
          <w:w w:val="70"/>
          <w:sz w:val="15"/>
        </w:rPr>
        <w:t> </w:t>
      </w:r>
      <w:r>
        <w:rPr>
          <w:rFonts w:ascii="Arial" w:eastAsia="Arial"/>
          <w:sz w:val="8"/>
        </w:rPr>
        <w:t>0</w:t>
      </w:r>
    </w:p>
    <w:p>
      <w:pPr>
        <w:pStyle w:val="BodyText"/>
        <w:spacing w:before="96"/>
        <w:ind w:left="796" w:right="549"/>
        <w:jc w:val="center"/>
      </w:pPr>
      <w:r>
        <w:rPr>
          <w:w w:val="125"/>
        </w:rPr>
        <w:t>二必要參加</w:t>
      </w:r>
    </w:p>
    <w:p>
      <w:pPr>
        <w:pStyle w:val="BodyText"/>
        <w:spacing w:before="5"/>
        <w:rPr>
          <w:sz w:val="21"/>
        </w:rPr>
      </w:pPr>
    </w:p>
    <w:p>
      <w:pPr>
        <w:tabs>
          <w:tab w:pos="8863" w:val="left" w:leader="none"/>
        </w:tabs>
        <w:spacing w:line="321" w:lineRule="auto" w:before="1"/>
        <w:ind w:left="308" w:right="521" w:firstLine="552"/>
        <w:jc w:val="left"/>
        <w:rPr>
          <w:sz w:val="25"/>
        </w:rPr>
      </w:pPr>
      <w:r>
        <w:rPr>
          <w:sz w:val="25"/>
        </w:rPr>
        <w:t>行政</w:t>
      </w:r>
      <w:r>
        <w:rPr>
          <w:spacing w:val="13"/>
          <w:sz w:val="25"/>
        </w:rPr>
        <w:t>訴</w:t>
      </w:r>
      <w:r>
        <w:rPr>
          <w:spacing w:val="27"/>
          <w:sz w:val="25"/>
        </w:rPr>
        <w:t>訟</w:t>
      </w:r>
      <w:r>
        <w:rPr>
          <w:spacing w:val="38"/>
          <w:sz w:val="25"/>
        </w:rPr>
        <w:t>法</w:t>
      </w:r>
      <w:r>
        <w:rPr>
          <w:sz w:val="25"/>
        </w:rPr>
        <w:t>第</w:t>
      </w:r>
      <w:r>
        <w:rPr>
          <w:spacing w:val="44"/>
          <w:sz w:val="25"/>
        </w:rPr>
        <w:t> </w:t>
      </w:r>
      <w:r>
        <w:rPr>
          <w:rFonts w:ascii="Times New Roman" w:eastAsia="Times New Roman"/>
          <w:w w:val="95"/>
          <w:sz w:val="31"/>
        </w:rPr>
        <w:t>41</w:t>
      </w:r>
      <w:r>
        <w:rPr>
          <w:rFonts w:ascii="Times New Roman" w:eastAsia="Times New Roman"/>
          <w:spacing w:val="61"/>
          <w:w w:val="95"/>
          <w:sz w:val="31"/>
        </w:rPr>
        <w:t> </w:t>
      </w:r>
      <w:r>
        <w:rPr>
          <w:spacing w:val="17"/>
          <w:sz w:val="25"/>
        </w:rPr>
        <w:t>條</w:t>
      </w:r>
      <w:r>
        <w:rPr>
          <w:spacing w:val="15"/>
          <w:sz w:val="25"/>
        </w:rPr>
        <w:t>規</w:t>
      </w:r>
      <w:r>
        <w:rPr>
          <w:sz w:val="25"/>
        </w:rPr>
        <w:t>定：</w:t>
      </w:r>
      <w:r>
        <w:rPr>
          <w:spacing w:val="-191"/>
          <w:sz w:val="25"/>
        </w:rPr>
        <w:t>「</w:t>
      </w:r>
      <w:r>
        <w:rPr>
          <w:spacing w:val="13"/>
          <w:sz w:val="25"/>
        </w:rPr>
        <w:t>訴</w:t>
      </w:r>
      <w:r>
        <w:rPr>
          <w:spacing w:val="15"/>
          <w:sz w:val="25"/>
        </w:rPr>
        <w:t>訟</w:t>
      </w:r>
      <w:r>
        <w:rPr>
          <w:spacing w:val="23"/>
          <w:sz w:val="25"/>
        </w:rPr>
        <w:t>標</w:t>
      </w:r>
      <w:r>
        <w:rPr>
          <w:spacing w:val="27"/>
          <w:sz w:val="25"/>
        </w:rPr>
        <w:t>的</w:t>
      </w:r>
      <w:r>
        <w:rPr>
          <w:sz w:val="25"/>
        </w:rPr>
        <w:t>對於</w:t>
      </w:r>
      <w:r>
        <w:rPr>
          <w:spacing w:val="-24"/>
          <w:sz w:val="25"/>
        </w:rPr>
        <w:t> </w:t>
      </w:r>
      <w:r>
        <w:rPr>
          <w:sz w:val="25"/>
        </w:rPr>
        <w:t>第三</w:t>
      </w:r>
      <w:r>
        <w:rPr>
          <w:spacing w:val="59"/>
          <w:sz w:val="25"/>
        </w:rPr>
        <w:t> </w:t>
      </w:r>
      <w:r>
        <w:rPr>
          <w:sz w:val="25"/>
        </w:rPr>
        <w:t>人</w:t>
      </w:r>
      <w:r>
        <w:rPr>
          <w:spacing w:val="28"/>
          <w:sz w:val="25"/>
        </w:rPr>
        <w:t>及</w:t>
      </w:r>
      <w:r>
        <w:rPr>
          <w:spacing w:val="33"/>
          <w:sz w:val="25"/>
        </w:rPr>
        <w:t>當</w:t>
      </w:r>
      <w:r>
        <w:rPr>
          <w:spacing w:val="23"/>
          <w:sz w:val="25"/>
        </w:rPr>
        <w:t>事</w:t>
      </w:r>
      <w:r>
        <w:rPr>
          <w:sz w:val="25"/>
        </w:rPr>
        <w:t>人</w:t>
      </w:r>
      <w:r>
        <w:rPr>
          <w:spacing w:val="36"/>
          <w:sz w:val="25"/>
        </w:rPr>
        <w:t>一</w:t>
      </w:r>
      <w:r>
        <w:rPr>
          <w:spacing w:val="18"/>
          <w:sz w:val="25"/>
        </w:rPr>
        <w:t>造</w:t>
      </w:r>
      <w:r>
        <w:rPr>
          <w:spacing w:val="16"/>
          <w:sz w:val="25"/>
        </w:rPr>
        <w:t>必</w:t>
      </w:r>
      <w:r>
        <w:rPr>
          <w:spacing w:val="31"/>
          <w:sz w:val="25"/>
        </w:rPr>
        <w:t>須</w:t>
      </w:r>
      <w:r>
        <w:rPr>
          <w:sz w:val="25"/>
        </w:rPr>
        <w:t>合一確</w:t>
      </w:r>
      <w:r>
        <w:rPr>
          <w:spacing w:val="-51"/>
          <w:sz w:val="25"/>
        </w:rPr>
        <w:t> </w:t>
      </w:r>
      <w:r>
        <w:rPr>
          <w:sz w:val="25"/>
        </w:rPr>
        <w:t>定者</w:t>
      </w:r>
      <w:r>
        <w:rPr>
          <w:spacing w:val="-44"/>
          <w:sz w:val="25"/>
        </w:rPr>
        <w:t> </w:t>
      </w:r>
      <w:r>
        <w:rPr>
          <w:w w:val="95"/>
          <w:sz w:val="25"/>
        </w:rPr>
        <w:t>，行</w:t>
      </w:r>
      <w:r>
        <w:rPr>
          <w:spacing w:val="34"/>
          <w:w w:val="95"/>
          <w:sz w:val="25"/>
        </w:rPr>
        <w:t> </w:t>
      </w:r>
      <w:r>
        <w:rPr>
          <w:spacing w:val="11"/>
          <w:sz w:val="25"/>
        </w:rPr>
        <w:t>政</w:t>
      </w:r>
      <w:r>
        <w:rPr>
          <w:sz w:val="25"/>
        </w:rPr>
        <w:t>法</w:t>
      </w:r>
      <w:r>
        <w:rPr>
          <w:spacing w:val="27"/>
          <w:sz w:val="25"/>
        </w:rPr>
        <w:t>院</w:t>
      </w:r>
      <w:r>
        <w:rPr>
          <w:spacing w:val="10"/>
          <w:sz w:val="25"/>
        </w:rPr>
        <w:t>應</w:t>
      </w:r>
      <w:r>
        <w:rPr>
          <w:spacing w:val="31"/>
          <w:sz w:val="25"/>
        </w:rPr>
        <w:t>以</w:t>
      </w:r>
      <w:r>
        <w:rPr>
          <w:spacing w:val="18"/>
          <w:sz w:val="25"/>
        </w:rPr>
        <w:t>裁</w:t>
      </w:r>
      <w:r>
        <w:rPr>
          <w:sz w:val="25"/>
        </w:rPr>
        <w:t>定</w:t>
      </w:r>
      <w:r>
        <w:rPr>
          <w:spacing w:val="22"/>
          <w:sz w:val="25"/>
        </w:rPr>
        <w:t>命</w:t>
      </w:r>
      <w:r>
        <w:rPr>
          <w:spacing w:val="37"/>
          <w:sz w:val="25"/>
        </w:rPr>
        <w:t>該第</w:t>
      </w:r>
      <w:r>
        <w:rPr>
          <w:spacing w:val="26"/>
          <w:sz w:val="25"/>
        </w:rPr>
        <w:t>三</w:t>
      </w:r>
      <w:r>
        <w:rPr>
          <w:sz w:val="25"/>
        </w:rPr>
        <w:t>人參</w:t>
      </w:r>
      <w:r>
        <w:rPr>
          <w:spacing w:val="12"/>
          <w:sz w:val="25"/>
        </w:rPr>
        <w:t>加</w:t>
      </w:r>
      <w:r>
        <w:rPr>
          <w:spacing w:val="13"/>
          <w:sz w:val="25"/>
        </w:rPr>
        <w:t>訴</w:t>
      </w:r>
      <w:r>
        <w:rPr>
          <w:spacing w:val="19"/>
          <w:sz w:val="25"/>
        </w:rPr>
        <w:t>訟</w:t>
      </w:r>
      <w:r>
        <w:rPr>
          <w:spacing w:val="-56"/>
          <w:sz w:val="25"/>
        </w:rPr>
        <w:t>」</w:t>
      </w:r>
      <w:r>
        <w:rPr>
          <w:w w:val="95"/>
          <w:sz w:val="25"/>
        </w:rPr>
        <w:t>，</w:t>
      </w:r>
      <w:r>
        <w:rPr>
          <w:spacing w:val="-90"/>
          <w:w w:val="95"/>
          <w:sz w:val="25"/>
        </w:rPr>
        <w:t> </w:t>
      </w:r>
      <w:r>
        <w:rPr>
          <w:spacing w:val="14"/>
          <w:sz w:val="25"/>
        </w:rPr>
        <w:t>是</w:t>
      </w:r>
      <w:r>
        <w:rPr>
          <w:spacing w:val="36"/>
          <w:sz w:val="25"/>
        </w:rPr>
        <w:t>為</w:t>
      </w:r>
      <w:r>
        <w:rPr>
          <w:spacing w:val="23"/>
          <w:sz w:val="25"/>
        </w:rPr>
        <w:t>必</w:t>
      </w:r>
      <w:r>
        <w:rPr>
          <w:spacing w:val="19"/>
          <w:sz w:val="25"/>
        </w:rPr>
        <w:t>要</w:t>
      </w:r>
      <w:r>
        <w:rPr>
          <w:sz w:val="25"/>
        </w:rPr>
        <w:t>參加</w:t>
      </w:r>
      <w:r>
        <w:rPr>
          <w:rFonts w:ascii="Times New Roman" w:eastAsia="Times New Roman"/>
          <w:w w:val="75"/>
          <w:sz w:val="15"/>
        </w:rPr>
        <w:t>11</w:t>
      </w:r>
      <w:r>
        <w:rPr>
          <w:rFonts w:ascii="Times New Roman" w:eastAsia="Times New Roman"/>
          <w:spacing w:val="24"/>
          <w:sz w:val="15"/>
        </w:rPr>
        <w:t>   </w:t>
      </w:r>
      <w:r>
        <w:rPr>
          <w:w w:val="75"/>
          <w:sz w:val="25"/>
        </w:rPr>
        <w:t>。</w:t>
      </w:r>
      <w:r>
        <w:rPr>
          <w:spacing w:val="2"/>
          <w:w w:val="75"/>
          <w:sz w:val="25"/>
        </w:rPr>
        <w:t> </w:t>
      </w:r>
      <w:r>
        <w:rPr>
          <w:w w:val="75"/>
          <w:sz w:val="25"/>
        </w:rPr>
        <w:t>所</w:t>
      </w:r>
      <w:r>
        <w:rPr>
          <w:w w:val="110"/>
          <w:sz w:val="25"/>
        </w:rPr>
        <w:t>謂「訴訟標的對於第三人及噹事人一造必須合一璀定」，係挂「法皖判決</w:t>
      </w:r>
      <w:r>
        <w:rPr>
          <w:spacing w:val="24"/>
          <w:sz w:val="25"/>
        </w:rPr>
        <w:t>將</w:t>
      </w:r>
      <w:r>
        <w:rPr>
          <w:sz w:val="25"/>
        </w:rPr>
        <w:t>直接</w:t>
      </w:r>
      <w:r>
        <w:rPr>
          <w:spacing w:val="41"/>
          <w:sz w:val="25"/>
        </w:rPr>
        <w:t> </w:t>
      </w:r>
      <w:r>
        <w:rPr>
          <w:rFonts w:ascii="Times New Roman" w:eastAsia="Times New Roman"/>
          <w:sz w:val="29"/>
        </w:rPr>
        <w:t>(</w:t>
      </w:r>
      <w:r>
        <w:rPr>
          <w:rFonts w:ascii="Times New Roman" w:eastAsia="Times New Roman"/>
          <w:spacing w:val="-24"/>
          <w:sz w:val="29"/>
        </w:rPr>
        <w:t> </w:t>
      </w:r>
      <w:r>
        <w:rPr>
          <w:rFonts w:ascii="Times New Roman" w:eastAsia="Times New Roman"/>
          <w:w w:val="95"/>
          <w:sz w:val="29"/>
        </w:rPr>
        <w:t>unmi</w:t>
      </w:r>
      <w:r>
        <w:rPr>
          <w:rFonts w:ascii="Times New Roman" w:eastAsia="Times New Roman"/>
          <w:spacing w:val="-27"/>
          <w:w w:val="95"/>
          <w:sz w:val="29"/>
        </w:rPr>
        <w:t> </w:t>
      </w:r>
      <w:r>
        <w:rPr>
          <w:rFonts w:ascii="Times New Roman" w:eastAsia="Times New Roman"/>
          <w:sz w:val="29"/>
        </w:rPr>
        <w:t>t</w:t>
      </w:r>
      <w:r>
        <w:rPr>
          <w:rFonts w:ascii="Times New Roman" w:eastAsia="Times New Roman"/>
          <w:spacing w:val="-22"/>
          <w:sz w:val="29"/>
        </w:rPr>
        <w:t> </w:t>
      </w:r>
      <w:r>
        <w:rPr>
          <w:rFonts w:ascii="Times New Roman" w:eastAsia="Times New Roman"/>
          <w:sz w:val="29"/>
        </w:rPr>
        <w:t>t</w:t>
      </w:r>
      <w:r>
        <w:rPr>
          <w:rFonts w:ascii="Times New Roman" w:eastAsia="Times New Roman"/>
          <w:spacing w:val="-34"/>
          <w:sz w:val="29"/>
        </w:rPr>
        <w:t> </w:t>
      </w:r>
      <w:r>
        <w:rPr>
          <w:rFonts w:ascii="Times New Roman" w:eastAsia="Times New Roman"/>
          <w:spacing w:val="12"/>
          <w:sz w:val="29"/>
        </w:rPr>
        <w:t>el</w:t>
      </w:r>
      <w:r>
        <w:rPr>
          <w:rFonts w:ascii="Times New Roman" w:eastAsia="Times New Roman"/>
          <w:spacing w:val="-34"/>
          <w:sz w:val="29"/>
        </w:rPr>
        <w:t> </w:t>
      </w:r>
      <w:r>
        <w:rPr>
          <w:rFonts w:ascii="Times New Roman" w:eastAsia="Times New Roman"/>
          <w:spacing w:val="10"/>
          <w:sz w:val="29"/>
        </w:rPr>
        <w:t>bar</w:t>
      </w:r>
      <w:r>
        <w:rPr>
          <w:rFonts w:ascii="Times New Roman" w:eastAsia="Times New Roman"/>
          <w:spacing w:val="11"/>
          <w:sz w:val="29"/>
        </w:rPr>
        <w:t> </w:t>
      </w:r>
      <w:r>
        <w:rPr>
          <w:rFonts w:ascii="Times New Roman" w:eastAsia="Times New Roman"/>
          <w:sz w:val="29"/>
        </w:rPr>
        <w:t>)</w:t>
      </w:r>
      <w:r>
        <w:rPr>
          <w:rFonts w:ascii="Times New Roman" w:eastAsia="Times New Roman"/>
          <w:spacing w:val="7"/>
          <w:sz w:val="29"/>
        </w:rPr>
        <w:t> </w:t>
      </w:r>
      <w:r>
        <w:rPr>
          <w:spacing w:val="24"/>
          <w:sz w:val="25"/>
        </w:rPr>
        <w:t>且</w:t>
      </w:r>
      <w:r>
        <w:rPr>
          <w:spacing w:val="25"/>
          <w:sz w:val="25"/>
        </w:rPr>
        <w:t>噹然</w:t>
      </w:r>
      <w:r>
        <w:rPr>
          <w:sz w:val="25"/>
        </w:rPr>
        <w:t>地</w:t>
      </w:r>
      <w:r>
        <w:rPr>
          <w:spacing w:val="1"/>
          <w:sz w:val="25"/>
        </w:rPr>
        <w:t> </w:t>
      </w:r>
      <w:r>
        <w:rPr>
          <w:rFonts w:ascii="Times New Roman" w:eastAsia="Times New Roman"/>
          <w:sz w:val="29"/>
        </w:rPr>
        <w:t>(</w:t>
      </w:r>
      <w:r>
        <w:rPr>
          <w:rFonts w:ascii="Times New Roman" w:eastAsia="Times New Roman"/>
          <w:spacing w:val="-22"/>
          <w:sz w:val="29"/>
        </w:rPr>
        <w:t> </w:t>
      </w:r>
      <w:r>
        <w:rPr>
          <w:rFonts w:ascii="Times New Roman" w:eastAsia="Times New Roman"/>
          <w:sz w:val="29"/>
        </w:rPr>
        <w:t>zwangs</w:t>
      </w:r>
      <w:r>
        <w:rPr>
          <w:rFonts w:ascii="Times New Roman" w:eastAsia="Times New Roman"/>
          <w:spacing w:val="-23"/>
          <w:sz w:val="29"/>
        </w:rPr>
        <w:t> </w:t>
      </w:r>
      <w:r>
        <w:rPr>
          <w:rFonts w:ascii="Times New Roman" w:eastAsia="Times New Roman"/>
          <w:sz w:val="29"/>
        </w:rPr>
        <w:t>l</w:t>
      </w:r>
      <w:r>
        <w:rPr>
          <w:rFonts w:ascii="Times New Roman" w:eastAsia="Times New Roman"/>
          <w:spacing w:val="-45"/>
          <w:sz w:val="29"/>
        </w:rPr>
        <w:t> </w:t>
      </w:r>
      <w:r>
        <w:rPr>
          <w:rFonts w:ascii="Times New Roman" w:eastAsia="Times New Roman"/>
          <w:sz w:val="29"/>
        </w:rPr>
        <w:t>auf </w:t>
      </w:r>
      <w:r>
        <w:rPr>
          <w:rFonts w:ascii="Times New Roman" w:eastAsia="Times New Roman"/>
          <w:w w:val="95"/>
          <w:sz w:val="29"/>
        </w:rPr>
        <w:t>i</w:t>
      </w:r>
      <w:r>
        <w:rPr>
          <w:rFonts w:ascii="Times New Roman" w:eastAsia="Times New Roman"/>
          <w:spacing w:val="-24"/>
          <w:w w:val="95"/>
          <w:sz w:val="29"/>
        </w:rPr>
        <w:t> </w:t>
      </w:r>
      <w:r>
        <w:rPr>
          <w:rFonts w:ascii="Times New Roman" w:eastAsia="Times New Roman"/>
          <w:sz w:val="29"/>
        </w:rPr>
        <w:t>g</w:t>
      </w:r>
      <w:r>
        <w:rPr>
          <w:rFonts w:ascii="Times New Roman" w:eastAsia="Times New Roman"/>
          <w:spacing w:val="-34"/>
          <w:sz w:val="29"/>
        </w:rPr>
        <w:t> </w:t>
      </w:r>
      <w:r>
        <w:rPr>
          <w:rFonts w:ascii="Times New Roman" w:eastAsia="Times New Roman"/>
          <w:sz w:val="29"/>
        </w:rPr>
        <w:t>)</w:t>
      </w:r>
      <w:r>
        <w:rPr>
          <w:rFonts w:ascii="Times New Roman" w:eastAsia="Times New Roman"/>
          <w:spacing w:val="61"/>
          <w:sz w:val="29"/>
        </w:rPr>
        <w:t> </w:t>
      </w:r>
      <w:r>
        <w:rPr>
          <w:spacing w:val="21"/>
          <w:sz w:val="25"/>
        </w:rPr>
        <w:t>形</w:t>
      </w:r>
      <w:r>
        <w:rPr>
          <w:spacing w:val="25"/>
          <w:sz w:val="25"/>
        </w:rPr>
        <w:t>成</w:t>
      </w:r>
      <w:r>
        <w:rPr>
          <w:spacing w:val="24"/>
          <w:sz w:val="25"/>
        </w:rPr>
        <w:t>丶</w:t>
      </w:r>
      <w:r>
        <w:rPr>
          <w:spacing w:val="25"/>
          <w:sz w:val="25"/>
        </w:rPr>
        <w:t>變更或</w:t>
      </w:r>
      <w:r>
        <w:rPr>
          <w:sz w:val="25"/>
        </w:rPr>
        <w:t>消滅</w:t>
      </w:r>
      <w:r>
        <w:rPr>
          <w:spacing w:val="-39"/>
          <w:sz w:val="25"/>
        </w:rPr>
        <w:t> </w:t>
      </w:r>
      <w:r>
        <w:rPr>
          <w:sz w:val="25"/>
        </w:rPr>
        <w:t>第</w:t>
      </w:r>
      <w:r>
        <w:rPr>
          <w:spacing w:val="26"/>
          <w:w w:val="95"/>
          <w:sz w:val="25"/>
        </w:rPr>
        <w:t>三</w:t>
      </w:r>
      <w:r>
        <w:rPr>
          <w:w w:val="95"/>
          <w:sz w:val="25"/>
        </w:rPr>
        <w:t>人</w:t>
      </w:r>
      <w:r>
        <w:rPr>
          <w:spacing w:val="13"/>
          <w:w w:val="95"/>
          <w:sz w:val="25"/>
        </w:rPr>
        <w:t>權</w:t>
      </w:r>
      <w:r>
        <w:rPr>
          <w:spacing w:val="12"/>
          <w:w w:val="95"/>
          <w:sz w:val="25"/>
        </w:rPr>
        <w:t>利</w:t>
      </w:r>
      <w:r>
        <w:rPr>
          <w:spacing w:val="13"/>
          <w:w w:val="95"/>
          <w:sz w:val="25"/>
        </w:rPr>
        <w:t>」</w:t>
      </w:r>
      <w:r>
        <w:rPr>
          <w:spacing w:val="11"/>
          <w:w w:val="95"/>
          <w:sz w:val="25"/>
        </w:rPr>
        <w:t>之</w:t>
      </w:r>
      <w:r>
        <w:rPr>
          <w:w w:val="95"/>
          <w:sz w:val="25"/>
        </w:rPr>
        <w:t>情形</w:t>
      </w:r>
      <w:r>
        <w:rPr>
          <w:rFonts w:ascii="Times New Roman" w:eastAsia="Times New Roman"/>
          <w:w w:val="75"/>
          <w:sz w:val="15"/>
        </w:rPr>
        <w:t>1</w:t>
      </w:r>
      <w:r>
        <w:rPr>
          <w:rFonts w:ascii="Times New Roman" w:eastAsia="Times New Roman"/>
          <w:spacing w:val="19"/>
          <w:w w:val="75"/>
          <w:sz w:val="15"/>
        </w:rPr>
        <w:t> </w:t>
      </w:r>
      <w:r>
        <w:rPr>
          <w:rFonts w:ascii="Times New Roman" w:eastAsia="Times New Roman"/>
          <w:w w:val="95"/>
          <w:sz w:val="15"/>
        </w:rPr>
        <w:t>2</w:t>
      </w:r>
      <w:r>
        <w:rPr>
          <w:rFonts w:ascii="Times New Roman" w:eastAsia="Times New Roman"/>
          <w:spacing w:val="102"/>
          <w:sz w:val="15"/>
        </w:rPr>
        <w:t> </w:t>
      </w:r>
      <w:r>
        <w:rPr>
          <w:w w:val="95"/>
          <w:sz w:val="25"/>
        </w:rPr>
        <w:t>。</w:t>
      </w:r>
      <w:r>
        <w:rPr>
          <w:spacing w:val="-10"/>
          <w:w w:val="95"/>
          <w:sz w:val="25"/>
        </w:rPr>
        <w:t> </w:t>
      </w:r>
      <w:r>
        <w:rPr>
          <w:spacing w:val="13"/>
          <w:w w:val="95"/>
          <w:sz w:val="25"/>
        </w:rPr>
        <w:t>詳</w:t>
      </w:r>
      <w:r>
        <w:rPr>
          <w:spacing w:val="24"/>
          <w:w w:val="95"/>
          <w:sz w:val="25"/>
        </w:rPr>
        <w:t>言</w:t>
      </w:r>
      <w:r>
        <w:rPr>
          <w:w w:val="95"/>
          <w:sz w:val="25"/>
        </w:rPr>
        <w:t>之</w:t>
      </w:r>
      <w:r>
        <w:rPr>
          <w:spacing w:val="35"/>
          <w:w w:val="95"/>
          <w:sz w:val="25"/>
        </w:rPr>
        <w:t> </w:t>
      </w:r>
      <w:r>
        <w:rPr>
          <w:w w:val="95"/>
          <w:sz w:val="25"/>
        </w:rPr>
        <w:t>，</w:t>
      </w:r>
      <w:r>
        <w:rPr>
          <w:spacing w:val="-58"/>
          <w:w w:val="95"/>
          <w:sz w:val="25"/>
        </w:rPr>
        <w:t> </w:t>
      </w:r>
      <w:r>
        <w:rPr>
          <w:spacing w:val="24"/>
          <w:w w:val="95"/>
          <w:sz w:val="25"/>
        </w:rPr>
        <w:t>即</w:t>
      </w:r>
      <w:r>
        <w:rPr>
          <w:spacing w:val="39"/>
          <w:w w:val="95"/>
          <w:sz w:val="25"/>
        </w:rPr>
        <w:t>第</w:t>
      </w:r>
      <w:r>
        <w:rPr>
          <w:spacing w:val="26"/>
          <w:w w:val="95"/>
          <w:sz w:val="25"/>
        </w:rPr>
        <w:t>三</w:t>
      </w:r>
      <w:r>
        <w:rPr>
          <w:spacing w:val="15"/>
          <w:w w:val="95"/>
          <w:sz w:val="25"/>
        </w:rPr>
        <w:t>人</w:t>
      </w:r>
      <w:r>
        <w:rPr>
          <w:spacing w:val="33"/>
          <w:w w:val="95"/>
          <w:sz w:val="25"/>
        </w:rPr>
        <w:t>受</w:t>
      </w:r>
      <w:r>
        <w:rPr>
          <w:spacing w:val="29"/>
          <w:w w:val="95"/>
          <w:sz w:val="25"/>
        </w:rPr>
        <w:t>判</w:t>
      </w:r>
      <w:r>
        <w:rPr>
          <w:w w:val="95"/>
          <w:sz w:val="25"/>
        </w:rPr>
        <w:t>決</w:t>
      </w:r>
      <w:r>
        <w:rPr>
          <w:spacing w:val="61"/>
          <w:w w:val="95"/>
          <w:sz w:val="25"/>
        </w:rPr>
        <w:t>效</w:t>
      </w:r>
      <w:r>
        <w:rPr>
          <w:spacing w:val="40"/>
          <w:w w:val="95"/>
          <w:sz w:val="25"/>
        </w:rPr>
        <w:t>力</w:t>
      </w:r>
      <w:r>
        <w:rPr>
          <w:w w:val="95"/>
          <w:sz w:val="25"/>
        </w:rPr>
        <w:t>之</w:t>
      </w:r>
      <w:r>
        <w:rPr>
          <w:spacing w:val="22"/>
          <w:w w:val="95"/>
          <w:sz w:val="25"/>
        </w:rPr>
        <w:t>拘</w:t>
      </w:r>
      <w:r>
        <w:rPr>
          <w:w w:val="95"/>
          <w:sz w:val="25"/>
        </w:rPr>
        <w:t>束</w:t>
      </w:r>
      <w:r>
        <w:rPr>
          <w:spacing w:val="16"/>
          <w:w w:val="95"/>
          <w:sz w:val="25"/>
        </w:rPr>
        <w:t> </w:t>
      </w:r>
      <w:r>
        <w:rPr>
          <w:w w:val="95"/>
          <w:sz w:val="25"/>
        </w:rPr>
        <w:t>，</w:t>
      </w:r>
      <w:r>
        <w:rPr>
          <w:spacing w:val="-59"/>
          <w:w w:val="95"/>
          <w:sz w:val="25"/>
        </w:rPr>
        <w:t> </w:t>
      </w:r>
      <w:r>
        <w:rPr>
          <w:w w:val="95"/>
          <w:sz w:val="25"/>
        </w:rPr>
        <w:t>且</w:t>
      </w:r>
      <w:r>
        <w:rPr>
          <w:spacing w:val="24"/>
          <w:w w:val="95"/>
          <w:sz w:val="25"/>
        </w:rPr>
        <w:t>該</w:t>
      </w:r>
      <w:r>
        <w:rPr>
          <w:spacing w:val="28"/>
          <w:w w:val="95"/>
          <w:sz w:val="25"/>
        </w:rPr>
        <w:t>判</w:t>
      </w:r>
      <w:r>
        <w:rPr>
          <w:w w:val="95"/>
          <w:sz w:val="25"/>
        </w:rPr>
        <w:t>決須</w:t>
      </w:r>
      <w:r>
        <w:rPr>
          <w:spacing w:val="12"/>
          <w:w w:val="105"/>
          <w:sz w:val="25"/>
        </w:rPr>
        <w:t>具</w:t>
      </w:r>
      <w:r>
        <w:rPr>
          <w:w w:val="105"/>
          <w:sz w:val="25"/>
        </w:rPr>
        <w:t>有「</w:t>
      </w:r>
      <w:r>
        <w:rPr>
          <w:spacing w:val="-45"/>
          <w:w w:val="105"/>
          <w:sz w:val="25"/>
        </w:rPr>
        <w:t> </w:t>
      </w:r>
      <w:r>
        <w:rPr>
          <w:w w:val="105"/>
          <w:sz w:val="25"/>
        </w:rPr>
        <w:t>直</w:t>
      </w:r>
      <w:r>
        <w:rPr>
          <w:spacing w:val="47"/>
          <w:w w:val="105"/>
          <w:sz w:val="25"/>
        </w:rPr>
        <w:t>接</w:t>
      </w:r>
      <w:r>
        <w:rPr>
          <w:spacing w:val="34"/>
          <w:w w:val="105"/>
          <w:sz w:val="25"/>
        </w:rPr>
        <w:t>之</w:t>
      </w:r>
      <w:r>
        <w:rPr>
          <w:w w:val="105"/>
          <w:sz w:val="25"/>
        </w:rPr>
        <w:t>第三</w:t>
      </w:r>
      <w:r>
        <w:rPr>
          <w:spacing w:val="-18"/>
          <w:w w:val="105"/>
          <w:sz w:val="25"/>
        </w:rPr>
        <w:t> </w:t>
      </w:r>
      <w:r>
        <w:rPr>
          <w:w w:val="105"/>
          <w:sz w:val="25"/>
        </w:rPr>
        <w:t>人</w:t>
      </w:r>
      <w:r>
        <w:rPr>
          <w:spacing w:val="13"/>
          <w:w w:val="105"/>
          <w:sz w:val="25"/>
        </w:rPr>
        <w:t>效</w:t>
      </w:r>
      <w:r>
        <w:rPr>
          <w:w w:val="105"/>
          <w:sz w:val="25"/>
        </w:rPr>
        <w:t>果」</w:t>
      </w:r>
      <w:r>
        <w:rPr>
          <w:rFonts w:ascii="Times New Roman" w:eastAsia="Times New Roman"/>
          <w:w w:val="105"/>
          <w:sz w:val="29"/>
        </w:rPr>
        <w:t>(</w:t>
      </w:r>
      <w:r>
        <w:rPr>
          <w:rFonts w:ascii="Times New Roman" w:eastAsia="Times New Roman"/>
          <w:spacing w:val="-16"/>
          <w:w w:val="105"/>
          <w:sz w:val="29"/>
        </w:rPr>
        <w:t> </w:t>
      </w:r>
      <w:r>
        <w:rPr>
          <w:rFonts w:ascii="Times New Roman" w:eastAsia="Times New Roman"/>
          <w:w w:val="95"/>
          <w:sz w:val="29"/>
        </w:rPr>
        <w:t>unmi</w:t>
      </w:r>
      <w:r>
        <w:rPr>
          <w:rFonts w:ascii="Times New Roman" w:eastAsia="Times New Roman"/>
          <w:spacing w:val="-23"/>
          <w:w w:val="95"/>
          <w:sz w:val="29"/>
        </w:rPr>
        <w:t> </w:t>
      </w:r>
      <w:r>
        <w:rPr>
          <w:rFonts w:ascii="Times New Roman" w:eastAsia="Times New Roman"/>
          <w:w w:val="105"/>
          <w:sz w:val="29"/>
        </w:rPr>
        <w:t>ttel</w:t>
      </w:r>
      <w:r>
        <w:rPr>
          <w:rFonts w:ascii="Times New Roman" w:eastAsia="Times New Roman"/>
          <w:spacing w:val="-37"/>
          <w:w w:val="105"/>
          <w:sz w:val="29"/>
        </w:rPr>
        <w:t> </w:t>
      </w:r>
      <w:r>
        <w:rPr>
          <w:rFonts w:ascii="Times New Roman" w:eastAsia="Times New Roman"/>
          <w:w w:val="105"/>
          <w:sz w:val="29"/>
        </w:rPr>
        <w:t>bare </w:t>
      </w:r>
      <w:r>
        <w:rPr>
          <w:rFonts w:ascii="Times New Roman" w:eastAsia="Times New Roman"/>
          <w:spacing w:val="11"/>
          <w:w w:val="105"/>
          <w:sz w:val="29"/>
        </w:rPr>
        <w:t> </w:t>
      </w:r>
      <w:r>
        <w:rPr>
          <w:rFonts w:ascii="Times New Roman" w:eastAsia="Times New Roman"/>
          <w:w w:val="105"/>
          <w:sz w:val="29"/>
        </w:rPr>
        <w:t>Dri</w:t>
      </w:r>
      <w:r>
        <w:rPr>
          <w:rFonts w:ascii="Times New Roman" w:eastAsia="Times New Roman"/>
          <w:spacing w:val="-25"/>
          <w:w w:val="105"/>
          <w:sz w:val="29"/>
        </w:rPr>
        <w:t> </w:t>
      </w:r>
      <w:r>
        <w:rPr>
          <w:rFonts w:ascii="Times New Roman" w:eastAsia="Times New Roman"/>
          <w:w w:val="105"/>
          <w:sz w:val="29"/>
        </w:rPr>
        <w:t>ttbetrof</w:t>
      </w:r>
      <w:r>
        <w:rPr>
          <w:rFonts w:ascii="Times New Roman" w:eastAsia="Times New Roman"/>
          <w:spacing w:val="20"/>
          <w:w w:val="105"/>
          <w:sz w:val="29"/>
        </w:rPr>
        <w:t> </w:t>
      </w:r>
      <w:r>
        <w:rPr>
          <w:rFonts w:ascii="Times New Roman" w:eastAsia="Times New Roman"/>
          <w:w w:val="105"/>
          <w:sz w:val="29"/>
        </w:rPr>
        <w:t>fenhei</w:t>
      </w:r>
      <w:r>
        <w:rPr>
          <w:rFonts w:ascii="Times New Roman" w:eastAsia="Times New Roman"/>
          <w:spacing w:val="-19"/>
          <w:w w:val="105"/>
          <w:sz w:val="29"/>
        </w:rPr>
        <w:t> </w:t>
      </w:r>
      <w:r>
        <w:rPr>
          <w:rFonts w:ascii="Times New Roman" w:eastAsia="Times New Roman"/>
          <w:w w:val="105"/>
          <w:sz w:val="29"/>
        </w:rPr>
        <w:t>t) </w:t>
      </w:r>
      <w:r>
        <w:rPr>
          <w:rFonts w:ascii="Times New Roman" w:eastAsia="Times New Roman"/>
          <w:spacing w:val="31"/>
          <w:w w:val="105"/>
          <w:sz w:val="29"/>
        </w:rPr>
        <w:t> </w:t>
      </w:r>
      <w:r>
        <w:rPr>
          <w:rFonts w:ascii="Times New Roman" w:eastAsia="Times New Roman"/>
          <w:w w:val="75"/>
          <w:sz w:val="16"/>
        </w:rPr>
        <w:t>13</w:t>
      </w:r>
      <w:r>
        <w:rPr>
          <w:rFonts w:ascii="Times New Roman" w:eastAsia="Times New Roman"/>
          <w:spacing w:val="61"/>
          <w:sz w:val="16"/>
        </w:rPr>
        <w:t> </w:t>
      </w:r>
      <w:r>
        <w:rPr>
          <w:rFonts w:ascii="Times New Roman" w:eastAsia="Times New Roman"/>
          <w:w w:val="105"/>
          <w:sz w:val="16"/>
        </w:rPr>
        <w:t>,</w:t>
        <w:tab/>
      </w:r>
      <w:r>
        <w:rPr>
          <w:w w:val="110"/>
          <w:sz w:val="25"/>
        </w:rPr>
        <w:t>該第三人通常為爭訟行政處分之相對人。</w:t>
      </w:r>
    </w:p>
    <w:p>
      <w:pPr>
        <w:pStyle w:val="BodyText"/>
        <w:spacing w:line="328" w:lineRule="auto" w:before="13"/>
        <w:ind w:left="301" w:right="512" w:firstLine="573"/>
        <w:jc w:val="both"/>
      </w:pPr>
      <w:r>
        <w:rPr/>
        <w:t>必要訴訟參加之案例如下：超造人取得建第主管機關所核發之建造執   </w:t>
      </w:r>
      <w:r>
        <w:rPr>
          <w:spacing w:val="95"/>
        </w:rPr>
        <w:t> </w:t>
      </w:r>
      <w:r>
        <w:rPr/>
        <w:t>照，其鄰人以建築主管機關為被告，提超撒銷訴訟時，該超造人為必要訴    </w:t>
      </w:r>
      <w:r>
        <w:rPr>
          <w:spacing w:val="27"/>
        </w:rPr>
        <w:t> </w:t>
      </w:r>
      <w:r>
        <w:rPr>
          <w:spacing w:val="8"/>
        </w:rPr>
        <w:t>訟參加人</w:t>
      </w:r>
      <w:r>
        <w:rPr>
          <w:rFonts w:ascii="Times New Roman" w:eastAsia="Times New Roman"/>
          <w:w w:val="70"/>
          <w:sz w:val="15"/>
        </w:rPr>
        <w:t>1</w:t>
      </w:r>
      <w:r>
        <w:rPr>
          <w:rFonts w:ascii="Times New Roman" w:eastAsia="Times New Roman"/>
          <w:spacing w:val="3"/>
          <w:w w:val="70"/>
          <w:sz w:val="15"/>
        </w:rPr>
        <w:t> </w:t>
      </w:r>
      <w:r>
        <w:rPr>
          <w:rFonts w:ascii="Times New Roman" w:eastAsia="Times New Roman"/>
          <w:w w:val="70"/>
          <w:sz w:val="15"/>
        </w:rPr>
        <w:t>4</w:t>
      </w:r>
      <w:r>
        <w:rPr>
          <w:rFonts w:ascii="Times New Roman" w:eastAsia="Times New Roman"/>
          <w:spacing w:val="22"/>
          <w:w w:val="70"/>
          <w:sz w:val="15"/>
        </w:rPr>
        <w:t> </w:t>
      </w:r>
      <w:r>
        <w:rPr>
          <w:spacing w:val="-20"/>
          <w:w w:val="70"/>
        </w:rPr>
        <w:t>。 </w:t>
      </w:r>
      <w:r>
        <w:rPr/>
        <w:t>在此案例 中 </w:t>
      </w:r>
      <w:r>
        <w:rPr>
          <w:spacing w:val="-18"/>
          <w:w w:val="70"/>
        </w:rPr>
        <w:t>， </w:t>
      </w:r>
      <w:r>
        <w:rPr>
          <w:spacing w:val="9"/>
        </w:rPr>
        <w:t>為訴訟標的之法律關係為附 第三 人效力之行政</w:t>
      </w:r>
    </w:p>
    <w:p>
      <w:pPr>
        <w:pStyle w:val="BodyText"/>
        <w:spacing w:before="1"/>
        <w:rPr>
          <w:sz w:val="16"/>
        </w:rPr>
      </w:pPr>
      <w:r>
        <w:rPr/>
        <w:pict>
          <v:shape style="position:absolute;margin-left:95.174004pt;margin-top:12.51079pt;width:144.25pt;height:.1pt;mso-position-horizontal-relative:page;mso-position-vertical-relative:paragraph;z-index:-15669248;mso-wrap-distance-left:0;mso-wrap-distance-right:0" coordorigin="1903,250" coordsize="2885,0" path="m1903,250l4788,250e" filled="false" stroked="true" strokeweight=".480547pt" strokecolor="#000000">
            <v:path arrowok="t"/>
            <v:stroke dashstyle="solid"/>
            <w10:wrap type="topAndBottom"/>
          </v:shape>
        </w:pict>
      </w:r>
    </w:p>
    <w:p>
      <w:pPr>
        <w:pStyle w:val="BodyText"/>
        <w:spacing w:before="3"/>
        <w:rPr>
          <w:sz w:val="14"/>
        </w:rPr>
      </w:pPr>
    </w:p>
    <w:p>
      <w:pPr>
        <w:spacing w:line="312" w:lineRule="exact" w:before="0"/>
        <w:ind w:left="505" w:right="552" w:hanging="207"/>
        <w:jc w:val="left"/>
        <w:rPr>
          <w:sz w:val="20"/>
        </w:rPr>
      </w:pPr>
      <w:r>
        <w:rPr>
          <w:rFonts w:ascii="Times New Roman" w:eastAsia="Times New Roman"/>
          <w:w w:val="95"/>
          <w:position w:val="7"/>
          <w:sz w:val="13"/>
        </w:rPr>
        <w:t>10</w:t>
      </w:r>
      <w:r>
        <w:rPr>
          <w:rFonts w:ascii="Times New Roman" w:eastAsia="Times New Roman"/>
          <w:spacing w:val="42"/>
          <w:position w:val="7"/>
          <w:sz w:val="13"/>
        </w:rPr>
        <w:t>  </w:t>
      </w:r>
      <w:r>
        <w:rPr>
          <w:spacing w:val="8"/>
          <w:w w:val="95"/>
          <w:sz w:val="20"/>
        </w:rPr>
        <w:t>參見： 高雄 高等行 政法浣</w:t>
      </w:r>
      <w:r>
        <w:rPr>
          <w:rFonts w:ascii="Times New Roman" w:eastAsia="Times New Roman"/>
          <w:spacing w:val="10"/>
          <w:w w:val="95"/>
          <w:sz w:val="26"/>
        </w:rPr>
        <w:t>92</w:t>
      </w:r>
      <w:r>
        <w:rPr>
          <w:spacing w:val="11"/>
          <w:w w:val="95"/>
          <w:sz w:val="20"/>
        </w:rPr>
        <w:t>年 度 訴 字第</w:t>
      </w:r>
      <w:r>
        <w:rPr>
          <w:rFonts w:ascii="Times New Roman" w:eastAsia="Times New Roman"/>
          <w:w w:val="95"/>
          <w:sz w:val="26"/>
        </w:rPr>
        <w:t>533</w:t>
      </w:r>
      <w:r>
        <w:rPr>
          <w:spacing w:val="13"/>
          <w:w w:val="95"/>
          <w:sz w:val="20"/>
        </w:rPr>
        <w:t>號裁定 。本件 案例事實略 為：原告甲</w:t>
      </w:r>
      <w:r>
        <w:rPr>
          <w:rFonts w:ascii="Times New Roman" w:eastAsia="Times New Roman"/>
          <w:w w:val="95"/>
          <w:sz w:val="30"/>
        </w:rPr>
        <w:t>00</w:t>
      </w:r>
      <w:r>
        <w:rPr>
          <w:rFonts w:ascii="Times New Roman" w:eastAsia="Times New Roman"/>
          <w:spacing w:val="1"/>
          <w:w w:val="95"/>
          <w:sz w:val="30"/>
        </w:rPr>
        <w:t> </w:t>
      </w:r>
      <w:r>
        <w:rPr>
          <w:w w:val="105"/>
          <w:sz w:val="20"/>
        </w:rPr>
        <w:t>主張辦理「南化水庫與高屏溪欄河堰聯通管路計畫一導水幹管第六段水管橋工程」       </w:t>
      </w:r>
      <w:r>
        <w:rPr>
          <w:spacing w:val="84"/>
          <w:w w:val="105"/>
          <w:sz w:val="20"/>
        </w:rPr>
        <w:t> </w:t>
      </w:r>
      <w:r>
        <w:rPr>
          <w:w w:val="95"/>
          <w:sz w:val="20"/>
        </w:rPr>
        <w:t>時 ， 因承攬 人即 第三 人 乙</w:t>
      </w:r>
      <w:r>
        <w:rPr>
          <w:rFonts w:ascii="Times New Roman" w:eastAsia="Times New Roman"/>
          <w:spacing w:val="15"/>
          <w:w w:val="95"/>
          <w:sz w:val="30"/>
        </w:rPr>
        <w:t>O</w:t>
      </w:r>
      <w:r>
        <w:rPr>
          <w:spacing w:val="-1"/>
          <w:w w:val="95"/>
          <w:sz w:val="20"/>
        </w:rPr>
        <w:t>營造股份有限公 司施 工 時 曾 開 挖原 告 所 有未經徵收之高</w:t>
      </w:r>
      <w:r>
        <w:rPr>
          <w:w w:val="105"/>
          <w:sz w:val="20"/>
        </w:rPr>
        <w:t>雄縣旗山鎮北勢段土地上之砂石，導致原告鄰近香蕉園聯外道路受損，該工程承攬       </w:t>
      </w:r>
      <w:r>
        <w:rPr>
          <w:spacing w:val="84"/>
          <w:w w:val="105"/>
          <w:sz w:val="20"/>
        </w:rPr>
        <w:t> </w:t>
      </w:r>
      <w:r>
        <w:rPr>
          <w:spacing w:val="-3"/>
          <w:w w:val="95"/>
          <w:sz w:val="20"/>
        </w:rPr>
        <w:t>人即第三 人 乙</w:t>
      </w:r>
      <w:r>
        <w:rPr>
          <w:rFonts w:ascii="Times New Roman" w:eastAsia="Times New Roman"/>
          <w:spacing w:val="15"/>
          <w:w w:val="95"/>
          <w:sz w:val="30"/>
        </w:rPr>
        <w:t>O</w:t>
      </w:r>
      <w:r>
        <w:rPr>
          <w:spacing w:val="1"/>
          <w:w w:val="95"/>
          <w:sz w:val="20"/>
        </w:rPr>
        <w:t>營造股份有限公 司並 占 用該土地堆置土石 等工作物 ，且 在 竣 工 後 未</w:t>
      </w:r>
      <w:r>
        <w:rPr>
          <w:w w:val="105"/>
          <w:sz w:val="20"/>
        </w:rPr>
        <w:t>予回復原狀，致原告受有損害，而對被告經濟部水利署南區水資源局提超本件給付       </w:t>
      </w:r>
      <w:r>
        <w:rPr>
          <w:spacing w:val="64"/>
          <w:w w:val="105"/>
          <w:sz w:val="20"/>
        </w:rPr>
        <w:t> </w:t>
      </w:r>
      <w:r>
        <w:rPr>
          <w:w w:val="105"/>
          <w:sz w:val="20"/>
        </w:rPr>
        <w:t>訴訟，請求清除其所施工作物及回填土壤後返還原告，並請求被告併為金錢損害賠       </w:t>
      </w:r>
      <w:r>
        <w:rPr>
          <w:spacing w:val="64"/>
          <w:w w:val="105"/>
          <w:sz w:val="20"/>
        </w:rPr>
        <w:t> </w:t>
      </w:r>
      <w:r>
        <w:rPr>
          <w:w w:val="105"/>
          <w:sz w:val="20"/>
        </w:rPr>
        <w:t>償。高雄高等行政法院認為：依其訴之磬明及理由，所請回復原狀之結果，對該工</w:t>
      </w:r>
    </w:p>
    <w:p>
      <w:pPr>
        <w:spacing w:line="308" w:lineRule="exact" w:before="6"/>
        <w:ind w:left="512" w:right="571" w:hanging="5"/>
        <w:jc w:val="left"/>
        <w:rPr>
          <w:sz w:val="20"/>
        </w:rPr>
      </w:pPr>
      <w:r>
        <w:rPr>
          <w:spacing w:val="3"/>
          <w:w w:val="95"/>
          <w:sz w:val="20"/>
        </w:rPr>
        <w:t>程承攬人即第三 人 乙</w:t>
      </w:r>
      <w:r>
        <w:rPr>
          <w:rFonts w:ascii="Times New Roman" w:eastAsia="Times New Roman"/>
          <w:spacing w:val="15"/>
          <w:w w:val="95"/>
          <w:sz w:val="30"/>
        </w:rPr>
        <w:t>O</w:t>
      </w:r>
      <w:r>
        <w:rPr>
          <w:spacing w:val="6"/>
          <w:w w:val="95"/>
          <w:sz w:val="20"/>
        </w:rPr>
        <w:t>營造股份有限公 司之 權 利 恐將受有損害 ，故 依 職 權 命 其獨立</w:t>
      </w:r>
      <w:r>
        <w:rPr>
          <w:sz w:val="20"/>
        </w:rPr>
        <w:t>參加訴訟。</w:t>
      </w:r>
    </w:p>
    <w:p>
      <w:pPr>
        <w:spacing w:line="252" w:lineRule="auto" w:before="12"/>
        <w:ind w:left="505" w:right="543" w:hanging="207"/>
        <w:jc w:val="left"/>
        <w:rPr>
          <w:sz w:val="20"/>
        </w:rPr>
      </w:pPr>
      <w:r>
        <w:rPr>
          <w:rFonts w:ascii="Times New Roman" w:eastAsia="Times New Roman"/>
          <w:w w:val="90"/>
          <w:position w:val="7"/>
          <w:sz w:val="13"/>
        </w:rPr>
        <w:t>11</w:t>
      </w:r>
      <w:r>
        <w:rPr>
          <w:rFonts w:ascii="Times New Roman" w:eastAsia="Times New Roman"/>
          <w:spacing w:val="28"/>
          <w:position w:val="7"/>
          <w:sz w:val="13"/>
        </w:rPr>
        <w:t>  </w:t>
      </w:r>
      <w:r>
        <w:rPr>
          <w:spacing w:val="32"/>
          <w:w w:val="90"/>
          <w:sz w:val="20"/>
        </w:rPr>
        <w:t>有關行政訴訟法第</w:t>
      </w:r>
      <w:r>
        <w:rPr>
          <w:rFonts w:ascii="Times New Roman" w:eastAsia="Times New Roman"/>
          <w:w w:val="90"/>
          <w:sz w:val="26"/>
        </w:rPr>
        <w:t>41</w:t>
      </w:r>
      <w:r>
        <w:rPr>
          <w:spacing w:val="2"/>
          <w:w w:val="90"/>
          <w:sz w:val="20"/>
        </w:rPr>
        <w:t>條訴訟 參加 制度之 適 用範 圍與功能 ，參 閱： 林明昕 ，論 行 政 訴</w:t>
      </w:r>
      <w:r>
        <w:rPr>
          <w:spacing w:val="7"/>
          <w:w w:val="95"/>
          <w:sz w:val="20"/>
        </w:rPr>
        <w:t>訟 法 第四 十一條訴訟參加類型之適用範 圍與功能 ， 臺大法學論叢 ， 第</w:t>
      </w:r>
      <w:r>
        <w:rPr>
          <w:rFonts w:ascii="Times New Roman" w:eastAsia="Times New Roman"/>
          <w:w w:val="95"/>
          <w:sz w:val="26"/>
        </w:rPr>
        <w:t>38</w:t>
      </w:r>
      <w:r>
        <w:rPr>
          <w:spacing w:val="-1"/>
          <w:w w:val="95"/>
          <w:sz w:val="20"/>
        </w:rPr>
        <w:t>卷 第</w:t>
      </w:r>
      <w:r>
        <w:rPr>
          <w:rFonts w:ascii="Times New Roman" w:eastAsia="Times New Roman"/>
          <w:w w:val="95"/>
          <w:sz w:val="26"/>
        </w:rPr>
        <w:t>3</w:t>
      </w:r>
      <w:r>
        <w:rPr>
          <w:spacing w:val="-3"/>
          <w:w w:val="95"/>
          <w:sz w:val="20"/>
        </w:rPr>
        <w:t>期 ， 頁</w:t>
      </w:r>
      <w:r>
        <w:rPr>
          <w:rFonts w:ascii="Times New Roman" w:eastAsia="Times New Roman"/>
          <w:sz w:val="26"/>
        </w:rPr>
        <w:t>73-108,</w:t>
      </w:r>
      <w:r>
        <w:rPr>
          <w:rFonts w:ascii="Times New Roman" w:eastAsia="Times New Roman"/>
          <w:spacing w:val="48"/>
          <w:sz w:val="26"/>
        </w:rPr>
        <w:t> </w:t>
      </w:r>
      <w:r>
        <w:rPr>
          <w:rFonts w:ascii="Times New Roman" w:eastAsia="Times New Roman"/>
          <w:sz w:val="26"/>
        </w:rPr>
        <w:t>2009</w:t>
      </w:r>
      <w:r>
        <w:rPr>
          <w:rFonts w:ascii="Times New Roman" w:eastAsia="Times New Roman"/>
          <w:spacing w:val="-12"/>
          <w:sz w:val="26"/>
        </w:rPr>
        <w:t> </w:t>
      </w:r>
      <w:r>
        <w:rPr>
          <w:sz w:val="21"/>
        </w:rPr>
        <w:t>年</w:t>
      </w:r>
      <w:r>
        <w:rPr>
          <w:rFonts w:ascii="Times New Roman" w:eastAsia="Times New Roman"/>
          <w:sz w:val="26"/>
        </w:rPr>
        <w:t>9</w:t>
      </w:r>
      <w:r>
        <w:rPr>
          <w:rFonts w:ascii="Times New Roman" w:eastAsia="Times New Roman"/>
          <w:spacing w:val="-41"/>
          <w:sz w:val="26"/>
        </w:rPr>
        <w:t> </w:t>
      </w:r>
      <w:r>
        <w:rPr>
          <w:spacing w:val="-4"/>
          <w:sz w:val="20"/>
        </w:rPr>
        <w:t>月 。</w:t>
      </w:r>
    </w:p>
    <w:p>
      <w:pPr>
        <w:pStyle w:val="Heading6"/>
        <w:spacing w:before="7"/>
      </w:pPr>
      <w:r>
        <w:rPr>
          <w:w w:val="95"/>
          <w:position w:val="9"/>
          <w:sz w:val="13"/>
        </w:rPr>
        <w:t>12</w:t>
      </w:r>
      <w:r>
        <w:rPr>
          <w:spacing w:val="53"/>
          <w:position w:val="9"/>
          <w:sz w:val="13"/>
        </w:rPr>
        <w:t> </w:t>
      </w:r>
      <w:r>
        <w:rPr>
          <w:w w:val="95"/>
        </w:rPr>
        <w:t>Wlirtenberger,</w:t>
      </w:r>
      <w:r>
        <w:rPr>
          <w:spacing w:val="82"/>
        </w:rPr>
        <w:t> </w:t>
      </w:r>
      <w:r>
        <w:rPr>
          <w:w w:val="95"/>
        </w:rPr>
        <w:t>Verwal</w:t>
      </w:r>
      <w:r>
        <w:rPr>
          <w:spacing w:val="-7"/>
          <w:w w:val="95"/>
        </w:rPr>
        <w:t> </w:t>
      </w:r>
      <w:r>
        <w:rPr>
          <w:w w:val="95"/>
        </w:rPr>
        <w:t>tungsprozessrecht,</w:t>
      </w:r>
      <w:r>
        <w:rPr>
          <w:spacing w:val="146"/>
        </w:rPr>
        <w:t> </w:t>
      </w:r>
      <w:r>
        <w:rPr>
          <w:w w:val="95"/>
        </w:rPr>
        <w:t>2.</w:t>
      </w:r>
      <w:r>
        <w:rPr>
          <w:spacing w:val="145"/>
        </w:rPr>
        <w:t> </w:t>
      </w:r>
      <w:r>
        <w:rPr>
          <w:w w:val="95"/>
        </w:rPr>
        <w:t>Aufl.,</w:t>
      </w:r>
      <w:r>
        <w:rPr>
          <w:spacing w:val="161"/>
        </w:rPr>
        <w:t> </w:t>
      </w:r>
      <w:r>
        <w:rPr>
          <w:w w:val="95"/>
        </w:rPr>
        <w:t>2006,</w:t>
      </w:r>
      <w:r>
        <w:rPr>
          <w:spacing w:val="154"/>
        </w:rPr>
        <w:t> </w:t>
      </w:r>
      <w:r>
        <w:rPr>
          <w:w w:val="95"/>
        </w:rPr>
        <w:t>Rn.</w:t>
      </w:r>
      <w:r>
        <w:rPr>
          <w:spacing w:val="152"/>
        </w:rPr>
        <w:t> </w:t>
      </w:r>
      <w:r>
        <w:rPr>
          <w:w w:val="95"/>
        </w:rPr>
        <w:t>226.</w:t>
      </w:r>
    </w:p>
    <w:p>
      <w:pPr>
        <w:spacing w:line="249" w:lineRule="auto" w:before="14"/>
        <w:ind w:left="505" w:right="524" w:hanging="207"/>
        <w:jc w:val="left"/>
        <w:rPr>
          <w:rFonts w:ascii="Times New Roman" w:hAnsi="Times New Roman"/>
          <w:sz w:val="26"/>
        </w:rPr>
      </w:pPr>
      <w:r>
        <w:rPr>
          <w:rFonts w:ascii="Times New Roman" w:hAnsi="Times New Roman"/>
          <w:w w:val="95"/>
          <w:position w:val="8"/>
          <w:sz w:val="13"/>
        </w:rPr>
        <w:t>13</w:t>
      </w:r>
      <w:r>
        <w:rPr>
          <w:rFonts w:ascii="Times New Roman" w:hAnsi="Times New Roman"/>
          <w:spacing w:val="1"/>
          <w:w w:val="95"/>
          <w:position w:val="8"/>
          <w:sz w:val="13"/>
        </w:rPr>
        <w:t> </w:t>
      </w:r>
      <w:r>
        <w:rPr>
          <w:rFonts w:ascii="Times New Roman" w:hAnsi="Times New Roman"/>
          <w:w w:val="95"/>
          <w:sz w:val="26"/>
        </w:rPr>
        <w:t>Bier,</w:t>
      </w:r>
      <w:r>
        <w:rPr>
          <w:rFonts w:ascii="Times New Roman" w:hAnsi="Times New Roman"/>
          <w:spacing w:val="1"/>
          <w:w w:val="95"/>
          <w:sz w:val="26"/>
        </w:rPr>
        <w:t> </w:t>
      </w:r>
      <w:r>
        <w:rPr>
          <w:rFonts w:ascii="Times New Roman" w:hAnsi="Times New Roman"/>
          <w:w w:val="95"/>
          <w:sz w:val="26"/>
        </w:rPr>
        <w:t>in:</w:t>
      </w:r>
      <w:r>
        <w:rPr>
          <w:rFonts w:ascii="Times New Roman" w:hAnsi="Times New Roman"/>
          <w:spacing w:val="1"/>
          <w:w w:val="95"/>
          <w:sz w:val="26"/>
        </w:rPr>
        <w:t> </w:t>
      </w:r>
      <w:r>
        <w:rPr>
          <w:rFonts w:ascii="Times New Roman" w:hAnsi="Times New Roman"/>
          <w:w w:val="95"/>
          <w:sz w:val="26"/>
        </w:rPr>
        <w:t>Schoch/Schmidt-A13mann/Pietzner,</w:t>
      </w:r>
      <w:r>
        <w:rPr>
          <w:rFonts w:ascii="Times New Roman" w:hAnsi="Times New Roman"/>
          <w:spacing w:val="1"/>
          <w:w w:val="95"/>
          <w:sz w:val="26"/>
        </w:rPr>
        <w:t> </w:t>
      </w:r>
      <w:r>
        <w:rPr>
          <w:rFonts w:ascii="Times New Roman" w:hAnsi="Times New Roman"/>
          <w:w w:val="95"/>
          <w:sz w:val="26"/>
        </w:rPr>
        <w:t>VwGO,</w:t>
      </w:r>
      <w:r>
        <w:rPr>
          <w:rFonts w:ascii="Times New Roman" w:hAnsi="Times New Roman"/>
          <w:spacing w:val="1"/>
          <w:w w:val="95"/>
          <w:sz w:val="26"/>
        </w:rPr>
        <w:t> </w:t>
      </w:r>
      <w:r>
        <w:rPr>
          <w:rFonts w:ascii="Times New Roman" w:hAnsi="Times New Roman"/>
          <w:w w:val="95"/>
          <w:sz w:val="26"/>
        </w:rPr>
        <w:t>Stand: September</w:t>
      </w:r>
      <w:r>
        <w:rPr>
          <w:rFonts w:ascii="Times New Roman" w:hAnsi="Times New Roman"/>
          <w:spacing w:val="58"/>
          <w:sz w:val="26"/>
        </w:rPr>
        <w:t> </w:t>
      </w:r>
      <w:r>
        <w:rPr>
          <w:rFonts w:ascii="Times New Roman" w:hAnsi="Times New Roman"/>
          <w:w w:val="95"/>
          <w:sz w:val="26"/>
        </w:rPr>
        <w:t>2003,</w:t>
      </w:r>
      <w:r>
        <w:rPr>
          <w:rFonts w:ascii="Times New Roman" w:hAnsi="Times New Roman"/>
          <w:spacing w:val="59"/>
          <w:sz w:val="26"/>
        </w:rPr>
        <w:t> </w:t>
      </w:r>
      <w:r>
        <w:rPr>
          <w:rFonts w:ascii="Arial" w:hAnsi="Arial"/>
          <w:w w:val="95"/>
          <w:sz w:val="20"/>
        </w:rPr>
        <w:t>§</w:t>
      </w:r>
      <w:r>
        <w:rPr>
          <w:rFonts w:ascii="Arial" w:hAnsi="Arial"/>
          <w:spacing w:val="50"/>
          <w:sz w:val="20"/>
        </w:rPr>
        <w:t> </w:t>
      </w:r>
      <w:r>
        <w:rPr>
          <w:rFonts w:ascii="Times New Roman" w:hAnsi="Times New Roman"/>
          <w:w w:val="95"/>
          <w:sz w:val="26"/>
        </w:rPr>
        <w:t>65</w:t>
      </w:r>
      <w:r>
        <w:rPr>
          <w:rFonts w:ascii="Times New Roman" w:hAnsi="Times New Roman"/>
          <w:spacing w:val="-59"/>
          <w:w w:val="95"/>
          <w:sz w:val="26"/>
        </w:rPr>
        <w:t> </w:t>
      </w:r>
      <w:r>
        <w:rPr>
          <w:rFonts w:ascii="Times New Roman" w:hAnsi="Times New Roman"/>
          <w:sz w:val="26"/>
        </w:rPr>
        <w:t>Rn.</w:t>
      </w:r>
      <w:r>
        <w:rPr>
          <w:rFonts w:ascii="Times New Roman" w:hAnsi="Times New Roman"/>
          <w:spacing w:val="47"/>
          <w:sz w:val="26"/>
        </w:rPr>
        <w:t> </w:t>
      </w:r>
      <w:r>
        <w:rPr>
          <w:rFonts w:ascii="Times New Roman" w:hAnsi="Times New Roman"/>
          <w:sz w:val="26"/>
        </w:rPr>
        <w:t>19.</w:t>
      </w:r>
    </w:p>
    <w:p>
      <w:pPr>
        <w:pStyle w:val="Heading6"/>
        <w:spacing w:line="249" w:lineRule="auto" w:before="2"/>
        <w:ind w:left="505" w:right="524" w:hanging="207"/>
      </w:pPr>
      <w:r>
        <w:rPr>
          <w:w w:val="95"/>
          <w:position w:val="8"/>
          <w:sz w:val="13"/>
        </w:rPr>
        <w:t>14</w:t>
      </w:r>
      <w:r>
        <w:rPr>
          <w:spacing w:val="1"/>
          <w:w w:val="95"/>
          <w:position w:val="8"/>
          <w:sz w:val="13"/>
        </w:rPr>
        <w:t> </w:t>
      </w:r>
      <w:r>
        <w:rPr>
          <w:w w:val="95"/>
        </w:rPr>
        <w:t>Bier,</w:t>
      </w:r>
      <w:r>
        <w:rPr>
          <w:spacing w:val="1"/>
          <w:w w:val="95"/>
        </w:rPr>
        <w:t> </w:t>
      </w:r>
      <w:r>
        <w:rPr>
          <w:w w:val="95"/>
        </w:rPr>
        <w:t>in:</w:t>
      </w:r>
      <w:r>
        <w:rPr>
          <w:spacing w:val="1"/>
          <w:w w:val="95"/>
        </w:rPr>
        <w:t> </w:t>
      </w:r>
      <w:r>
        <w:rPr>
          <w:w w:val="95"/>
        </w:rPr>
        <w:t>Schoch/Schmidt-A13mann/Pietzner,</w:t>
      </w:r>
      <w:r>
        <w:rPr>
          <w:spacing w:val="1"/>
          <w:w w:val="95"/>
        </w:rPr>
        <w:t> </w:t>
      </w:r>
      <w:r>
        <w:rPr>
          <w:w w:val="95"/>
        </w:rPr>
        <w:t>VwGO,</w:t>
      </w:r>
      <w:r>
        <w:rPr>
          <w:spacing w:val="1"/>
          <w:w w:val="95"/>
        </w:rPr>
        <w:t> </w:t>
      </w:r>
      <w:r>
        <w:rPr>
          <w:w w:val="95"/>
        </w:rPr>
        <w:t>Stand: September</w:t>
      </w:r>
      <w:r>
        <w:rPr>
          <w:spacing w:val="58"/>
        </w:rPr>
        <w:t> </w:t>
      </w:r>
      <w:r>
        <w:rPr>
          <w:w w:val="95"/>
        </w:rPr>
        <w:t>2003,</w:t>
      </w:r>
      <w:r>
        <w:rPr>
          <w:spacing w:val="59"/>
        </w:rPr>
        <w:t> </w:t>
      </w:r>
      <w:r>
        <w:rPr>
          <w:rFonts w:ascii="Arial" w:hAnsi="Arial"/>
          <w:w w:val="95"/>
          <w:sz w:val="20"/>
        </w:rPr>
        <w:t>§</w:t>
      </w:r>
      <w:r>
        <w:rPr>
          <w:rFonts w:ascii="Arial" w:hAnsi="Arial"/>
          <w:spacing w:val="50"/>
          <w:sz w:val="20"/>
        </w:rPr>
        <w:t> </w:t>
      </w:r>
      <w:r>
        <w:rPr>
          <w:w w:val="95"/>
        </w:rPr>
        <w:t>65</w:t>
      </w:r>
      <w:r>
        <w:rPr>
          <w:spacing w:val="-59"/>
          <w:w w:val="95"/>
        </w:rPr>
        <w:t> </w:t>
      </w:r>
      <w:r>
        <w:rPr/>
        <w:t>Rn.</w:t>
      </w:r>
      <w:r>
        <w:rPr>
          <w:spacing w:val="38"/>
        </w:rPr>
        <w:t> </w:t>
      </w:r>
      <w:r>
        <w:rPr/>
        <w:t>17;</w:t>
      </w:r>
      <w:r>
        <w:rPr>
          <w:spacing w:val="21"/>
        </w:rPr>
        <w:t> </w:t>
      </w:r>
      <w:r>
        <w:rPr/>
        <w:t>Redeker/van</w:t>
      </w:r>
      <w:r>
        <w:rPr>
          <w:spacing w:val="11"/>
        </w:rPr>
        <w:t> </w:t>
      </w:r>
      <w:r>
        <w:rPr/>
        <w:t>Oertzen,</w:t>
      </w:r>
      <w:r>
        <w:rPr>
          <w:spacing w:val="51"/>
        </w:rPr>
        <w:t> </w:t>
      </w:r>
      <w:r>
        <w:rPr/>
        <w:t>VwGO,</w:t>
      </w:r>
      <w:r>
        <w:rPr>
          <w:spacing w:val="50"/>
        </w:rPr>
        <w:t> </w:t>
      </w:r>
      <w:r>
        <w:rPr/>
        <w:t>13.</w:t>
      </w:r>
      <w:r>
        <w:rPr>
          <w:spacing w:val="41"/>
        </w:rPr>
        <w:t> </w:t>
      </w:r>
      <w:r>
        <w:rPr/>
        <w:t>Aufl.,</w:t>
      </w:r>
      <w:r>
        <w:rPr>
          <w:spacing w:val="47"/>
        </w:rPr>
        <w:t> </w:t>
      </w:r>
      <w:r>
        <w:rPr/>
        <w:t>2000,</w:t>
      </w:r>
      <w:r>
        <w:rPr>
          <w:spacing w:val="40"/>
        </w:rPr>
        <w:t> </w:t>
      </w:r>
      <w:r>
        <w:rPr>
          <w:rFonts w:ascii="Arial" w:hAnsi="Arial"/>
          <w:sz w:val="20"/>
        </w:rPr>
        <w:t>§</w:t>
      </w:r>
      <w:r>
        <w:rPr>
          <w:rFonts w:ascii="Arial" w:hAnsi="Arial"/>
          <w:spacing w:val="25"/>
          <w:sz w:val="20"/>
        </w:rPr>
        <w:t> </w:t>
      </w:r>
      <w:r>
        <w:rPr/>
        <w:t>65</w:t>
      </w:r>
      <w:r>
        <w:rPr>
          <w:spacing w:val="-1"/>
        </w:rPr>
        <w:t> </w:t>
      </w:r>
      <w:r>
        <w:rPr/>
        <w:t>Rn.</w:t>
      </w:r>
      <w:r>
        <w:rPr>
          <w:spacing w:val="45"/>
        </w:rPr>
        <w:t> </w:t>
      </w:r>
      <w:r>
        <w:rPr/>
        <w:t>9;</w:t>
      </w:r>
      <w:r>
        <w:rPr>
          <w:spacing w:val="15"/>
        </w:rPr>
        <w:t> </w:t>
      </w:r>
      <w:r>
        <w:rPr/>
        <w:t>Konrad,</w:t>
      </w:r>
      <w:r>
        <w:rPr>
          <w:spacing w:val="50"/>
        </w:rPr>
        <w:t> </w:t>
      </w:r>
      <w:r>
        <w:rPr/>
        <w:t>Die</w:t>
      </w:r>
    </w:p>
    <w:p>
      <w:pPr>
        <w:spacing w:after="0" w:line="249" w:lineRule="auto"/>
        <w:sectPr>
          <w:pgSz w:w="11910" w:h="16840"/>
          <w:pgMar w:header="862" w:footer="937" w:top="1060" w:bottom="1200" w:left="1120" w:right="1060"/>
        </w:sectPr>
      </w:pPr>
    </w:p>
    <w:p>
      <w:pPr>
        <w:pStyle w:val="BodyText"/>
        <w:rPr>
          <w:rFonts w:ascii="Times New Roman"/>
          <w:sz w:val="20"/>
        </w:rPr>
      </w:pPr>
    </w:p>
    <w:p>
      <w:pPr>
        <w:pStyle w:val="BodyText"/>
        <w:spacing w:line="324" w:lineRule="auto" w:before="206"/>
        <w:ind w:left="310" w:right="511" w:hanging="3"/>
      </w:pPr>
      <w:r>
        <w:rPr/>
        <w:t>處分，鄰人雖以建築主管機關為被告，如其獲得勝訴判決時，該判決為形    </w:t>
      </w:r>
      <w:r>
        <w:rPr>
          <w:spacing w:val="38"/>
        </w:rPr>
        <w:t> </w:t>
      </w:r>
      <w:r>
        <w:rPr/>
        <w:t>成判決，具有形成效力，無論超造人是否參加訴訟，均為判決效力所及，    </w:t>
      </w:r>
      <w:r>
        <w:rPr>
          <w:spacing w:val="35"/>
        </w:rPr>
        <w:t> </w:t>
      </w:r>
      <w:r>
        <w:rPr/>
        <w:t>即訴訟標的對於超造人（第三人）及噹事人之一造（建築主管機關）必須    </w:t>
      </w:r>
      <w:r>
        <w:rPr>
          <w:spacing w:val="35"/>
        </w:rPr>
        <w:t> </w:t>
      </w:r>
      <w:r>
        <w:rPr/>
        <w:t>合一裁判，故其亦噹然成為該判決之對象。為維護超造人實體法上之權      </w:t>
      </w:r>
      <w:r>
        <w:rPr>
          <w:spacing w:val="35"/>
        </w:rPr>
        <w:t> </w:t>
      </w:r>
      <w:r>
        <w:rPr/>
        <w:t>益，自應賦予其一定之訴訟法上地位，使其參加訴訟，籍以影攀行政法院    </w:t>
      </w:r>
      <w:r>
        <w:rPr>
          <w:spacing w:val="2"/>
        </w:rPr>
        <w:t> </w:t>
      </w:r>
      <w:r>
        <w:rPr>
          <w:spacing w:val="9"/>
        </w:rPr>
        <w:t>判決之結果 。是以行政法院應依行政訴訟法第 </w:t>
      </w:r>
      <w:r>
        <w:rPr>
          <w:rFonts w:ascii="Times New Roman" w:eastAsia="Times New Roman"/>
          <w:sz w:val="30"/>
        </w:rPr>
        <w:t>41</w:t>
      </w:r>
      <w:r>
        <w:rPr>
          <w:rFonts w:ascii="Times New Roman" w:eastAsia="Times New Roman"/>
          <w:spacing w:val="49"/>
          <w:sz w:val="30"/>
        </w:rPr>
        <w:t> </w:t>
      </w:r>
      <w:r>
        <w:rPr>
          <w:spacing w:val="8"/>
        </w:rPr>
        <w:t>條之規定 </w:t>
      </w:r>
      <w:r>
        <w:rPr>
          <w:spacing w:val="-35"/>
          <w:w w:val="95"/>
        </w:rPr>
        <w:t>， </w:t>
      </w:r>
      <w:r>
        <w:rPr>
          <w:spacing w:val="12"/>
        </w:rPr>
        <w:t>以裁定命其</w:t>
      </w:r>
      <w:r>
        <w:rPr/>
        <w:t>參加訴訟。</w:t>
      </w:r>
    </w:p>
    <w:p>
      <w:pPr>
        <w:pStyle w:val="BodyText"/>
        <w:spacing w:before="106"/>
        <w:ind w:left="3777"/>
      </w:pPr>
      <w:r>
        <w:rPr>
          <w:w w:val="115"/>
        </w:rPr>
        <w:t>三訴訟參加之效力</w:t>
      </w:r>
    </w:p>
    <w:p>
      <w:pPr>
        <w:pStyle w:val="BodyText"/>
        <w:spacing w:before="2"/>
        <w:rPr>
          <w:sz w:val="24"/>
        </w:rPr>
      </w:pPr>
    </w:p>
    <w:p>
      <w:pPr>
        <w:pStyle w:val="BodyText"/>
        <w:spacing w:line="331" w:lineRule="auto"/>
        <w:ind w:left="298" w:right="518" w:firstLine="570"/>
        <w:jc w:val="both"/>
      </w:pPr>
      <w:r>
        <w:rPr>
          <w:w w:val="110"/>
        </w:rPr>
        <w:t>訴訟參加者，非原告或被告之第三人為維護其權益，參與現仍繫屬於行政法院中之他人訴訟程序之制度。訴訟參加之目的既為使第三人在他人之訴訟程序中維護其權益，自應賦予其一定之程序上權利，俾實施攻防，</w:t>
      </w:r>
      <w:r>
        <w:rPr>
          <w:spacing w:val="-136"/>
          <w:w w:val="110"/>
        </w:rPr>
        <w:t> </w:t>
      </w:r>
      <w:r>
        <w:rPr>
          <w:w w:val="110"/>
        </w:rPr>
        <w:t>影攀判決之結果。另一方面，參加人既參加訴訟，實花攻防，並影響判決之結果，其亦應受判決效力之拘束，以為平衡。</w:t>
      </w:r>
    </w:p>
    <w:p>
      <w:pPr>
        <w:pStyle w:val="BodyText"/>
        <w:spacing w:line="324" w:lineRule="auto"/>
        <w:ind w:left="306" w:right="515" w:firstLine="562"/>
        <w:jc w:val="both"/>
        <w:rPr>
          <w:rFonts w:ascii="Arial" w:eastAsia="Arial"/>
          <w:sz w:val="8"/>
        </w:rPr>
      </w:pPr>
      <w:r>
        <w:rPr>
          <w:w w:val="110"/>
        </w:rPr>
        <w:t>訴訟參加人有參加訴訟之程序上權利。所有期日必須傳喚其到場，在訴訟參加期間所為判決（包括中間判決與終局判決）必須對其送達，行政法院依行政訴訟法之規定所為通知、依法必須送達噹事人之書狀，均須對</w:t>
      </w:r>
      <w:r>
        <w:rPr/>
        <w:t>參加人為通 知或送達</w:t>
      </w:r>
      <w:r>
        <w:rPr>
          <w:rFonts w:ascii="Times New Roman" w:eastAsia="Times New Roman"/>
          <w:w w:val="65"/>
          <w:sz w:val="16"/>
        </w:rPr>
        <w:t>15</w:t>
      </w:r>
      <w:r>
        <w:rPr>
          <w:rFonts w:ascii="Times New Roman" w:eastAsia="Times New Roman"/>
          <w:spacing w:val="25"/>
          <w:w w:val="65"/>
          <w:sz w:val="16"/>
        </w:rPr>
        <w:t> </w:t>
      </w:r>
      <w:r>
        <w:rPr>
          <w:rFonts w:ascii="Arial" w:eastAsia="Arial"/>
          <w:sz w:val="8"/>
        </w:rPr>
        <w:t>0</w:t>
      </w:r>
    </w:p>
    <w:p>
      <w:pPr>
        <w:tabs>
          <w:tab w:pos="1421" w:val="left" w:leader="none"/>
        </w:tabs>
        <w:spacing w:before="75"/>
        <w:ind w:left="0" w:right="212" w:firstLine="0"/>
        <w:jc w:val="center"/>
        <w:rPr>
          <w:sz w:val="28"/>
        </w:rPr>
      </w:pPr>
      <w:bookmarkStart w:name="_bookmark11" w:id="12"/>
      <w:bookmarkEnd w:id="12"/>
      <w:r>
        <w:rPr/>
      </w:r>
      <w:r>
        <w:rPr>
          <w:sz w:val="31"/>
        </w:rPr>
        <w:t>第四節</w:t>
        <w:tab/>
      </w:r>
      <w:r>
        <w:rPr>
          <w:sz w:val="28"/>
        </w:rPr>
        <w:t>小結</w:t>
      </w:r>
    </w:p>
    <w:p>
      <w:pPr>
        <w:pStyle w:val="BodyText"/>
        <w:spacing w:before="4"/>
        <w:rPr>
          <w:sz w:val="21"/>
        </w:rPr>
      </w:pPr>
    </w:p>
    <w:p>
      <w:pPr>
        <w:pStyle w:val="BodyText"/>
        <w:spacing w:line="314" w:lineRule="auto"/>
        <w:ind w:left="306" w:right="516" w:firstLine="565"/>
        <w:jc w:val="both"/>
      </w:pPr>
      <w:r>
        <w:rPr/>
        <w:t>公務人員對於服務機關或人事主管機關所為之行政處分，認為違法或   </w:t>
      </w:r>
      <w:r>
        <w:rPr>
          <w:spacing w:val="66"/>
        </w:rPr>
        <w:t> </w:t>
      </w:r>
      <w:r>
        <w:rPr>
          <w:w w:val="95"/>
        </w:rPr>
        <w:t>顯然不 噹 ， 致損害其權 利或利益者 ，得 依 本法第 </w:t>
      </w:r>
      <w:r>
        <w:rPr>
          <w:rFonts w:ascii="Times New Roman" w:eastAsia="Times New Roman"/>
          <w:w w:val="95"/>
          <w:sz w:val="30"/>
        </w:rPr>
        <w:t>25</w:t>
      </w:r>
      <w:r>
        <w:rPr>
          <w:rFonts w:ascii="Times New Roman" w:eastAsia="Times New Roman"/>
          <w:spacing w:val="22"/>
          <w:w w:val="95"/>
          <w:sz w:val="30"/>
        </w:rPr>
        <w:t> </w:t>
      </w:r>
      <w:r>
        <w:rPr>
          <w:spacing w:val="11"/>
          <w:w w:val="95"/>
        </w:rPr>
        <w:t>條第 </w:t>
      </w:r>
      <w:r>
        <w:rPr>
          <w:rFonts w:ascii="Times New Roman" w:eastAsia="Times New Roman"/>
          <w:w w:val="95"/>
          <w:sz w:val="30"/>
        </w:rPr>
        <w:t>l</w:t>
      </w:r>
      <w:r>
        <w:rPr>
          <w:rFonts w:ascii="Times New Roman" w:eastAsia="Times New Roman"/>
          <w:spacing w:val="52"/>
          <w:w w:val="95"/>
          <w:sz w:val="30"/>
        </w:rPr>
        <w:t> </w:t>
      </w:r>
      <w:r>
        <w:rPr>
          <w:spacing w:val="11"/>
          <w:w w:val="95"/>
        </w:rPr>
        <w:t>項規定提超復</w:t>
      </w:r>
      <w:r>
        <w:rPr/>
        <w:t>審。公務人員因原處分機關對其依法申請之案件，於法定期間內應作為而    </w:t>
      </w:r>
      <w:r>
        <w:rPr>
          <w:spacing w:val="46"/>
        </w:rPr>
        <w:t> </w:t>
      </w:r>
      <w:r>
        <w:rPr>
          <w:spacing w:val="-6"/>
          <w:w w:val="95"/>
        </w:rPr>
        <w:t>不作 為 ， 認為損 害其権 利或利益者 ，得 依 本法第 </w:t>
      </w:r>
      <w:r>
        <w:rPr>
          <w:rFonts w:ascii="Times New Roman" w:eastAsia="Times New Roman"/>
          <w:w w:val="95"/>
          <w:sz w:val="30"/>
        </w:rPr>
        <w:t>26</w:t>
      </w:r>
      <w:r>
        <w:rPr>
          <w:rFonts w:ascii="Times New Roman" w:eastAsia="Times New Roman"/>
          <w:spacing w:val="23"/>
          <w:w w:val="95"/>
          <w:sz w:val="30"/>
        </w:rPr>
        <w:t> </w:t>
      </w:r>
      <w:r>
        <w:rPr>
          <w:spacing w:val="11"/>
          <w:w w:val="95"/>
        </w:rPr>
        <w:t>條第 </w:t>
      </w:r>
      <w:r>
        <w:rPr>
          <w:rFonts w:ascii="Times New Roman" w:eastAsia="Times New Roman"/>
          <w:w w:val="95"/>
          <w:sz w:val="30"/>
        </w:rPr>
        <w:t>l</w:t>
      </w:r>
      <w:r>
        <w:rPr>
          <w:rFonts w:ascii="Times New Roman" w:eastAsia="Times New Roman"/>
          <w:spacing w:val="53"/>
          <w:w w:val="95"/>
          <w:sz w:val="30"/>
        </w:rPr>
        <w:t> </w:t>
      </w:r>
      <w:r>
        <w:rPr>
          <w:spacing w:val="11"/>
          <w:w w:val="95"/>
        </w:rPr>
        <w:t>項規定提超復</w:t>
      </w:r>
      <w:r>
        <w:rPr/>
        <w:t>審。</w:t>
      </w:r>
    </w:p>
    <w:p>
      <w:pPr>
        <w:pStyle w:val="BodyText"/>
        <w:spacing w:line="331" w:lineRule="auto" w:before="32"/>
        <w:ind w:left="306" w:right="511" w:firstLine="562"/>
        <w:jc w:val="both"/>
      </w:pPr>
      <w:r>
        <w:rPr/>
        <w:pict>
          <v:line style="position:absolute;mso-position-horizontal-relative:page;mso-position-vertical-relative:paragraph;z-index:15788544" from="95.174004pt,102.03997pt" to="549.89426pt,102.03997pt" stroked="true" strokeweight=".480547pt" strokecolor="#000000">
            <v:stroke dashstyle="solid"/>
            <w10:wrap type="none"/>
          </v:line>
        </w:pict>
      </w:r>
      <w:r>
        <w:rPr>
          <w:w w:val="110"/>
        </w:rPr>
        <w:t>復審程序，尤其公務員法上競爭爭訟之復審程序中，涉及第三人權利保護之情形，頗為常見。惟我國公務人員保障法中，並無使因復審程序之結果權益將受影零之第三人參與復審程序之相關規定。為保障第三人之權益，應如何建構「復審參加」之制度？如本章各節中所述，我國行政程序</w:t>
      </w:r>
    </w:p>
    <w:p>
      <w:pPr>
        <w:pStyle w:val="BodyText"/>
        <w:rPr>
          <w:sz w:val="24"/>
        </w:rPr>
      </w:pPr>
    </w:p>
    <w:p>
      <w:pPr>
        <w:pStyle w:val="Heading6"/>
        <w:spacing w:before="166"/>
        <w:ind w:left="517"/>
      </w:pPr>
      <w:r>
        <w:rPr/>
        <w:t>Notwendigkeit</w:t>
      </w:r>
      <w:r>
        <w:rPr>
          <w:spacing w:val="51"/>
        </w:rPr>
        <w:t> </w:t>
      </w:r>
      <w:r>
        <w:rPr/>
        <w:t>der</w:t>
      </w:r>
      <w:r>
        <w:rPr>
          <w:spacing w:val="38"/>
        </w:rPr>
        <w:t> </w:t>
      </w:r>
      <w:r>
        <w:rPr/>
        <w:t>Beiladung</w:t>
      </w:r>
      <w:r>
        <w:rPr>
          <w:spacing w:val="55"/>
        </w:rPr>
        <w:t> </w:t>
      </w:r>
      <w:r>
        <w:rPr/>
        <w:t>im</w:t>
      </w:r>
      <w:r>
        <w:rPr>
          <w:spacing w:val="34"/>
        </w:rPr>
        <w:t> </w:t>
      </w:r>
      <w:r>
        <w:rPr/>
        <w:t>Verwaltungsprozess,</w:t>
      </w:r>
      <w:r>
        <w:rPr>
          <w:spacing w:val="12"/>
        </w:rPr>
        <w:t> </w:t>
      </w:r>
      <w:r>
        <w:rPr/>
        <w:t>BayVBl,</w:t>
      </w:r>
      <w:r>
        <w:rPr>
          <w:spacing w:val="21"/>
        </w:rPr>
        <w:t> </w:t>
      </w:r>
      <w:r>
        <w:rPr/>
        <w:t>1982,</w:t>
      </w:r>
      <w:r>
        <w:rPr>
          <w:spacing w:val="21"/>
        </w:rPr>
        <w:t> </w:t>
      </w:r>
      <w:r>
        <w:rPr/>
        <w:t>481.</w:t>
      </w:r>
    </w:p>
    <w:p>
      <w:pPr>
        <w:tabs>
          <w:tab w:pos="6381" w:val="left" w:leader="none"/>
        </w:tabs>
        <w:spacing w:before="4"/>
        <w:ind w:left="298" w:right="0" w:firstLine="0"/>
        <w:jc w:val="left"/>
        <w:rPr>
          <w:sz w:val="20"/>
        </w:rPr>
      </w:pPr>
      <w:r>
        <w:rPr>
          <w:rFonts w:ascii="Times New Roman" w:eastAsia="Times New Roman"/>
          <w:w w:val="90"/>
          <w:position w:val="7"/>
          <w:sz w:val="13"/>
        </w:rPr>
        <w:t>15</w:t>
      </w:r>
      <w:r>
        <w:rPr>
          <w:rFonts w:ascii="Times New Roman" w:eastAsia="Times New Roman"/>
          <w:spacing w:val="37"/>
          <w:position w:val="7"/>
          <w:sz w:val="13"/>
        </w:rPr>
        <w:t> </w:t>
      </w:r>
      <w:r>
        <w:rPr>
          <w:rFonts w:ascii="Times New Roman" w:eastAsia="Times New Roman"/>
          <w:spacing w:val="37"/>
          <w:position w:val="7"/>
          <w:sz w:val="13"/>
        </w:rPr>
        <w:t> </w:t>
      </w:r>
      <w:r>
        <w:rPr>
          <w:spacing w:val="19"/>
          <w:w w:val="90"/>
          <w:sz w:val="21"/>
        </w:rPr>
        <w:t>簫</w:t>
      </w:r>
      <w:r>
        <w:rPr>
          <w:spacing w:val="15"/>
          <w:w w:val="90"/>
          <w:sz w:val="21"/>
        </w:rPr>
        <w:t>文</w:t>
      </w:r>
      <w:r>
        <w:rPr>
          <w:spacing w:val="21"/>
          <w:w w:val="90"/>
          <w:sz w:val="21"/>
        </w:rPr>
        <w:t>生</w:t>
      </w:r>
      <w:r>
        <w:rPr>
          <w:w w:val="90"/>
          <w:sz w:val="21"/>
        </w:rPr>
        <w:t>譯</w:t>
      </w:r>
      <w:r>
        <w:rPr>
          <w:spacing w:val="-17"/>
          <w:w w:val="90"/>
          <w:sz w:val="21"/>
        </w:rPr>
        <w:t> </w:t>
      </w:r>
      <w:r>
        <w:rPr>
          <w:w w:val="90"/>
          <w:sz w:val="21"/>
        </w:rPr>
        <w:t>，德</w:t>
      </w:r>
      <w:r>
        <w:rPr>
          <w:spacing w:val="57"/>
          <w:w w:val="90"/>
          <w:sz w:val="21"/>
        </w:rPr>
        <w:t> </w:t>
      </w:r>
      <w:r>
        <w:rPr>
          <w:w w:val="90"/>
          <w:sz w:val="21"/>
        </w:rPr>
        <w:t>國行</w:t>
      </w:r>
      <w:r>
        <w:rPr>
          <w:spacing w:val="-22"/>
          <w:w w:val="90"/>
          <w:sz w:val="21"/>
        </w:rPr>
        <w:t> </w:t>
      </w:r>
      <w:r>
        <w:rPr>
          <w:spacing w:val="44"/>
          <w:w w:val="90"/>
          <w:sz w:val="21"/>
        </w:rPr>
        <w:t>政</w:t>
      </w:r>
      <w:r>
        <w:rPr>
          <w:spacing w:val="20"/>
          <w:w w:val="90"/>
          <w:sz w:val="21"/>
        </w:rPr>
        <w:t>法</w:t>
      </w:r>
      <w:r>
        <w:rPr>
          <w:spacing w:val="11"/>
          <w:w w:val="90"/>
          <w:sz w:val="21"/>
        </w:rPr>
        <w:t>浣</w:t>
      </w:r>
      <w:r>
        <w:rPr>
          <w:spacing w:val="10"/>
          <w:w w:val="90"/>
          <w:sz w:val="21"/>
        </w:rPr>
        <w:t>法</w:t>
      </w:r>
      <w:r>
        <w:rPr>
          <w:spacing w:val="12"/>
          <w:w w:val="90"/>
          <w:sz w:val="21"/>
        </w:rPr>
        <w:t>逐</w:t>
      </w:r>
      <w:r>
        <w:rPr>
          <w:spacing w:val="15"/>
          <w:w w:val="90"/>
          <w:sz w:val="21"/>
        </w:rPr>
        <w:t>條</w:t>
      </w:r>
      <w:r>
        <w:rPr>
          <w:spacing w:val="31"/>
          <w:w w:val="90"/>
          <w:sz w:val="21"/>
        </w:rPr>
        <w:t>釋</w:t>
      </w:r>
      <w:r>
        <w:rPr>
          <w:w w:val="90"/>
          <w:sz w:val="21"/>
        </w:rPr>
        <w:t>義</w:t>
      </w:r>
      <w:r>
        <w:rPr>
          <w:spacing w:val="7"/>
          <w:w w:val="90"/>
          <w:sz w:val="21"/>
        </w:rPr>
        <w:t> </w:t>
      </w:r>
      <w:r>
        <w:rPr>
          <w:w w:val="90"/>
          <w:sz w:val="21"/>
        </w:rPr>
        <w:t>，</w:t>
      </w:r>
      <w:r>
        <w:rPr>
          <w:spacing w:val="-48"/>
          <w:w w:val="90"/>
          <w:sz w:val="21"/>
        </w:rPr>
        <w:t> </w:t>
      </w:r>
      <w:r>
        <w:rPr>
          <w:spacing w:val="24"/>
          <w:w w:val="90"/>
          <w:sz w:val="21"/>
        </w:rPr>
        <w:t>第</w:t>
      </w:r>
      <w:r>
        <w:rPr>
          <w:rFonts w:ascii="Times New Roman" w:eastAsia="Times New Roman"/>
          <w:spacing w:val="10"/>
          <w:w w:val="90"/>
          <w:sz w:val="26"/>
        </w:rPr>
        <w:t>66</w:t>
      </w:r>
      <w:r>
        <w:rPr>
          <w:w w:val="90"/>
          <w:sz w:val="21"/>
        </w:rPr>
        <w:t>條</w:t>
      </w:r>
      <w:r>
        <w:rPr>
          <w:spacing w:val="60"/>
          <w:w w:val="90"/>
          <w:sz w:val="21"/>
        </w:rPr>
        <w:t> </w:t>
      </w:r>
      <w:r>
        <w:rPr>
          <w:w w:val="90"/>
          <w:sz w:val="21"/>
        </w:rPr>
        <w:t>，</w:t>
      </w:r>
      <w:r>
        <w:rPr>
          <w:spacing w:val="-55"/>
          <w:w w:val="90"/>
          <w:sz w:val="21"/>
        </w:rPr>
        <w:t> </w:t>
      </w:r>
      <w:r>
        <w:rPr>
          <w:spacing w:val="23"/>
          <w:w w:val="90"/>
          <w:sz w:val="21"/>
        </w:rPr>
        <w:t>頁</w:t>
      </w:r>
      <w:r>
        <w:rPr>
          <w:rFonts w:ascii="Times New Roman" w:eastAsia="Times New Roman"/>
          <w:w w:val="90"/>
          <w:sz w:val="26"/>
        </w:rPr>
        <w:t>66,0</w:t>
        <w:tab/>
      </w:r>
      <w:r>
        <w:rPr>
          <w:w w:val="90"/>
          <w:sz w:val="21"/>
        </w:rPr>
        <w:t>司</w:t>
      </w:r>
      <w:r>
        <w:rPr>
          <w:spacing w:val="-50"/>
          <w:w w:val="90"/>
          <w:sz w:val="21"/>
        </w:rPr>
        <w:t> </w:t>
      </w:r>
      <w:r>
        <w:rPr>
          <w:w w:val="90"/>
          <w:sz w:val="21"/>
        </w:rPr>
        <w:t>法院</w:t>
      </w:r>
      <w:r>
        <w:rPr>
          <w:spacing w:val="6"/>
          <w:w w:val="90"/>
          <w:sz w:val="21"/>
        </w:rPr>
        <w:t> </w:t>
      </w:r>
      <w:r>
        <w:rPr>
          <w:w w:val="90"/>
          <w:sz w:val="21"/>
        </w:rPr>
        <w:t>，</w:t>
      </w:r>
      <w:r>
        <w:rPr>
          <w:spacing w:val="-71"/>
          <w:w w:val="90"/>
          <w:sz w:val="21"/>
        </w:rPr>
        <w:t> </w:t>
      </w:r>
      <w:r>
        <w:rPr>
          <w:rFonts w:ascii="Times New Roman" w:eastAsia="Times New Roman"/>
          <w:w w:val="90"/>
          <w:sz w:val="26"/>
        </w:rPr>
        <w:t>2002</w:t>
      </w:r>
      <w:r>
        <w:rPr>
          <w:rFonts w:ascii="Times New Roman" w:eastAsia="Times New Roman"/>
          <w:spacing w:val="10"/>
          <w:w w:val="90"/>
          <w:sz w:val="26"/>
        </w:rPr>
        <w:t> </w:t>
      </w:r>
      <w:r>
        <w:rPr>
          <w:w w:val="90"/>
          <w:sz w:val="21"/>
        </w:rPr>
        <w:t>年</w:t>
      </w:r>
      <w:r>
        <w:rPr>
          <w:rFonts w:ascii="Times New Roman" w:eastAsia="Times New Roman"/>
          <w:w w:val="90"/>
          <w:sz w:val="26"/>
        </w:rPr>
        <w:t>10</w:t>
      </w:r>
      <w:r>
        <w:rPr>
          <w:rFonts w:ascii="Times New Roman" w:eastAsia="Times New Roman"/>
          <w:spacing w:val="-25"/>
          <w:w w:val="90"/>
          <w:sz w:val="26"/>
        </w:rPr>
        <w:t> </w:t>
      </w:r>
      <w:r>
        <w:rPr>
          <w:w w:val="90"/>
          <w:sz w:val="20"/>
        </w:rPr>
        <w:t>月；</w:t>
      </w:r>
      <w:r>
        <w:rPr>
          <w:spacing w:val="-2"/>
          <w:w w:val="90"/>
          <w:sz w:val="20"/>
        </w:rPr>
        <w:t> </w:t>
      </w:r>
      <w:r>
        <w:rPr>
          <w:spacing w:val="30"/>
          <w:w w:val="90"/>
          <w:sz w:val="20"/>
        </w:rPr>
        <w:t>另</w:t>
      </w:r>
      <w:r>
        <w:rPr>
          <w:w w:val="90"/>
          <w:sz w:val="20"/>
        </w:rPr>
        <w:t>請</w:t>
      </w:r>
    </w:p>
    <w:p>
      <w:pPr>
        <w:tabs>
          <w:tab w:pos="4476" w:val="left" w:leader="none"/>
        </w:tabs>
        <w:spacing w:before="6"/>
        <w:ind w:left="511" w:right="0" w:firstLine="0"/>
        <w:jc w:val="left"/>
        <w:rPr>
          <w:sz w:val="20"/>
        </w:rPr>
      </w:pPr>
      <w:r>
        <w:rPr>
          <w:spacing w:val="39"/>
          <w:w w:val="90"/>
          <w:sz w:val="21"/>
        </w:rPr>
        <w:t>參</w:t>
      </w:r>
      <w:r>
        <w:rPr>
          <w:w w:val="90"/>
          <w:sz w:val="21"/>
        </w:rPr>
        <w:t>閱：</w:t>
      </w:r>
      <w:r>
        <w:rPr>
          <w:spacing w:val="-62"/>
          <w:w w:val="90"/>
          <w:sz w:val="21"/>
        </w:rPr>
        <w:t> </w:t>
      </w:r>
      <w:r>
        <w:rPr>
          <w:spacing w:val="18"/>
          <w:w w:val="90"/>
          <w:sz w:val="21"/>
        </w:rPr>
        <w:t>林</w:t>
      </w:r>
      <w:r>
        <w:rPr>
          <w:w w:val="90"/>
          <w:sz w:val="21"/>
        </w:rPr>
        <w:t>騰鷂</w:t>
      </w:r>
      <w:r>
        <w:rPr>
          <w:spacing w:val="-6"/>
          <w:w w:val="90"/>
          <w:sz w:val="21"/>
        </w:rPr>
        <w:t> </w:t>
      </w:r>
      <w:r>
        <w:rPr>
          <w:w w:val="90"/>
          <w:sz w:val="21"/>
        </w:rPr>
        <w:t>，行</w:t>
      </w:r>
      <w:r>
        <w:rPr>
          <w:spacing w:val="47"/>
          <w:w w:val="90"/>
          <w:sz w:val="21"/>
        </w:rPr>
        <w:t> </w:t>
      </w:r>
      <w:r>
        <w:rPr>
          <w:w w:val="90"/>
          <w:sz w:val="21"/>
        </w:rPr>
        <w:t>政</w:t>
      </w:r>
      <w:r>
        <w:rPr>
          <w:spacing w:val="11"/>
          <w:w w:val="90"/>
          <w:sz w:val="21"/>
        </w:rPr>
        <w:t> </w:t>
      </w:r>
      <w:r>
        <w:rPr>
          <w:w w:val="90"/>
          <w:sz w:val="21"/>
        </w:rPr>
        <w:t>訴</w:t>
      </w:r>
      <w:r>
        <w:rPr>
          <w:spacing w:val="23"/>
          <w:w w:val="90"/>
          <w:sz w:val="21"/>
        </w:rPr>
        <w:t>訟</w:t>
      </w:r>
      <w:r>
        <w:rPr>
          <w:w w:val="90"/>
          <w:sz w:val="21"/>
        </w:rPr>
        <w:t>法</w:t>
      </w:r>
      <w:r>
        <w:rPr>
          <w:spacing w:val="-10"/>
          <w:w w:val="90"/>
          <w:sz w:val="21"/>
        </w:rPr>
        <w:t> </w:t>
      </w:r>
      <w:r>
        <w:rPr>
          <w:w w:val="90"/>
          <w:sz w:val="21"/>
        </w:rPr>
        <w:t>，</w:t>
      </w:r>
      <w:r>
        <w:rPr>
          <w:spacing w:val="-46"/>
          <w:w w:val="90"/>
          <w:sz w:val="21"/>
        </w:rPr>
        <w:t> </w:t>
      </w:r>
      <w:r>
        <w:rPr>
          <w:spacing w:val="35"/>
          <w:w w:val="90"/>
          <w:sz w:val="21"/>
        </w:rPr>
        <w:t>頁</w:t>
      </w:r>
      <w:r>
        <w:rPr>
          <w:rFonts w:ascii="Times New Roman" w:eastAsia="Times New Roman"/>
          <w:w w:val="90"/>
          <w:sz w:val="26"/>
        </w:rPr>
        <w:t>26,2</w:t>
        <w:tab/>
      </w:r>
      <w:r>
        <w:rPr>
          <w:spacing w:val="12"/>
          <w:w w:val="95"/>
          <w:sz w:val="21"/>
        </w:rPr>
        <w:t>三</w:t>
      </w:r>
      <w:r>
        <w:rPr>
          <w:spacing w:val="16"/>
          <w:w w:val="95"/>
          <w:sz w:val="21"/>
        </w:rPr>
        <w:t>民</w:t>
      </w:r>
      <w:r>
        <w:rPr>
          <w:w w:val="95"/>
          <w:sz w:val="21"/>
        </w:rPr>
        <w:t>書</w:t>
      </w:r>
      <w:r>
        <w:rPr>
          <w:spacing w:val="38"/>
          <w:w w:val="95"/>
          <w:sz w:val="21"/>
        </w:rPr>
        <w:t>局</w:t>
      </w:r>
      <w:r>
        <w:rPr>
          <w:spacing w:val="15"/>
          <w:w w:val="95"/>
          <w:sz w:val="21"/>
        </w:rPr>
        <w:t>股</w:t>
      </w:r>
      <w:r>
        <w:rPr>
          <w:spacing w:val="24"/>
          <w:w w:val="95"/>
          <w:sz w:val="21"/>
        </w:rPr>
        <w:t>份</w:t>
      </w:r>
      <w:r>
        <w:rPr>
          <w:spacing w:val="28"/>
          <w:w w:val="95"/>
          <w:sz w:val="21"/>
        </w:rPr>
        <w:t>有</w:t>
      </w:r>
      <w:r>
        <w:rPr>
          <w:spacing w:val="26"/>
          <w:w w:val="95"/>
          <w:sz w:val="21"/>
        </w:rPr>
        <w:t>限</w:t>
      </w:r>
      <w:r>
        <w:rPr>
          <w:spacing w:val="50"/>
          <w:w w:val="95"/>
          <w:sz w:val="21"/>
        </w:rPr>
        <w:t>公</w:t>
      </w:r>
      <w:r>
        <w:rPr>
          <w:w w:val="95"/>
          <w:sz w:val="21"/>
        </w:rPr>
        <w:t>司</w:t>
      </w:r>
      <w:r>
        <w:rPr>
          <w:spacing w:val="24"/>
          <w:w w:val="95"/>
          <w:sz w:val="21"/>
        </w:rPr>
        <w:t> </w:t>
      </w:r>
      <w:r>
        <w:rPr>
          <w:w w:val="95"/>
          <w:sz w:val="21"/>
        </w:rPr>
        <w:t>，</w:t>
      </w:r>
      <w:r>
        <w:rPr>
          <w:rFonts w:ascii="Times New Roman" w:eastAsia="Times New Roman"/>
          <w:w w:val="95"/>
          <w:sz w:val="26"/>
        </w:rPr>
        <w:t>200</w:t>
      </w:r>
      <w:r>
        <w:rPr>
          <w:rFonts w:ascii="Times New Roman" w:eastAsia="Times New Roman"/>
          <w:spacing w:val="-24"/>
          <w:w w:val="95"/>
          <w:sz w:val="26"/>
        </w:rPr>
        <w:t> </w:t>
      </w:r>
      <w:r>
        <w:rPr>
          <w:rFonts w:ascii="Times New Roman" w:eastAsia="Times New Roman"/>
          <w:w w:val="95"/>
          <w:sz w:val="26"/>
        </w:rPr>
        <w:t>8</w:t>
      </w:r>
      <w:r>
        <w:rPr>
          <w:w w:val="95"/>
          <w:sz w:val="21"/>
        </w:rPr>
        <w:t>年</w:t>
      </w:r>
      <w:r>
        <w:rPr>
          <w:rFonts w:ascii="Times New Roman" w:eastAsia="Times New Roman"/>
          <w:spacing w:val="20"/>
          <w:w w:val="95"/>
          <w:sz w:val="26"/>
        </w:rPr>
        <w:t>1</w:t>
      </w:r>
      <w:r>
        <w:rPr>
          <w:spacing w:val="32"/>
          <w:w w:val="95"/>
          <w:sz w:val="21"/>
        </w:rPr>
        <w:t>月</w:t>
      </w:r>
      <w:r>
        <w:rPr>
          <w:rFonts w:ascii="Times New Roman" w:eastAsia="Times New Roman"/>
          <w:w w:val="95"/>
          <w:sz w:val="26"/>
        </w:rPr>
        <w:t>3</w:t>
      </w:r>
      <w:r>
        <w:rPr>
          <w:w w:val="95"/>
          <w:sz w:val="20"/>
        </w:rPr>
        <w:t>版</w:t>
      </w:r>
      <w:r>
        <w:rPr>
          <w:spacing w:val="43"/>
          <w:w w:val="95"/>
          <w:sz w:val="20"/>
        </w:rPr>
        <w:t> </w:t>
      </w:r>
      <w:r>
        <w:rPr>
          <w:w w:val="95"/>
          <w:sz w:val="20"/>
        </w:rPr>
        <w:t>。</w:t>
      </w:r>
    </w:p>
    <w:p>
      <w:pPr>
        <w:spacing w:after="0"/>
        <w:jc w:val="left"/>
        <w:rPr>
          <w:sz w:val="20"/>
        </w:rPr>
        <w:sectPr>
          <w:pgSz w:w="11910" w:h="16840"/>
          <w:pgMar w:header="862" w:footer="937" w:top="1060" w:bottom="1200" w:left="1120" w:right="1060"/>
        </w:sectPr>
      </w:pPr>
    </w:p>
    <w:p>
      <w:pPr>
        <w:pStyle w:val="BodyText"/>
        <w:spacing w:before="12"/>
        <w:rPr>
          <w:sz w:val="28"/>
        </w:rPr>
      </w:pPr>
    </w:p>
    <w:p>
      <w:pPr>
        <w:pStyle w:val="BodyText"/>
        <w:spacing w:before="65"/>
        <w:ind w:left="308"/>
      </w:pPr>
      <w:r>
        <w:rPr>
          <w:w w:val="110"/>
        </w:rPr>
        <w:t>及訴願、行政訴訟程序中均設有當事人以外第三人參加程序之規定。建構</w:t>
      </w:r>
    </w:p>
    <w:p>
      <w:pPr>
        <w:pStyle w:val="BodyText"/>
        <w:spacing w:before="117"/>
        <w:ind w:left="418"/>
      </w:pPr>
      <w:r>
        <w:rPr>
          <w:w w:val="105"/>
        </w:rPr>
        <w:t>「復審參加」之制度，應以何者為參考之基礎？</w:t>
      </w:r>
    </w:p>
    <w:p>
      <w:pPr>
        <w:pStyle w:val="BodyText"/>
        <w:spacing w:line="328" w:lineRule="auto" w:before="122"/>
        <w:ind w:left="301" w:right="515" w:firstLine="567"/>
        <w:jc w:val="both"/>
      </w:pPr>
      <w:r>
        <w:rPr>
          <w:w w:val="105"/>
        </w:rPr>
        <w:t>復審程序亦為廣義之行政程序，噹事人以外之第三人，其權益受復審</w:t>
      </w:r>
      <w:r>
        <w:rPr>
          <w:spacing w:val="76"/>
          <w:w w:val="105"/>
        </w:rPr>
        <w:t> </w:t>
      </w:r>
      <w:r>
        <w:rPr>
          <w:spacing w:val="16"/>
        </w:rPr>
        <w:t>程序影響者 </w:t>
      </w:r>
      <w:r>
        <w:rPr>
          <w:spacing w:val="-29"/>
          <w:w w:val="95"/>
        </w:rPr>
        <w:t>， </w:t>
      </w:r>
      <w:r>
        <w:rPr>
          <w:spacing w:val="17"/>
        </w:rPr>
        <w:t>可依行政程序法第 </w:t>
      </w:r>
      <w:r>
        <w:rPr>
          <w:rFonts w:ascii="Arial" w:eastAsia="Arial"/>
          <w:w w:val="95"/>
          <w:sz w:val="29"/>
        </w:rPr>
        <w:t>23</w:t>
      </w:r>
      <w:r>
        <w:rPr>
          <w:rFonts w:ascii="Arial" w:eastAsia="Arial"/>
          <w:spacing w:val="46"/>
          <w:w w:val="95"/>
          <w:sz w:val="29"/>
        </w:rPr>
        <w:t> </w:t>
      </w:r>
      <w:r>
        <w:rPr>
          <w:spacing w:val="4"/>
        </w:rPr>
        <w:t>條之規定參加程序 。惟行政程序法上</w:t>
      </w:r>
      <w:r>
        <w:rPr>
          <w:w w:val="105"/>
        </w:rPr>
        <w:t>對於程序參加制度之內容，規定甚少。既未區分程序參加之類型，又未規</w:t>
      </w:r>
      <w:r>
        <w:rPr>
          <w:spacing w:val="121"/>
          <w:w w:val="105"/>
        </w:rPr>
        <w:t> </w:t>
      </w:r>
      <w:r>
        <w:rPr>
          <w:w w:val="105"/>
        </w:rPr>
        <w:t>定參加人之程序上權利義務關係。參加人得否處分行政程序之標的，如撤</w:t>
      </w:r>
      <w:r>
        <w:rPr>
          <w:spacing w:val="121"/>
          <w:w w:val="105"/>
        </w:rPr>
        <w:t> </w:t>
      </w:r>
      <w:r>
        <w:rPr>
          <w:w w:val="105"/>
        </w:rPr>
        <w:t>回行政程序、與對造噹事人和解？參加人之程序行為與其他噹事人不一致</w:t>
      </w:r>
      <w:r>
        <w:rPr>
          <w:spacing w:val="121"/>
          <w:w w:val="105"/>
        </w:rPr>
        <w:t> </w:t>
      </w:r>
      <w:r>
        <w:rPr>
          <w:w w:val="105"/>
        </w:rPr>
        <w:t>時，如參加人之陳述不利於申請人或處分相對人，其效力如何？又參加人</w:t>
      </w:r>
      <w:r>
        <w:rPr>
          <w:spacing w:val="121"/>
          <w:w w:val="105"/>
        </w:rPr>
        <w:t> </w:t>
      </w:r>
      <w:r>
        <w:rPr>
          <w:w w:val="105"/>
        </w:rPr>
        <w:t>是否限於以輔助噹事人一造（如：申靖人、行政處分相對人）為目的而參</w:t>
      </w:r>
      <w:r>
        <w:rPr>
          <w:spacing w:val="121"/>
          <w:w w:val="105"/>
        </w:rPr>
        <w:t> </w:t>
      </w:r>
      <w:r>
        <w:rPr>
          <w:w w:val="105"/>
        </w:rPr>
        <w:t>加行政程序，抑或得以交替對抗兩造噹事人？凡此問題，行政程序法上均</w:t>
      </w:r>
      <w:r>
        <w:rPr>
          <w:spacing w:val="121"/>
          <w:w w:val="105"/>
        </w:rPr>
        <w:t> </w:t>
      </w:r>
      <w:r>
        <w:rPr>
          <w:w w:val="105"/>
        </w:rPr>
        <w:t>無規定。欲建構復審參加之制度，自不能僅以行政程序法之程序參加規定</w:t>
      </w:r>
      <w:r>
        <w:rPr>
          <w:spacing w:val="121"/>
          <w:w w:val="105"/>
        </w:rPr>
        <w:t> </w:t>
      </w:r>
      <w:r>
        <w:rPr>
          <w:w w:val="105"/>
        </w:rPr>
        <w:t>作為參考之基礎。</w:t>
      </w:r>
    </w:p>
    <w:p>
      <w:pPr>
        <w:pStyle w:val="BodyText"/>
        <w:spacing w:line="316" w:lineRule="auto"/>
        <w:ind w:left="303" w:right="496" w:firstLine="573"/>
        <w:jc w:val="both"/>
      </w:pPr>
      <w:r>
        <w:rPr>
          <w:w w:val="105"/>
        </w:rPr>
        <w:t>我國行政爭訟制度中，訴願法及行政訴訟法均設有保護第三人權益之</w:t>
      </w:r>
      <w:r>
        <w:rPr>
          <w:spacing w:val="87"/>
          <w:w w:val="105"/>
        </w:rPr>
        <w:t> </w:t>
      </w:r>
      <w:r>
        <w:rPr>
          <w:spacing w:val="11"/>
        </w:rPr>
        <w:t>程序參加制度 </w:t>
      </w:r>
      <w:r>
        <w:rPr>
          <w:spacing w:val="-26"/>
          <w:w w:val="95"/>
        </w:rPr>
        <w:t>， </w:t>
      </w:r>
      <w:r>
        <w:rPr>
          <w:spacing w:val="20"/>
        </w:rPr>
        <w:t>即訴願法第 </w:t>
      </w:r>
      <w:r>
        <w:rPr>
          <w:rFonts w:ascii="Arial" w:eastAsia="Arial"/>
          <w:w w:val="95"/>
          <w:sz w:val="29"/>
        </w:rPr>
        <w:t>28</w:t>
      </w:r>
      <w:r>
        <w:rPr>
          <w:rFonts w:ascii="Arial" w:eastAsia="Arial"/>
          <w:spacing w:val="61"/>
          <w:w w:val="95"/>
          <w:sz w:val="29"/>
        </w:rPr>
        <w:t> </w:t>
      </w:r>
      <w:r>
        <w:rPr>
          <w:spacing w:val="9"/>
        </w:rPr>
        <w:t>條以下之「訴願參加」及行政訴訟法第 </w:t>
      </w:r>
      <w:r>
        <w:rPr>
          <w:rFonts w:ascii="Arial" w:eastAsia="Arial"/>
          <w:sz w:val="29"/>
        </w:rPr>
        <w:t>41</w:t>
      </w:r>
      <w:r>
        <w:rPr>
          <w:rFonts w:ascii="Arial" w:eastAsia="Arial"/>
          <w:spacing w:val="-78"/>
          <w:sz w:val="29"/>
        </w:rPr>
        <w:t> </w:t>
      </w:r>
      <w:r>
        <w:rPr>
          <w:w w:val="105"/>
        </w:rPr>
        <w:t>條以下之「行政訴訟參加」。</w:t>
      </w:r>
    </w:p>
    <w:p>
      <w:pPr>
        <w:pStyle w:val="BodyText"/>
        <w:tabs>
          <w:tab w:pos="8013" w:val="left" w:leader="none"/>
        </w:tabs>
        <w:spacing w:line="326" w:lineRule="auto"/>
        <w:ind w:left="302" w:right="508" w:firstLine="560"/>
      </w:pPr>
      <w:r>
        <w:rPr>
          <w:spacing w:val="34"/>
        </w:rPr>
        <w:t>依</w:t>
      </w:r>
      <w:r>
        <w:rPr/>
        <w:t>公</w:t>
      </w:r>
      <w:r>
        <w:rPr>
          <w:spacing w:val="17"/>
        </w:rPr>
        <w:t>務</w:t>
      </w:r>
      <w:r>
        <w:rPr>
          <w:spacing w:val="24"/>
        </w:rPr>
        <w:t>人</w:t>
      </w:r>
      <w:r>
        <w:rPr>
          <w:spacing w:val="41"/>
          <w:w w:val="90"/>
        </w:rPr>
        <w:t>員</w:t>
      </w:r>
      <w:r>
        <w:rPr>
          <w:spacing w:val="20"/>
        </w:rPr>
        <w:t>保</w:t>
      </w:r>
      <w:r>
        <w:rPr>
          <w:spacing w:val="25"/>
        </w:rPr>
        <w:t>障</w:t>
      </w:r>
      <w:r>
        <w:rPr>
          <w:spacing w:val="34"/>
        </w:rPr>
        <w:t>法</w:t>
      </w:r>
      <w:r>
        <w:rPr/>
        <w:t>第</w:t>
      </w:r>
      <w:r>
        <w:rPr>
          <w:spacing w:val="22"/>
        </w:rPr>
        <w:t> </w:t>
      </w:r>
      <w:r>
        <w:rPr>
          <w:rFonts w:ascii="Arial" w:eastAsia="Arial"/>
          <w:w w:val="90"/>
          <w:sz w:val="29"/>
        </w:rPr>
        <w:t>25</w:t>
      </w:r>
      <w:r>
        <w:rPr>
          <w:rFonts w:ascii="Arial" w:eastAsia="Arial"/>
          <w:spacing w:val="56"/>
          <w:w w:val="90"/>
          <w:sz w:val="29"/>
        </w:rPr>
        <w:t> </w:t>
      </w:r>
      <w:r>
        <w:rPr>
          <w:spacing w:val="13"/>
        </w:rPr>
        <w:t>條</w:t>
      </w:r>
      <w:r>
        <w:rPr>
          <w:spacing w:val="31"/>
        </w:rPr>
        <w:t>及</w:t>
      </w:r>
      <w:r>
        <w:rPr/>
        <w:t>第</w:t>
      </w:r>
      <w:r>
        <w:rPr>
          <w:spacing w:val="16"/>
        </w:rPr>
        <w:t> </w:t>
      </w:r>
      <w:r>
        <w:rPr>
          <w:rFonts w:ascii="Arial" w:eastAsia="Arial"/>
          <w:w w:val="90"/>
          <w:sz w:val="29"/>
        </w:rPr>
        <w:t>26</w:t>
      </w:r>
      <w:r>
        <w:rPr>
          <w:rFonts w:ascii="Arial" w:eastAsia="Arial"/>
          <w:spacing w:val="55"/>
          <w:w w:val="90"/>
          <w:sz w:val="29"/>
        </w:rPr>
        <w:t> </w:t>
      </w:r>
      <w:r>
        <w:rPr>
          <w:spacing w:val="10"/>
        </w:rPr>
        <w:t>條</w:t>
      </w:r>
      <w:r>
        <w:rPr/>
        <w:t>之</w:t>
      </w:r>
      <w:r>
        <w:rPr>
          <w:spacing w:val="15"/>
        </w:rPr>
        <w:t>規</w:t>
      </w:r>
      <w:r>
        <w:rPr>
          <w:spacing w:val="51"/>
        </w:rPr>
        <w:t>定</w:t>
      </w:r>
      <w:r>
        <w:rPr>
          <w:w w:val="90"/>
        </w:rPr>
        <w:t>，</w:t>
      </w:r>
      <w:r>
        <w:rPr/>
        <w:t>公</w:t>
      </w:r>
      <w:r>
        <w:rPr>
          <w:spacing w:val="17"/>
        </w:rPr>
        <w:t>務</w:t>
      </w:r>
      <w:r>
        <w:rPr>
          <w:spacing w:val="24"/>
        </w:rPr>
        <w:t>人</w:t>
      </w:r>
      <w:r>
        <w:rPr>
          <w:w w:val="90"/>
        </w:rPr>
        <w:t>員</w:t>
      </w:r>
      <w:r>
        <w:rPr>
          <w:spacing w:val="-41"/>
          <w:w w:val="90"/>
        </w:rPr>
        <w:t> </w:t>
      </w:r>
      <w:r>
        <w:rPr/>
        <w:t>對</w:t>
      </w:r>
      <w:r>
        <w:rPr>
          <w:spacing w:val="36"/>
        </w:rPr>
        <w:t>於</w:t>
      </w:r>
      <w:r>
        <w:rPr/>
        <w:t>服</w:t>
      </w:r>
      <w:r>
        <w:rPr>
          <w:spacing w:val="10"/>
        </w:rPr>
        <w:t>務</w:t>
      </w:r>
      <w:r>
        <w:rPr>
          <w:spacing w:val="23"/>
        </w:rPr>
        <w:t>機</w:t>
      </w:r>
      <w:r>
        <w:rPr/>
        <w:t>關或人事主管機關所為之行政處分，或因原處分機關對其依法申請之案件，    </w:t>
      </w:r>
      <w:r>
        <w:rPr>
          <w:spacing w:val="46"/>
        </w:rPr>
        <w:t> </w:t>
      </w:r>
      <w:r>
        <w:rPr/>
        <w:t>於法定期間內應作為而不作為，認為損害其權利或利益者，均得提超復      </w:t>
      </w:r>
      <w:r>
        <w:rPr>
          <w:spacing w:val="46"/>
        </w:rPr>
        <w:t> </w:t>
      </w:r>
      <w:r>
        <w:rPr/>
        <w:t>審。復審程序取代訴願程序，為噹事人提超行政訴訟前之必要前置程序。    </w:t>
      </w:r>
      <w:r>
        <w:rPr>
          <w:spacing w:val="34"/>
        </w:rPr>
        <w:t> </w:t>
      </w:r>
      <w:r>
        <w:rPr>
          <w:spacing w:val="12"/>
        </w:rPr>
        <w:t>由</w:t>
      </w:r>
      <w:r>
        <w:rPr>
          <w:spacing w:val="14"/>
        </w:rPr>
        <w:t>於</w:t>
      </w:r>
      <w:r>
        <w:rPr/>
        <w:t>復</w:t>
      </w:r>
      <w:r>
        <w:rPr>
          <w:spacing w:val="30"/>
        </w:rPr>
        <w:t>審</w:t>
      </w:r>
      <w:r>
        <w:rPr>
          <w:spacing w:val="15"/>
        </w:rPr>
        <w:t>程</w:t>
      </w:r>
      <w:r>
        <w:rPr>
          <w:spacing w:val="19"/>
        </w:rPr>
        <w:t>序</w:t>
      </w:r>
      <w:r>
        <w:rPr>
          <w:spacing w:val="15"/>
        </w:rPr>
        <w:t>與</w:t>
      </w:r>
      <w:r>
        <w:rPr/>
        <w:t>訴</w:t>
      </w:r>
      <w:r>
        <w:rPr>
          <w:spacing w:val="43"/>
        </w:rPr>
        <w:t>願</w:t>
      </w:r>
      <w:r>
        <w:rPr>
          <w:spacing w:val="15"/>
        </w:rPr>
        <w:t>程</w:t>
      </w:r>
      <w:r>
        <w:rPr>
          <w:spacing w:val="13"/>
        </w:rPr>
        <w:t>序</w:t>
      </w:r>
      <w:r>
        <w:rPr/>
        <w:t>在</w:t>
      </w:r>
      <w:r>
        <w:rPr>
          <w:spacing w:val="17"/>
        </w:rPr>
        <w:t>行</w:t>
      </w:r>
      <w:r>
        <w:rPr/>
        <w:t>政爭</w:t>
      </w:r>
      <w:r>
        <w:rPr>
          <w:spacing w:val="15"/>
        </w:rPr>
        <w:t>訟程</w:t>
      </w:r>
      <w:r>
        <w:rPr>
          <w:spacing w:val="37"/>
        </w:rPr>
        <w:t>序</w:t>
      </w:r>
      <w:r>
        <w:rPr/>
        <w:t>中之</w:t>
      </w:r>
      <w:r>
        <w:rPr>
          <w:spacing w:val="2"/>
        </w:rPr>
        <w:t> </w:t>
      </w:r>
      <w:r>
        <w:rPr>
          <w:spacing w:val="42"/>
        </w:rPr>
        <w:t>體</w:t>
      </w:r>
      <w:r>
        <w:rPr/>
        <w:t>系</w:t>
      </w:r>
      <w:r>
        <w:rPr>
          <w:spacing w:val="-57"/>
        </w:rPr>
        <w:t> </w:t>
      </w:r>
      <w:r>
        <w:rPr/>
        <w:t>地位</w:t>
      </w:r>
      <w:r>
        <w:rPr>
          <w:spacing w:val="43"/>
        </w:rPr>
        <w:t>相</w:t>
      </w:r>
      <w:r>
        <w:rPr/>
        <w:t>噹</w:t>
      </w:r>
      <w:r>
        <w:rPr>
          <w:rFonts w:ascii="Times New Roman" w:eastAsia="Times New Roman"/>
          <w:w w:val="65"/>
          <w:sz w:val="16"/>
        </w:rPr>
        <w:t>16</w:t>
      </w:r>
      <w:r>
        <w:rPr>
          <w:rFonts w:ascii="Times New Roman" w:eastAsia="Times New Roman"/>
          <w:spacing w:val="32"/>
          <w:sz w:val="16"/>
        </w:rPr>
        <w:t> </w:t>
      </w:r>
      <w:r>
        <w:rPr>
          <w:rFonts w:ascii="Times New Roman" w:eastAsia="Times New Roman"/>
          <w:spacing w:val="32"/>
          <w:sz w:val="16"/>
        </w:rPr>
        <w:t> </w:t>
      </w:r>
      <w:r>
        <w:rPr>
          <w:rFonts w:ascii="Times New Roman" w:eastAsia="Times New Roman"/>
          <w:sz w:val="16"/>
        </w:rPr>
        <w:t>,</w:t>
        <w:tab/>
      </w:r>
      <w:r>
        <w:rPr>
          <w:spacing w:val="17"/>
        </w:rPr>
        <w:t>均</w:t>
      </w:r>
      <w:r>
        <w:rPr/>
        <w:t>屬行</w:t>
      </w:r>
      <w:r>
        <w:rPr>
          <w:spacing w:val="-36"/>
        </w:rPr>
        <w:t> </w:t>
      </w:r>
      <w:r>
        <w:rPr/>
        <w:t>政訴訟之必要前置程序，是以建構復審參加之制度，除適用行政程序法第      </w:t>
      </w:r>
      <w:r>
        <w:rPr>
          <w:spacing w:val="5"/>
        </w:rPr>
        <w:t> </w:t>
      </w:r>
      <w:r>
        <w:rPr>
          <w:rFonts w:ascii="Arial" w:eastAsia="Arial"/>
          <w:w w:val="90"/>
          <w:sz w:val="29"/>
        </w:rPr>
        <w:t>23</w:t>
      </w:r>
      <w:r>
        <w:rPr>
          <w:rFonts w:ascii="Arial" w:eastAsia="Arial"/>
          <w:spacing w:val="32"/>
          <w:w w:val="90"/>
          <w:sz w:val="29"/>
        </w:rPr>
        <w:t> </w:t>
      </w:r>
      <w:r>
        <w:rPr>
          <w:spacing w:val="10"/>
        </w:rPr>
        <w:t>條</w:t>
      </w:r>
      <w:r>
        <w:rPr>
          <w:spacing w:val="11"/>
        </w:rPr>
        <w:t>之</w:t>
      </w:r>
      <w:r>
        <w:rPr>
          <w:spacing w:val="15"/>
        </w:rPr>
        <w:t>規</w:t>
      </w:r>
      <w:r>
        <w:rPr>
          <w:spacing w:val="19"/>
        </w:rPr>
        <w:t>定</w:t>
      </w:r>
      <w:r>
        <w:rPr/>
        <w:t>外</w:t>
      </w:r>
      <w:r>
        <w:rPr>
          <w:spacing w:val="-12"/>
        </w:rPr>
        <w:t> </w:t>
      </w:r>
      <w:r>
        <w:rPr>
          <w:w w:val="90"/>
        </w:rPr>
        <w:t>，</w:t>
      </w:r>
      <w:r>
        <w:rPr>
          <w:spacing w:val="-70"/>
          <w:w w:val="90"/>
        </w:rPr>
        <w:t> </w:t>
      </w:r>
      <w:r>
        <w:rPr>
          <w:spacing w:val="23"/>
        </w:rPr>
        <w:t>應</w:t>
      </w:r>
      <w:r>
        <w:rPr>
          <w:spacing w:val="43"/>
        </w:rPr>
        <w:t>準</w:t>
      </w:r>
      <w:r>
        <w:rPr>
          <w:spacing w:val="40"/>
        </w:rPr>
        <w:t>用</w:t>
      </w:r>
      <w:r>
        <w:rPr>
          <w:spacing w:val="11"/>
        </w:rPr>
        <w:t>訴</w:t>
      </w:r>
      <w:r>
        <w:rPr>
          <w:spacing w:val="24"/>
        </w:rPr>
        <w:t>願</w:t>
      </w:r>
      <w:r>
        <w:rPr>
          <w:spacing w:val="38"/>
        </w:rPr>
        <w:t>法</w:t>
      </w:r>
      <w:r>
        <w:rPr/>
        <w:t>第</w:t>
      </w:r>
      <w:r>
        <w:rPr>
          <w:spacing w:val="-4"/>
        </w:rPr>
        <w:t> </w:t>
      </w:r>
      <w:r>
        <w:rPr>
          <w:rFonts w:ascii="Arial" w:eastAsia="Arial"/>
          <w:w w:val="90"/>
          <w:sz w:val="29"/>
        </w:rPr>
        <w:t>28</w:t>
      </w:r>
      <w:r>
        <w:rPr>
          <w:rFonts w:ascii="Arial" w:eastAsia="Arial"/>
          <w:spacing w:val="27"/>
          <w:w w:val="90"/>
          <w:sz w:val="29"/>
        </w:rPr>
        <w:t> </w:t>
      </w:r>
      <w:r>
        <w:rPr>
          <w:spacing w:val="19"/>
        </w:rPr>
        <w:t>條</w:t>
      </w:r>
      <w:r>
        <w:rPr>
          <w:spacing w:val="39"/>
        </w:rPr>
        <w:t>至</w:t>
      </w:r>
      <w:r>
        <w:rPr/>
        <w:t>第</w:t>
      </w:r>
      <w:r>
        <w:rPr>
          <w:spacing w:val="-10"/>
        </w:rPr>
        <w:t> </w:t>
      </w:r>
      <w:r>
        <w:rPr>
          <w:rFonts w:ascii="Arial" w:eastAsia="Arial"/>
          <w:sz w:val="29"/>
        </w:rPr>
        <w:t>31</w:t>
      </w:r>
      <w:r>
        <w:rPr>
          <w:rFonts w:ascii="Arial" w:eastAsia="Arial"/>
          <w:spacing w:val="-22"/>
          <w:sz w:val="29"/>
        </w:rPr>
        <w:t> </w:t>
      </w:r>
      <w:r>
        <w:rPr>
          <w:spacing w:val="15"/>
        </w:rPr>
        <w:t>條</w:t>
      </w:r>
      <w:r>
        <w:rPr>
          <w:spacing w:val="38"/>
        </w:rPr>
        <w:t>有</w:t>
      </w:r>
      <w:r>
        <w:rPr>
          <w:spacing w:val="20"/>
        </w:rPr>
        <w:t>關</w:t>
      </w:r>
      <w:r>
        <w:rPr>
          <w:spacing w:val="11"/>
        </w:rPr>
        <w:t>訴</w:t>
      </w:r>
      <w:r>
        <w:rPr>
          <w:spacing w:val="20"/>
        </w:rPr>
        <w:t>願</w:t>
      </w:r>
      <w:r>
        <w:rPr/>
        <w:t>參</w:t>
      </w:r>
      <w:r>
        <w:rPr>
          <w:spacing w:val="17"/>
        </w:rPr>
        <w:t>加</w:t>
      </w:r>
      <w:r>
        <w:rPr>
          <w:spacing w:val="20"/>
        </w:rPr>
        <w:t>制</w:t>
      </w:r>
      <w:r>
        <w:rPr>
          <w:spacing w:val="15"/>
        </w:rPr>
        <w:t>度</w:t>
      </w:r>
      <w:r>
        <w:rPr/>
        <w:t>之規定。</w:t>
      </w:r>
    </w:p>
    <w:p>
      <w:pPr>
        <w:pStyle w:val="BodyText"/>
        <w:spacing w:line="324" w:lineRule="auto" w:before="2"/>
        <w:ind w:left="298" w:right="517" w:firstLine="570"/>
        <w:jc w:val="both"/>
      </w:pPr>
      <w:r>
        <w:rPr>
          <w:w w:val="110"/>
        </w:rPr>
        <w:t>訴願參加及行政訴訟參加二種制度之功能原本相同，均在提供權益受行政爭訟程序影響之第三人參加行政爭訟程序之機會，籍以保障其實體法上之權益。惟立法者對於此二種制度所規範之文字並不相同，導致此二種</w:t>
      </w:r>
      <w:r>
        <w:rPr>
          <w:spacing w:val="11"/>
        </w:rPr>
        <w:t>制度之構成要件有所差異 。按訴願法第 </w:t>
      </w:r>
      <w:r>
        <w:rPr>
          <w:rFonts w:ascii="Arial" w:eastAsia="Arial"/>
          <w:sz w:val="29"/>
        </w:rPr>
        <w:t>28</w:t>
      </w:r>
      <w:r>
        <w:rPr>
          <w:rFonts w:ascii="Arial" w:eastAsia="Arial"/>
          <w:spacing w:val="58"/>
          <w:sz w:val="29"/>
        </w:rPr>
        <w:t> </w:t>
      </w:r>
      <w:r>
        <w:rPr>
          <w:spacing w:val="8"/>
        </w:rPr>
        <w:t>條係以「與訴願人利害關係 是</w:t>
      </w:r>
      <w:r>
        <w:rPr>
          <w:w w:val="110"/>
        </w:rPr>
        <w:t>否相同」與「訴願決定因撤銷或變更原處分，足以影響第三人權益者」為</w:t>
      </w:r>
    </w:p>
    <w:p>
      <w:pPr>
        <w:pStyle w:val="BodyText"/>
        <w:spacing w:before="5"/>
        <w:rPr>
          <w:sz w:val="26"/>
        </w:rPr>
      </w:pPr>
      <w:r>
        <w:rPr/>
        <w:pict>
          <v:shape style="position:absolute;margin-left:95.174004pt;margin-top:19.149115pt;width:144.25pt;height:.1pt;mso-position-horizontal-relative:page;mso-position-vertical-relative:paragraph;z-index:-15668224;mso-wrap-distance-left:0;mso-wrap-distance-right:0" coordorigin="1903,383" coordsize="2885,0" path="m1903,383l4788,383e" filled="false" stroked="true" strokeweight=".480547pt" strokecolor="#000000">
            <v:path arrowok="t"/>
            <v:stroke dashstyle="solid"/>
            <w10:wrap type="topAndBottom"/>
          </v:shape>
        </w:pict>
      </w:r>
    </w:p>
    <w:p>
      <w:pPr>
        <w:pStyle w:val="BodyText"/>
        <w:rPr>
          <w:sz w:val="11"/>
        </w:rPr>
      </w:pPr>
    </w:p>
    <w:p>
      <w:pPr>
        <w:spacing w:before="76"/>
        <w:ind w:left="298" w:right="0" w:firstLine="0"/>
        <w:jc w:val="left"/>
        <w:rPr>
          <w:sz w:val="21"/>
        </w:rPr>
      </w:pPr>
      <w:r>
        <w:rPr>
          <w:rFonts w:ascii="Times New Roman" w:eastAsia="Times New Roman"/>
          <w:w w:val="110"/>
          <w:sz w:val="21"/>
          <w:vertAlign w:val="superscript"/>
        </w:rPr>
        <w:t>16</w:t>
      </w:r>
      <w:r>
        <w:rPr>
          <w:rFonts w:ascii="Times New Roman" w:eastAsia="Times New Roman"/>
          <w:w w:val="110"/>
          <w:sz w:val="21"/>
          <w:vertAlign w:val="baseline"/>
        </w:rPr>
        <w:t>       </w:t>
      </w:r>
      <w:r>
        <w:rPr>
          <w:w w:val="110"/>
          <w:sz w:val="21"/>
          <w:vertAlign w:val="baseline"/>
        </w:rPr>
        <w:t>有關公務人員復審制度與訴願制度之關係，可參考：林明鏘，公務人員復審與訴願</w:t>
      </w:r>
    </w:p>
    <w:p>
      <w:pPr>
        <w:tabs>
          <w:tab w:pos="5906" w:val="left" w:leader="none"/>
        </w:tabs>
        <w:spacing w:before="11"/>
        <w:ind w:left="506" w:right="0" w:firstLine="0"/>
        <w:jc w:val="left"/>
        <w:rPr>
          <w:sz w:val="21"/>
        </w:rPr>
      </w:pPr>
      <w:r>
        <w:rPr>
          <w:w w:val="95"/>
          <w:sz w:val="21"/>
        </w:rPr>
        <w:t>程</w:t>
      </w:r>
      <w:r>
        <w:rPr>
          <w:spacing w:val="13"/>
          <w:w w:val="95"/>
          <w:sz w:val="21"/>
        </w:rPr>
        <w:t>序</w:t>
      </w:r>
      <w:r>
        <w:rPr>
          <w:w w:val="95"/>
          <w:sz w:val="21"/>
        </w:rPr>
        <w:t>之</w:t>
      </w:r>
      <w:r>
        <w:rPr>
          <w:spacing w:val="10"/>
          <w:w w:val="95"/>
          <w:sz w:val="21"/>
        </w:rPr>
        <w:t>比</w:t>
      </w:r>
      <w:r>
        <w:rPr>
          <w:w w:val="95"/>
          <w:sz w:val="21"/>
        </w:rPr>
        <w:t>較</w:t>
      </w:r>
      <w:r>
        <w:rPr>
          <w:spacing w:val="34"/>
          <w:w w:val="95"/>
          <w:sz w:val="21"/>
        </w:rPr>
        <w:t>研</w:t>
      </w:r>
      <w:r>
        <w:rPr>
          <w:w w:val="95"/>
          <w:sz w:val="21"/>
        </w:rPr>
        <w:t>究</w:t>
      </w:r>
      <w:r>
        <w:rPr>
          <w:spacing w:val="5"/>
          <w:w w:val="95"/>
          <w:sz w:val="21"/>
        </w:rPr>
        <w:t> </w:t>
      </w:r>
      <w:r>
        <w:rPr>
          <w:spacing w:val="16"/>
          <w:w w:val="95"/>
          <w:sz w:val="21"/>
        </w:rPr>
        <w:t>，</w:t>
      </w:r>
      <w:r>
        <w:rPr>
          <w:w w:val="95"/>
          <w:sz w:val="21"/>
        </w:rPr>
        <w:t>輔</w:t>
      </w:r>
      <w:r>
        <w:rPr>
          <w:spacing w:val="46"/>
          <w:w w:val="95"/>
          <w:sz w:val="21"/>
        </w:rPr>
        <w:t>仁</w:t>
      </w:r>
      <w:r>
        <w:rPr>
          <w:spacing w:val="15"/>
          <w:w w:val="95"/>
          <w:sz w:val="21"/>
        </w:rPr>
        <w:t>法</w:t>
      </w:r>
      <w:r>
        <w:rPr>
          <w:w w:val="95"/>
          <w:sz w:val="21"/>
        </w:rPr>
        <w:t>學</w:t>
      </w:r>
      <w:r>
        <w:rPr>
          <w:spacing w:val="5"/>
          <w:w w:val="95"/>
          <w:sz w:val="21"/>
        </w:rPr>
        <w:t> </w:t>
      </w:r>
      <w:r>
        <w:rPr>
          <w:w w:val="95"/>
          <w:sz w:val="21"/>
        </w:rPr>
        <w:t>，</w:t>
      </w:r>
      <w:r>
        <w:rPr>
          <w:spacing w:val="-38"/>
          <w:w w:val="95"/>
          <w:sz w:val="21"/>
        </w:rPr>
        <w:t> </w:t>
      </w:r>
      <w:r>
        <w:rPr>
          <w:spacing w:val="20"/>
          <w:w w:val="95"/>
          <w:sz w:val="21"/>
        </w:rPr>
        <w:t>第</w:t>
      </w:r>
      <w:r>
        <w:rPr>
          <w:rFonts w:ascii="Times New Roman" w:eastAsia="Times New Roman"/>
          <w:w w:val="95"/>
          <w:sz w:val="26"/>
        </w:rPr>
        <w:t>18</w:t>
      </w:r>
      <w:r>
        <w:rPr>
          <w:w w:val="95"/>
          <w:sz w:val="21"/>
        </w:rPr>
        <w:t>期</w:t>
      </w:r>
      <w:r>
        <w:rPr>
          <w:spacing w:val="5"/>
          <w:w w:val="95"/>
          <w:sz w:val="21"/>
        </w:rPr>
        <w:t> </w:t>
      </w:r>
      <w:r>
        <w:rPr>
          <w:w w:val="95"/>
          <w:sz w:val="21"/>
        </w:rPr>
        <w:t>，</w:t>
      </w:r>
      <w:r>
        <w:rPr>
          <w:spacing w:val="-39"/>
          <w:w w:val="95"/>
          <w:sz w:val="21"/>
        </w:rPr>
        <w:t> </w:t>
      </w:r>
      <w:r>
        <w:rPr>
          <w:spacing w:val="20"/>
          <w:w w:val="95"/>
          <w:sz w:val="21"/>
        </w:rPr>
        <w:t>頁</w:t>
      </w:r>
      <w:r>
        <w:rPr>
          <w:rFonts w:ascii="Times New Roman" w:eastAsia="Times New Roman"/>
          <w:w w:val="95"/>
          <w:sz w:val="26"/>
        </w:rPr>
        <w:t>123-14,1</w:t>
        <w:tab/>
      </w:r>
      <w:r>
        <w:rPr>
          <w:rFonts w:ascii="Times New Roman" w:eastAsia="Times New Roman"/>
          <w:sz w:val="26"/>
        </w:rPr>
        <w:t>1999</w:t>
      </w:r>
      <w:r>
        <w:rPr>
          <w:sz w:val="21"/>
        </w:rPr>
        <w:t>年</w:t>
      </w:r>
      <w:r>
        <w:rPr>
          <w:rFonts w:ascii="Times New Roman" w:eastAsia="Times New Roman"/>
          <w:sz w:val="26"/>
        </w:rPr>
        <w:t>6</w:t>
      </w:r>
      <w:r>
        <w:rPr>
          <w:rFonts w:ascii="Times New Roman" w:eastAsia="Times New Roman"/>
          <w:spacing w:val="-30"/>
          <w:sz w:val="26"/>
        </w:rPr>
        <w:t> </w:t>
      </w:r>
      <w:r>
        <w:rPr>
          <w:sz w:val="21"/>
        </w:rPr>
        <w:t>月</w:t>
      </w:r>
      <w:r>
        <w:rPr>
          <w:spacing w:val="22"/>
          <w:sz w:val="21"/>
        </w:rPr>
        <w:t> </w:t>
      </w:r>
      <w:r>
        <w:rPr>
          <w:sz w:val="21"/>
        </w:rPr>
        <w:t>。</w:t>
      </w:r>
      <w:r>
        <w:rPr>
          <w:spacing w:val="39"/>
          <w:sz w:val="21"/>
        </w:rPr>
        <w:t>惟</w:t>
      </w:r>
      <w:r>
        <w:rPr>
          <w:spacing w:val="28"/>
          <w:sz w:val="21"/>
        </w:rPr>
        <w:t>該</w:t>
      </w:r>
      <w:r>
        <w:rPr>
          <w:sz w:val="21"/>
        </w:rPr>
        <w:t>文</w:t>
      </w:r>
      <w:r>
        <w:rPr>
          <w:spacing w:val="23"/>
          <w:sz w:val="21"/>
        </w:rPr>
        <w:t>所</w:t>
      </w:r>
      <w:r>
        <w:rPr>
          <w:spacing w:val="15"/>
          <w:sz w:val="21"/>
        </w:rPr>
        <w:t>比</w:t>
      </w:r>
      <w:r>
        <w:rPr>
          <w:spacing w:val="11"/>
          <w:sz w:val="21"/>
        </w:rPr>
        <w:t>較</w:t>
      </w:r>
      <w:r>
        <w:rPr>
          <w:sz w:val="21"/>
        </w:rPr>
        <w:t>者係</w:t>
      </w:r>
    </w:p>
    <w:p>
      <w:pPr>
        <w:spacing w:before="18"/>
        <w:ind w:left="520" w:right="0" w:firstLine="0"/>
        <w:jc w:val="left"/>
        <w:rPr>
          <w:sz w:val="21"/>
        </w:rPr>
      </w:pPr>
      <w:r>
        <w:rPr>
          <w:spacing w:val="5"/>
          <w:w w:val="90"/>
          <w:sz w:val="21"/>
        </w:rPr>
        <w:t>舊訴 願法之規定 ，並</w:t>
      </w:r>
      <w:r>
        <w:rPr>
          <w:spacing w:val="85"/>
          <w:sz w:val="21"/>
        </w:rPr>
        <w:t> </w:t>
      </w:r>
      <w:r>
        <w:rPr>
          <w:spacing w:val="20"/>
          <w:w w:val="90"/>
          <w:sz w:val="21"/>
        </w:rPr>
        <w:t>未 參 酌</w:t>
      </w:r>
      <w:r>
        <w:rPr>
          <w:rFonts w:ascii="Arial" w:eastAsia="Arial"/>
          <w:w w:val="90"/>
          <w:sz w:val="25"/>
        </w:rPr>
        <w:t>87</w:t>
      </w:r>
      <w:r>
        <w:rPr>
          <w:w w:val="90"/>
          <w:sz w:val="21"/>
        </w:rPr>
        <w:t>年</w:t>
      </w:r>
      <w:r>
        <w:rPr>
          <w:rFonts w:ascii="Arial" w:eastAsia="Arial"/>
          <w:w w:val="90"/>
          <w:sz w:val="25"/>
        </w:rPr>
        <w:t>10</w:t>
      </w:r>
      <w:r>
        <w:rPr>
          <w:rFonts w:ascii="Arial" w:eastAsia="Arial"/>
          <w:spacing w:val="-21"/>
          <w:w w:val="90"/>
          <w:sz w:val="25"/>
        </w:rPr>
        <w:t> </w:t>
      </w:r>
      <w:r>
        <w:rPr>
          <w:spacing w:val="10"/>
          <w:w w:val="90"/>
          <w:sz w:val="21"/>
        </w:rPr>
        <w:t>月修 正之新訴願法 。</w:t>
      </w:r>
    </w:p>
    <w:p>
      <w:pPr>
        <w:spacing w:after="0"/>
        <w:jc w:val="left"/>
        <w:rPr>
          <w:sz w:val="21"/>
        </w:rPr>
        <w:sectPr>
          <w:pgSz w:w="11910" w:h="16840"/>
          <w:pgMar w:header="862" w:footer="937" w:top="1060" w:bottom="1200" w:left="1120" w:right="1060"/>
        </w:sectPr>
      </w:pPr>
    </w:p>
    <w:p>
      <w:pPr>
        <w:pStyle w:val="BodyText"/>
        <w:spacing w:before="2"/>
        <w:rPr>
          <w:sz w:val="24"/>
        </w:rPr>
      </w:pPr>
    </w:p>
    <w:p>
      <w:pPr>
        <w:pStyle w:val="BodyText"/>
        <w:spacing w:line="324" w:lineRule="auto" w:before="87"/>
        <w:ind w:left="301" w:right="500" w:firstLine="25"/>
      </w:pPr>
      <w:r>
        <w:rPr>
          <w:spacing w:val="12"/>
        </w:rPr>
        <w:t>普通參加與必要參加之要件 。行政訴訟法第 </w:t>
      </w:r>
      <w:r>
        <w:rPr>
          <w:rFonts w:ascii="Times New Roman" w:eastAsia="Times New Roman"/>
          <w:sz w:val="31"/>
        </w:rPr>
        <w:t>41</w:t>
      </w:r>
      <w:r>
        <w:rPr>
          <w:rFonts w:ascii="Times New Roman" w:eastAsia="Times New Roman"/>
          <w:spacing w:val="60"/>
          <w:sz w:val="31"/>
        </w:rPr>
        <w:t> </w:t>
      </w:r>
      <w:r>
        <w:rPr>
          <w:spacing w:val="12"/>
        </w:rPr>
        <w:t>條則係以「訴訟標的對於</w:t>
      </w:r>
      <w:r>
        <w:rPr>
          <w:w w:val="105"/>
        </w:rPr>
        <w:t>第三人及噹事人一造是否必須合一確定」為必要參加之要件；以「行政訴 </w:t>
      </w:r>
      <w:r>
        <w:rPr>
          <w:spacing w:val="5"/>
          <w:w w:val="105"/>
        </w:rPr>
        <w:t> </w:t>
      </w:r>
      <w:r>
        <w:rPr>
          <w:w w:val="105"/>
        </w:rPr>
        <w:t>訟之結果，第三人之權利或法律上利益是否將受損害」為普通參加之要件。</w:t>
      </w:r>
    </w:p>
    <w:p>
      <w:pPr>
        <w:pStyle w:val="BodyText"/>
        <w:spacing w:line="328" w:lineRule="auto" w:before="12"/>
        <w:ind w:left="301" w:right="498" w:firstLine="569"/>
        <w:jc w:val="both"/>
      </w:pPr>
      <w:r>
        <w:rPr>
          <w:w w:val="105"/>
        </w:rPr>
        <w:t>二者相較，行政訴訟法上訴訟參加制度規定之法條文字，實較訴願法</w:t>
      </w:r>
      <w:r>
        <w:rPr>
          <w:spacing w:val="92"/>
          <w:w w:val="105"/>
        </w:rPr>
        <w:t> </w:t>
      </w:r>
      <w:r>
        <w:rPr>
          <w:spacing w:val="6"/>
        </w:rPr>
        <w:t>上訴願參加制度精璀 。依訴願法第 </w:t>
      </w:r>
      <w:r>
        <w:rPr>
          <w:rFonts w:ascii="Arial" w:eastAsia="Arial"/>
          <w:w w:val="95"/>
          <w:sz w:val="28"/>
        </w:rPr>
        <w:t>28</w:t>
      </w:r>
      <w:r>
        <w:rPr>
          <w:rFonts w:ascii="Arial" w:eastAsia="Arial"/>
          <w:spacing w:val="70"/>
          <w:sz w:val="28"/>
        </w:rPr>
        <w:t> </w:t>
      </w:r>
      <w:r>
        <w:rPr>
          <w:spacing w:val="10"/>
        </w:rPr>
        <w:t>條之規定 </w:t>
      </w:r>
      <w:r>
        <w:rPr>
          <w:spacing w:val="-27"/>
          <w:w w:val="95"/>
        </w:rPr>
        <w:t>， </w:t>
      </w:r>
      <w:r>
        <w:rPr>
          <w:spacing w:val="11"/>
        </w:rPr>
        <w:t>訴願法上之訴願參加制</w:t>
      </w:r>
      <w:r>
        <w:rPr>
          <w:w w:val="105"/>
        </w:rPr>
        <w:t>度，係以「與訴願人利害關係是否相同」與「訴願決定因撤銷或變更原處 </w:t>
      </w:r>
      <w:r>
        <w:rPr>
          <w:spacing w:val="7"/>
          <w:w w:val="105"/>
        </w:rPr>
        <w:t> </w:t>
      </w:r>
      <w:r>
        <w:rPr>
          <w:w w:val="105"/>
        </w:rPr>
        <w:t>分，足以影響第三人權益者」為普通參加與必要參加之要件。此種區分方 </w:t>
      </w:r>
      <w:r>
        <w:rPr>
          <w:spacing w:val="7"/>
          <w:w w:val="105"/>
        </w:rPr>
        <w:t> </w:t>
      </w:r>
      <w:r>
        <w:rPr>
          <w:w w:val="105"/>
        </w:rPr>
        <w:t>式固然有其道理，然而並非完全正璀。蓋第三人與訴願人利害關係相反， </w:t>
      </w:r>
      <w:r>
        <w:rPr>
          <w:spacing w:val="7"/>
          <w:w w:val="105"/>
        </w:rPr>
        <w:t> </w:t>
      </w:r>
      <w:r>
        <w:rPr>
          <w:w w:val="105"/>
        </w:rPr>
        <w:t>卻為普通參加人之情形，並非不存在。舉例而言，在一般之競爭爭訟中， </w:t>
      </w:r>
      <w:r>
        <w:rPr>
          <w:spacing w:val="7"/>
          <w:w w:val="105"/>
        </w:rPr>
        <w:t> </w:t>
      </w:r>
      <w:r>
        <w:rPr>
          <w:w w:val="105"/>
        </w:rPr>
        <w:t>噹事人提超課予義務訴願，請求受理訴願機關命怠為處分之機關對其作成 </w:t>
      </w:r>
      <w:r>
        <w:rPr>
          <w:spacing w:val="7"/>
          <w:w w:val="105"/>
        </w:rPr>
        <w:t> </w:t>
      </w:r>
      <w:r>
        <w:rPr>
          <w:w w:val="105"/>
        </w:rPr>
        <w:t>才受益處分。受理訴願機關如認為訴願有理由，將命機關對訴願人作成該授</w:t>
      </w:r>
      <w:r>
        <w:rPr>
          <w:spacing w:val="1"/>
          <w:w w:val="105"/>
        </w:rPr>
        <w:t> </w:t>
      </w:r>
      <w:r>
        <w:rPr>
          <w:w w:val="105"/>
        </w:rPr>
        <w:t>益處分。此際，噹事人以外之其他競爭者，其權益將因訴願之結果而受影 </w:t>
      </w:r>
      <w:r>
        <w:rPr>
          <w:spacing w:val="7"/>
          <w:w w:val="105"/>
        </w:rPr>
        <w:t> </w:t>
      </w:r>
      <w:r>
        <w:rPr>
          <w:w w:val="105"/>
        </w:rPr>
        <w:t>響。惟其與訴願人利害關係相反，與普通參加之要件不符。且訴願人係提 </w:t>
      </w:r>
      <w:r>
        <w:rPr>
          <w:spacing w:val="7"/>
          <w:w w:val="105"/>
        </w:rPr>
        <w:t> </w:t>
      </w:r>
      <w:r>
        <w:rPr>
          <w:w w:val="105"/>
        </w:rPr>
        <w:t>超課予義務訴願，並非「訴願決定撤銷或變更原處分」之情形，與必要訴 </w:t>
      </w:r>
      <w:r>
        <w:rPr>
          <w:spacing w:val="7"/>
          <w:w w:val="105"/>
        </w:rPr>
        <w:t> </w:t>
      </w:r>
      <w:r>
        <w:rPr>
          <w:w w:val="105"/>
        </w:rPr>
        <w:t>願參加之要件不符。如依訴願法之規定，將無從參加訴願，形成第三人權 </w:t>
      </w:r>
      <w:r>
        <w:rPr>
          <w:spacing w:val="7"/>
          <w:w w:val="105"/>
        </w:rPr>
        <w:t> </w:t>
      </w:r>
      <w:r>
        <w:rPr>
          <w:w w:val="105"/>
        </w:rPr>
        <w:t>利保護之漏洞。</w:t>
      </w:r>
    </w:p>
    <w:p>
      <w:pPr>
        <w:pStyle w:val="BodyText"/>
        <w:tabs>
          <w:tab w:pos="7170" w:val="left" w:leader="none"/>
        </w:tabs>
        <w:spacing w:line="331" w:lineRule="auto"/>
        <w:ind w:left="298" w:right="493" w:firstLine="562"/>
      </w:pPr>
      <w:r>
        <w:rPr/>
        <w:t>行政訴訟法上之訴訟參加，係以「行政訴訟之結果，第三人之權利或    </w:t>
      </w:r>
      <w:r>
        <w:rPr>
          <w:spacing w:val="3"/>
        </w:rPr>
        <w:t> </w:t>
      </w:r>
      <w:r>
        <w:rPr/>
        <w:t>法律上利益是否將受損害」為普通參加之要件，以「訴訟標的對於第三人    </w:t>
      </w:r>
      <w:r>
        <w:rPr>
          <w:spacing w:val="65"/>
        </w:rPr>
        <w:t> </w:t>
      </w:r>
      <w:r>
        <w:rPr/>
        <w:t>及當事人一造是否必須合一石在定」為必要參加之要件，其所規範之構成要  </w:t>
      </w:r>
      <w:r>
        <w:rPr>
          <w:spacing w:val="52"/>
        </w:rPr>
        <w:t> </w:t>
      </w:r>
      <w:r>
        <w:rPr>
          <w:spacing w:val="13"/>
        </w:rPr>
        <w:t>件</w:t>
      </w:r>
      <w:r>
        <w:rPr>
          <w:spacing w:val="22"/>
        </w:rPr>
        <w:t>較</w:t>
      </w:r>
      <w:r>
        <w:rPr/>
        <w:t>為合理</w:t>
      </w:r>
      <w:r>
        <w:rPr>
          <w:spacing w:val="87"/>
        </w:rPr>
        <w:t> </w:t>
      </w:r>
      <w:r>
        <w:rPr/>
        <w:t>。且行政</w:t>
      </w:r>
      <w:r>
        <w:rPr>
          <w:spacing w:val="13"/>
        </w:rPr>
        <w:t>訴</w:t>
      </w:r>
      <w:r>
        <w:rPr>
          <w:spacing w:val="37"/>
        </w:rPr>
        <w:t>訟</w:t>
      </w:r>
      <w:r>
        <w:rPr>
          <w:spacing w:val="17"/>
        </w:rPr>
        <w:t>法</w:t>
      </w:r>
      <w:r>
        <w:rPr>
          <w:spacing w:val="14"/>
        </w:rPr>
        <w:t>上</w:t>
      </w:r>
      <w:r>
        <w:rPr>
          <w:spacing w:val="13"/>
        </w:rPr>
        <w:t>訴</w:t>
      </w:r>
      <w:r>
        <w:rPr>
          <w:spacing w:val="28"/>
        </w:rPr>
        <w:t>訟</w:t>
      </w:r>
      <w:r>
        <w:rPr/>
        <w:t>參</w:t>
      </w:r>
      <w:r>
        <w:rPr>
          <w:spacing w:val="15"/>
        </w:rPr>
        <w:t>加</w:t>
      </w:r>
      <w:r>
        <w:rPr>
          <w:spacing w:val="20"/>
        </w:rPr>
        <w:t>制</w:t>
      </w:r>
      <w:r>
        <w:rPr>
          <w:spacing w:val="23"/>
        </w:rPr>
        <w:t>度</w:t>
      </w:r>
      <w:r>
        <w:rPr>
          <w:spacing w:val="24"/>
        </w:rPr>
        <w:t>源</w:t>
      </w:r>
      <w:r>
        <w:rPr/>
        <w:t>自</w:t>
      </w:r>
      <w:r>
        <w:rPr>
          <w:spacing w:val="-60"/>
        </w:rPr>
        <w:t> </w:t>
      </w:r>
      <w:r>
        <w:rPr>
          <w:spacing w:val="25"/>
        </w:rPr>
        <w:t>德</w:t>
      </w:r>
      <w:r>
        <w:rPr/>
        <w:t>國</w:t>
      </w:r>
      <w:r>
        <w:rPr>
          <w:rFonts w:ascii="Times New Roman" w:eastAsia="Times New Roman"/>
          <w:w w:val="65"/>
          <w:sz w:val="16"/>
        </w:rPr>
        <w:t>17</w:t>
      </w:r>
      <w:r>
        <w:rPr>
          <w:rFonts w:ascii="Times New Roman" w:eastAsia="Times New Roman"/>
          <w:spacing w:val="17"/>
          <w:sz w:val="16"/>
        </w:rPr>
        <w:t> </w:t>
      </w:r>
      <w:r>
        <w:rPr>
          <w:rFonts w:ascii="Times New Roman" w:eastAsia="Times New Roman"/>
          <w:spacing w:val="17"/>
          <w:sz w:val="16"/>
        </w:rPr>
        <w:t> </w:t>
      </w:r>
      <w:r>
        <w:rPr>
          <w:rFonts w:ascii="Times New Roman" w:eastAsia="Times New Roman"/>
          <w:sz w:val="16"/>
        </w:rPr>
        <w:t>,</w:t>
        <w:tab/>
      </w:r>
      <w:r>
        <w:rPr>
          <w:spacing w:val="28"/>
        </w:rPr>
        <w:t>有</w:t>
      </w:r>
      <w:r>
        <w:rPr>
          <w:spacing w:val="47"/>
        </w:rPr>
        <w:t>彼</w:t>
      </w:r>
      <w:r>
        <w:rPr>
          <w:spacing w:val="30"/>
        </w:rPr>
        <w:t>邦</w:t>
      </w:r>
      <w:r>
        <w:rPr>
          <w:spacing w:val="31"/>
        </w:rPr>
        <w:t>悠</w:t>
      </w:r>
      <w:r>
        <w:rPr>
          <w:spacing w:val="12"/>
        </w:rPr>
        <w:t>久</w:t>
      </w:r>
      <w:r>
        <w:rPr/>
        <w:t>之實務及學說見解可供參考。我國學說及實務上有關行政訴訟參加制度之研      </w:t>
      </w:r>
      <w:r>
        <w:rPr>
          <w:spacing w:val="65"/>
        </w:rPr>
        <w:t> </w:t>
      </w:r>
      <w:r>
        <w:rPr/>
        <w:t>究，亦遠較訴願法上訴願參加制度發達。因此，建構復審參加之制度時，    </w:t>
      </w:r>
      <w:r>
        <w:rPr>
          <w:spacing w:val="65"/>
        </w:rPr>
        <w:t> </w:t>
      </w:r>
      <w:r>
        <w:rPr/>
        <w:t>行政訴訟法上有關訴訟參加之規定，在與公務人員保障法、行政程序法及    </w:t>
      </w:r>
      <w:r>
        <w:rPr>
          <w:spacing w:val="65"/>
        </w:rPr>
        <w:t> </w:t>
      </w:r>
      <w:r>
        <w:rPr/>
        <w:t>訴願法相關規定不牴觸之前提下，亦可準用，以充實復審參加制度之內涵。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spacing w:line="278" w:lineRule="auto" w:before="71"/>
        <w:ind w:left="510" w:right="550" w:hanging="212"/>
        <w:jc w:val="left"/>
        <w:rPr>
          <w:sz w:val="21"/>
        </w:rPr>
      </w:pPr>
      <w:r>
        <w:rPr>
          <w:rFonts w:ascii="Times New Roman" w:eastAsia="Times New Roman"/>
          <w:w w:val="110"/>
          <w:sz w:val="21"/>
          <w:vertAlign w:val="superscript"/>
        </w:rPr>
        <w:t>17</w:t>
      </w:r>
      <w:r>
        <w:rPr>
          <w:rFonts w:ascii="Times New Roman" w:eastAsia="Times New Roman"/>
          <w:spacing w:val="17"/>
          <w:w w:val="110"/>
          <w:sz w:val="21"/>
          <w:vertAlign w:val="baseline"/>
        </w:rPr>
        <w:t>   </w:t>
      </w:r>
      <w:r>
        <w:rPr>
          <w:w w:val="110"/>
          <w:sz w:val="21"/>
          <w:vertAlign w:val="baseline"/>
        </w:rPr>
        <w:t>我國行政訴訟法上訴訟參加制度，亦受日本行政事件訴訟法之影零。有關日本行政訴訟參加制度內容之評介，可參：張瓊文，日本行政訴訟參加制度，法律評論，第</w:t>
      </w:r>
    </w:p>
    <w:p>
      <w:pPr>
        <w:tabs>
          <w:tab w:pos="3517" w:val="left" w:leader="none"/>
        </w:tabs>
        <w:spacing w:line="285" w:lineRule="exact" w:before="0"/>
        <w:ind w:left="507" w:right="0" w:firstLine="0"/>
        <w:jc w:val="left"/>
        <w:rPr>
          <w:sz w:val="20"/>
        </w:rPr>
      </w:pPr>
      <w:r>
        <w:rPr>
          <w:rFonts w:ascii="Times New Roman" w:eastAsia="Times New Roman"/>
          <w:w w:val="85"/>
          <w:sz w:val="26"/>
        </w:rPr>
        <w:t>67</w:t>
      </w:r>
      <w:r>
        <w:rPr>
          <w:spacing w:val="24"/>
          <w:w w:val="85"/>
          <w:sz w:val="23"/>
        </w:rPr>
        <w:t>卷</w:t>
      </w:r>
      <w:r>
        <w:rPr>
          <w:spacing w:val="20"/>
          <w:w w:val="85"/>
          <w:sz w:val="23"/>
        </w:rPr>
        <w:t>第</w:t>
      </w:r>
      <w:r>
        <w:rPr>
          <w:rFonts w:ascii="Times New Roman" w:eastAsia="Times New Roman"/>
          <w:w w:val="85"/>
          <w:sz w:val="26"/>
        </w:rPr>
        <w:t>1-</w:t>
      </w:r>
      <w:r>
        <w:rPr>
          <w:rFonts w:ascii="Times New Roman" w:eastAsia="Times New Roman"/>
          <w:spacing w:val="-9"/>
          <w:w w:val="85"/>
          <w:sz w:val="26"/>
        </w:rPr>
        <w:t> </w:t>
      </w:r>
      <w:r>
        <w:rPr>
          <w:rFonts w:ascii="Times New Roman" w:eastAsia="Times New Roman"/>
          <w:w w:val="85"/>
          <w:sz w:val="26"/>
        </w:rPr>
        <w:t>3</w:t>
      </w:r>
      <w:r>
        <w:rPr>
          <w:w w:val="85"/>
          <w:sz w:val="20"/>
        </w:rPr>
        <w:t>期</w:t>
      </w:r>
      <w:r>
        <w:rPr>
          <w:spacing w:val="-21"/>
          <w:w w:val="85"/>
          <w:sz w:val="20"/>
        </w:rPr>
        <w:t> </w:t>
      </w:r>
      <w:r>
        <w:rPr>
          <w:spacing w:val="42"/>
          <w:w w:val="85"/>
          <w:sz w:val="20"/>
        </w:rPr>
        <w:t>合</w:t>
      </w:r>
      <w:r>
        <w:rPr>
          <w:w w:val="85"/>
          <w:sz w:val="20"/>
        </w:rPr>
        <w:t>刊</w:t>
      </w:r>
      <w:r>
        <w:rPr>
          <w:spacing w:val="60"/>
          <w:w w:val="85"/>
          <w:sz w:val="20"/>
        </w:rPr>
        <w:t> </w:t>
      </w:r>
      <w:r>
        <w:rPr>
          <w:w w:val="85"/>
          <w:sz w:val="20"/>
        </w:rPr>
        <w:t>，</w:t>
      </w:r>
      <w:r>
        <w:rPr>
          <w:spacing w:val="-32"/>
          <w:w w:val="85"/>
          <w:sz w:val="20"/>
        </w:rPr>
        <w:t> </w:t>
      </w:r>
      <w:r>
        <w:rPr>
          <w:spacing w:val="28"/>
          <w:w w:val="85"/>
          <w:sz w:val="20"/>
        </w:rPr>
        <w:t>頁</w:t>
      </w:r>
      <w:r>
        <w:rPr>
          <w:rFonts w:ascii="Times New Roman" w:eastAsia="Times New Roman"/>
          <w:w w:val="85"/>
          <w:sz w:val="26"/>
        </w:rPr>
        <w:t>6-</w:t>
      </w:r>
      <w:r>
        <w:rPr>
          <w:rFonts w:ascii="Times New Roman" w:eastAsia="Times New Roman"/>
          <w:spacing w:val="14"/>
          <w:w w:val="85"/>
          <w:sz w:val="26"/>
        </w:rPr>
        <w:t> </w:t>
      </w:r>
      <w:r>
        <w:rPr>
          <w:rFonts w:ascii="Times New Roman" w:eastAsia="Times New Roman"/>
          <w:w w:val="85"/>
          <w:sz w:val="26"/>
        </w:rPr>
        <w:t>2,3</w:t>
        <w:tab/>
      </w:r>
      <w:r>
        <w:rPr>
          <w:rFonts w:ascii="Times New Roman" w:eastAsia="Times New Roman"/>
          <w:w w:val="90"/>
          <w:sz w:val="26"/>
        </w:rPr>
        <w:t>2001</w:t>
      </w:r>
      <w:r>
        <w:rPr>
          <w:rFonts w:ascii="Times New Roman" w:eastAsia="Times New Roman"/>
          <w:spacing w:val="-3"/>
          <w:w w:val="90"/>
          <w:sz w:val="26"/>
        </w:rPr>
        <w:t> </w:t>
      </w:r>
      <w:r>
        <w:rPr>
          <w:w w:val="90"/>
          <w:sz w:val="20"/>
        </w:rPr>
        <w:t>年</w:t>
      </w:r>
      <w:r>
        <w:rPr>
          <w:spacing w:val="-50"/>
          <w:w w:val="90"/>
          <w:sz w:val="20"/>
        </w:rPr>
        <w:t> </w:t>
      </w:r>
      <w:r>
        <w:rPr>
          <w:rFonts w:ascii="Times New Roman" w:eastAsia="Times New Roman"/>
          <w:spacing w:val="12"/>
          <w:w w:val="90"/>
          <w:sz w:val="26"/>
        </w:rPr>
        <w:t>3</w:t>
      </w:r>
      <w:r>
        <w:rPr>
          <w:w w:val="90"/>
          <w:sz w:val="20"/>
        </w:rPr>
        <w:t>月</w:t>
      </w:r>
      <w:r>
        <w:rPr>
          <w:spacing w:val="2"/>
          <w:w w:val="90"/>
          <w:sz w:val="20"/>
        </w:rPr>
        <w:t> </w:t>
      </w:r>
      <w:r>
        <w:rPr>
          <w:w w:val="90"/>
          <w:sz w:val="20"/>
        </w:rPr>
        <w:t>。</w:t>
      </w:r>
    </w:p>
    <w:p>
      <w:pPr>
        <w:spacing w:after="0" w:line="285" w:lineRule="exact"/>
        <w:jc w:val="left"/>
        <w:rPr>
          <w:sz w:val="20"/>
        </w:rPr>
        <w:sectPr>
          <w:headerReference w:type="default" r:id="rId228"/>
          <w:footerReference w:type="default" r:id="rId229"/>
          <w:pgSz w:w="11910" w:h="16840"/>
          <w:pgMar w:header="862" w:footer="1201" w:top="1060" w:bottom="1400" w:left="1120" w:right="1060"/>
        </w:sectPr>
      </w:pPr>
    </w:p>
    <w:p>
      <w:pPr>
        <w:pStyle w:val="BodyText"/>
        <w:spacing w:line="240" w:lineRule="exact"/>
        <w:ind w:left="7209"/>
        <w:rPr>
          <w:sz w:val="20"/>
        </w:rPr>
      </w:pPr>
      <w:r>
        <w:rPr>
          <w:position w:val="-4"/>
          <w:sz w:val="20"/>
        </w:rPr>
        <w:drawing>
          <wp:inline distT="0" distB="0" distL="0" distR="0">
            <wp:extent cx="1524380" cy="152400"/>
            <wp:effectExtent l="0" t="0" r="0" b="0"/>
            <wp:docPr id="237" name="image140.png"/>
            <wp:cNvGraphicFramePr>
              <a:graphicFrameLocks noChangeAspect="1"/>
            </wp:cNvGraphicFramePr>
            <a:graphic>
              <a:graphicData uri="http://schemas.openxmlformats.org/drawingml/2006/picture">
                <pic:pic>
                  <pic:nvPicPr>
                    <pic:cNvPr id="238" name="image140.png"/>
                    <pic:cNvPicPr/>
                  </pic:nvPicPr>
                  <pic:blipFill>
                    <a:blip r:embed="rId146" cstate="print"/>
                    <a:stretch>
                      <a:fillRect/>
                    </a:stretch>
                  </pic:blipFill>
                  <pic:spPr>
                    <a:xfrm>
                      <a:off x="0" y="0"/>
                      <a:ext cx="1524380" cy="152400"/>
                    </a:xfrm>
                    <a:prstGeom prst="rect">
                      <a:avLst/>
                    </a:prstGeom>
                  </pic:spPr>
                </pic:pic>
              </a:graphicData>
            </a:graphic>
          </wp:inline>
        </w:drawing>
      </w:r>
      <w:r>
        <w:rPr>
          <w:position w:val="-4"/>
          <w:sz w:val="20"/>
        </w:rPr>
      </w:r>
    </w:p>
    <w:p>
      <w:pPr>
        <w:pStyle w:val="BodyText"/>
        <w:rPr>
          <w:sz w:val="20"/>
        </w:rPr>
      </w:pPr>
    </w:p>
    <w:p>
      <w:pPr>
        <w:pStyle w:val="BodyText"/>
        <w:spacing w:before="1"/>
        <w:rPr>
          <w:sz w:val="16"/>
        </w:rPr>
      </w:pPr>
      <w:r>
        <w:rPr/>
        <w:drawing>
          <wp:anchor distT="0" distB="0" distL="0" distR="0" allowOverlap="1" layoutInCell="1" locked="0" behindDoc="0" simplePos="0" relativeHeight="119">
            <wp:simplePos x="0" y="0"/>
            <wp:positionH relativeFrom="page">
              <wp:posOffset>1054912</wp:posOffset>
            </wp:positionH>
            <wp:positionV relativeFrom="paragraph">
              <wp:posOffset>156051</wp:posOffset>
            </wp:positionV>
            <wp:extent cx="914400" cy="228600"/>
            <wp:effectExtent l="0" t="0" r="0" b="0"/>
            <wp:wrapTopAndBottom/>
            <wp:docPr id="239" name="image216.png"/>
            <wp:cNvGraphicFramePr>
              <a:graphicFrameLocks noChangeAspect="1"/>
            </wp:cNvGraphicFramePr>
            <a:graphic>
              <a:graphicData uri="http://schemas.openxmlformats.org/drawingml/2006/picture">
                <pic:pic>
                  <pic:nvPicPr>
                    <pic:cNvPr id="240" name="image216.png"/>
                    <pic:cNvPicPr/>
                  </pic:nvPicPr>
                  <pic:blipFill>
                    <a:blip r:embed="rId232" cstate="print"/>
                    <a:stretch>
                      <a:fillRect/>
                    </a:stretch>
                  </pic:blipFill>
                  <pic:spPr>
                    <a:xfrm>
                      <a:off x="0" y="0"/>
                      <a:ext cx="914400" cy="228600"/>
                    </a:xfrm>
                    <a:prstGeom prst="rect">
                      <a:avLst/>
                    </a:prstGeom>
                  </pic:spPr>
                </pic:pic>
              </a:graphicData>
            </a:graphic>
          </wp:anchor>
        </w:drawing>
      </w:r>
      <w:r>
        <w:rPr/>
        <w:drawing>
          <wp:anchor distT="0" distB="0" distL="0" distR="0" allowOverlap="1" layoutInCell="1" locked="0" behindDoc="0" simplePos="0" relativeHeight="120">
            <wp:simplePos x="0" y="0"/>
            <wp:positionH relativeFrom="page">
              <wp:posOffset>2036317</wp:posOffset>
            </wp:positionH>
            <wp:positionV relativeFrom="paragraph">
              <wp:posOffset>156051</wp:posOffset>
            </wp:positionV>
            <wp:extent cx="4577714" cy="228600"/>
            <wp:effectExtent l="0" t="0" r="0" b="0"/>
            <wp:wrapTopAndBottom/>
            <wp:docPr id="241" name="image217.png"/>
            <wp:cNvGraphicFramePr>
              <a:graphicFrameLocks noChangeAspect="1"/>
            </wp:cNvGraphicFramePr>
            <a:graphic>
              <a:graphicData uri="http://schemas.openxmlformats.org/drawingml/2006/picture">
                <pic:pic>
                  <pic:nvPicPr>
                    <pic:cNvPr id="242" name="image217.png"/>
                    <pic:cNvPicPr/>
                  </pic:nvPicPr>
                  <pic:blipFill>
                    <a:blip r:embed="rId233" cstate="print"/>
                    <a:stretch>
                      <a:fillRect/>
                    </a:stretch>
                  </pic:blipFill>
                  <pic:spPr>
                    <a:xfrm>
                      <a:off x="0" y="0"/>
                      <a:ext cx="4577714" cy="228600"/>
                    </a:xfrm>
                    <a:prstGeom prst="rect">
                      <a:avLst/>
                    </a:prstGeom>
                  </pic:spPr>
                </pic:pic>
              </a:graphicData>
            </a:graphic>
          </wp:anchor>
        </w:drawing>
      </w:r>
      <w:r>
        <w:rPr/>
        <w:drawing>
          <wp:anchor distT="0" distB="0" distL="0" distR="0" allowOverlap="1" layoutInCell="1" locked="0" behindDoc="0" simplePos="0" relativeHeight="121">
            <wp:simplePos x="0" y="0"/>
            <wp:positionH relativeFrom="page">
              <wp:posOffset>1256080</wp:posOffset>
            </wp:positionH>
            <wp:positionV relativeFrom="paragraph">
              <wp:posOffset>579723</wp:posOffset>
            </wp:positionV>
            <wp:extent cx="5460746" cy="178307"/>
            <wp:effectExtent l="0" t="0" r="0" b="0"/>
            <wp:wrapTopAndBottom/>
            <wp:docPr id="243" name="image218.png"/>
            <wp:cNvGraphicFramePr>
              <a:graphicFrameLocks noChangeAspect="1"/>
            </wp:cNvGraphicFramePr>
            <a:graphic>
              <a:graphicData uri="http://schemas.openxmlformats.org/drawingml/2006/picture">
                <pic:pic>
                  <pic:nvPicPr>
                    <pic:cNvPr id="244" name="image218.png"/>
                    <pic:cNvPicPr/>
                  </pic:nvPicPr>
                  <pic:blipFill>
                    <a:blip r:embed="rId234" cstate="print"/>
                    <a:stretch>
                      <a:fillRect/>
                    </a:stretch>
                  </pic:blipFill>
                  <pic:spPr>
                    <a:xfrm>
                      <a:off x="0" y="0"/>
                      <a:ext cx="5460746" cy="178307"/>
                    </a:xfrm>
                    <a:prstGeom prst="rect">
                      <a:avLst/>
                    </a:prstGeom>
                  </pic:spPr>
                </pic:pic>
              </a:graphicData>
            </a:graphic>
          </wp:anchor>
        </w:drawing>
      </w:r>
      <w:r>
        <w:rPr/>
        <w:drawing>
          <wp:anchor distT="0" distB="0" distL="0" distR="0" allowOverlap="1" layoutInCell="1" locked="0" behindDoc="0" simplePos="0" relativeHeight="122">
            <wp:simplePos x="0" y="0"/>
            <wp:positionH relativeFrom="page">
              <wp:posOffset>900988</wp:posOffset>
            </wp:positionH>
            <wp:positionV relativeFrom="paragraph">
              <wp:posOffset>858615</wp:posOffset>
            </wp:positionV>
            <wp:extent cx="532638" cy="178307"/>
            <wp:effectExtent l="0" t="0" r="0" b="0"/>
            <wp:wrapTopAndBottom/>
            <wp:docPr id="245" name="image219.png"/>
            <wp:cNvGraphicFramePr>
              <a:graphicFrameLocks noChangeAspect="1"/>
            </wp:cNvGraphicFramePr>
            <a:graphic>
              <a:graphicData uri="http://schemas.openxmlformats.org/drawingml/2006/picture">
                <pic:pic>
                  <pic:nvPicPr>
                    <pic:cNvPr id="246" name="image219.png"/>
                    <pic:cNvPicPr/>
                  </pic:nvPicPr>
                  <pic:blipFill>
                    <a:blip r:embed="rId235" cstate="print"/>
                    <a:stretch>
                      <a:fillRect/>
                    </a:stretch>
                  </pic:blipFill>
                  <pic:spPr>
                    <a:xfrm>
                      <a:off x="0" y="0"/>
                      <a:ext cx="532638" cy="178307"/>
                    </a:xfrm>
                    <a:prstGeom prst="rect">
                      <a:avLst/>
                    </a:prstGeom>
                  </pic:spPr>
                </pic:pic>
              </a:graphicData>
            </a:graphic>
          </wp:anchor>
        </w:drawing>
      </w:r>
      <w:r>
        <w:rPr/>
        <w:drawing>
          <wp:anchor distT="0" distB="0" distL="0" distR="0" allowOverlap="1" layoutInCell="1" locked="0" behindDoc="0" simplePos="0" relativeHeight="123">
            <wp:simplePos x="0" y="0"/>
            <wp:positionH relativeFrom="page">
              <wp:posOffset>1330705</wp:posOffset>
            </wp:positionH>
            <wp:positionV relativeFrom="paragraph">
              <wp:posOffset>1186275</wp:posOffset>
            </wp:positionV>
            <wp:extent cx="812799" cy="202692"/>
            <wp:effectExtent l="0" t="0" r="0" b="0"/>
            <wp:wrapTopAndBottom/>
            <wp:docPr id="247" name="image84.png"/>
            <wp:cNvGraphicFramePr>
              <a:graphicFrameLocks noChangeAspect="1"/>
            </wp:cNvGraphicFramePr>
            <a:graphic>
              <a:graphicData uri="http://schemas.openxmlformats.org/drawingml/2006/picture">
                <pic:pic>
                  <pic:nvPicPr>
                    <pic:cNvPr id="248" name="image84.png"/>
                    <pic:cNvPicPr/>
                  </pic:nvPicPr>
                  <pic:blipFill>
                    <a:blip r:embed="rId90" cstate="print"/>
                    <a:stretch>
                      <a:fillRect/>
                    </a:stretch>
                  </pic:blipFill>
                  <pic:spPr>
                    <a:xfrm>
                      <a:off x="0" y="0"/>
                      <a:ext cx="812799" cy="202692"/>
                    </a:xfrm>
                    <a:prstGeom prst="rect">
                      <a:avLst/>
                    </a:prstGeom>
                  </pic:spPr>
                </pic:pic>
              </a:graphicData>
            </a:graphic>
          </wp:anchor>
        </w:drawing>
      </w:r>
      <w:r>
        <w:rPr/>
        <w:drawing>
          <wp:anchor distT="0" distB="0" distL="0" distR="0" allowOverlap="1" layoutInCell="1" locked="0" behindDoc="0" simplePos="0" relativeHeight="124">
            <wp:simplePos x="0" y="0"/>
            <wp:positionH relativeFrom="page">
              <wp:posOffset>2245105</wp:posOffset>
            </wp:positionH>
            <wp:positionV relativeFrom="paragraph">
              <wp:posOffset>1186275</wp:posOffset>
            </wp:positionV>
            <wp:extent cx="4067301" cy="202692"/>
            <wp:effectExtent l="0" t="0" r="0" b="0"/>
            <wp:wrapTopAndBottom/>
            <wp:docPr id="249" name="image220.png"/>
            <wp:cNvGraphicFramePr>
              <a:graphicFrameLocks noChangeAspect="1"/>
            </wp:cNvGraphicFramePr>
            <a:graphic>
              <a:graphicData uri="http://schemas.openxmlformats.org/drawingml/2006/picture">
                <pic:pic>
                  <pic:nvPicPr>
                    <pic:cNvPr id="250" name="image220.png"/>
                    <pic:cNvPicPr/>
                  </pic:nvPicPr>
                  <pic:blipFill>
                    <a:blip r:embed="rId236" cstate="print"/>
                    <a:stretch>
                      <a:fillRect/>
                    </a:stretch>
                  </pic:blipFill>
                  <pic:spPr>
                    <a:xfrm>
                      <a:off x="0" y="0"/>
                      <a:ext cx="4067301" cy="202692"/>
                    </a:xfrm>
                    <a:prstGeom prst="rect">
                      <a:avLst/>
                    </a:prstGeom>
                  </pic:spPr>
                </pic:pic>
              </a:graphicData>
            </a:graphic>
          </wp:anchor>
        </w:drawing>
      </w:r>
      <w:r>
        <w:rPr/>
        <w:drawing>
          <wp:anchor distT="0" distB="0" distL="0" distR="0" allowOverlap="1" layoutInCell="1" locked="0" behindDoc="0" simplePos="0" relativeHeight="125">
            <wp:simplePos x="0" y="0"/>
            <wp:positionH relativeFrom="page">
              <wp:posOffset>1256080</wp:posOffset>
            </wp:positionH>
            <wp:positionV relativeFrom="paragraph">
              <wp:posOffset>1596231</wp:posOffset>
            </wp:positionV>
            <wp:extent cx="5332857" cy="178307"/>
            <wp:effectExtent l="0" t="0" r="0" b="0"/>
            <wp:wrapTopAndBottom/>
            <wp:docPr id="251" name="image221.png"/>
            <wp:cNvGraphicFramePr>
              <a:graphicFrameLocks noChangeAspect="1"/>
            </wp:cNvGraphicFramePr>
            <a:graphic>
              <a:graphicData uri="http://schemas.openxmlformats.org/drawingml/2006/picture">
                <pic:pic>
                  <pic:nvPicPr>
                    <pic:cNvPr id="252" name="image221.png"/>
                    <pic:cNvPicPr/>
                  </pic:nvPicPr>
                  <pic:blipFill>
                    <a:blip r:embed="rId237" cstate="print"/>
                    <a:stretch>
                      <a:fillRect/>
                    </a:stretch>
                  </pic:blipFill>
                  <pic:spPr>
                    <a:xfrm>
                      <a:off x="0" y="0"/>
                      <a:ext cx="5332857" cy="178307"/>
                    </a:xfrm>
                    <a:prstGeom prst="rect">
                      <a:avLst/>
                    </a:prstGeom>
                  </pic:spPr>
                </pic:pic>
              </a:graphicData>
            </a:graphic>
          </wp:anchor>
        </w:drawing>
      </w:r>
      <w:r>
        <w:rPr/>
        <w:pict>
          <v:group style="position:absolute;margin-left:70.944pt;margin-top:147.647507pt;width:455.15pt;height:14.05pt;mso-position-horizontal-relative:page;mso-position-vertical-relative:paragraph;z-index:-15664128;mso-wrap-distance-left:0;mso-wrap-distance-right:0" coordorigin="1419,2953" coordsize="9103,281">
            <v:shape style="position:absolute;left:1418;top:2952;width:562;height:281" type="#_x0000_t75" stroked="false">
              <v:imagedata r:id="rId238" o:title=""/>
            </v:shape>
            <v:shape style="position:absolute;left:1699;top:2952;width:3782;height:281" type="#_x0000_t75" stroked="false">
              <v:imagedata r:id="rId239" o:title=""/>
            </v:shape>
            <v:shape style="position:absolute;left:5341;top:2952;width:2804;height:281" type="#_x0000_t75" stroked="false">
              <v:imagedata r:id="rId240" o:title=""/>
            </v:shape>
            <v:shape style="position:absolute;left:7863;top:2952;width:557;height:281" type="#_x0000_t75" stroked="false">
              <v:imagedata r:id="rId241" o:title=""/>
            </v:shape>
            <v:shape style="position:absolute;left:8281;top:2952;width:422;height:281" type="#_x0000_t75" stroked="false">
              <v:imagedata r:id="rId242" o:title=""/>
            </v:shape>
            <v:shape style="position:absolute;left:8562;top:2952;width:1960;height:281" type="#_x0000_t75" stroked="false">
              <v:imagedata r:id="rId243" o:title=""/>
            </v:shape>
            <w10:wrap type="topAndBottom"/>
          </v:group>
        </w:pict>
      </w:r>
      <w:r>
        <w:rPr/>
        <w:pict>
          <v:group style="position:absolute;margin-left:70.944pt;margin-top:169.637497pt;width:455.1pt;height:14.05pt;mso-position-horizontal-relative:page;mso-position-vertical-relative:paragraph;z-index:-15663616;mso-wrap-distance-left:0;mso-wrap-distance-right:0" coordorigin="1419,3393" coordsize="9102,281">
            <v:shape style="position:absolute;left:1418;top:3392;width:1960;height:281" type="#_x0000_t75" stroked="false">
              <v:imagedata r:id="rId244" o:title=""/>
            </v:shape>
            <v:shape style="position:absolute;left:3238;top:3392;width:1404;height:281" type="#_x0000_t75" stroked="false">
              <v:imagedata r:id="rId245" o:title=""/>
            </v:shape>
            <v:shape style="position:absolute;left:4361;top:3392;width:839;height:281" type="#_x0000_t75" stroked="false">
              <v:imagedata r:id="rId246" o:title=""/>
            </v:shape>
            <v:shape style="position:absolute;left:4921;top:3392;width:1961;height:281" type="#_x0000_t75" stroked="false">
              <v:imagedata r:id="rId247" o:title=""/>
            </v:shape>
            <v:shape style="position:absolute;left:6601;top:3392;width:1120;height:281" type="#_x0000_t75" stroked="false">
              <v:imagedata r:id="rId248" o:title=""/>
            </v:shape>
            <v:shape style="position:absolute;left:7441;top:3392;width:562;height:281" type="#_x0000_t75" stroked="false">
              <v:imagedata r:id="rId249" o:title=""/>
            </v:shape>
            <v:shape style="position:absolute;left:7722;top:3392;width:2798;height:281" type="#_x0000_t75" stroked="false">
              <v:imagedata r:id="rId250" o:title=""/>
            </v:shape>
            <w10:wrap type="topAndBottom"/>
          </v:group>
        </w:pict>
      </w:r>
      <w:r>
        <w:rPr/>
        <w:pict>
          <v:group style="position:absolute;margin-left:70.944pt;margin-top:191.717499pt;width:454.55pt;height:14.05pt;mso-position-horizontal-relative:page;mso-position-vertical-relative:paragraph;z-index:-15663104;mso-wrap-distance-left:0;mso-wrap-distance-right:0" coordorigin="1419,3834" coordsize="9091,281">
            <v:shape style="position:absolute;left:1418;top:3834;width:3363;height:281" type="#_x0000_t75" stroked="false">
              <v:imagedata r:id="rId251" o:title=""/>
            </v:shape>
            <v:shape style="position:absolute;left:4501;top:3834;width:1120;height:281" type="#_x0000_t75" stroked="false">
              <v:imagedata r:id="rId252" o:title=""/>
            </v:shape>
            <v:shape style="position:absolute;left:5341;top:3834;width:1540;height:281" type="#_x0000_t75" stroked="false">
              <v:imagedata r:id="rId253" o:title=""/>
            </v:shape>
            <v:shape style="position:absolute;left:6740;top:3834;width:3769;height:281" type="#_x0000_t75" stroked="false">
              <v:imagedata r:id="rId254" o:title=""/>
            </v:shape>
            <w10:wrap type="topAndBottom"/>
          </v:group>
        </w:pict>
      </w:r>
      <w:r>
        <w:rPr/>
        <w:drawing>
          <wp:anchor distT="0" distB="0" distL="0" distR="0" allowOverlap="1" layoutInCell="1" locked="0" behindDoc="0" simplePos="0" relativeHeight="129">
            <wp:simplePos x="0" y="0"/>
            <wp:positionH relativeFrom="page">
              <wp:posOffset>900988</wp:posOffset>
            </wp:positionH>
            <wp:positionV relativeFrom="paragraph">
              <wp:posOffset>2713704</wp:posOffset>
            </wp:positionV>
            <wp:extent cx="5689473" cy="178307"/>
            <wp:effectExtent l="0" t="0" r="0" b="0"/>
            <wp:wrapTopAndBottom/>
            <wp:docPr id="253" name="image239.png"/>
            <wp:cNvGraphicFramePr>
              <a:graphicFrameLocks noChangeAspect="1"/>
            </wp:cNvGraphicFramePr>
            <a:graphic>
              <a:graphicData uri="http://schemas.openxmlformats.org/drawingml/2006/picture">
                <pic:pic>
                  <pic:nvPicPr>
                    <pic:cNvPr id="254" name="image239.png"/>
                    <pic:cNvPicPr/>
                  </pic:nvPicPr>
                  <pic:blipFill>
                    <a:blip r:embed="rId255" cstate="print"/>
                    <a:stretch>
                      <a:fillRect/>
                    </a:stretch>
                  </pic:blipFill>
                  <pic:spPr>
                    <a:xfrm>
                      <a:off x="0" y="0"/>
                      <a:ext cx="5689473" cy="178307"/>
                    </a:xfrm>
                    <a:prstGeom prst="rect">
                      <a:avLst/>
                    </a:prstGeom>
                  </pic:spPr>
                </pic:pic>
              </a:graphicData>
            </a:graphic>
          </wp:anchor>
        </w:drawing>
      </w:r>
      <w:r>
        <w:rPr/>
        <w:drawing>
          <wp:anchor distT="0" distB="0" distL="0" distR="0" allowOverlap="1" layoutInCell="1" locked="0" behindDoc="0" simplePos="0" relativeHeight="130">
            <wp:simplePos x="0" y="0"/>
            <wp:positionH relativeFrom="page">
              <wp:posOffset>900988</wp:posOffset>
            </wp:positionH>
            <wp:positionV relativeFrom="paragraph">
              <wp:posOffset>2992596</wp:posOffset>
            </wp:positionV>
            <wp:extent cx="4089019" cy="178307"/>
            <wp:effectExtent l="0" t="0" r="0" b="0"/>
            <wp:wrapTopAndBottom/>
            <wp:docPr id="255" name="image240.png"/>
            <wp:cNvGraphicFramePr>
              <a:graphicFrameLocks noChangeAspect="1"/>
            </wp:cNvGraphicFramePr>
            <a:graphic>
              <a:graphicData uri="http://schemas.openxmlformats.org/drawingml/2006/picture">
                <pic:pic>
                  <pic:nvPicPr>
                    <pic:cNvPr id="256" name="image240.png"/>
                    <pic:cNvPicPr/>
                  </pic:nvPicPr>
                  <pic:blipFill>
                    <a:blip r:embed="rId256" cstate="print"/>
                    <a:stretch>
                      <a:fillRect/>
                    </a:stretch>
                  </pic:blipFill>
                  <pic:spPr>
                    <a:xfrm>
                      <a:off x="0" y="0"/>
                      <a:ext cx="4089019" cy="178307"/>
                    </a:xfrm>
                    <a:prstGeom prst="rect">
                      <a:avLst/>
                    </a:prstGeom>
                  </pic:spPr>
                </pic:pic>
              </a:graphicData>
            </a:graphic>
          </wp:anchor>
        </w:drawing>
      </w:r>
      <w:r>
        <w:rPr/>
        <w:pict>
          <v:group style="position:absolute;margin-left:98.903999pt;margin-top:257.717499pt;width:429.55pt;height:14.05pt;mso-position-horizontal-relative:page;mso-position-vertical-relative:paragraph;z-index:-15661568;mso-wrap-distance-left:0;mso-wrap-distance-right:0" coordorigin="1978,5154" coordsize="8591,281">
            <v:shape style="position:absolute;left:1978;top:5154;width:2604;height:281" type="#_x0000_t75" stroked="false">
              <v:imagedata r:id="rId257" o:title=""/>
            </v:shape>
            <v:shape style="position:absolute;left:4292;top:5154;width:519;height:281" type="#_x0000_t75" stroked="false">
              <v:imagedata r:id="rId258" o:title=""/>
            </v:shape>
            <v:shape style="position:absolute;left:4637;top:5154;width:951;height:281" type="#_x0000_t75" stroked="false">
              <v:imagedata r:id="rId94" o:title=""/>
            </v:shape>
            <v:shape style="position:absolute;left:5271;top:5154;width:418;height:281" type="#_x0000_t75" stroked="false">
              <v:imagedata r:id="rId259" o:title=""/>
            </v:shape>
            <v:shape style="position:absolute;left:5480;top:5154;width:5088;height:281" type="#_x0000_t75" stroked="false">
              <v:imagedata r:id="rId260" o:title=""/>
            </v:shape>
            <w10:wrap type="topAndBottom"/>
          </v:group>
        </w:pict>
      </w:r>
      <w:r>
        <w:rPr/>
        <w:drawing>
          <wp:anchor distT="0" distB="0" distL="0" distR="0" allowOverlap="1" layoutInCell="1" locked="0" behindDoc="0" simplePos="0" relativeHeight="132">
            <wp:simplePos x="0" y="0"/>
            <wp:positionH relativeFrom="page">
              <wp:posOffset>900988</wp:posOffset>
            </wp:positionH>
            <wp:positionV relativeFrom="paragraph">
              <wp:posOffset>3551904</wp:posOffset>
            </wp:positionV>
            <wp:extent cx="5816218" cy="178308"/>
            <wp:effectExtent l="0" t="0" r="0" b="0"/>
            <wp:wrapTopAndBottom/>
            <wp:docPr id="257" name="image245.png"/>
            <wp:cNvGraphicFramePr>
              <a:graphicFrameLocks noChangeAspect="1"/>
            </wp:cNvGraphicFramePr>
            <a:graphic>
              <a:graphicData uri="http://schemas.openxmlformats.org/drawingml/2006/picture">
                <pic:pic>
                  <pic:nvPicPr>
                    <pic:cNvPr id="258" name="image245.png"/>
                    <pic:cNvPicPr/>
                  </pic:nvPicPr>
                  <pic:blipFill>
                    <a:blip r:embed="rId261"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133">
            <wp:simplePos x="0" y="0"/>
            <wp:positionH relativeFrom="page">
              <wp:posOffset>900988</wp:posOffset>
            </wp:positionH>
            <wp:positionV relativeFrom="paragraph">
              <wp:posOffset>3830796</wp:posOffset>
            </wp:positionV>
            <wp:extent cx="5816218" cy="178308"/>
            <wp:effectExtent l="0" t="0" r="0" b="0"/>
            <wp:wrapTopAndBottom/>
            <wp:docPr id="259" name="image246.png"/>
            <wp:cNvGraphicFramePr>
              <a:graphicFrameLocks noChangeAspect="1"/>
            </wp:cNvGraphicFramePr>
            <a:graphic>
              <a:graphicData uri="http://schemas.openxmlformats.org/drawingml/2006/picture">
                <pic:pic>
                  <pic:nvPicPr>
                    <pic:cNvPr id="260" name="image246.png"/>
                    <pic:cNvPicPr/>
                  </pic:nvPicPr>
                  <pic:blipFill>
                    <a:blip r:embed="rId262"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134">
            <wp:simplePos x="0" y="0"/>
            <wp:positionH relativeFrom="page">
              <wp:posOffset>900988</wp:posOffset>
            </wp:positionH>
            <wp:positionV relativeFrom="paragraph">
              <wp:posOffset>4111212</wp:posOffset>
            </wp:positionV>
            <wp:extent cx="5816218" cy="178308"/>
            <wp:effectExtent l="0" t="0" r="0" b="0"/>
            <wp:wrapTopAndBottom/>
            <wp:docPr id="261" name="image247.png"/>
            <wp:cNvGraphicFramePr>
              <a:graphicFrameLocks noChangeAspect="1"/>
            </wp:cNvGraphicFramePr>
            <a:graphic>
              <a:graphicData uri="http://schemas.openxmlformats.org/drawingml/2006/picture">
                <pic:pic>
                  <pic:nvPicPr>
                    <pic:cNvPr id="262" name="image247.png"/>
                    <pic:cNvPicPr/>
                  </pic:nvPicPr>
                  <pic:blipFill>
                    <a:blip r:embed="rId263" cstate="print"/>
                    <a:stretch>
                      <a:fillRect/>
                    </a:stretch>
                  </pic:blipFill>
                  <pic:spPr>
                    <a:xfrm>
                      <a:off x="0" y="0"/>
                      <a:ext cx="5816218" cy="178308"/>
                    </a:xfrm>
                    <a:prstGeom prst="rect">
                      <a:avLst/>
                    </a:prstGeom>
                  </pic:spPr>
                </pic:pic>
              </a:graphicData>
            </a:graphic>
          </wp:anchor>
        </w:drawing>
      </w:r>
      <w:r>
        <w:rPr/>
        <w:pict>
          <v:group style="position:absolute;margin-left:70.944pt;margin-top:344.497498pt;width:455pt;height:15.25pt;mso-position-horizontal-relative:page;mso-position-vertical-relative:paragraph;z-index:-15659520;mso-wrap-distance-left:0;mso-wrap-distance-right:0" coordorigin="1419,6890" coordsize="9100,305">
            <v:shape style="position:absolute;left:1418;top:6913;width:1401;height:281" type="#_x0000_t75" stroked="false">
              <v:imagedata r:id="rId264" o:title=""/>
            </v:shape>
            <v:shape style="position:absolute;left:2539;top:6889;width:209;height:140" type="#_x0000_t75" stroked="false">
              <v:imagedata r:id="rId265" o:title=""/>
            </v:shape>
            <v:shape style="position:absolute;left:2678;top:6913;width:6999;height:281" type="#_x0000_t75" stroked="false">
              <v:imagedata r:id="rId266" o:title=""/>
            </v:shape>
            <v:shape style="position:absolute;left:9398;top:6913;width:1120;height:281" type="#_x0000_t75" stroked="false">
              <v:imagedata r:id="rId267" o:title=""/>
            </v:shape>
            <w10:wrap type="topAndBottom"/>
          </v:group>
        </w:pict>
      </w:r>
      <w:r>
        <w:rPr/>
        <w:drawing>
          <wp:anchor distT="0" distB="0" distL="0" distR="0" allowOverlap="1" layoutInCell="1" locked="0" behindDoc="0" simplePos="0" relativeHeight="136">
            <wp:simplePos x="0" y="0"/>
            <wp:positionH relativeFrom="page">
              <wp:posOffset>900988</wp:posOffset>
            </wp:positionH>
            <wp:positionV relativeFrom="paragraph">
              <wp:posOffset>4669250</wp:posOffset>
            </wp:positionV>
            <wp:extent cx="1066558" cy="178308"/>
            <wp:effectExtent l="0" t="0" r="0" b="0"/>
            <wp:wrapTopAndBottom/>
            <wp:docPr id="263" name="image252.png"/>
            <wp:cNvGraphicFramePr>
              <a:graphicFrameLocks noChangeAspect="1"/>
            </wp:cNvGraphicFramePr>
            <a:graphic>
              <a:graphicData uri="http://schemas.openxmlformats.org/drawingml/2006/picture">
                <pic:pic>
                  <pic:nvPicPr>
                    <pic:cNvPr id="264" name="image252.png"/>
                    <pic:cNvPicPr/>
                  </pic:nvPicPr>
                  <pic:blipFill>
                    <a:blip r:embed="rId268" cstate="print"/>
                    <a:stretch>
                      <a:fillRect/>
                    </a:stretch>
                  </pic:blipFill>
                  <pic:spPr>
                    <a:xfrm>
                      <a:off x="0" y="0"/>
                      <a:ext cx="1066558" cy="178308"/>
                    </a:xfrm>
                    <a:prstGeom prst="rect">
                      <a:avLst/>
                    </a:prstGeom>
                  </pic:spPr>
                </pic:pic>
              </a:graphicData>
            </a:graphic>
          </wp:anchor>
        </w:drawing>
      </w:r>
      <w:r>
        <w:rPr/>
        <w:pict>
          <v:group style="position:absolute;margin-left:264.890015pt;margin-top:394.417511pt;width:94.05pt;height:14.05pt;mso-position-horizontal-relative:page;mso-position-vertical-relative:paragraph;z-index:-15658496;mso-wrap-distance-left:0;mso-wrap-distance-right:0" coordorigin="5298,7888" coordsize="1881,281">
            <v:shape style="position:absolute;left:5297;top:7888;width:562;height:281" type="#_x0000_t75" stroked="false">
              <v:imagedata r:id="rId269" o:title=""/>
            </v:shape>
            <v:shape style="position:absolute;left:5777;top:7888;width:1401;height:281" type="#_x0000_t75" stroked="false">
              <v:imagedata r:id="rId270" o:title=""/>
            </v:shape>
            <w10:wrap type="topAndBottom"/>
          </v:group>
        </w:pict>
      </w:r>
      <w:r>
        <w:rPr/>
        <w:pict>
          <v:group style="position:absolute;margin-left:98.903999pt;margin-top:425.737488pt;width:429.55pt;height:14.05pt;mso-position-horizontal-relative:page;mso-position-vertical-relative:paragraph;z-index:-15657984;mso-wrap-distance-left:0;mso-wrap-distance-right:0" coordorigin="1978,8515" coordsize="8591,281">
            <v:shape style="position:absolute;left:1978;top:8514;width:2604;height:281" type="#_x0000_t75" stroked="false">
              <v:imagedata r:id="rId257" o:title=""/>
            </v:shape>
            <v:shape style="position:absolute;left:4292;top:8514;width:519;height:281" type="#_x0000_t75" stroked="false">
              <v:imagedata r:id="rId258" o:title=""/>
            </v:shape>
            <v:shape style="position:absolute;left:4637;top:8514;width:951;height:281" type="#_x0000_t75" stroked="false">
              <v:imagedata r:id="rId94" o:title=""/>
            </v:shape>
            <v:shape style="position:absolute;left:5271;top:8514;width:418;height:281" type="#_x0000_t75" stroked="false">
              <v:imagedata r:id="rId259" o:title=""/>
            </v:shape>
            <v:shape style="position:absolute;left:5480;top:8514;width:5088;height:281" type="#_x0000_t75" stroked="false">
              <v:imagedata r:id="rId271" o:title=""/>
            </v:shape>
            <w10:wrap type="topAndBottom"/>
          </v:group>
        </w:pict>
      </w:r>
      <w:r>
        <w:rPr/>
        <w:drawing>
          <wp:anchor distT="0" distB="0" distL="0" distR="0" allowOverlap="1" layoutInCell="1" locked="0" behindDoc="0" simplePos="0" relativeHeight="139">
            <wp:simplePos x="0" y="0"/>
            <wp:positionH relativeFrom="page">
              <wp:posOffset>900988</wp:posOffset>
            </wp:positionH>
            <wp:positionV relativeFrom="paragraph">
              <wp:posOffset>5685758</wp:posOffset>
            </wp:positionV>
            <wp:extent cx="5775070" cy="178308"/>
            <wp:effectExtent l="0" t="0" r="0" b="0"/>
            <wp:wrapTopAndBottom/>
            <wp:docPr id="265" name="image256.png"/>
            <wp:cNvGraphicFramePr>
              <a:graphicFrameLocks noChangeAspect="1"/>
            </wp:cNvGraphicFramePr>
            <a:graphic>
              <a:graphicData uri="http://schemas.openxmlformats.org/drawingml/2006/picture">
                <pic:pic>
                  <pic:nvPicPr>
                    <pic:cNvPr id="266" name="image256.png"/>
                    <pic:cNvPicPr/>
                  </pic:nvPicPr>
                  <pic:blipFill>
                    <a:blip r:embed="rId272" cstate="print"/>
                    <a:stretch>
                      <a:fillRect/>
                    </a:stretch>
                  </pic:blipFill>
                  <pic:spPr>
                    <a:xfrm>
                      <a:off x="0" y="0"/>
                      <a:ext cx="5775070" cy="178308"/>
                    </a:xfrm>
                    <a:prstGeom prst="rect">
                      <a:avLst/>
                    </a:prstGeom>
                  </pic:spPr>
                </pic:pic>
              </a:graphicData>
            </a:graphic>
          </wp:anchor>
        </w:drawing>
      </w:r>
      <w:r>
        <w:rPr/>
        <w:pict>
          <v:group style="position:absolute;margin-left:70.944pt;margin-top:469.657501pt;width:456.65pt;height:14.05pt;mso-position-horizontal-relative:page;mso-position-vertical-relative:paragraph;z-index:-15656960;mso-wrap-distance-left:0;mso-wrap-distance-right:0" coordorigin="1419,9393" coordsize="9133,281">
            <v:shape style="position:absolute;left:1418;top:9393;width:1964;height:281" type="#_x0000_t75" stroked="false">
              <v:imagedata r:id="rId273" o:title=""/>
            </v:shape>
            <v:shape style="position:absolute;left:3101;top:9393;width:3088;height:281" type="#_x0000_t75" stroked="false">
              <v:imagedata r:id="rId274" o:title=""/>
            </v:shape>
            <v:shape style="position:absolute;left:5931;top:9393;width:3498;height:281" type="#_x0000_t75" stroked="false">
              <v:imagedata r:id="rId275" o:title=""/>
            </v:shape>
            <v:shape style="position:absolute;left:9294;top:9393;width:1257;height:281" type="#_x0000_t75" stroked="false">
              <v:imagedata r:id="rId276" o:title=""/>
            </v:shape>
            <w10:wrap type="topAndBottom"/>
          </v:group>
        </w:pict>
      </w:r>
      <w:r>
        <w:rPr/>
        <w:pict>
          <v:group style="position:absolute;margin-left:98.903999pt;margin-top:491.767487pt;width:426.55pt;height:14.05pt;mso-position-horizontal-relative:page;mso-position-vertical-relative:paragraph;z-index:-15656448;mso-wrap-distance-left:0;mso-wrap-distance-right:0" coordorigin="1978,9835" coordsize="8531,281">
            <v:shape style="position:absolute;left:1978;top:9835;width:2929;height:281" type="#_x0000_t75" stroked="false">
              <v:imagedata r:id="rId277" o:title=""/>
            </v:shape>
            <v:shape style="position:absolute;left:4640;top:9835;width:3081;height:281" type="#_x0000_t75" stroked="false">
              <v:imagedata r:id="rId278" o:title=""/>
            </v:shape>
            <v:shape style="position:absolute;left:7580;top:9835;width:2929;height:281" type="#_x0000_t75" stroked="false">
              <v:imagedata r:id="rId279" o:title=""/>
            </v:shape>
            <w10:wrap type="topAndBottom"/>
          </v:group>
        </w:pict>
      </w:r>
      <w:r>
        <w:rPr/>
        <w:pict>
          <v:group style="position:absolute;margin-left:70.944pt;margin-top:513.727478pt;width:452.75pt;height:14.05pt;mso-position-horizontal-relative:page;mso-position-vertical-relative:paragraph;z-index:-15655936;mso-wrap-distance-left:0;mso-wrap-distance-right:0" coordorigin="1419,10275" coordsize="9055,281">
            <v:shape style="position:absolute;left:1418;top:10274;width:1683;height:281" type="#_x0000_t75" stroked="false">
              <v:imagedata r:id="rId280" o:title=""/>
            </v:shape>
            <v:shape style="position:absolute;left:2820;top:10274;width:4046;height:281" type="#_x0000_t75" stroked="false">
              <v:imagedata r:id="rId281" o:title=""/>
            </v:shape>
            <v:shape style="position:absolute;left:6596;top:10274;width:3493;height:281" type="#_x0000_t75" stroked="false">
              <v:imagedata r:id="rId282" o:title=""/>
            </v:shape>
            <v:shape style="position:absolute;left:9954;top:10274;width:519;height:281" type="#_x0000_t75" stroked="false">
              <v:imagedata r:id="rId283" o:title=""/>
            </v:shape>
            <w10:wrap type="topAndBottom"/>
          </v:group>
        </w:pict>
      </w:r>
      <w:r>
        <w:rPr/>
        <w:pict>
          <v:group style="position:absolute;margin-left:70.944pt;margin-top:534.487488pt;width:454.95pt;height:15.25pt;mso-position-horizontal-relative:page;mso-position-vertical-relative:paragraph;z-index:-15655424;mso-wrap-distance-left:0;mso-wrap-distance-right:0" coordorigin="1419,10690" coordsize="9099,305">
            <v:shape style="position:absolute;left:1418;top:10713;width:562;height:281" type="#_x0000_t75" stroked="false">
              <v:imagedata r:id="rId284" o:title=""/>
            </v:shape>
            <v:shape style="position:absolute;left:1699;top:10713;width:1680;height:281" type="#_x0000_t75" stroked="false">
              <v:imagedata r:id="rId285" o:title=""/>
            </v:shape>
            <v:shape style="position:absolute;left:3098;top:10689;width:209;height:140" type="#_x0000_t75" stroked="false">
              <v:imagedata r:id="rId286" o:title=""/>
            </v:shape>
            <v:shape style="position:absolute;left:3238;top:10713;width:7280;height:281" type="#_x0000_t75" stroked="false">
              <v:imagedata r:id="rId287" o:title=""/>
            </v:shape>
            <w10:wrap type="topAndBottom"/>
          </v:group>
        </w:pict>
      </w:r>
    </w:p>
    <w:p>
      <w:pPr>
        <w:pStyle w:val="BodyText"/>
        <w:spacing w:before="8"/>
        <w:rPr>
          <w:sz w:val="18"/>
        </w:rPr>
      </w:pPr>
    </w:p>
    <w:p>
      <w:pPr>
        <w:pStyle w:val="BodyText"/>
        <w:rPr>
          <w:sz w:val="7"/>
        </w:rPr>
      </w:pPr>
    </w:p>
    <w:p>
      <w:pPr>
        <w:pStyle w:val="BodyText"/>
        <w:rPr>
          <w:sz w:val="13"/>
        </w:rPr>
      </w:pPr>
    </w:p>
    <w:p>
      <w:pPr>
        <w:pStyle w:val="BodyText"/>
        <w:spacing w:before="2"/>
        <w:rPr>
          <w:sz w:val="20"/>
        </w:rPr>
      </w:pPr>
    </w:p>
    <w:p>
      <w:pPr>
        <w:pStyle w:val="BodyText"/>
        <w:rPr>
          <w:sz w:val="7"/>
        </w:rPr>
      </w:pPr>
    </w:p>
    <w:p>
      <w:pPr>
        <w:pStyle w:val="BodyText"/>
        <w:spacing w:before="1"/>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spacing w:before="2"/>
        <w:rPr>
          <w:sz w:val="5"/>
        </w:rPr>
      </w:pPr>
    </w:p>
    <w:p>
      <w:pPr>
        <w:pStyle w:val="BodyText"/>
        <w:rPr>
          <w:sz w:val="7"/>
        </w:rPr>
      </w:pPr>
    </w:p>
    <w:p>
      <w:pPr>
        <w:pStyle w:val="BodyText"/>
        <w:spacing w:before="7"/>
        <w:rPr>
          <w:sz w:val="14"/>
        </w:rPr>
      </w:pPr>
    </w:p>
    <w:p>
      <w:pPr>
        <w:pStyle w:val="BodyText"/>
        <w:spacing w:before="8"/>
        <w:rPr>
          <w:sz w:val="21"/>
        </w:rPr>
      </w:pPr>
    </w:p>
    <w:p>
      <w:pPr>
        <w:pStyle w:val="BodyText"/>
        <w:rPr>
          <w:sz w:val="7"/>
        </w:rPr>
      </w:pPr>
    </w:p>
    <w:p>
      <w:pPr>
        <w:pStyle w:val="BodyText"/>
        <w:rPr>
          <w:sz w:val="7"/>
        </w:rPr>
      </w:pPr>
    </w:p>
    <w:p>
      <w:pPr>
        <w:pStyle w:val="BodyText"/>
        <w:spacing w:before="3"/>
        <w:rPr>
          <w:sz w:val="7"/>
        </w:rPr>
      </w:pPr>
    </w:p>
    <w:p>
      <w:pPr>
        <w:pStyle w:val="BodyText"/>
        <w:rPr>
          <w:sz w:val="7"/>
        </w:rPr>
      </w:pPr>
    </w:p>
    <w:p>
      <w:pPr>
        <w:pStyle w:val="BodyText"/>
        <w:spacing w:before="2"/>
        <w:rPr>
          <w:sz w:val="5"/>
        </w:rPr>
      </w:pPr>
    </w:p>
    <w:p>
      <w:pPr>
        <w:pStyle w:val="BodyText"/>
        <w:rPr>
          <w:sz w:val="20"/>
        </w:rPr>
      </w:pPr>
    </w:p>
    <w:p>
      <w:pPr>
        <w:pStyle w:val="BodyText"/>
        <w:spacing w:before="9"/>
        <w:rPr>
          <w:sz w:val="21"/>
        </w:rPr>
      </w:pPr>
      <w:r>
        <w:rPr/>
        <w:pict>
          <v:rect style="position:absolute;margin-left:94.944pt;margin-top:15.85746pt;width:144.020pt;height:.60004pt;mso-position-horizontal-relative:page;mso-position-vertical-relative:paragraph;z-index:-15654912;mso-wrap-distance-left:0;mso-wrap-distance-right:0" filled="true" fillcolor="#000000" stroked="false">
            <v:fill type="solid"/>
            <w10:wrap type="topAndBottom"/>
          </v:rect>
        </w:pict>
      </w:r>
    </w:p>
    <w:p>
      <w:pPr>
        <w:pStyle w:val="BodyText"/>
        <w:spacing w:before="7"/>
        <w:rPr>
          <w:sz w:val="9"/>
        </w:rPr>
      </w:pPr>
    </w:p>
    <w:p>
      <w:pPr>
        <w:spacing w:before="94"/>
        <w:ind w:left="298" w:right="0" w:firstLine="0"/>
        <w:jc w:val="left"/>
        <w:rPr>
          <w:rFonts w:ascii="Times New Roman"/>
          <w:sz w:val="13"/>
        </w:rPr>
      </w:pPr>
      <w:r>
        <w:rPr/>
        <w:pict>
          <v:group style="position:absolute;margin-left:82.463997pt;margin-top:5.728364pt;width:444.15pt;height:12pt;mso-position-horizontal-relative:page;mso-position-vertical-relative:paragraph;z-index:15803904" coordorigin="1649,115" coordsize="8883,240">
            <v:shape style="position:absolute;left:1649;top:114;width:3651;height:240" type="#_x0000_t75" stroked="false">
              <v:imagedata r:id="rId288" o:title=""/>
            </v:shape>
            <v:shape style="position:absolute;left:5192;top:114;width:5340;height:240" type="#_x0000_t75" stroked="false">
              <v:imagedata r:id="rId289" o:title=""/>
            </v:shape>
            <w10:wrap type="none"/>
          </v:group>
        </w:pict>
      </w:r>
      <w:bookmarkStart w:name="_bookmark12" w:id="13"/>
      <w:bookmarkEnd w:id="13"/>
      <w:r>
        <w:rPr/>
      </w:r>
      <w:bookmarkStart w:name="_bookmark13" w:id="14"/>
      <w:bookmarkEnd w:id="14"/>
      <w:r>
        <w:rPr/>
      </w:r>
      <w:r>
        <w:rPr>
          <w:rFonts w:ascii="Times New Roman"/>
          <w:sz w:val="13"/>
        </w:rPr>
        <w:t>18</w:t>
      </w:r>
    </w:p>
    <w:p>
      <w:pPr>
        <w:pStyle w:val="BodyText"/>
        <w:spacing w:before="6"/>
        <w:rPr>
          <w:rFonts w:ascii="Times New Roman"/>
          <w:sz w:val="12"/>
        </w:rPr>
      </w:pPr>
      <w:r>
        <w:rPr/>
        <w:drawing>
          <wp:anchor distT="0" distB="0" distL="0" distR="0" allowOverlap="1" layoutInCell="1" locked="0" behindDoc="0" simplePos="0" relativeHeight="145">
            <wp:simplePos x="0" y="0"/>
            <wp:positionH relativeFrom="page">
              <wp:posOffset>1027480</wp:posOffset>
            </wp:positionH>
            <wp:positionV relativeFrom="paragraph">
              <wp:posOffset>116586</wp:posOffset>
            </wp:positionV>
            <wp:extent cx="5662929" cy="152400"/>
            <wp:effectExtent l="0" t="0" r="0" b="0"/>
            <wp:wrapTopAndBottom/>
            <wp:docPr id="267" name="image274.png"/>
            <wp:cNvGraphicFramePr>
              <a:graphicFrameLocks noChangeAspect="1"/>
            </wp:cNvGraphicFramePr>
            <a:graphic>
              <a:graphicData uri="http://schemas.openxmlformats.org/drawingml/2006/picture">
                <pic:pic>
                  <pic:nvPicPr>
                    <pic:cNvPr id="268" name="image274.png"/>
                    <pic:cNvPicPr/>
                  </pic:nvPicPr>
                  <pic:blipFill>
                    <a:blip r:embed="rId290" cstate="print"/>
                    <a:stretch>
                      <a:fillRect/>
                    </a:stretch>
                  </pic:blipFill>
                  <pic:spPr>
                    <a:xfrm>
                      <a:off x="0" y="0"/>
                      <a:ext cx="5662929" cy="152400"/>
                    </a:xfrm>
                    <a:prstGeom prst="rect">
                      <a:avLst/>
                    </a:prstGeom>
                  </pic:spPr>
                </pic:pic>
              </a:graphicData>
            </a:graphic>
          </wp:anchor>
        </w:drawing>
      </w:r>
    </w:p>
    <w:p>
      <w:pPr>
        <w:pStyle w:val="BodyText"/>
        <w:spacing w:before="8"/>
        <w:rPr>
          <w:rFonts w:ascii="Times New Roman"/>
          <w:sz w:val="3"/>
        </w:rPr>
      </w:pPr>
    </w:p>
    <w:p>
      <w:pPr>
        <w:pStyle w:val="BodyText"/>
        <w:ind w:left="498"/>
        <w:rPr>
          <w:rFonts w:ascii="Times New Roman"/>
          <w:sz w:val="20"/>
        </w:rPr>
      </w:pPr>
      <w:r>
        <w:rPr>
          <w:rFonts w:ascii="Times New Roman"/>
          <w:sz w:val="20"/>
        </w:rPr>
        <w:drawing>
          <wp:inline distT="0" distB="0" distL="0" distR="0">
            <wp:extent cx="5182489" cy="152400"/>
            <wp:effectExtent l="0" t="0" r="0" b="0"/>
            <wp:docPr id="269" name="image275.png"/>
            <wp:cNvGraphicFramePr>
              <a:graphicFrameLocks noChangeAspect="1"/>
            </wp:cNvGraphicFramePr>
            <a:graphic>
              <a:graphicData uri="http://schemas.openxmlformats.org/drawingml/2006/picture">
                <pic:pic>
                  <pic:nvPicPr>
                    <pic:cNvPr id="270" name="image275.png"/>
                    <pic:cNvPicPr/>
                  </pic:nvPicPr>
                  <pic:blipFill>
                    <a:blip r:embed="rId291" cstate="print"/>
                    <a:stretch>
                      <a:fillRect/>
                    </a:stretch>
                  </pic:blipFill>
                  <pic:spPr>
                    <a:xfrm>
                      <a:off x="0" y="0"/>
                      <a:ext cx="5182489" cy="152400"/>
                    </a:xfrm>
                    <a:prstGeom prst="rect">
                      <a:avLst/>
                    </a:prstGeom>
                  </pic:spPr>
                </pic:pic>
              </a:graphicData>
            </a:graphic>
          </wp:inline>
        </w:drawing>
      </w:r>
      <w:r>
        <w:rPr>
          <w:rFonts w:ascii="Times New Roman"/>
          <w:sz w:val="20"/>
        </w:rPr>
      </w:r>
    </w:p>
    <w:p>
      <w:pPr>
        <w:pStyle w:val="BodyText"/>
        <w:spacing w:before="5"/>
        <w:rPr>
          <w:rFonts w:ascii="Times New Roman"/>
          <w:sz w:val="6"/>
        </w:rPr>
      </w:pPr>
    </w:p>
    <w:p>
      <w:pPr>
        <w:pStyle w:val="BodyText"/>
        <w:ind w:left="498"/>
        <w:rPr>
          <w:rFonts w:ascii="Times New Roman"/>
          <w:sz w:val="20"/>
        </w:rPr>
      </w:pPr>
      <w:r>
        <w:rPr>
          <w:rFonts w:ascii="Times New Roman"/>
          <w:sz w:val="20"/>
        </w:rPr>
        <w:pict>
          <v:group style="width:445.95pt;height:12pt;mso-position-horizontal-relative:char;mso-position-vertical-relative:line" coordorigin="0,0" coordsize="8919,240">
            <v:shape style="position:absolute;left:0;top:0;width:7971;height:240" type="#_x0000_t75" stroked="false">
              <v:imagedata r:id="rId292" o:title=""/>
            </v:shape>
            <v:shape style="position:absolute;left:7851;top:0;width:1067;height:240" type="#_x0000_t75" stroked="false">
              <v:imagedata r:id="rId293" o:title=""/>
            </v:shape>
          </v:group>
        </w:pict>
      </w:r>
      <w:r>
        <w:rPr>
          <w:rFonts w:ascii="Times New Roman"/>
          <w:sz w:val="20"/>
        </w:rPr>
      </w:r>
    </w:p>
    <w:p>
      <w:pPr>
        <w:pStyle w:val="BodyText"/>
        <w:spacing w:before="5"/>
        <w:rPr>
          <w:rFonts w:ascii="Times New Roman"/>
          <w:sz w:val="5"/>
        </w:rPr>
      </w:pPr>
    </w:p>
    <w:p>
      <w:pPr>
        <w:pStyle w:val="BodyText"/>
        <w:ind w:left="498"/>
        <w:rPr>
          <w:rFonts w:ascii="Times New Roman"/>
          <w:sz w:val="20"/>
        </w:rPr>
      </w:pPr>
      <w:r>
        <w:rPr>
          <w:rFonts w:ascii="Times New Roman"/>
          <w:sz w:val="20"/>
        </w:rPr>
        <w:drawing>
          <wp:inline distT="0" distB="0" distL="0" distR="0">
            <wp:extent cx="5664961" cy="152400"/>
            <wp:effectExtent l="0" t="0" r="0" b="0"/>
            <wp:docPr id="271" name="image278.png"/>
            <wp:cNvGraphicFramePr>
              <a:graphicFrameLocks noChangeAspect="1"/>
            </wp:cNvGraphicFramePr>
            <a:graphic>
              <a:graphicData uri="http://schemas.openxmlformats.org/drawingml/2006/picture">
                <pic:pic>
                  <pic:nvPicPr>
                    <pic:cNvPr id="272" name="image278.png"/>
                    <pic:cNvPicPr/>
                  </pic:nvPicPr>
                  <pic:blipFill>
                    <a:blip r:embed="rId294" cstate="print"/>
                    <a:stretch>
                      <a:fillRect/>
                    </a:stretch>
                  </pic:blipFill>
                  <pic:spPr>
                    <a:xfrm>
                      <a:off x="0" y="0"/>
                      <a:ext cx="5664961" cy="152400"/>
                    </a:xfrm>
                    <a:prstGeom prst="rect">
                      <a:avLst/>
                    </a:prstGeom>
                  </pic:spPr>
                </pic:pic>
              </a:graphicData>
            </a:graphic>
          </wp:inline>
        </w:drawing>
      </w:r>
      <w:r>
        <w:rPr>
          <w:rFonts w:ascii="Times New Roman"/>
          <w:sz w:val="20"/>
        </w:rPr>
      </w:r>
    </w:p>
    <w:p>
      <w:pPr>
        <w:pStyle w:val="BodyText"/>
        <w:spacing w:before="3"/>
        <w:rPr>
          <w:rFonts w:ascii="Times New Roman"/>
          <w:sz w:val="6"/>
        </w:rPr>
      </w:pPr>
    </w:p>
    <w:p>
      <w:pPr>
        <w:pStyle w:val="BodyText"/>
        <w:ind w:left="498"/>
        <w:rPr>
          <w:rFonts w:ascii="Times New Roman"/>
          <w:sz w:val="20"/>
        </w:rPr>
      </w:pPr>
      <w:r>
        <w:rPr>
          <w:rFonts w:ascii="Times New Roman"/>
          <w:sz w:val="20"/>
        </w:rPr>
        <w:drawing>
          <wp:inline distT="0" distB="0" distL="0" distR="0">
            <wp:extent cx="5587746" cy="152400"/>
            <wp:effectExtent l="0" t="0" r="0" b="0"/>
            <wp:docPr id="273" name="image279.png"/>
            <wp:cNvGraphicFramePr>
              <a:graphicFrameLocks noChangeAspect="1"/>
            </wp:cNvGraphicFramePr>
            <a:graphic>
              <a:graphicData uri="http://schemas.openxmlformats.org/drawingml/2006/picture">
                <pic:pic>
                  <pic:nvPicPr>
                    <pic:cNvPr id="274" name="image279.png"/>
                    <pic:cNvPicPr/>
                  </pic:nvPicPr>
                  <pic:blipFill>
                    <a:blip r:embed="rId295" cstate="print"/>
                    <a:stretch>
                      <a:fillRect/>
                    </a:stretch>
                  </pic:blipFill>
                  <pic:spPr>
                    <a:xfrm>
                      <a:off x="0" y="0"/>
                      <a:ext cx="5587746" cy="152400"/>
                    </a:xfrm>
                    <a:prstGeom prst="rect">
                      <a:avLst/>
                    </a:prstGeom>
                  </pic:spPr>
                </pic:pic>
              </a:graphicData>
            </a:graphic>
          </wp:inline>
        </w:drawing>
      </w:r>
      <w:r>
        <w:rPr>
          <w:rFonts w:ascii="Times New Roman"/>
          <w:sz w:val="20"/>
        </w:rPr>
      </w:r>
    </w:p>
    <w:p>
      <w:pPr>
        <w:spacing w:before="52"/>
        <w:ind w:left="298" w:right="0" w:firstLine="0"/>
        <w:jc w:val="left"/>
        <w:rPr>
          <w:rFonts w:ascii="Times New Roman"/>
          <w:sz w:val="13"/>
        </w:rPr>
      </w:pPr>
      <w:r>
        <w:rPr/>
        <w:pict>
          <v:group style="position:absolute;margin-left:82.463997pt;margin-top:3.628359pt;width:444pt;height:12pt;mso-position-horizontal-relative:page;mso-position-vertical-relative:paragraph;z-index:15804416" coordorigin="1649,73" coordsize="8880,240">
            <v:shape style="position:absolute;left:1649;top:72;width:5823;height:240" type="#_x0000_t75" stroked="false">
              <v:imagedata r:id="rId296" o:title=""/>
            </v:shape>
            <v:shape style="position:absolute;left:7352;top:72;width:274;height:240" type="#_x0000_t75" stroked="false">
              <v:imagedata r:id="rId297" o:title=""/>
            </v:shape>
            <v:shape style="position:absolute;left:7535;top:72;width:1257;height:240" type="#_x0000_t75" stroked="false">
              <v:imagedata r:id="rId298" o:title=""/>
            </v:shape>
            <v:shape style="position:absolute;left:8677;top:72;width:783;height:240" type="#_x0000_t75" stroked="false">
              <v:imagedata r:id="rId299" o:title=""/>
            </v:shape>
            <v:shape style="position:absolute;left:9340;top:72;width:274;height:240" type="#_x0000_t75" stroked="false">
              <v:imagedata r:id="rId297" o:title=""/>
            </v:shape>
            <v:shape style="position:absolute;left:9522;top:72;width:240;height:240" type="#_x0000_t75" stroked="false">
              <v:imagedata r:id="rId300" o:title=""/>
            </v:shape>
            <v:shape style="position:absolute;left:9642;top:72;width:886;height:240" type="#_x0000_t75" stroked="false">
              <v:imagedata r:id="rId301" o:title=""/>
            </v:shape>
            <w10:wrap type="none"/>
          </v:group>
        </w:pict>
      </w:r>
      <w:r>
        <w:rPr>
          <w:rFonts w:ascii="Times New Roman"/>
          <w:sz w:val="13"/>
        </w:rPr>
        <w:t>19</w:t>
      </w:r>
    </w:p>
    <w:p>
      <w:pPr>
        <w:spacing w:after="0"/>
        <w:jc w:val="left"/>
        <w:rPr>
          <w:rFonts w:ascii="Times New Roman"/>
          <w:sz w:val="13"/>
        </w:rPr>
        <w:sectPr>
          <w:headerReference w:type="default" r:id="rId230"/>
          <w:footerReference w:type="default" r:id="rId231"/>
          <w:pgSz w:w="11910" w:h="16840"/>
          <w:pgMar w:header="0" w:footer="1017" w:top="860" w:bottom="1200" w:left="1120" w:right="1060"/>
          <w:pgNumType w:start="15"/>
        </w:sectPr>
      </w:pPr>
    </w:p>
    <w:p>
      <w:pPr>
        <w:pStyle w:val="BodyText"/>
        <w:rPr>
          <w:rFonts w:ascii="Times New Roman"/>
          <w:sz w:val="28"/>
        </w:rPr>
      </w:pPr>
    </w:p>
    <w:p>
      <w:pPr>
        <w:spacing w:before="89"/>
        <w:ind w:left="310" w:right="0" w:firstLine="0"/>
        <w:jc w:val="left"/>
        <w:rPr>
          <w:rFonts w:ascii="Arial" w:eastAsia="Arial"/>
          <w:sz w:val="8"/>
        </w:rPr>
      </w:pPr>
      <w:r>
        <w:rPr>
          <w:spacing w:val="11"/>
          <w:sz w:val="25"/>
        </w:rPr>
        <w:t>之利益 </w:t>
      </w:r>
      <w:r>
        <w:rPr>
          <w:rFonts w:ascii="Times New Roman" w:eastAsia="Times New Roman"/>
          <w:spacing w:val="-9"/>
          <w:sz w:val="29"/>
        </w:rPr>
        <w:t>( </w:t>
      </w:r>
      <w:r>
        <w:rPr>
          <w:rFonts w:ascii="Times New Roman" w:eastAsia="Times New Roman"/>
          <w:spacing w:val="9"/>
          <w:sz w:val="29"/>
        </w:rPr>
        <w:t>eigene</w:t>
      </w:r>
      <w:r>
        <w:rPr>
          <w:rFonts w:ascii="Times New Roman" w:eastAsia="Times New Roman"/>
          <w:spacing w:val="22"/>
          <w:sz w:val="29"/>
        </w:rPr>
        <w:t>  </w:t>
      </w:r>
      <w:r>
        <w:rPr>
          <w:rFonts w:ascii="Times New Roman" w:eastAsia="Times New Roman"/>
          <w:sz w:val="29"/>
        </w:rPr>
        <w:t>I</w:t>
      </w:r>
      <w:r>
        <w:rPr>
          <w:rFonts w:ascii="Times New Roman" w:eastAsia="Times New Roman"/>
          <w:spacing w:val="-32"/>
          <w:sz w:val="29"/>
        </w:rPr>
        <w:t> </w:t>
      </w:r>
      <w:r>
        <w:rPr>
          <w:rFonts w:ascii="Times New Roman" w:eastAsia="Times New Roman"/>
          <w:sz w:val="29"/>
        </w:rPr>
        <w:t>nt</w:t>
      </w:r>
      <w:r>
        <w:rPr>
          <w:rFonts w:ascii="Times New Roman" w:eastAsia="Times New Roman"/>
          <w:spacing w:val="5"/>
          <w:sz w:val="29"/>
        </w:rPr>
        <w:t> </w:t>
      </w:r>
      <w:r>
        <w:rPr>
          <w:rFonts w:ascii="Times New Roman" w:eastAsia="Times New Roman"/>
          <w:sz w:val="29"/>
        </w:rPr>
        <w:t>er</w:t>
      </w:r>
      <w:r>
        <w:rPr>
          <w:rFonts w:ascii="Times New Roman" w:eastAsia="Times New Roman"/>
          <w:spacing w:val="-33"/>
          <w:sz w:val="29"/>
        </w:rPr>
        <w:t> </w:t>
      </w:r>
      <w:r>
        <w:rPr>
          <w:rFonts w:ascii="Times New Roman" w:eastAsia="Times New Roman"/>
          <w:spacing w:val="10"/>
          <w:sz w:val="29"/>
        </w:rPr>
        <w:t>essen</w:t>
      </w:r>
      <w:r>
        <w:rPr>
          <w:rFonts w:ascii="Times New Roman" w:eastAsia="Times New Roman"/>
          <w:spacing w:val="2"/>
          <w:sz w:val="29"/>
        </w:rPr>
        <w:t> ) </w:t>
      </w:r>
      <w:r>
        <w:rPr>
          <w:spacing w:val="-30"/>
          <w:w w:val="95"/>
          <w:sz w:val="25"/>
        </w:rPr>
        <w:t>， </w:t>
      </w:r>
      <w:r>
        <w:rPr>
          <w:spacing w:val="4"/>
          <w:sz w:val="25"/>
        </w:rPr>
        <w:t>亦不得 依本條之規定參加行政程序</w:t>
      </w:r>
      <w:r>
        <w:rPr>
          <w:rFonts w:ascii="Times New Roman" w:eastAsia="Times New Roman"/>
          <w:w w:val="95"/>
          <w:sz w:val="15"/>
        </w:rPr>
        <w:t>20</w:t>
      </w:r>
      <w:r>
        <w:rPr>
          <w:rFonts w:ascii="Times New Roman" w:eastAsia="Times New Roman"/>
          <w:spacing w:val="55"/>
          <w:sz w:val="15"/>
        </w:rPr>
        <w:t>  </w:t>
      </w:r>
      <w:r>
        <w:rPr>
          <w:rFonts w:ascii="Arial" w:eastAsia="Arial"/>
          <w:sz w:val="8"/>
        </w:rPr>
        <w:t>0</w:t>
      </w:r>
    </w:p>
    <w:p>
      <w:pPr>
        <w:pStyle w:val="BodyText"/>
        <w:spacing w:line="331" w:lineRule="auto" w:before="121"/>
        <w:ind w:left="310" w:right="506" w:firstLine="560"/>
        <w:jc w:val="both"/>
      </w:pPr>
      <w:r>
        <w:rPr>
          <w:w w:val="110"/>
        </w:rPr>
        <w:t>程序參加人之法律上利益須因行政程序之結果而受影攀。例如：程序噹事人申請核發建築執照，主管機關如作成該項行政處分，將影攀第三人之法律上利益時，該第三人得為程序參加人。反之，如第三人之法律上利益係因行政程序中之程序行為，並非因行政程序之結果而受影攀，即不得為程序參加人。例如：行政機關於行政程序中命第三人提供證據，該第三人不得據此而申請參加程序。</w:t>
      </w:r>
    </w:p>
    <w:p>
      <w:pPr>
        <w:pStyle w:val="BodyText"/>
        <w:spacing w:line="326" w:lineRule="auto"/>
        <w:ind w:left="310" w:right="493" w:firstLine="583"/>
      </w:pPr>
      <w:r>
        <w:rPr>
          <w:w w:val="110"/>
        </w:rPr>
        <w:t>第三人之法律上利益「可能」因行政程序之結果而受影攀者，即具備參加程序之資格。至於其法律上利益（將來）是否真正因行政程序之結果而受影響，則非所問。蓋第三人申請參加程序時，行政程序尚未終結，其結果（例如：行政機關是否核發所請之處分），尚無從得知。只要第三人</w:t>
      </w:r>
      <w:r>
        <w:rPr>
          <w:spacing w:val="16"/>
          <w:w w:val="109"/>
        </w:rPr>
        <w:t>之</w:t>
      </w:r>
      <w:r>
        <w:rPr>
          <w:spacing w:val="20"/>
          <w:w w:val="102"/>
        </w:rPr>
        <w:t>法律</w:t>
      </w:r>
      <w:r>
        <w:rPr>
          <w:spacing w:val="9"/>
          <w:w w:val="108"/>
        </w:rPr>
        <w:t>上</w:t>
      </w:r>
      <w:r>
        <w:rPr>
          <w:spacing w:val="29"/>
          <w:w w:val="105"/>
        </w:rPr>
        <w:t>利</w:t>
      </w:r>
      <w:r>
        <w:rPr>
          <w:spacing w:val="19"/>
          <w:w w:val="102"/>
        </w:rPr>
        <w:t>益</w:t>
      </w:r>
      <w:r>
        <w:rPr>
          <w:spacing w:val="43"/>
          <w:w w:val="98"/>
        </w:rPr>
        <w:t>有</w:t>
      </w:r>
      <w:r>
        <w:rPr>
          <w:w w:val="91"/>
        </w:rPr>
        <w:t>因行</w:t>
      </w:r>
      <w:r>
        <w:rPr>
          <w:spacing w:val="-32"/>
        </w:rPr>
        <w:t> </w:t>
      </w:r>
      <w:r>
        <w:rPr>
          <w:spacing w:val="8"/>
          <w:w w:val="108"/>
        </w:rPr>
        <w:t>政</w:t>
      </w:r>
      <w:r>
        <w:rPr>
          <w:spacing w:val="15"/>
          <w:w w:val="105"/>
        </w:rPr>
        <w:t>程</w:t>
      </w:r>
      <w:r>
        <w:rPr>
          <w:spacing w:val="16"/>
          <w:w w:val="106"/>
        </w:rPr>
        <w:t>序之</w:t>
      </w:r>
      <w:r>
        <w:rPr>
          <w:spacing w:val="27"/>
          <w:w w:val="103"/>
        </w:rPr>
        <w:t>結</w:t>
      </w:r>
      <w:r>
        <w:rPr>
          <w:spacing w:val="29"/>
          <w:w w:val="109"/>
        </w:rPr>
        <w:t>果</w:t>
      </w:r>
      <w:r>
        <w:rPr>
          <w:w w:val="87"/>
        </w:rPr>
        <w:t>而受</w:t>
      </w:r>
      <w:r>
        <w:rPr>
          <w:spacing w:val="-27"/>
        </w:rPr>
        <w:t> </w:t>
      </w:r>
      <w:r>
        <w:rPr>
          <w:spacing w:val="23"/>
          <w:w w:val="105"/>
        </w:rPr>
        <w:t>影</w:t>
      </w:r>
      <w:r>
        <w:rPr>
          <w:spacing w:val="13"/>
          <w:w w:val="106"/>
        </w:rPr>
        <w:t>響</w:t>
      </w:r>
      <w:r>
        <w:rPr>
          <w:spacing w:val="-28"/>
          <w:w w:val="109"/>
        </w:rPr>
        <w:t>之「</w:t>
      </w:r>
      <w:r>
        <w:rPr>
          <w:spacing w:val="17"/>
          <w:w w:val="103"/>
        </w:rPr>
        <w:t>可</w:t>
      </w:r>
      <w:r>
        <w:rPr>
          <w:spacing w:val="10"/>
          <w:w w:val="106"/>
        </w:rPr>
        <w:t>能</w:t>
      </w:r>
      <w:r>
        <w:rPr>
          <w:spacing w:val="-43"/>
          <w:w w:val="110"/>
        </w:rPr>
        <w:t>性」</w:t>
      </w:r>
      <w:r>
        <w:rPr>
          <w:rFonts w:ascii="Times New Roman" w:eastAsia="Times New Roman"/>
          <w:w w:val="108"/>
          <w:sz w:val="29"/>
        </w:rPr>
        <w:t>(</w:t>
      </w:r>
      <w:r>
        <w:rPr>
          <w:rFonts w:ascii="Times New Roman" w:eastAsia="Times New Roman"/>
          <w:spacing w:val="-21"/>
          <w:sz w:val="29"/>
        </w:rPr>
        <w:t> </w:t>
      </w:r>
      <w:r>
        <w:rPr>
          <w:rFonts w:ascii="Times New Roman" w:eastAsia="Times New Roman"/>
          <w:spacing w:val="-1"/>
          <w:w w:val="52"/>
          <w:sz w:val="29"/>
        </w:rPr>
        <w:t>M</w:t>
      </w:r>
      <w:r>
        <w:rPr>
          <w:rFonts w:ascii="Times New Roman" w:eastAsia="Times New Roman"/>
          <w:w w:val="101"/>
          <w:sz w:val="29"/>
        </w:rPr>
        <w:t>o</w:t>
      </w:r>
      <w:r>
        <w:rPr>
          <w:rFonts w:ascii="Times New Roman" w:eastAsia="Times New Roman"/>
          <w:spacing w:val="20"/>
          <w:w w:val="101"/>
          <w:sz w:val="29"/>
        </w:rPr>
        <w:t>g</w:t>
      </w:r>
      <w:r>
        <w:rPr>
          <w:rFonts w:ascii="Times New Roman" w:eastAsia="Times New Roman"/>
          <w:w w:val="107"/>
          <w:sz w:val="29"/>
        </w:rPr>
        <w:t>l</w:t>
      </w:r>
      <w:r>
        <w:rPr>
          <w:rFonts w:ascii="Times New Roman" w:eastAsia="Times New Roman"/>
          <w:spacing w:val="-24"/>
          <w:sz w:val="29"/>
        </w:rPr>
        <w:t> </w:t>
      </w:r>
      <w:r>
        <w:rPr>
          <w:rFonts w:ascii="Times New Roman" w:eastAsia="Times New Roman"/>
          <w:spacing w:val="-1"/>
          <w:w w:val="110"/>
          <w:sz w:val="29"/>
        </w:rPr>
        <w:t>ichke</w:t>
      </w:r>
      <w:r>
        <w:rPr>
          <w:rFonts w:ascii="Times New Roman" w:eastAsia="Times New Roman"/>
          <w:w w:val="110"/>
          <w:sz w:val="29"/>
        </w:rPr>
        <w:t>i</w:t>
      </w:r>
      <w:r>
        <w:rPr>
          <w:rFonts w:ascii="Times New Roman" w:eastAsia="Times New Roman"/>
          <w:spacing w:val="-20"/>
          <w:sz w:val="29"/>
        </w:rPr>
        <w:t> </w:t>
      </w:r>
      <w:r>
        <w:rPr>
          <w:rFonts w:ascii="Times New Roman" w:eastAsia="Times New Roman"/>
          <w:spacing w:val="-1"/>
          <w:w w:val="110"/>
          <w:sz w:val="29"/>
        </w:rPr>
        <w:t>t</w:t>
      </w:r>
      <w:r>
        <w:rPr>
          <w:rFonts w:ascii="Times New Roman" w:eastAsia="Times New Roman"/>
          <w:w w:val="110"/>
          <w:sz w:val="29"/>
        </w:rPr>
        <w:t>),</w:t>
      </w:r>
      <w:r>
        <w:rPr>
          <w:w w:val="110"/>
        </w:rPr>
        <w:t>即具備參加程序之資格。</w:t>
      </w:r>
    </w:p>
    <w:p>
      <w:pPr>
        <w:pStyle w:val="BodyText"/>
        <w:ind w:left="869"/>
      </w:pPr>
      <w:r>
        <w:rPr>
          <w:w w:val="110"/>
        </w:rPr>
        <w:t>所謂第三人之法律上利益將因行政程序之結果而受「影攀」</w:t>
      </w:r>
    </w:p>
    <w:p>
      <w:pPr>
        <w:spacing w:line="314" w:lineRule="auto" w:before="101"/>
        <w:ind w:left="297" w:right="485" w:firstLine="132"/>
        <w:jc w:val="left"/>
        <w:rPr>
          <w:sz w:val="25"/>
        </w:rPr>
      </w:pPr>
      <w:r>
        <w:rPr>
          <w:rFonts w:ascii="Times New Roman" w:eastAsia="Times New Roman"/>
          <w:spacing w:val="-3"/>
          <w:w w:val="90"/>
          <w:sz w:val="29"/>
        </w:rPr>
        <w:t>( </w:t>
      </w:r>
      <w:r>
        <w:rPr>
          <w:rFonts w:ascii="Times New Roman" w:eastAsia="Times New Roman"/>
          <w:w w:val="90"/>
          <w:sz w:val="29"/>
        </w:rPr>
        <w:t>Be</w:t>
      </w:r>
      <w:r>
        <w:rPr>
          <w:rFonts w:ascii="Times New Roman" w:eastAsia="Times New Roman"/>
          <w:spacing w:val="-1"/>
          <w:w w:val="90"/>
          <w:sz w:val="29"/>
        </w:rPr>
        <w:t> </w:t>
      </w:r>
      <w:r>
        <w:rPr>
          <w:rFonts w:ascii="Times New Roman" w:eastAsia="Times New Roman"/>
          <w:w w:val="90"/>
          <w:sz w:val="29"/>
        </w:rPr>
        <w:t>r</w:t>
      </w:r>
      <w:r>
        <w:rPr>
          <w:rFonts w:ascii="Times New Roman" w:eastAsia="Times New Roman"/>
          <w:spacing w:val="-5"/>
          <w:w w:val="90"/>
          <w:sz w:val="29"/>
        </w:rPr>
        <w:t> </w:t>
      </w:r>
      <w:r>
        <w:rPr>
          <w:rFonts w:ascii="Times New Roman" w:eastAsia="Times New Roman"/>
          <w:w w:val="90"/>
          <w:sz w:val="29"/>
        </w:rPr>
        <w:t>lihr</w:t>
      </w:r>
      <w:r>
        <w:rPr>
          <w:rFonts w:ascii="Times New Roman" w:eastAsia="Times New Roman"/>
          <w:spacing w:val="11"/>
          <w:w w:val="90"/>
          <w:sz w:val="29"/>
        </w:rPr>
        <w:t> </w:t>
      </w:r>
      <w:r>
        <w:rPr>
          <w:rFonts w:ascii="Times New Roman" w:eastAsia="Times New Roman"/>
          <w:w w:val="90"/>
          <w:sz w:val="29"/>
        </w:rPr>
        <w:t>ung</w:t>
      </w:r>
      <w:r>
        <w:rPr>
          <w:rFonts w:ascii="Times New Roman" w:eastAsia="Times New Roman"/>
          <w:spacing w:val="14"/>
          <w:w w:val="90"/>
          <w:sz w:val="29"/>
        </w:rPr>
        <w:t> ) </w:t>
      </w:r>
      <w:r>
        <w:rPr>
          <w:spacing w:val="25"/>
          <w:w w:val="90"/>
          <w:sz w:val="25"/>
        </w:rPr>
        <w:t>，並 非指「損害」</w:t>
      </w:r>
      <w:r>
        <w:rPr>
          <w:rFonts w:ascii="Times New Roman" w:eastAsia="Times New Roman"/>
          <w:spacing w:val="-6"/>
          <w:w w:val="90"/>
          <w:sz w:val="29"/>
        </w:rPr>
        <w:t>( </w:t>
      </w:r>
      <w:r>
        <w:rPr>
          <w:rFonts w:ascii="Times New Roman" w:eastAsia="Times New Roman"/>
          <w:w w:val="90"/>
          <w:sz w:val="29"/>
        </w:rPr>
        <w:t>Bee</w:t>
      </w:r>
      <w:r>
        <w:rPr>
          <w:rFonts w:ascii="Times New Roman" w:eastAsia="Times New Roman"/>
          <w:spacing w:val="4"/>
          <w:w w:val="90"/>
          <w:sz w:val="29"/>
        </w:rPr>
        <w:t> </w:t>
      </w:r>
      <w:r>
        <w:rPr>
          <w:rFonts w:ascii="Times New Roman" w:eastAsia="Times New Roman"/>
          <w:w w:val="90"/>
          <w:sz w:val="29"/>
        </w:rPr>
        <w:t>i</w:t>
      </w:r>
      <w:r>
        <w:rPr>
          <w:rFonts w:ascii="Times New Roman" w:eastAsia="Times New Roman"/>
          <w:spacing w:val="8"/>
          <w:w w:val="90"/>
          <w:sz w:val="29"/>
        </w:rPr>
        <w:t> </w:t>
      </w:r>
      <w:r>
        <w:rPr>
          <w:rFonts w:ascii="Times New Roman" w:eastAsia="Times New Roman"/>
          <w:w w:val="90"/>
          <w:sz w:val="29"/>
        </w:rPr>
        <w:t>nt</w:t>
      </w:r>
      <w:r>
        <w:rPr>
          <w:rFonts w:ascii="Times New Roman" w:eastAsia="Times New Roman"/>
          <w:spacing w:val="36"/>
          <w:w w:val="90"/>
          <w:sz w:val="29"/>
        </w:rPr>
        <w:t> </w:t>
      </w:r>
      <w:r>
        <w:rPr>
          <w:rFonts w:ascii="Times New Roman" w:eastAsia="Times New Roman"/>
          <w:w w:val="90"/>
          <w:sz w:val="29"/>
        </w:rPr>
        <w:t>r</w:t>
      </w:r>
      <w:r>
        <w:rPr>
          <w:rFonts w:ascii="Times New Roman" w:eastAsia="Times New Roman"/>
          <w:spacing w:val="-19"/>
          <w:w w:val="90"/>
          <w:sz w:val="29"/>
        </w:rPr>
        <w:t> </w:t>
      </w:r>
      <w:r>
        <w:rPr>
          <w:rFonts w:ascii="Times New Roman" w:eastAsia="Times New Roman"/>
          <w:w w:val="90"/>
          <w:sz w:val="29"/>
        </w:rPr>
        <w:t>acht</w:t>
      </w:r>
      <w:r>
        <w:rPr>
          <w:rFonts w:ascii="Times New Roman" w:eastAsia="Times New Roman"/>
          <w:spacing w:val="-12"/>
          <w:w w:val="90"/>
          <w:sz w:val="29"/>
        </w:rPr>
        <w:t> </w:t>
      </w:r>
      <w:r>
        <w:rPr>
          <w:rFonts w:ascii="Times New Roman" w:eastAsia="Times New Roman"/>
          <w:w w:val="90"/>
          <w:sz w:val="29"/>
        </w:rPr>
        <w:t>ugung</w:t>
      </w:r>
      <w:r>
        <w:rPr>
          <w:rFonts w:ascii="Times New Roman" w:eastAsia="Times New Roman"/>
          <w:spacing w:val="3"/>
          <w:w w:val="90"/>
          <w:sz w:val="29"/>
        </w:rPr>
        <w:t> )</w:t>
      </w:r>
      <w:r>
        <w:rPr>
          <w:rFonts w:ascii="Times New Roman" w:eastAsia="Times New Roman"/>
          <w:spacing w:val="96"/>
          <w:sz w:val="29"/>
        </w:rPr>
        <w:t> </w:t>
      </w:r>
      <w:r>
        <w:rPr>
          <w:w w:val="90"/>
          <w:sz w:val="25"/>
        </w:rPr>
        <w:t>之意 。第三 人之法</w:t>
      </w:r>
      <w:r>
        <w:rPr>
          <w:spacing w:val="3"/>
          <w:sz w:val="25"/>
        </w:rPr>
        <w:t>律上利益未必因行 政程序之結果而受侵 害 </w:t>
      </w:r>
      <w:r>
        <w:rPr>
          <w:rFonts w:ascii="Times New Roman" w:eastAsia="Times New Roman"/>
          <w:spacing w:val="-12"/>
          <w:sz w:val="29"/>
        </w:rPr>
        <w:t>( </w:t>
      </w:r>
      <w:r>
        <w:rPr>
          <w:rFonts w:ascii="Times New Roman" w:eastAsia="Times New Roman"/>
          <w:sz w:val="29"/>
        </w:rPr>
        <w:t>ver</w:t>
      </w:r>
      <w:r>
        <w:rPr>
          <w:rFonts w:ascii="Times New Roman" w:eastAsia="Times New Roman"/>
          <w:spacing w:val="10"/>
          <w:sz w:val="29"/>
        </w:rPr>
        <w:t> </w:t>
      </w:r>
      <w:r>
        <w:rPr>
          <w:rFonts w:ascii="Times New Roman" w:eastAsia="Times New Roman"/>
          <w:sz w:val="29"/>
        </w:rPr>
        <w:t>1etztw</w:t>
      </w:r>
      <w:r>
        <w:rPr>
          <w:rFonts w:ascii="Times New Roman" w:eastAsia="Times New Roman"/>
          <w:spacing w:val="28"/>
          <w:sz w:val="29"/>
        </w:rPr>
        <w:t> </w:t>
      </w:r>
      <w:r>
        <w:rPr>
          <w:rFonts w:ascii="Times New Roman" w:eastAsia="Times New Roman"/>
          <w:sz w:val="29"/>
        </w:rPr>
        <w:t>er</w:t>
      </w:r>
      <w:r>
        <w:rPr>
          <w:rFonts w:ascii="Times New Roman" w:eastAsia="Times New Roman"/>
          <w:spacing w:val="-28"/>
          <w:sz w:val="29"/>
        </w:rPr>
        <w:t> </w:t>
      </w:r>
      <w:r>
        <w:rPr>
          <w:rFonts w:ascii="Times New Roman" w:eastAsia="Times New Roman"/>
          <w:sz w:val="29"/>
        </w:rPr>
        <w:t>den</w:t>
      </w:r>
      <w:r>
        <w:rPr>
          <w:rFonts w:ascii="Times New Roman" w:eastAsia="Times New Roman"/>
          <w:spacing w:val="4"/>
          <w:sz w:val="29"/>
        </w:rPr>
        <w:t> ) </w:t>
      </w:r>
      <w:r>
        <w:rPr>
          <w:spacing w:val="-33"/>
          <w:w w:val="95"/>
          <w:sz w:val="25"/>
        </w:rPr>
        <w:t>， </w:t>
      </w:r>
      <w:r>
        <w:rPr>
          <w:spacing w:val="-13"/>
          <w:sz w:val="25"/>
        </w:rPr>
        <w:t>或者 受危</w:t>
      </w:r>
      <w:r>
        <w:rPr>
          <w:spacing w:val="-12"/>
          <w:sz w:val="25"/>
        </w:rPr>
        <w:t>害 </w:t>
      </w:r>
      <w:r>
        <w:rPr>
          <w:rFonts w:ascii="Times New Roman" w:eastAsia="Times New Roman"/>
          <w:spacing w:val="-5"/>
          <w:sz w:val="29"/>
        </w:rPr>
        <w:t>( </w:t>
      </w:r>
      <w:r>
        <w:rPr>
          <w:rFonts w:ascii="Times New Roman" w:eastAsia="Times New Roman"/>
          <w:sz w:val="29"/>
        </w:rPr>
        <w:t>gef</w:t>
      </w:r>
      <w:r>
        <w:rPr>
          <w:rFonts w:ascii="Times New Roman" w:eastAsia="Times New Roman"/>
          <w:spacing w:val="-28"/>
          <w:sz w:val="29"/>
        </w:rPr>
        <w:t> </w:t>
      </w:r>
      <w:r>
        <w:rPr>
          <w:rFonts w:ascii="Times New Roman" w:eastAsia="Times New Roman"/>
          <w:sz w:val="29"/>
        </w:rPr>
        <w:t>ahrde</w:t>
      </w:r>
      <w:r>
        <w:rPr>
          <w:rFonts w:ascii="Times New Roman" w:eastAsia="Times New Roman"/>
          <w:spacing w:val="-37"/>
          <w:sz w:val="29"/>
        </w:rPr>
        <w:t> </w:t>
      </w:r>
      <w:r>
        <w:rPr>
          <w:rFonts w:ascii="Times New Roman" w:eastAsia="Times New Roman"/>
          <w:sz w:val="29"/>
        </w:rPr>
        <w:t>tw</w:t>
      </w:r>
      <w:r>
        <w:rPr>
          <w:rFonts w:ascii="Times New Roman" w:eastAsia="Times New Roman"/>
          <w:spacing w:val="29"/>
          <w:sz w:val="29"/>
        </w:rPr>
        <w:t> </w:t>
      </w:r>
      <w:r>
        <w:rPr>
          <w:rFonts w:ascii="Times New Roman" w:eastAsia="Times New Roman"/>
          <w:sz w:val="29"/>
        </w:rPr>
        <w:t>er</w:t>
      </w:r>
      <w:r>
        <w:rPr>
          <w:rFonts w:ascii="Times New Roman" w:eastAsia="Times New Roman"/>
          <w:spacing w:val="-26"/>
          <w:sz w:val="29"/>
        </w:rPr>
        <w:t> </w:t>
      </w:r>
      <w:r>
        <w:rPr>
          <w:rFonts w:ascii="Times New Roman" w:eastAsia="Times New Roman"/>
          <w:sz w:val="29"/>
        </w:rPr>
        <w:t>den</w:t>
      </w:r>
      <w:r>
        <w:rPr>
          <w:rFonts w:ascii="Times New Roman" w:eastAsia="Times New Roman"/>
          <w:spacing w:val="-7"/>
          <w:sz w:val="29"/>
        </w:rPr>
        <w:t> ) </w:t>
      </w:r>
      <w:r>
        <w:rPr>
          <w:spacing w:val="6"/>
          <w:sz w:val="25"/>
        </w:rPr>
        <w:t>。其法律上利益如因行 政程序之結果將獲得提升 </w:t>
      </w:r>
      <w:r>
        <w:rPr>
          <w:w w:val="95"/>
          <w:sz w:val="25"/>
        </w:rPr>
        <w:t>，</w:t>
      </w:r>
      <w:r>
        <w:rPr>
          <w:spacing w:val="-116"/>
          <w:w w:val="95"/>
          <w:sz w:val="25"/>
        </w:rPr>
        <w:t> </w:t>
      </w:r>
      <w:r>
        <w:rPr>
          <w:w w:val="105"/>
          <w:sz w:val="25"/>
        </w:rPr>
        <w:t>亦屬之。</w:t>
      </w:r>
    </w:p>
    <w:p>
      <w:pPr>
        <w:pStyle w:val="BodyText"/>
        <w:spacing w:line="328" w:lineRule="auto" w:before="27"/>
        <w:ind w:left="303" w:right="528" w:firstLine="590"/>
      </w:pPr>
      <w:r>
        <w:rPr>
          <w:w w:val="110"/>
        </w:rPr>
        <w:t>第三人具備上述參加程序之要件時，並非當然擁有參加程序之請求</w:t>
      </w:r>
      <w:r>
        <w:rPr>
          <w:spacing w:val="1"/>
          <w:w w:val="110"/>
        </w:rPr>
        <w:t> </w:t>
      </w:r>
      <w:r>
        <w:rPr>
          <w:w w:val="110"/>
        </w:rPr>
        <w:t>權，是否准許其參加或依職權通知其參加，仍需由行政機關依合義務之裁</w:t>
      </w:r>
    </w:p>
    <w:p>
      <w:pPr>
        <w:spacing w:after="0" w:line="328" w:lineRule="auto"/>
        <w:sectPr>
          <w:headerReference w:type="default" r:id="rId302"/>
          <w:footerReference w:type="default" r:id="rId303"/>
          <w:pgSz w:w="11910" w:h="16840"/>
          <w:pgMar w:header="862" w:footer="1017" w:top="1060" w:bottom="1200" w:left="1120" w:right="1060"/>
        </w:sectPr>
      </w:pPr>
    </w:p>
    <w:p>
      <w:pPr>
        <w:spacing w:line="337" w:lineRule="exact" w:before="0"/>
        <w:ind w:left="321" w:right="0" w:firstLine="0"/>
        <w:jc w:val="left"/>
        <w:rPr>
          <w:rFonts w:ascii="Times New Roman" w:eastAsia="Times New Roman"/>
          <w:sz w:val="29"/>
        </w:rPr>
      </w:pPr>
      <w:r>
        <w:rPr>
          <w:w w:val="89"/>
          <w:sz w:val="27"/>
        </w:rPr>
        <w:t>量</w:t>
      </w:r>
      <w:r>
        <w:rPr>
          <w:spacing w:val="17"/>
          <w:sz w:val="27"/>
        </w:rPr>
        <w:t> </w:t>
      </w:r>
      <w:r>
        <w:rPr>
          <w:rFonts w:ascii="Times New Roman" w:eastAsia="Times New Roman"/>
          <w:w w:val="108"/>
          <w:sz w:val="29"/>
        </w:rPr>
        <w:t>(</w:t>
      </w:r>
      <w:r>
        <w:rPr>
          <w:rFonts w:ascii="Times New Roman" w:eastAsia="Times New Roman"/>
          <w:spacing w:val="-20"/>
          <w:sz w:val="29"/>
        </w:rPr>
        <w:t> </w:t>
      </w:r>
      <w:r>
        <w:rPr>
          <w:rFonts w:ascii="Times New Roman" w:eastAsia="Times New Roman"/>
          <w:w w:val="93"/>
          <w:sz w:val="29"/>
        </w:rPr>
        <w:t>pf</w:t>
      </w:r>
      <w:r>
        <w:rPr>
          <w:rFonts w:ascii="Times New Roman" w:eastAsia="Times New Roman"/>
          <w:sz w:val="29"/>
        </w:rPr>
        <w:t> </w:t>
      </w:r>
      <w:r>
        <w:rPr>
          <w:rFonts w:ascii="Times New Roman" w:eastAsia="Times New Roman"/>
          <w:w w:val="107"/>
          <w:sz w:val="29"/>
        </w:rPr>
        <w:t>l</w:t>
      </w:r>
      <w:r>
        <w:rPr>
          <w:rFonts w:ascii="Times New Roman" w:eastAsia="Times New Roman"/>
          <w:spacing w:val="-20"/>
          <w:sz w:val="29"/>
        </w:rPr>
        <w:t> </w:t>
      </w:r>
      <w:r>
        <w:rPr>
          <w:rFonts w:ascii="Times New Roman" w:eastAsia="Times New Roman"/>
          <w:spacing w:val="27"/>
          <w:w w:val="107"/>
          <w:sz w:val="29"/>
        </w:rPr>
        <w:t>i</w:t>
      </w:r>
      <w:r>
        <w:rPr>
          <w:rFonts w:ascii="Times New Roman" w:eastAsia="Times New Roman"/>
          <w:spacing w:val="-1"/>
          <w:w w:val="107"/>
          <w:sz w:val="29"/>
        </w:rPr>
        <w:t>ch</w:t>
      </w:r>
      <w:r>
        <w:rPr>
          <w:rFonts w:ascii="Times New Roman" w:eastAsia="Times New Roman"/>
          <w:w w:val="107"/>
          <w:sz w:val="29"/>
        </w:rPr>
        <w:t>t</w:t>
      </w:r>
      <w:r>
        <w:rPr>
          <w:rFonts w:ascii="Times New Roman" w:eastAsia="Times New Roman"/>
          <w:spacing w:val="-32"/>
          <w:sz w:val="29"/>
        </w:rPr>
        <w:t> </w:t>
      </w:r>
      <w:r>
        <w:rPr>
          <w:rFonts w:ascii="Times New Roman" w:eastAsia="Times New Roman"/>
          <w:w w:val="101"/>
          <w:sz w:val="29"/>
        </w:rPr>
        <w:t>ge</w:t>
      </w:r>
      <w:r>
        <w:rPr>
          <w:rFonts w:ascii="Times New Roman" w:eastAsia="Times New Roman"/>
          <w:spacing w:val="-84"/>
          <w:w w:val="101"/>
          <w:sz w:val="29"/>
        </w:rPr>
        <w:t>m</w:t>
      </w:r>
      <w:r>
        <w:rPr>
          <w:rFonts w:ascii="Times New Roman" w:eastAsia="Times New Roman"/>
          <w:w w:val="108"/>
          <w:sz w:val="29"/>
        </w:rPr>
        <w:t>a</w:t>
      </w:r>
      <w:r>
        <w:rPr>
          <w:rFonts w:ascii="Times New Roman" w:eastAsia="Times New Roman"/>
          <w:spacing w:val="-9"/>
          <w:w w:val="81"/>
          <w:sz w:val="29"/>
        </w:rPr>
        <w:t>B</w:t>
      </w:r>
      <w:r>
        <w:rPr>
          <w:rFonts w:ascii="Times New Roman" w:eastAsia="Times New Roman"/>
          <w:spacing w:val="-1"/>
          <w:w w:val="107"/>
          <w:sz w:val="29"/>
        </w:rPr>
        <w:t>e</w:t>
      </w:r>
      <w:r>
        <w:rPr>
          <w:rFonts w:ascii="Times New Roman" w:eastAsia="Times New Roman"/>
          <w:w w:val="107"/>
          <w:sz w:val="29"/>
        </w:rPr>
        <w:t>s</w:t>
      </w:r>
      <w:r>
        <w:rPr>
          <w:rFonts w:ascii="Times New Roman" w:eastAsia="Times New Roman"/>
          <w:spacing w:val="7"/>
          <w:sz w:val="29"/>
        </w:rPr>
        <w:t>  </w:t>
      </w:r>
      <w:r>
        <w:rPr>
          <w:rFonts w:ascii="Times New Roman" w:eastAsia="Times New Roman"/>
          <w:spacing w:val="-25"/>
          <w:w w:val="77"/>
          <w:sz w:val="29"/>
        </w:rPr>
        <w:t>E</w:t>
      </w:r>
      <w:r>
        <w:rPr>
          <w:rFonts w:ascii="Times New Roman" w:eastAsia="Times New Roman"/>
          <w:spacing w:val="-216"/>
          <w:w w:val="102"/>
          <w:sz w:val="29"/>
        </w:rPr>
        <w:t>m</w:t>
      </w:r>
      <w:r>
        <w:rPr>
          <w:rFonts w:ascii="Times New Roman" w:eastAsia="Times New Roman"/>
          <w:spacing w:val="-6"/>
          <w:w w:val="77"/>
          <w:sz w:val="29"/>
        </w:rPr>
        <w:t>r</w:t>
      </w:r>
    </w:p>
    <w:p>
      <w:pPr>
        <w:spacing w:line="331" w:lineRule="exact" w:before="0"/>
        <w:ind w:left="172" w:right="0" w:firstLine="0"/>
        <w:jc w:val="left"/>
        <w:rPr>
          <w:sz w:val="25"/>
        </w:rPr>
      </w:pPr>
      <w:r>
        <w:rPr/>
        <w:br w:type="column"/>
      </w:r>
      <w:r>
        <w:rPr>
          <w:rFonts w:ascii="Times New Roman" w:eastAsia="Times New Roman"/>
          <w:sz w:val="29"/>
        </w:rPr>
        <w:t>es</w:t>
      </w:r>
      <w:r>
        <w:rPr>
          <w:rFonts w:ascii="Times New Roman" w:eastAsia="Times New Roman"/>
          <w:spacing w:val="-37"/>
          <w:sz w:val="29"/>
        </w:rPr>
        <w:t> </w:t>
      </w:r>
      <w:r>
        <w:rPr>
          <w:rFonts w:ascii="Times New Roman" w:eastAsia="Times New Roman"/>
          <w:spacing w:val="10"/>
          <w:sz w:val="29"/>
        </w:rPr>
        <w:t>sen</w:t>
      </w:r>
      <w:r>
        <w:rPr>
          <w:rFonts w:ascii="Times New Roman" w:eastAsia="Times New Roman"/>
          <w:spacing w:val="27"/>
          <w:sz w:val="29"/>
        </w:rPr>
        <w:t> ) </w:t>
      </w:r>
      <w:r>
        <w:rPr>
          <w:sz w:val="25"/>
        </w:rPr>
        <w:t>決定之 。</w:t>
      </w:r>
    </w:p>
    <w:p>
      <w:pPr>
        <w:pStyle w:val="BodyText"/>
        <w:spacing w:before="198"/>
        <w:ind w:left="971"/>
      </w:pPr>
      <w:r>
        <w:rPr>
          <w:w w:val="125"/>
        </w:rPr>
        <w:t>二必要參加</w:t>
      </w:r>
    </w:p>
    <w:p>
      <w:pPr>
        <w:spacing w:after="0"/>
        <w:sectPr>
          <w:type w:val="continuous"/>
          <w:pgSz w:w="11910" w:h="16840"/>
          <w:pgMar w:top="1020" w:bottom="280" w:left="1120" w:right="1060"/>
          <w:cols w:num="2" w:equalWidth="0">
            <w:col w:w="3181" w:space="40"/>
            <w:col w:w="6509"/>
          </w:cols>
        </w:sectPr>
      </w:pPr>
    </w:p>
    <w:p>
      <w:pPr>
        <w:pStyle w:val="BodyText"/>
        <w:spacing w:before="8"/>
        <w:rPr>
          <w:sz w:val="14"/>
        </w:rPr>
      </w:pPr>
    </w:p>
    <w:p>
      <w:pPr>
        <w:spacing w:line="324" w:lineRule="auto" w:before="88"/>
        <w:ind w:left="301" w:right="397" w:firstLine="562"/>
        <w:jc w:val="left"/>
        <w:rPr>
          <w:sz w:val="25"/>
        </w:rPr>
      </w:pPr>
      <w:r>
        <w:rPr>
          <w:spacing w:val="5"/>
          <w:sz w:val="25"/>
        </w:rPr>
        <w:t>德國行 政程序法第 </w:t>
      </w:r>
      <w:r>
        <w:rPr>
          <w:rFonts w:ascii="Times New Roman" w:eastAsia="Times New Roman"/>
          <w:sz w:val="31"/>
        </w:rPr>
        <w:t>13</w:t>
      </w:r>
      <w:r>
        <w:rPr>
          <w:rFonts w:ascii="Times New Roman" w:eastAsia="Times New Roman"/>
          <w:spacing w:val="-8"/>
          <w:sz w:val="31"/>
        </w:rPr>
        <w:t> </w:t>
      </w:r>
      <w:r>
        <w:rPr>
          <w:spacing w:val="8"/>
          <w:sz w:val="25"/>
        </w:rPr>
        <w:t>條第 </w:t>
      </w:r>
      <w:r>
        <w:rPr>
          <w:rFonts w:ascii="Times New Roman" w:eastAsia="Times New Roman"/>
          <w:sz w:val="31"/>
        </w:rPr>
        <w:t>2</w:t>
      </w:r>
      <w:r>
        <w:rPr>
          <w:rFonts w:ascii="Times New Roman" w:eastAsia="Times New Roman"/>
          <w:spacing w:val="15"/>
          <w:sz w:val="31"/>
        </w:rPr>
        <w:t> </w:t>
      </w:r>
      <w:r>
        <w:rPr>
          <w:spacing w:val="20"/>
          <w:sz w:val="25"/>
        </w:rPr>
        <w:t>項後段規定：</w:t>
      </w:r>
      <w:r>
        <w:rPr>
          <w:spacing w:val="-12"/>
          <w:sz w:val="25"/>
        </w:rPr>
        <w:t>「行政程序之結果對於 第三</w:t>
      </w:r>
      <w:r>
        <w:rPr>
          <w:sz w:val="25"/>
        </w:rPr>
        <w:t>人有權利塑成之效力時，行政機關應依其罄請通知其參加行政程序；行政     </w:t>
      </w:r>
      <w:r>
        <w:rPr>
          <w:spacing w:val="33"/>
          <w:sz w:val="25"/>
        </w:rPr>
        <w:t> </w:t>
      </w:r>
      <w:r>
        <w:rPr>
          <w:sz w:val="25"/>
        </w:rPr>
        <w:t>機關知悉有此第三人時，應將行政程序開始之事實通知該第三人」。此即     </w:t>
      </w:r>
      <w:r>
        <w:rPr>
          <w:spacing w:val="3"/>
          <w:sz w:val="25"/>
        </w:rPr>
        <w:t> </w:t>
      </w:r>
      <w:r>
        <w:rPr>
          <w:spacing w:val="4"/>
          <w:sz w:val="25"/>
        </w:rPr>
        <w:t>德國行 政程序法上之「必要參加」</w:t>
      </w:r>
      <w:r>
        <w:rPr>
          <w:rFonts w:ascii="Times New Roman" w:eastAsia="Times New Roman"/>
          <w:spacing w:val="-15"/>
          <w:sz w:val="29"/>
        </w:rPr>
        <w:t>( </w:t>
      </w:r>
      <w:r>
        <w:rPr>
          <w:rFonts w:ascii="Times New Roman" w:eastAsia="Times New Roman"/>
          <w:spacing w:val="17"/>
          <w:sz w:val="29"/>
        </w:rPr>
        <w:t>die</w:t>
      </w:r>
      <w:r>
        <w:rPr>
          <w:rFonts w:ascii="Times New Roman" w:eastAsia="Times New Roman"/>
          <w:spacing w:val="3"/>
          <w:sz w:val="29"/>
        </w:rPr>
        <w:t> </w:t>
      </w:r>
      <w:r>
        <w:rPr>
          <w:rFonts w:ascii="Times New Roman" w:eastAsia="Times New Roman"/>
          <w:sz w:val="29"/>
        </w:rPr>
        <w:t>notwendige</w:t>
      </w:r>
      <w:r>
        <w:rPr>
          <w:rFonts w:ascii="Times New Roman" w:eastAsia="Times New Roman"/>
          <w:spacing w:val="18"/>
          <w:sz w:val="29"/>
        </w:rPr>
        <w:t> </w:t>
      </w:r>
      <w:r>
        <w:rPr>
          <w:rFonts w:ascii="Times New Roman" w:eastAsia="Times New Roman"/>
          <w:sz w:val="29"/>
        </w:rPr>
        <w:t>Hi</w:t>
      </w:r>
      <w:r>
        <w:rPr>
          <w:rFonts w:ascii="Times New Roman" w:eastAsia="Times New Roman"/>
          <w:spacing w:val="27"/>
          <w:sz w:val="29"/>
        </w:rPr>
        <w:t> </w:t>
      </w:r>
      <w:r>
        <w:rPr>
          <w:rFonts w:ascii="Times New Roman" w:eastAsia="Times New Roman"/>
          <w:sz w:val="29"/>
        </w:rPr>
        <w:t>nzuz</w:t>
      </w:r>
      <w:r>
        <w:rPr>
          <w:rFonts w:ascii="Times New Roman" w:eastAsia="Times New Roman"/>
          <w:spacing w:val="25"/>
          <w:sz w:val="29"/>
        </w:rPr>
        <w:t> </w:t>
      </w:r>
      <w:r>
        <w:rPr>
          <w:rFonts w:ascii="Times New Roman" w:eastAsia="Times New Roman"/>
          <w:sz w:val="29"/>
        </w:rPr>
        <w:t>i</w:t>
      </w:r>
      <w:r>
        <w:rPr>
          <w:rFonts w:ascii="Times New Roman" w:eastAsia="Times New Roman"/>
          <w:spacing w:val="-43"/>
          <w:sz w:val="29"/>
        </w:rPr>
        <w:t> </w:t>
      </w:r>
      <w:r>
        <w:rPr>
          <w:rFonts w:ascii="Times New Roman" w:eastAsia="Times New Roman"/>
          <w:sz w:val="29"/>
        </w:rPr>
        <w:t>ehung</w:t>
      </w:r>
      <w:r>
        <w:rPr>
          <w:rFonts w:ascii="Times New Roman" w:eastAsia="Times New Roman"/>
          <w:spacing w:val="4"/>
          <w:sz w:val="29"/>
        </w:rPr>
        <w:t> ) </w:t>
      </w:r>
      <w:r>
        <w:rPr>
          <w:spacing w:val="-6"/>
          <w:sz w:val="25"/>
        </w:rPr>
        <w:t>制度 。</w:t>
      </w:r>
    </w:p>
    <w:p>
      <w:pPr>
        <w:pStyle w:val="BodyText"/>
        <w:spacing w:line="311" w:lineRule="exact"/>
        <w:ind w:left="869"/>
      </w:pPr>
      <w:r>
        <w:rPr>
          <w:w w:val="110"/>
        </w:rPr>
        <w:t>所謂行政程序之結果對於第三人有「權利塑成之效力」</w:t>
      </w:r>
    </w:p>
    <w:p>
      <w:pPr>
        <w:pStyle w:val="BodyText"/>
        <w:rPr>
          <w:sz w:val="24"/>
        </w:rPr>
      </w:pPr>
    </w:p>
    <w:p>
      <w:pPr>
        <w:pStyle w:val="BodyText"/>
        <w:rPr>
          <w:sz w:val="24"/>
        </w:rPr>
      </w:pPr>
    </w:p>
    <w:p>
      <w:pPr>
        <w:pStyle w:val="BodyText"/>
        <w:spacing w:before="12"/>
        <w:rPr>
          <w:sz w:val="20"/>
        </w:rPr>
      </w:pPr>
    </w:p>
    <w:p>
      <w:pPr>
        <w:pStyle w:val="Heading6"/>
        <w:spacing w:before="0"/>
        <w:ind w:left="508"/>
      </w:pPr>
      <w:r>
        <w:rPr/>
        <w:pict>
          <v:line style="position:absolute;mso-position-horizontal-relative:page;mso-position-vertical-relative:paragraph;z-index:15804928" from="95.174004pt,-11.650504pt" to="549.89426pt,-11.650504pt" stroked="true" strokeweight=".480547pt" strokecolor="#000000">
            <v:stroke dashstyle="solid"/>
            <w10:wrap type="none"/>
          </v:line>
        </w:pict>
      </w:r>
      <w:r>
        <w:rPr/>
        <w:t>32.</w:t>
      </w:r>
    </w:p>
    <w:p>
      <w:pPr>
        <w:pStyle w:val="BodyText"/>
        <w:spacing w:before="23"/>
        <w:ind w:left="298"/>
        <w:rPr>
          <w:rFonts w:ascii="Times New Roman" w:hAnsi="Times New Roman"/>
        </w:rPr>
      </w:pPr>
      <w:r>
        <w:rPr>
          <w:rFonts w:ascii="Times New Roman" w:hAnsi="Times New Roman"/>
          <w:position w:val="8"/>
          <w:sz w:val="13"/>
        </w:rPr>
        <w:t>20</w:t>
      </w:r>
      <w:r>
        <w:rPr>
          <w:rFonts w:ascii="Times New Roman" w:hAnsi="Times New Roman"/>
          <w:spacing w:val="24"/>
          <w:position w:val="8"/>
          <w:sz w:val="13"/>
        </w:rPr>
        <w:t> </w:t>
      </w:r>
      <w:r>
        <w:rPr>
          <w:rFonts w:ascii="Times New Roman" w:hAnsi="Times New Roman"/>
        </w:rPr>
        <w:t>Stelkens/Bonk/Sachs,</w:t>
      </w:r>
      <w:r>
        <w:rPr>
          <w:rFonts w:ascii="Times New Roman" w:hAnsi="Times New Roman"/>
          <w:spacing w:val="103"/>
        </w:rPr>
        <w:t> </w:t>
      </w:r>
      <w:r>
        <w:rPr>
          <w:rFonts w:ascii="Times New Roman" w:hAnsi="Times New Roman"/>
        </w:rPr>
        <w:t>Verwal</w:t>
      </w:r>
      <w:r>
        <w:rPr>
          <w:rFonts w:ascii="Times New Roman" w:hAnsi="Times New Roman"/>
          <w:spacing w:val="-4"/>
        </w:rPr>
        <w:t> </w:t>
      </w:r>
      <w:r>
        <w:rPr>
          <w:rFonts w:ascii="Times New Roman" w:hAnsi="Times New Roman"/>
        </w:rPr>
        <w:t>tungsverfahrensgesetz,</w:t>
      </w:r>
      <w:r>
        <w:rPr>
          <w:rFonts w:ascii="Times New Roman" w:hAnsi="Times New Roman"/>
          <w:spacing w:val="98"/>
        </w:rPr>
        <w:t> </w:t>
      </w:r>
      <w:r>
        <w:rPr>
          <w:rFonts w:ascii="Times New Roman" w:hAnsi="Times New Roman"/>
        </w:rPr>
        <w:t>7.</w:t>
      </w:r>
      <w:r>
        <w:rPr>
          <w:rFonts w:ascii="Times New Roman" w:hAnsi="Times New Roman"/>
          <w:spacing w:val="96"/>
        </w:rPr>
        <w:t> </w:t>
      </w:r>
      <w:r>
        <w:rPr>
          <w:rFonts w:ascii="Times New Roman" w:hAnsi="Times New Roman"/>
        </w:rPr>
        <w:t>Auflage,</w:t>
      </w:r>
      <w:r>
        <w:rPr>
          <w:rFonts w:ascii="Times New Roman" w:hAnsi="Times New Roman"/>
          <w:spacing w:val="123"/>
        </w:rPr>
        <w:t> </w:t>
      </w:r>
      <w:r>
        <w:rPr>
          <w:rFonts w:ascii="Times New Roman" w:hAnsi="Times New Roman"/>
        </w:rPr>
        <w:t>2008,</w:t>
      </w:r>
      <w:r>
        <w:rPr>
          <w:rFonts w:ascii="Times New Roman" w:hAnsi="Times New Roman"/>
          <w:spacing w:val="93"/>
        </w:rPr>
        <w:t> </w:t>
      </w:r>
      <w:r>
        <w:rPr>
          <w:rFonts w:ascii="Times New Roman" w:hAnsi="Times New Roman"/>
        </w:rPr>
        <w:t>§13</w:t>
      </w:r>
      <w:r>
        <w:rPr>
          <w:rFonts w:ascii="Times New Roman" w:hAnsi="Times New Roman"/>
          <w:spacing w:val="12"/>
        </w:rPr>
        <w:t> </w:t>
      </w:r>
      <w:r>
        <w:rPr>
          <w:rFonts w:ascii="Times New Roman" w:hAnsi="Times New Roman"/>
        </w:rPr>
        <w:t>Rn.</w:t>
      </w:r>
    </w:p>
    <w:p>
      <w:pPr>
        <w:pStyle w:val="Heading6"/>
        <w:spacing w:before="15"/>
        <w:ind w:left="508"/>
      </w:pPr>
      <w:r>
        <w:rPr/>
        <w:t>34.</w:t>
      </w:r>
    </w:p>
    <w:p>
      <w:pPr>
        <w:spacing w:after="0"/>
        <w:sectPr>
          <w:type w:val="continuous"/>
          <w:pgSz w:w="11910" w:h="16840"/>
          <w:pgMar w:top="1020" w:bottom="280" w:left="1120" w:right="1060"/>
        </w:sectPr>
      </w:pPr>
    </w:p>
    <w:p>
      <w:pPr>
        <w:pStyle w:val="BodyText"/>
        <w:spacing w:before="7"/>
        <w:rPr>
          <w:rFonts w:ascii="Times New Roman"/>
          <w:sz w:val="29"/>
        </w:rPr>
      </w:pPr>
    </w:p>
    <w:p>
      <w:pPr>
        <w:spacing w:line="314" w:lineRule="auto" w:before="89"/>
        <w:ind w:left="316" w:right="565" w:firstLine="114"/>
        <w:jc w:val="left"/>
        <w:rPr>
          <w:sz w:val="25"/>
        </w:rPr>
      </w:pPr>
      <w:r>
        <w:rPr>
          <w:rFonts w:ascii="Times New Roman" w:eastAsia="Times New Roman"/>
          <w:w w:val="105"/>
          <w:sz w:val="28"/>
        </w:rPr>
        <w:t>(rechtsgestal</w:t>
      </w:r>
      <w:r>
        <w:rPr>
          <w:rFonts w:ascii="Times New Roman" w:eastAsia="Times New Roman"/>
          <w:spacing w:val="7"/>
          <w:w w:val="105"/>
          <w:sz w:val="28"/>
        </w:rPr>
        <w:t> </w:t>
      </w:r>
      <w:r>
        <w:rPr>
          <w:rFonts w:ascii="Times New Roman" w:eastAsia="Times New Roman"/>
          <w:w w:val="105"/>
          <w:sz w:val="28"/>
        </w:rPr>
        <w:t>tende</w:t>
      </w:r>
      <w:r>
        <w:rPr>
          <w:rFonts w:ascii="Times New Roman" w:eastAsia="Times New Roman"/>
          <w:spacing w:val="20"/>
          <w:w w:val="105"/>
          <w:sz w:val="28"/>
        </w:rPr>
        <w:t> </w:t>
      </w:r>
      <w:r>
        <w:rPr>
          <w:rFonts w:ascii="Times New Roman" w:eastAsia="Times New Roman"/>
          <w:w w:val="80"/>
          <w:sz w:val="28"/>
        </w:rPr>
        <w:t>Wi</w:t>
      </w:r>
      <w:r>
        <w:rPr>
          <w:rFonts w:ascii="Times New Roman" w:eastAsia="Times New Roman"/>
          <w:spacing w:val="38"/>
          <w:w w:val="80"/>
          <w:sz w:val="28"/>
        </w:rPr>
        <w:t> </w:t>
      </w:r>
      <w:r>
        <w:rPr>
          <w:rFonts w:ascii="Times New Roman" w:eastAsia="Times New Roman"/>
          <w:w w:val="80"/>
          <w:sz w:val="28"/>
        </w:rPr>
        <w:t>r</w:t>
      </w:r>
      <w:r>
        <w:rPr>
          <w:rFonts w:ascii="Times New Roman" w:eastAsia="Times New Roman"/>
          <w:spacing w:val="52"/>
          <w:w w:val="80"/>
          <w:sz w:val="28"/>
        </w:rPr>
        <w:t> </w:t>
      </w:r>
      <w:r>
        <w:rPr>
          <w:rFonts w:ascii="Times New Roman" w:eastAsia="Times New Roman"/>
          <w:sz w:val="28"/>
        </w:rPr>
        <w:t>kung</w:t>
      </w:r>
      <w:r>
        <w:rPr>
          <w:rFonts w:ascii="Times New Roman" w:eastAsia="Times New Roman"/>
          <w:spacing w:val="39"/>
          <w:sz w:val="28"/>
        </w:rPr>
        <w:t> </w:t>
      </w:r>
      <w:r>
        <w:rPr>
          <w:rFonts w:ascii="Times New Roman" w:eastAsia="Times New Roman"/>
          <w:spacing w:val="17"/>
          <w:w w:val="105"/>
          <w:sz w:val="28"/>
        </w:rPr>
        <w:t>) </w:t>
      </w:r>
      <w:r>
        <w:rPr>
          <w:spacing w:val="-25"/>
          <w:w w:val="80"/>
          <w:sz w:val="25"/>
        </w:rPr>
        <w:t>， </w:t>
      </w:r>
      <w:r>
        <w:rPr>
          <w:w w:val="105"/>
          <w:sz w:val="25"/>
        </w:rPr>
        <w:t>係</w:t>
      </w:r>
      <w:r>
        <w:rPr>
          <w:spacing w:val="34"/>
          <w:sz w:val="25"/>
        </w:rPr>
        <w:t>指行</w:t>
      </w:r>
      <w:r>
        <w:rPr>
          <w:spacing w:val="11"/>
          <w:w w:val="105"/>
          <w:sz w:val="25"/>
        </w:rPr>
        <w:t>政程序之結果</w:t>
      </w:r>
      <w:r>
        <w:rPr>
          <w:spacing w:val="21"/>
          <w:sz w:val="25"/>
        </w:rPr>
        <w:t>將創</w:t>
      </w:r>
      <w:r>
        <w:rPr>
          <w:spacing w:val="33"/>
          <w:w w:val="105"/>
          <w:sz w:val="25"/>
        </w:rPr>
        <w:t>設</w:t>
      </w:r>
      <w:r>
        <w:rPr>
          <w:spacing w:val="21"/>
          <w:sz w:val="25"/>
        </w:rPr>
        <w:t>丶變更或廢</w:t>
      </w:r>
      <w:r>
        <w:rPr>
          <w:spacing w:val="22"/>
          <w:w w:val="95"/>
          <w:sz w:val="25"/>
        </w:rPr>
        <w:t>止第三人之權利而言</w:t>
      </w:r>
      <w:r>
        <w:rPr>
          <w:rFonts w:ascii="Times New Roman" w:eastAsia="Times New Roman"/>
          <w:w w:val="80"/>
          <w:sz w:val="15"/>
        </w:rPr>
        <w:t>2</w:t>
      </w:r>
      <w:r>
        <w:rPr>
          <w:rFonts w:ascii="Times New Roman" w:eastAsia="Times New Roman"/>
          <w:spacing w:val="15"/>
          <w:w w:val="80"/>
          <w:sz w:val="15"/>
        </w:rPr>
        <w:t> </w:t>
      </w:r>
      <w:r>
        <w:rPr>
          <w:rFonts w:ascii="Times New Roman" w:eastAsia="Times New Roman"/>
          <w:w w:val="80"/>
          <w:sz w:val="15"/>
        </w:rPr>
        <w:t>1</w:t>
      </w:r>
      <w:r>
        <w:rPr>
          <w:rFonts w:ascii="Times New Roman" w:eastAsia="Times New Roman"/>
          <w:spacing w:val="23"/>
          <w:w w:val="80"/>
          <w:sz w:val="15"/>
        </w:rPr>
        <w:t> </w:t>
      </w:r>
      <w:r>
        <w:rPr>
          <w:spacing w:val="22"/>
          <w:w w:val="80"/>
          <w:sz w:val="25"/>
        </w:rPr>
        <w:t>。 </w:t>
      </w:r>
      <w:r>
        <w:rPr>
          <w:spacing w:val="5"/>
          <w:w w:val="95"/>
          <w:sz w:val="25"/>
        </w:rPr>
        <w:t>尤其附 第三人效力之行 政處分 </w:t>
      </w:r>
      <w:r>
        <w:rPr>
          <w:spacing w:val="-22"/>
          <w:w w:val="80"/>
          <w:sz w:val="25"/>
        </w:rPr>
        <w:t>， </w:t>
      </w:r>
      <w:r>
        <w:rPr>
          <w:spacing w:val="7"/>
          <w:w w:val="95"/>
          <w:sz w:val="25"/>
        </w:rPr>
        <w:t>為其適例 。</w:t>
      </w:r>
    </w:p>
    <w:p>
      <w:pPr>
        <w:pStyle w:val="BodyText"/>
        <w:tabs>
          <w:tab w:pos="2224" w:val="left" w:leader="none"/>
        </w:tabs>
        <w:spacing w:line="321" w:lineRule="auto" w:before="35"/>
        <w:ind w:left="306" w:right="523" w:firstLine="562"/>
        <w:rPr>
          <w:rFonts w:ascii="Arial" w:eastAsia="Arial"/>
          <w:sz w:val="8"/>
        </w:rPr>
      </w:pPr>
      <w:r>
        <w:rPr>
          <w:w w:val="105"/>
        </w:rPr>
        <w:t>合乎上述要件時，行政機關應依該第三人之罄請通知其參加行政程  </w:t>
      </w:r>
      <w:r>
        <w:rPr>
          <w:spacing w:val="71"/>
          <w:w w:val="105"/>
        </w:rPr>
        <w:t> </w:t>
      </w:r>
      <w:r>
        <w:rPr>
          <w:w w:val="105"/>
        </w:rPr>
        <w:t>序。為使該將受行政程序権利塑成效力影響之第三人知悉該行政程序，以</w:t>
      </w:r>
      <w:r>
        <w:rPr>
          <w:spacing w:val="108"/>
          <w:w w:val="105"/>
        </w:rPr>
        <w:t> </w:t>
      </w:r>
      <w:r>
        <w:rPr>
          <w:w w:val="105"/>
        </w:rPr>
        <w:t>利其提出申請，行政機關於知悉有此第三人時，應將行政程序開始之事實</w:t>
      </w:r>
      <w:r>
        <w:rPr>
          <w:spacing w:val="120"/>
          <w:w w:val="105"/>
        </w:rPr>
        <w:t> </w:t>
      </w:r>
      <w:r>
        <w:rPr/>
        <w:t>通知</w:t>
      </w:r>
      <w:r>
        <w:rPr>
          <w:spacing w:val="47"/>
        </w:rPr>
        <w:t>該</w:t>
      </w:r>
      <w:r>
        <w:rPr/>
        <w:t>第三</w:t>
      </w:r>
      <w:r>
        <w:rPr>
          <w:spacing w:val="-15"/>
        </w:rPr>
        <w:t> </w:t>
      </w:r>
      <w:r>
        <w:rPr>
          <w:spacing w:val="-64"/>
        </w:rPr>
        <w:t>人</w:t>
      </w:r>
      <w:r>
        <w:rPr>
          <w:rFonts w:ascii="Times New Roman" w:eastAsia="Times New Roman"/>
          <w:w w:val="85"/>
          <w:sz w:val="15"/>
        </w:rPr>
        <w:t>22</w:t>
        <w:tab/>
      </w:r>
      <w:r>
        <w:rPr>
          <w:rFonts w:ascii="Arial" w:eastAsia="Arial"/>
          <w:w w:val="85"/>
          <w:sz w:val="8"/>
        </w:rPr>
        <w:t>0</w:t>
      </w:r>
    </w:p>
    <w:p>
      <w:pPr>
        <w:tabs>
          <w:tab w:pos="3240" w:val="left" w:leader="none"/>
        </w:tabs>
        <w:spacing w:before="107"/>
        <w:ind w:left="1814" w:right="0" w:firstLine="0"/>
        <w:jc w:val="left"/>
        <w:rPr>
          <w:sz w:val="29"/>
        </w:rPr>
      </w:pPr>
      <w:bookmarkStart w:name="_bookmark14" w:id="15"/>
      <w:bookmarkEnd w:id="15"/>
      <w:r>
        <w:rPr/>
      </w:r>
      <w:r>
        <w:rPr>
          <w:w w:val="110"/>
          <w:sz w:val="30"/>
        </w:rPr>
        <w:t>第二節</w:t>
        <w:tab/>
      </w:r>
      <w:r>
        <w:rPr>
          <w:w w:val="110"/>
          <w:sz w:val="29"/>
        </w:rPr>
        <w:t>人事處分兢爭者訴訟之訴訟類型</w:t>
      </w:r>
    </w:p>
    <w:p>
      <w:pPr>
        <w:pStyle w:val="BodyText"/>
        <w:spacing w:before="7"/>
        <w:rPr>
          <w:sz w:val="21"/>
        </w:rPr>
      </w:pPr>
    </w:p>
    <w:p>
      <w:pPr>
        <w:pStyle w:val="BodyText"/>
        <w:spacing w:line="331" w:lineRule="auto"/>
        <w:ind w:left="301" w:right="506" w:firstLine="562"/>
        <w:jc w:val="both"/>
      </w:pPr>
      <w:r>
        <w:rPr>
          <w:w w:val="110"/>
        </w:rPr>
        <w:t>德國法上人事處分之行政訴訟中，多與「競爭者訴訟」有關。由於政府之預算緊縮，導致公務員職位之數量銳減，職位競爭者之關係因此大為緊張，紛紛以訴訟之方式以保障其權益，是以晚近公務員法上之競爭者訴訟成為彼邦實務與學說上之重要爭論議題。</w:t>
      </w:r>
    </w:p>
    <w:p>
      <w:pPr>
        <w:pStyle w:val="BodyText"/>
        <w:spacing w:line="311" w:lineRule="exact"/>
        <w:ind w:left="882"/>
      </w:pPr>
      <w:r>
        <w:rPr>
          <w:w w:val="110"/>
        </w:rPr>
        <w:t>人事處分競爭者訴訟之訴訟類型，可分述如下：</w:t>
      </w:r>
    </w:p>
    <w:p>
      <w:pPr>
        <w:pStyle w:val="BodyText"/>
        <w:rPr>
          <w:sz w:val="17"/>
        </w:rPr>
      </w:pPr>
    </w:p>
    <w:p>
      <w:pPr>
        <w:pStyle w:val="BodyText"/>
        <w:ind w:left="793" w:right="549"/>
        <w:jc w:val="center"/>
      </w:pPr>
      <w:r>
        <w:rPr>
          <w:w w:val="120"/>
        </w:rPr>
        <w:t>一積極兢爭者訴訟</w:t>
      </w:r>
    </w:p>
    <w:p>
      <w:pPr>
        <w:pStyle w:val="BodyText"/>
        <w:spacing w:before="10"/>
        <w:rPr>
          <w:sz w:val="23"/>
        </w:rPr>
      </w:pPr>
    </w:p>
    <w:p>
      <w:pPr>
        <w:pStyle w:val="BodyText"/>
        <w:spacing w:line="331" w:lineRule="auto"/>
        <w:ind w:left="305" w:right="524" w:firstLine="566"/>
        <w:jc w:val="both"/>
      </w:pPr>
      <w:r>
        <w:rPr>
          <w:w w:val="110"/>
        </w:rPr>
        <w:t>公務員法上積極競爭者訴訟，又稱為「不真正競爭者訴訟」，即競爭者向法院提超訴訟，請求判命人事主管機關任命其為系爭職位之公務員。例如：某甲於人事主管機關尚未就某職位之任命作成決定之前，即向行政法院提超訴訟，請求判命人事主管機關應任命某甲為該職位之公務員。</w:t>
      </w:r>
    </w:p>
    <w:p>
      <w:pPr>
        <w:spacing w:line="316" w:lineRule="exact" w:before="0"/>
        <w:ind w:left="863" w:right="0" w:firstLine="0"/>
        <w:jc w:val="both"/>
        <w:rPr>
          <w:sz w:val="25"/>
        </w:rPr>
      </w:pPr>
      <w:r>
        <w:rPr>
          <w:spacing w:val="-6"/>
          <w:w w:val="95"/>
          <w:sz w:val="25"/>
        </w:rPr>
        <w:t>依照德國公務員 法之通說 ， 公務員 之任命 </w:t>
      </w:r>
      <w:r>
        <w:rPr>
          <w:rFonts w:ascii="Times New Roman" w:eastAsia="Times New Roman"/>
          <w:w w:val="95"/>
          <w:sz w:val="28"/>
        </w:rPr>
        <w:t>( Er</w:t>
      </w:r>
      <w:r>
        <w:rPr>
          <w:rFonts w:ascii="Times New Roman" w:eastAsia="Times New Roman"/>
          <w:spacing w:val="25"/>
          <w:w w:val="95"/>
          <w:sz w:val="28"/>
        </w:rPr>
        <w:t> </w:t>
      </w:r>
      <w:r>
        <w:rPr>
          <w:rFonts w:ascii="Times New Roman" w:eastAsia="Times New Roman"/>
          <w:w w:val="95"/>
          <w:sz w:val="28"/>
        </w:rPr>
        <w:t>ne</w:t>
      </w:r>
      <w:r>
        <w:rPr>
          <w:rFonts w:ascii="Times New Roman" w:eastAsia="Times New Roman"/>
          <w:spacing w:val="-20"/>
          <w:w w:val="95"/>
          <w:sz w:val="28"/>
        </w:rPr>
        <w:t> </w:t>
      </w:r>
      <w:r>
        <w:rPr>
          <w:rFonts w:ascii="Times New Roman" w:eastAsia="Times New Roman"/>
          <w:w w:val="95"/>
          <w:sz w:val="28"/>
        </w:rPr>
        <w:t>nnung</w:t>
      </w:r>
      <w:r>
        <w:rPr>
          <w:rFonts w:ascii="Times New Roman" w:eastAsia="Times New Roman"/>
          <w:spacing w:val="19"/>
          <w:w w:val="95"/>
          <w:sz w:val="28"/>
        </w:rPr>
        <w:t> ) </w:t>
      </w:r>
      <w:r>
        <w:rPr>
          <w:spacing w:val="-17"/>
          <w:w w:val="95"/>
          <w:sz w:val="25"/>
        </w:rPr>
        <w:t>， 其性 質係 以</w:t>
      </w:r>
    </w:p>
    <w:p>
      <w:pPr>
        <w:spacing w:line="321" w:lineRule="auto" w:before="115"/>
        <w:ind w:left="298" w:right="500" w:hanging="1"/>
        <w:jc w:val="both"/>
        <w:rPr>
          <w:sz w:val="25"/>
        </w:rPr>
      </w:pPr>
      <w:r>
        <w:rPr>
          <w:spacing w:val="17"/>
          <w:sz w:val="25"/>
        </w:rPr>
        <w:t>被任命者同意 </w:t>
      </w:r>
      <w:r>
        <w:rPr>
          <w:rFonts w:ascii="Times New Roman" w:eastAsia="Times New Roman"/>
          <w:spacing w:val="-2"/>
          <w:sz w:val="28"/>
        </w:rPr>
        <w:t>( </w:t>
      </w:r>
      <w:r>
        <w:rPr>
          <w:rFonts w:ascii="Times New Roman" w:eastAsia="Times New Roman"/>
          <w:sz w:val="28"/>
        </w:rPr>
        <w:t>Ei</w:t>
      </w:r>
      <w:r>
        <w:rPr>
          <w:rFonts w:ascii="Times New Roman" w:eastAsia="Times New Roman"/>
          <w:spacing w:val="23"/>
          <w:sz w:val="28"/>
        </w:rPr>
        <w:t> </w:t>
      </w:r>
      <w:r>
        <w:rPr>
          <w:rFonts w:ascii="Times New Roman" w:eastAsia="Times New Roman"/>
          <w:sz w:val="28"/>
        </w:rPr>
        <w:t>nwi</w:t>
      </w:r>
      <w:r>
        <w:rPr>
          <w:rFonts w:ascii="Times New Roman" w:eastAsia="Times New Roman"/>
          <w:spacing w:val="-4"/>
          <w:sz w:val="28"/>
        </w:rPr>
        <w:t> </w:t>
      </w:r>
      <w:r>
        <w:rPr>
          <w:rFonts w:ascii="Times New Roman" w:eastAsia="Times New Roman"/>
          <w:sz w:val="28"/>
        </w:rPr>
        <w:t>l</w:t>
      </w:r>
      <w:r>
        <w:rPr>
          <w:rFonts w:ascii="Times New Roman" w:eastAsia="Times New Roman"/>
          <w:spacing w:val="-9"/>
          <w:sz w:val="28"/>
        </w:rPr>
        <w:t> </w:t>
      </w:r>
      <w:r>
        <w:rPr>
          <w:rFonts w:ascii="Times New Roman" w:eastAsia="Times New Roman"/>
          <w:sz w:val="28"/>
        </w:rPr>
        <w:t>l</w:t>
      </w:r>
      <w:r>
        <w:rPr>
          <w:rFonts w:ascii="Times New Roman" w:eastAsia="Times New Roman"/>
          <w:spacing w:val="-8"/>
          <w:sz w:val="28"/>
        </w:rPr>
        <w:t> </w:t>
      </w:r>
      <w:r>
        <w:rPr>
          <w:rFonts w:ascii="Times New Roman" w:eastAsia="Times New Roman"/>
          <w:sz w:val="28"/>
        </w:rPr>
        <w:t>igung</w:t>
      </w:r>
      <w:r>
        <w:rPr>
          <w:rFonts w:ascii="Times New Roman" w:eastAsia="Times New Roman"/>
          <w:spacing w:val="38"/>
          <w:sz w:val="28"/>
        </w:rPr>
        <w:t> </w:t>
      </w:r>
      <w:r>
        <w:rPr>
          <w:rFonts w:ascii="Times New Roman" w:eastAsia="Times New Roman"/>
          <w:sz w:val="28"/>
        </w:rPr>
        <w:t>des</w:t>
      </w:r>
      <w:r>
        <w:rPr>
          <w:rFonts w:ascii="Times New Roman" w:eastAsia="Times New Roman"/>
          <w:spacing w:val="53"/>
          <w:sz w:val="28"/>
        </w:rPr>
        <w:t> </w:t>
      </w:r>
      <w:r>
        <w:rPr>
          <w:rFonts w:ascii="Times New Roman" w:eastAsia="Times New Roman"/>
          <w:sz w:val="28"/>
        </w:rPr>
        <w:t>zu</w:t>
      </w:r>
      <w:r>
        <w:rPr>
          <w:rFonts w:ascii="Times New Roman" w:eastAsia="Times New Roman"/>
          <w:spacing w:val="21"/>
          <w:sz w:val="28"/>
        </w:rPr>
        <w:t> </w:t>
      </w:r>
      <w:r>
        <w:rPr>
          <w:rFonts w:ascii="Times New Roman" w:eastAsia="Times New Roman"/>
          <w:sz w:val="28"/>
        </w:rPr>
        <w:t>Er</w:t>
      </w:r>
      <w:r>
        <w:rPr>
          <w:rFonts w:ascii="Times New Roman" w:eastAsia="Times New Roman"/>
          <w:spacing w:val="15"/>
          <w:sz w:val="28"/>
        </w:rPr>
        <w:t> </w:t>
      </w:r>
      <w:r>
        <w:rPr>
          <w:rFonts w:ascii="Times New Roman" w:eastAsia="Times New Roman"/>
          <w:sz w:val="28"/>
        </w:rPr>
        <w:t>ne</w:t>
      </w:r>
      <w:r>
        <w:rPr>
          <w:rFonts w:ascii="Times New Roman" w:eastAsia="Times New Roman"/>
          <w:spacing w:val="-30"/>
          <w:sz w:val="28"/>
        </w:rPr>
        <w:t> </w:t>
      </w:r>
      <w:r>
        <w:rPr>
          <w:rFonts w:ascii="Times New Roman" w:eastAsia="Times New Roman"/>
          <w:sz w:val="28"/>
        </w:rPr>
        <w:t>nnende</w:t>
      </w:r>
      <w:r>
        <w:rPr>
          <w:rFonts w:ascii="Times New Roman" w:eastAsia="Times New Roman"/>
          <w:spacing w:val="25"/>
          <w:sz w:val="28"/>
        </w:rPr>
        <w:t> </w:t>
      </w:r>
      <w:r>
        <w:rPr>
          <w:rFonts w:ascii="Times New Roman" w:eastAsia="Times New Roman"/>
          <w:sz w:val="28"/>
        </w:rPr>
        <w:t>n</w:t>
      </w:r>
      <w:r>
        <w:rPr>
          <w:rFonts w:ascii="Times New Roman" w:eastAsia="Times New Roman"/>
          <w:spacing w:val="22"/>
          <w:sz w:val="28"/>
        </w:rPr>
        <w:t> ) </w:t>
      </w:r>
      <w:r>
        <w:rPr>
          <w:spacing w:val="4"/>
          <w:sz w:val="25"/>
        </w:rPr>
        <w:t>以及任命公文具備</w:t>
      </w:r>
      <w:r>
        <w:rPr>
          <w:spacing w:val="6"/>
          <w:sz w:val="25"/>
        </w:rPr>
        <w:t>必要內容並交付受任 命人 </w:t>
      </w:r>
      <w:r>
        <w:rPr>
          <w:rFonts w:ascii="Times New Roman" w:eastAsia="Times New Roman"/>
          <w:sz w:val="28"/>
        </w:rPr>
        <w:t>( Aus hand i gung</w:t>
      </w:r>
      <w:r>
        <w:rPr>
          <w:rFonts w:ascii="Times New Roman" w:eastAsia="Times New Roman"/>
          <w:spacing w:val="1"/>
          <w:sz w:val="28"/>
        </w:rPr>
        <w:t> </w:t>
      </w:r>
      <w:r>
        <w:rPr>
          <w:rFonts w:ascii="Times New Roman" w:eastAsia="Times New Roman"/>
          <w:sz w:val="28"/>
        </w:rPr>
        <w:t>einer</w:t>
      </w:r>
      <w:r>
        <w:rPr>
          <w:rFonts w:ascii="Times New Roman" w:eastAsia="Times New Roman"/>
          <w:spacing w:val="1"/>
          <w:sz w:val="28"/>
        </w:rPr>
        <w:t> </w:t>
      </w:r>
      <w:r>
        <w:rPr>
          <w:rFonts w:ascii="Times New Roman" w:eastAsia="Times New Roman"/>
          <w:sz w:val="28"/>
        </w:rPr>
        <w:t>Ernennungsurkunde</w:t>
      </w:r>
      <w:r>
        <w:rPr>
          <w:rFonts w:ascii="Times New Roman" w:eastAsia="Times New Roman"/>
          <w:spacing w:val="1"/>
          <w:sz w:val="28"/>
        </w:rPr>
        <w:t> </w:t>
      </w:r>
      <w:r>
        <w:rPr>
          <w:rFonts w:ascii="Times New Roman" w:eastAsia="Times New Roman"/>
          <w:sz w:val="28"/>
        </w:rPr>
        <w:t>mi t</w:t>
      </w:r>
      <w:r>
        <w:rPr>
          <w:rFonts w:ascii="Times New Roman" w:eastAsia="Times New Roman"/>
          <w:spacing w:val="1"/>
          <w:sz w:val="28"/>
        </w:rPr>
        <w:t> </w:t>
      </w:r>
      <w:r>
        <w:rPr>
          <w:rFonts w:ascii="Times New Roman" w:eastAsia="Times New Roman"/>
          <w:w w:val="95"/>
          <w:sz w:val="28"/>
        </w:rPr>
        <w:t>bestimmtem</w:t>
      </w:r>
      <w:r>
        <w:rPr>
          <w:rFonts w:ascii="Times New Roman" w:eastAsia="Times New Roman"/>
          <w:spacing w:val="100"/>
          <w:sz w:val="28"/>
        </w:rPr>
        <w:t> </w:t>
      </w:r>
      <w:r>
        <w:rPr>
          <w:rFonts w:ascii="Times New Roman" w:eastAsia="Times New Roman"/>
          <w:w w:val="95"/>
          <w:sz w:val="28"/>
        </w:rPr>
        <w:t>Mi</w:t>
      </w:r>
      <w:r>
        <w:rPr>
          <w:rFonts w:ascii="Times New Roman" w:eastAsia="Times New Roman"/>
          <w:spacing w:val="52"/>
          <w:w w:val="95"/>
          <w:sz w:val="28"/>
        </w:rPr>
        <w:t> </w:t>
      </w:r>
      <w:r>
        <w:rPr>
          <w:rFonts w:ascii="Times New Roman" w:eastAsia="Times New Roman"/>
          <w:w w:val="95"/>
          <w:sz w:val="28"/>
        </w:rPr>
        <w:t>ndes</w:t>
      </w:r>
      <w:r>
        <w:rPr>
          <w:rFonts w:ascii="Times New Roman" w:eastAsia="Times New Roman"/>
          <w:spacing w:val="24"/>
          <w:w w:val="95"/>
          <w:sz w:val="28"/>
        </w:rPr>
        <w:t> </w:t>
      </w:r>
      <w:r>
        <w:rPr>
          <w:rFonts w:ascii="Times New Roman" w:eastAsia="Times New Roman"/>
          <w:w w:val="95"/>
          <w:sz w:val="28"/>
        </w:rPr>
        <w:t>t</w:t>
      </w:r>
      <w:r>
        <w:rPr>
          <w:rFonts w:ascii="Times New Roman" w:eastAsia="Times New Roman"/>
          <w:spacing w:val="14"/>
          <w:w w:val="95"/>
          <w:sz w:val="28"/>
        </w:rPr>
        <w:t> </w:t>
      </w:r>
      <w:r>
        <w:rPr>
          <w:rFonts w:ascii="Times New Roman" w:eastAsia="Times New Roman"/>
          <w:w w:val="95"/>
          <w:sz w:val="28"/>
        </w:rPr>
        <w:t>i</w:t>
      </w:r>
      <w:r>
        <w:rPr>
          <w:rFonts w:ascii="Times New Roman" w:eastAsia="Times New Roman"/>
          <w:spacing w:val="-17"/>
          <w:w w:val="95"/>
          <w:sz w:val="28"/>
        </w:rPr>
        <w:t> </w:t>
      </w:r>
      <w:r>
        <w:rPr>
          <w:rFonts w:ascii="Times New Roman" w:eastAsia="Times New Roman"/>
          <w:w w:val="95"/>
          <w:sz w:val="28"/>
        </w:rPr>
        <w:t>nha</w:t>
      </w:r>
      <w:r>
        <w:rPr>
          <w:rFonts w:ascii="Times New Roman" w:eastAsia="Times New Roman"/>
          <w:spacing w:val="3"/>
          <w:w w:val="95"/>
          <w:sz w:val="28"/>
        </w:rPr>
        <w:t> </w:t>
      </w:r>
      <w:r>
        <w:rPr>
          <w:rFonts w:ascii="Times New Roman" w:eastAsia="Times New Roman"/>
          <w:w w:val="95"/>
          <w:sz w:val="28"/>
        </w:rPr>
        <w:t>l</w:t>
      </w:r>
      <w:r>
        <w:rPr>
          <w:rFonts w:ascii="Times New Roman" w:eastAsia="Times New Roman"/>
          <w:spacing w:val="-14"/>
          <w:w w:val="95"/>
          <w:sz w:val="28"/>
        </w:rPr>
        <w:t> </w:t>
      </w:r>
      <w:r>
        <w:rPr>
          <w:rFonts w:ascii="Times New Roman" w:eastAsia="Times New Roman"/>
          <w:w w:val="95"/>
          <w:sz w:val="28"/>
        </w:rPr>
        <w:t>t</w:t>
      </w:r>
      <w:r>
        <w:rPr>
          <w:rFonts w:ascii="Times New Roman" w:eastAsia="Times New Roman"/>
          <w:spacing w:val="12"/>
          <w:w w:val="95"/>
          <w:sz w:val="28"/>
        </w:rPr>
        <w:t> )</w:t>
      </w:r>
      <w:r>
        <w:rPr>
          <w:rFonts w:ascii="Times New Roman" w:eastAsia="Times New Roman"/>
          <w:spacing w:val="94"/>
          <w:sz w:val="28"/>
        </w:rPr>
        <w:t> </w:t>
      </w:r>
      <w:r>
        <w:rPr>
          <w:spacing w:val="-2"/>
          <w:w w:val="95"/>
          <w:sz w:val="25"/>
        </w:rPr>
        <w:t>為生效 要件之行政處分</w:t>
      </w:r>
      <w:r>
        <w:rPr>
          <w:rFonts w:ascii="Times New Roman" w:eastAsia="Times New Roman"/>
          <w:w w:val="95"/>
          <w:sz w:val="15"/>
        </w:rPr>
        <w:t>23</w:t>
      </w:r>
      <w:r>
        <w:rPr>
          <w:rFonts w:ascii="Times New Roman" w:eastAsia="Times New Roman"/>
          <w:spacing w:val="42"/>
          <w:sz w:val="15"/>
        </w:rPr>
        <w:t> </w:t>
      </w:r>
      <w:r>
        <w:rPr>
          <w:spacing w:val="-8"/>
          <w:w w:val="95"/>
          <w:sz w:val="25"/>
        </w:rPr>
        <w:t>。 公務員 之任命 ，</w:t>
      </w:r>
      <w:r>
        <w:rPr>
          <w:spacing w:val="1"/>
          <w:w w:val="95"/>
          <w:sz w:val="25"/>
        </w:rPr>
        <w:t> </w:t>
      </w:r>
      <w:r>
        <w:rPr>
          <w:spacing w:val="-1"/>
          <w:w w:val="95"/>
          <w:sz w:val="25"/>
        </w:rPr>
        <w:t>其性 質既 為行 政處分 ， 某甲 向行政法院提起訴訟 ，請求判命 </w:t>
      </w:r>
      <w:r>
        <w:rPr>
          <w:rFonts w:ascii="Arial" w:eastAsia="Arial"/>
          <w:w w:val="95"/>
          <w:sz w:val="29"/>
        </w:rPr>
        <w:t>A</w:t>
      </w:r>
      <w:r>
        <w:rPr>
          <w:rFonts w:ascii="Arial" w:eastAsia="Arial"/>
          <w:spacing w:val="30"/>
          <w:w w:val="95"/>
          <w:sz w:val="29"/>
        </w:rPr>
        <w:t> </w:t>
      </w:r>
      <w:r>
        <w:rPr>
          <w:spacing w:val="13"/>
          <w:w w:val="95"/>
          <w:sz w:val="25"/>
        </w:rPr>
        <w:t>機關應任命</w:t>
      </w:r>
      <w:r>
        <w:rPr>
          <w:sz w:val="25"/>
        </w:rPr>
        <w:t>某甲為該職位之公務員，即為請求行政法院判命被告機關作成特定內容之    </w:t>
      </w:r>
      <w:r>
        <w:rPr>
          <w:spacing w:val="58"/>
          <w:sz w:val="25"/>
        </w:rPr>
        <w:t> </w:t>
      </w:r>
      <w:r>
        <w:rPr>
          <w:sz w:val="25"/>
        </w:rPr>
        <w:t>行政處分，故所謂公務員法上積極競爭者訴訟，其正璀之訴訟類型，為課    </w:t>
      </w:r>
      <w:r>
        <w:rPr>
          <w:spacing w:val="30"/>
          <w:sz w:val="25"/>
        </w:rPr>
        <w:t> </w:t>
      </w:r>
      <w:r>
        <w:rPr>
          <w:spacing w:val="16"/>
          <w:w w:val="95"/>
          <w:sz w:val="25"/>
        </w:rPr>
        <w:t>予義務訴訟 </w:t>
      </w:r>
      <w:r>
        <w:rPr>
          <w:rFonts w:ascii="Times New Roman" w:eastAsia="Times New Roman"/>
          <w:spacing w:val="-4"/>
          <w:w w:val="95"/>
          <w:sz w:val="28"/>
        </w:rPr>
        <w:t>( </w:t>
      </w:r>
      <w:r>
        <w:rPr>
          <w:rFonts w:ascii="Times New Roman" w:eastAsia="Times New Roman"/>
          <w:w w:val="95"/>
          <w:sz w:val="28"/>
        </w:rPr>
        <w:t>Ve</w:t>
      </w:r>
      <w:r>
        <w:rPr>
          <w:rFonts w:ascii="Times New Roman" w:eastAsia="Times New Roman"/>
          <w:spacing w:val="-2"/>
          <w:w w:val="95"/>
          <w:sz w:val="28"/>
        </w:rPr>
        <w:t> </w:t>
      </w:r>
      <w:r>
        <w:rPr>
          <w:rFonts w:ascii="Times New Roman" w:eastAsia="Times New Roman"/>
          <w:w w:val="95"/>
          <w:sz w:val="28"/>
        </w:rPr>
        <w:t>r</w:t>
      </w:r>
      <w:r>
        <w:rPr>
          <w:rFonts w:ascii="Times New Roman" w:eastAsia="Times New Roman"/>
          <w:spacing w:val="9"/>
          <w:w w:val="95"/>
          <w:sz w:val="28"/>
        </w:rPr>
        <w:t> </w:t>
      </w:r>
      <w:r>
        <w:rPr>
          <w:rFonts w:ascii="Times New Roman" w:eastAsia="Times New Roman"/>
          <w:w w:val="95"/>
          <w:sz w:val="28"/>
        </w:rPr>
        <w:t>pf</w:t>
      </w:r>
      <w:r>
        <w:rPr>
          <w:rFonts w:ascii="Times New Roman" w:eastAsia="Times New Roman"/>
          <w:spacing w:val="-12"/>
          <w:w w:val="95"/>
          <w:sz w:val="28"/>
        </w:rPr>
        <w:t> </w:t>
      </w:r>
      <w:r>
        <w:rPr>
          <w:rFonts w:ascii="Times New Roman" w:eastAsia="Times New Roman"/>
          <w:w w:val="95"/>
          <w:sz w:val="28"/>
        </w:rPr>
        <w:t>1</w:t>
      </w:r>
      <w:r>
        <w:rPr>
          <w:rFonts w:ascii="Times New Roman" w:eastAsia="Times New Roman"/>
          <w:spacing w:val="-39"/>
          <w:w w:val="95"/>
          <w:sz w:val="28"/>
        </w:rPr>
        <w:t> </w:t>
      </w:r>
      <w:r>
        <w:rPr>
          <w:rFonts w:ascii="Times New Roman" w:eastAsia="Times New Roman"/>
          <w:w w:val="95"/>
          <w:sz w:val="28"/>
        </w:rPr>
        <w:t>i</w:t>
      </w:r>
      <w:r>
        <w:rPr>
          <w:rFonts w:ascii="Times New Roman" w:eastAsia="Times New Roman"/>
          <w:spacing w:val="-27"/>
          <w:w w:val="95"/>
          <w:sz w:val="28"/>
        </w:rPr>
        <w:t> </w:t>
      </w:r>
      <w:r>
        <w:rPr>
          <w:rFonts w:ascii="Times New Roman" w:eastAsia="Times New Roman"/>
          <w:w w:val="95"/>
          <w:sz w:val="28"/>
        </w:rPr>
        <w:t>cht</w:t>
      </w:r>
      <w:r>
        <w:rPr>
          <w:rFonts w:ascii="Times New Roman" w:eastAsia="Times New Roman"/>
          <w:spacing w:val="32"/>
          <w:w w:val="95"/>
          <w:sz w:val="28"/>
        </w:rPr>
        <w:t> </w:t>
      </w:r>
      <w:r>
        <w:rPr>
          <w:rFonts w:ascii="Times New Roman" w:eastAsia="Times New Roman"/>
          <w:w w:val="95"/>
          <w:sz w:val="28"/>
        </w:rPr>
        <w:t>ungs</w:t>
      </w:r>
      <w:r>
        <w:rPr>
          <w:rFonts w:ascii="Times New Roman" w:eastAsia="Times New Roman"/>
          <w:spacing w:val="-4"/>
          <w:w w:val="95"/>
          <w:sz w:val="28"/>
        </w:rPr>
        <w:t> </w:t>
      </w:r>
      <w:r>
        <w:rPr>
          <w:rFonts w:ascii="Times New Roman" w:eastAsia="Times New Roman"/>
          <w:w w:val="95"/>
          <w:sz w:val="28"/>
        </w:rPr>
        <w:t>kl</w:t>
      </w:r>
      <w:r>
        <w:rPr>
          <w:rFonts w:ascii="Times New Roman" w:eastAsia="Times New Roman"/>
          <w:spacing w:val="7"/>
          <w:w w:val="95"/>
          <w:sz w:val="28"/>
        </w:rPr>
        <w:t> </w:t>
      </w:r>
      <w:r>
        <w:rPr>
          <w:rFonts w:ascii="Times New Roman" w:eastAsia="Times New Roman"/>
          <w:w w:val="95"/>
          <w:sz w:val="28"/>
        </w:rPr>
        <w:t>age</w:t>
      </w:r>
      <w:r>
        <w:rPr>
          <w:rFonts w:ascii="Times New Roman" w:eastAsia="Times New Roman"/>
          <w:spacing w:val="16"/>
          <w:w w:val="95"/>
          <w:sz w:val="28"/>
        </w:rPr>
        <w:t> ) </w:t>
      </w:r>
      <w:r>
        <w:rPr>
          <w:w w:val="95"/>
          <w:sz w:val="25"/>
        </w:rPr>
        <w:t>。</w:t>
      </w:r>
    </w:p>
    <w:p>
      <w:pPr>
        <w:pStyle w:val="BodyText"/>
        <w:spacing w:before="12"/>
        <w:rPr>
          <w:sz w:val="11"/>
        </w:rPr>
      </w:pPr>
      <w:r>
        <w:rPr/>
        <w:pict>
          <v:shape style="position:absolute;margin-left:95.174004pt;margin-top:10.034167pt;width:144.25pt;height:.1pt;mso-position-horizontal-relative:page;mso-position-vertical-relative:paragraph;z-index:-15651840;mso-wrap-distance-left:0;mso-wrap-distance-right:0" coordorigin="1903,201" coordsize="2885,0" path="m1903,201l4788,201e" filled="false" stroked="true" strokeweight=".720821pt" strokecolor="#000000">
            <v:path arrowok="t"/>
            <v:stroke dashstyle="solid"/>
            <w10:wrap type="topAndBottom"/>
          </v:shape>
        </w:pict>
      </w:r>
    </w:p>
    <w:p>
      <w:pPr>
        <w:pStyle w:val="BodyText"/>
        <w:rPr>
          <w:sz w:val="9"/>
        </w:rPr>
      </w:pPr>
    </w:p>
    <w:p>
      <w:pPr>
        <w:pStyle w:val="BodyText"/>
        <w:spacing w:before="90"/>
        <w:ind w:left="298"/>
        <w:rPr>
          <w:rFonts w:ascii="Times New Roman" w:hAnsi="Times New Roman"/>
        </w:rPr>
      </w:pPr>
      <w:r>
        <w:rPr>
          <w:rFonts w:ascii="Times New Roman" w:hAnsi="Times New Roman"/>
          <w:position w:val="9"/>
          <w:sz w:val="13"/>
        </w:rPr>
        <w:t>21</w:t>
      </w:r>
      <w:r>
        <w:rPr>
          <w:rFonts w:ascii="Times New Roman" w:hAnsi="Times New Roman"/>
          <w:spacing w:val="59"/>
          <w:position w:val="9"/>
          <w:sz w:val="13"/>
        </w:rPr>
        <w:t> </w:t>
      </w:r>
      <w:r>
        <w:rPr>
          <w:rFonts w:ascii="Times New Roman" w:hAnsi="Times New Roman"/>
        </w:rPr>
        <w:t>Stelkens/Bonk/Sachs,</w:t>
      </w:r>
      <w:r>
        <w:rPr>
          <w:rFonts w:ascii="Times New Roman" w:hAnsi="Times New Roman"/>
          <w:spacing w:val="78"/>
        </w:rPr>
        <w:t> </w:t>
      </w:r>
      <w:r>
        <w:rPr>
          <w:rFonts w:ascii="Times New Roman" w:hAnsi="Times New Roman"/>
        </w:rPr>
        <w:t>Verwal</w:t>
      </w:r>
      <w:r>
        <w:rPr>
          <w:rFonts w:ascii="Times New Roman" w:hAnsi="Times New Roman"/>
          <w:spacing w:val="-2"/>
        </w:rPr>
        <w:t> </w:t>
      </w:r>
      <w:r>
        <w:rPr>
          <w:rFonts w:ascii="Times New Roman" w:hAnsi="Times New Roman"/>
        </w:rPr>
        <w:t>tungsverfahrensgesetz,</w:t>
      </w:r>
      <w:r>
        <w:rPr>
          <w:rFonts w:ascii="Times New Roman" w:hAnsi="Times New Roman"/>
          <w:spacing w:val="101"/>
        </w:rPr>
        <w:t> </w:t>
      </w:r>
      <w:r>
        <w:rPr>
          <w:rFonts w:ascii="Times New Roman" w:hAnsi="Times New Roman"/>
        </w:rPr>
        <w:t>7.</w:t>
      </w:r>
      <w:r>
        <w:rPr>
          <w:rFonts w:ascii="Times New Roman" w:hAnsi="Times New Roman"/>
          <w:spacing w:val="99"/>
        </w:rPr>
        <w:t> </w:t>
      </w:r>
      <w:r>
        <w:rPr>
          <w:rFonts w:ascii="Times New Roman" w:hAnsi="Times New Roman"/>
        </w:rPr>
        <w:t>Auflage,  </w:t>
      </w:r>
      <w:r>
        <w:rPr>
          <w:rFonts w:ascii="Times New Roman" w:hAnsi="Times New Roman"/>
          <w:spacing w:val="3"/>
        </w:rPr>
        <w:t> </w:t>
      </w:r>
      <w:r>
        <w:rPr>
          <w:rFonts w:ascii="Times New Roman" w:hAnsi="Times New Roman"/>
        </w:rPr>
        <w:t>2008,</w:t>
      </w:r>
      <w:r>
        <w:rPr>
          <w:rFonts w:ascii="Times New Roman" w:hAnsi="Times New Roman"/>
          <w:spacing w:val="97"/>
        </w:rPr>
        <w:t> </w:t>
      </w:r>
      <w:r>
        <w:rPr>
          <w:rFonts w:ascii="Times New Roman" w:hAnsi="Times New Roman"/>
        </w:rPr>
        <w:t>§13</w:t>
      </w:r>
      <w:r>
        <w:rPr>
          <w:rFonts w:ascii="Times New Roman" w:hAnsi="Times New Roman"/>
          <w:spacing w:val="13"/>
        </w:rPr>
        <w:t> </w:t>
      </w:r>
      <w:r>
        <w:rPr>
          <w:rFonts w:ascii="Times New Roman" w:hAnsi="Times New Roman"/>
        </w:rPr>
        <w:t>Rn.</w:t>
      </w:r>
    </w:p>
    <w:p>
      <w:pPr>
        <w:pStyle w:val="Heading6"/>
        <w:spacing w:before="15"/>
        <w:ind w:left="510"/>
      </w:pPr>
      <w:r>
        <w:rPr/>
        <w:t>40.</w:t>
      </w:r>
    </w:p>
    <w:p>
      <w:pPr>
        <w:pStyle w:val="BodyText"/>
        <w:spacing w:before="23"/>
        <w:ind w:left="298"/>
        <w:rPr>
          <w:rFonts w:ascii="Times New Roman" w:hAnsi="Times New Roman"/>
        </w:rPr>
      </w:pPr>
      <w:r>
        <w:rPr>
          <w:rFonts w:ascii="Times New Roman" w:hAnsi="Times New Roman"/>
          <w:position w:val="8"/>
          <w:sz w:val="13"/>
        </w:rPr>
        <w:t>22</w:t>
      </w:r>
      <w:r>
        <w:rPr>
          <w:rFonts w:ascii="Times New Roman" w:hAnsi="Times New Roman"/>
          <w:spacing w:val="59"/>
          <w:position w:val="8"/>
          <w:sz w:val="13"/>
        </w:rPr>
        <w:t> </w:t>
      </w:r>
      <w:r>
        <w:rPr>
          <w:rFonts w:ascii="Times New Roman" w:hAnsi="Times New Roman"/>
        </w:rPr>
        <w:t>Stelkens/Bonk/Sachs,</w:t>
      </w:r>
      <w:r>
        <w:rPr>
          <w:rFonts w:ascii="Times New Roman" w:hAnsi="Times New Roman"/>
          <w:spacing w:val="78"/>
        </w:rPr>
        <w:t> </w:t>
      </w:r>
      <w:r>
        <w:rPr>
          <w:rFonts w:ascii="Times New Roman" w:hAnsi="Times New Roman"/>
        </w:rPr>
        <w:t>Verwal</w:t>
      </w:r>
      <w:r>
        <w:rPr>
          <w:rFonts w:ascii="Times New Roman" w:hAnsi="Times New Roman"/>
          <w:spacing w:val="-2"/>
        </w:rPr>
        <w:t> </w:t>
      </w:r>
      <w:r>
        <w:rPr>
          <w:rFonts w:ascii="Times New Roman" w:hAnsi="Times New Roman"/>
        </w:rPr>
        <w:t>tungsverfahrensgesetz,</w:t>
      </w:r>
      <w:r>
        <w:rPr>
          <w:rFonts w:ascii="Times New Roman" w:hAnsi="Times New Roman"/>
          <w:spacing w:val="101"/>
        </w:rPr>
        <w:t> </w:t>
      </w:r>
      <w:r>
        <w:rPr>
          <w:rFonts w:ascii="Times New Roman" w:hAnsi="Times New Roman"/>
        </w:rPr>
        <w:t>7.</w:t>
      </w:r>
      <w:r>
        <w:rPr>
          <w:rFonts w:ascii="Times New Roman" w:hAnsi="Times New Roman"/>
          <w:spacing w:val="99"/>
        </w:rPr>
        <w:t> </w:t>
      </w:r>
      <w:r>
        <w:rPr>
          <w:rFonts w:ascii="Times New Roman" w:hAnsi="Times New Roman"/>
        </w:rPr>
        <w:t>Auflage,  </w:t>
      </w:r>
      <w:r>
        <w:rPr>
          <w:rFonts w:ascii="Times New Roman" w:hAnsi="Times New Roman"/>
          <w:spacing w:val="3"/>
        </w:rPr>
        <w:t> </w:t>
      </w:r>
      <w:r>
        <w:rPr>
          <w:rFonts w:ascii="Times New Roman" w:hAnsi="Times New Roman"/>
        </w:rPr>
        <w:t>2008,</w:t>
      </w:r>
      <w:r>
        <w:rPr>
          <w:rFonts w:ascii="Times New Roman" w:hAnsi="Times New Roman"/>
          <w:spacing w:val="97"/>
        </w:rPr>
        <w:t> </w:t>
      </w:r>
      <w:r>
        <w:rPr>
          <w:rFonts w:ascii="Times New Roman" w:hAnsi="Times New Roman"/>
        </w:rPr>
        <w:t>§13</w:t>
      </w:r>
      <w:r>
        <w:rPr>
          <w:rFonts w:ascii="Times New Roman" w:hAnsi="Times New Roman"/>
          <w:spacing w:val="13"/>
        </w:rPr>
        <w:t> </w:t>
      </w:r>
      <w:r>
        <w:rPr>
          <w:rFonts w:ascii="Times New Roman" w:hAnsi="Times New Roman"/>
        </w:rPr>
        <w:t>Rn.</w:t>
      </w:r>
    </w:p>
    <w:p>
      <w:pPr>
        <w:pStyle w:val="Heading6"/>
        <w:spacing w:before="16"/>
        <w:ind w:left="510"/>
      </w:pPr>
      <w:r>
        <w:rPr/>
        <w:t>45.</w:t>
      </w:r>
    </w:p>
    <w:p>
      <w:pPr>
        <w:pStyle w:val="BodyText"/>
        <w:spacing w:before="22"/>
        <w:ind w:left="298"/>
        <w:rPr>
          <w:rFonts w:ascii="Times New Roman"/>
        </w:rPr>
      </w:pPr>
      <w:r>
        <w:rPr>
          <w:rFonts w:ascii="Times New Roman"/>
          <w:position w:val="8"/>
          <w:sz w:val="13"/>
        </w:rPr>
        <w:t>23</w:t>
      </w:r>
      <w:r>
        <w:rPr>
          <w:rFonts w:ascii="Times New Roman"/>
          <w:spacing w:val="4"/>
          <w:position w:val="8"/>
          <w:sz w:val="13"/>
        </w:rPr>
        <w:t> </w:t>
      </w:r>
      <w:r>
        <w:rPr>
          <w:rFonts w:ascii="Times New Roman"/>
        </w:rPr>
        <w:t>Vgl.</w:t>
      </w:r>
      <w:r>
        <w:rPr>
          <w:rFonts w:ascii="Times New Roman"/>
          <w:spacing w:val="10"/>
        </w:rPr>
        <w:t> </w:t>
      </w:r>
      <w:r>
        <w:rPr>
          <w:rFonts w:ascii="Times New Roman"/>
        </w:rPr>
        <w:t>Schnel</w:t>
      </w:r>
      <w:r>
        <w:rPr>
          <w:rFonts w:ascii="Times New Roman"/>
          <w:spacing w:val="-11"/>
        </w:rPr>
        <w:t> </w:t>
      </w:r>
      <w:r>
        <w:rPr>
          <w:rFonts w:ascii="Times New Roman"/>
        </w:rPr>
        <w:t>lenbach,</w:t>
      </w:r>
      <w:r>
        <w:rPr>
          <w:rFonts w:ascii="Times New Roman"/>
          <w:spacing w:val="95"/>
        </w:rPr>
        <w:t> </w:t>
      </w:r>
      <w:r>
        <w:rPr>
          <w:rFonts w:ascii="Times New Roman"/>
        </w:rPr>
        <w:t>Beamtenrecht</w:t>
      </w:r>
      <w:r>
        <w:rPr>
          <w:rFonts w:ascii="Times New Roman"/>
          <w:spacing w:val="77"/>
        </w:rPr>
        <w:t> </w:t>
      </w:r>
      <w:r>
        <w:rPr>
          <w:rFonts w:ascii="Times New Roman"/>
        </w:rPr>
        <w:t>in</w:t>
      </w:r>
      <w:r>
        <w:rPr>
          <w:rFonts w:ascii="Times New Roman"/>
          <w:spacing w:val="42"/>
        </w:rPr>
        <w:t> </w:t>
      </w:r>
      <w:r>
        <w:rPr>
          <w:rFonts w:ascii="Times New Roman"/>
        </w:rPr>
        <w:t>der</w:t>
      </w:r>
      <w:r>
        <w:rPr>
          <w:rFonts w:ascii="Times New Roman"/>
          <w:spacing w:val="63"/>
        </w:rPr>
        <w:t> </w:t>
      </w:r>
      <w:r>
        <w:rPr>
          <w:rFonts w:ascii="Times New Roman"/>
        </w:rPr>
        <w:t>Praxis,</w:t>
      </w:r>
      <w:r>
        <w:rPr>
          <w:rFonts w:ascii="Times New Roman"/>
          <w:spacing w:val="84"/>
        </w:rPr>
        <w:t> </w:t>
      </w:r>
      <w:r>
        <w:rPr>
          <w:rFonts w:ascii="Times New Roman"/>
        </w:rPr>
        <w:t>5.</w:t>
      </w:r>
      <w:r>
        <w:rPr>
          <w:rFonts w:ascii="Times New Roman"/>
          <w:spacing w:val="81"/>
        </w:rPr>
        <w:t> </w:t>
      </w:r>
      <w:r>
        <w:rPr>
          <w:rFonts w:ascii="Times New Roman"/>
        </w:rPr>
        <w:t>Aufl.,</w:t>
      </w:r>
      <w:r>
        <w:rPr>
          <w:rFonts w:ascii="Times New Roman"/>
          <w:spacing w:val="99"/>
        </w:rPr>
        <w:t> </w:t>
      </w:r>
      <w:r>
        <w:rPr>
          <w:rFonts w:ascii="Times New Roman"/>
        </w:rPr>
        <w:t>2001,</w:t>
      </w:r>
      <w:r>
        <w:rPr>
          <w:rFonts w:ascii="Times New Roman"/>
          <w:spacing w:val="97"/>
        </w:rPr>
        <w:t> </w:t>
      </w:r>
      <w:r>
        <w:rPr>
          <w:rFonts w:ascii="Times New Roman"/>
        </w:rPr>
        <w:t>Rn.</w:t>
      </w:r>
      <w:r>
        <w:rPr>
          <w:rFonts w:ascii="Times New Roman"/>
          <w:spacing w:val="90"/>
        </w:rPr>
        <w:t> </w:t>
      </w:r>
      <w:r>
        <w:rPr>
          <w:rFonts w:ascii="Times New Roman"/>
        </w:rPr>
        <w:t>2</w:t>
      </w:r>
      <w:r>
        <w:rPr>
          <w:rFonts w:ascii="Times New Roman"/>
          <w:spacing w:val="29"/>
        </w:rPr>
        <w:t> </w:t>
      </w:r>
      <w:r>
        <w:rPr>
          <w:rFonts w:ascii="Times New Roman"/>
        </w:rPr>
        <w:t>m.</w:t>
      </w:r>
      <w:r>
        <w:rPr>
          <w:rFonts w:ascii="Times New Roman"/>
          <w:spacing w:val="83"/>
        </w:rPr>
        <w:t> </w:t>
      </w:r>
      <w:r>
        <w:rPr>
          <w:rFonts w:ascii="Times New Roman"/>
        </w:rPr>
        <w:t>w.</w:t>
      </w:r>
    </w:p>
    <w:p>
      <w:pPr>
        <w:spacing w:before="33"/>
        <w:ind w:left="496" w:right="0" w:firstLine="0"/>
        <w:jc w:val="left"/>
        <w:rPr>
          <w:rFonts w:ascii="Arial"/>
          <w:sz w:val="24"/>
        </w:rPr>
      </w:pPr>
      <w:r>
        <w:rPr>
          <w:rFonts w:ascii="Arial"/>
          <w:w w:val="85"/>
          <w:sz w:val="24"/>
        </w:rPr>
        <w:t>N.</w:t>
      </w:r>
    </w:p>
    <w:p>
      <w:pPr>
        <w:spacing w:after="0"/>
        <w:jc w:val="left"/>
        <w:rPr>
          <w:rFonts w:ascii="Arial"/>
          <w:sz w:val="24"/>
        </w:rPr>
        <w:sectPr>
          <w:pgSz w:w="11910" w:h="16840"/>
          <w:pgMar w:header="862" w:footer="1017" w:top="1060" w:bottom="1200" w:left="1120" w:right="1060"/>
        </w:sectPr>
      </w:pPr>
    </w:p>
    <w:p>
      <w:pPr>
        <w:pStyle w:val="BodyText"/>
        <w:rPr>
          <w:rFonts w:ascii="Arial"/>
          <w:sz w:val="20"/>
        </w:rPr>
      </w:pPr>
    </w:p>
    <w:p>
      <w:pPr>
        <w:pStyle w:val="BodyText"/>
        <w:spacing w:line="328" w:lineRule="auto" w:before="206"/>
        <w:ind w:left="304" w:right="511" w:firstLine="571"/>
      </w:pPr>
      <w:r>
        <w:rPr>
          <w:w w:val="105"/>
        </w:rPr>
        <w:t>公務員法上積極競爭者訴訟，即職位競爭者為請求行政法院判命被告</w:t>
      </w:r>
      <w:r>
        <w:rPr>
          <w:spacing w:val="76"/>
          <w:w w:val="105"/>
        </w:rPr>
        <w:t> </w:t>
      </w:r>
      <w:r>
        <w:rPr>
          <w:w w:val="105"/>
        </w:rPr>
        <w:t>機關作成任命其為該職務公務員之行政處分，所提超之課予義務訴訟，其</w:t>
      </w:r>
      <w:r>
        <w:rPr>
          <w:spacing w:val="130"/>
          <w:w w:val="105"/>
        </w:rPr>
        <w:t> </w:t>
      </w:r>
      <w:r>
        <w:rPr>
          <w:spacing w:val="20"/>
          <w:w w:val="95"/>
        </w:rPr>
        <w:t>訴之合法性 </w:t>
      </w:r>
      <w:r>
        <w:rPr>
          <w:spacing w:val="-15"/>
          <w:w w:val="85"/>
        </w:rPr>
        <w:t>， </w:t>
      </w:r>
      <w:r>
        <w:rPr>
          <w:spacing w:val="20"/>
          <w:w w:val="95"/>
        </w:rPr>
        <w:t>固為通說所肯定 </w:t>
      </w:r>
      <w:r>
        <w:rPr>
          <w:spacing w:val="-24"/>
          <w:w w:val="85"/>
        </w:rPr>
        <w:t>， </w:t>
      </w:r>
      <w:r>
        <w:rPr>
          <w:spacing w:val="9"/>
          <w:w w:val="95"/>
        </w:rPr>
        <w:t>並無疑問</w:t>
      </w:r>
      <w:r>
        <w:rPr>
          <w:rFonts w:ascii="Times New Roman" w:eastAsia="Times New Roman"/>
          <w:w w:val="85"/>
          <w:sz w:val="15"/>
        </w:rPr>
        <w:t>24</w:t>
      </w:r>
      <w:r>
        <w:rPr>
          <w:rFonts w:ascii="Times New Roman" w:eastAsia="Times New Roman"/>
          <w:spacing w:val="51"/>
          <w:sz w:val="15"/>
        </w:rPr>
        <w:t>  </w:t>
      </w:r>
      <w:r>
        <w:rPr>
          <w:spacing w:val="7"/>
          <w:w w:val="85"/>
        </w:rPr>
        <w:t>。 </w:t>
      </w:r>
      <w:r>
        <w:rPr>
          <w:spacing w:val="14"/>
          <w:w w:val="95"/>
        </w:rPr>
        <w:t>然而職 位競爭者</w:t>
      </w:r>
      <w:r>
        <w:rPr>
          <w:w w:val="95"/>
        </w:rPr>
        <w:t>（</w:t>
      </w:r>
      <w:r>
        <w:rPr>
          <w:spacing w:val="32"/>
          <w:w w:val="95"/>
        </w:rPr>
        <w:t>原告</w:t>
      </w:r>
      <w:r>
        <w:rPr>
          <w:w w:val="95"/>
        </w:rPr>
        <w:t>）之</w:t>
      </w:r>
      <w:r>
        <w:rPr>
          <w:w w:val="105"/>
        </w:rPr>
        <w:t>訴如欲獲得有理由之勝訴判決，必須行政法院就該個案審查之結果，認為</w:t>
      </w:r>
      <w:r>
        <w:rPr>
          <w:spacing w:val="122"/>
          <w:w w:val="105"/>
        </w:rPr>
        <w:t> </w:t>
      </w:r>
      <w:r>
        <w:rPr>
          <w:w w:val="105"/>
        </w:rPr>
        <w:t>決定該職位誰屬之人事主管機關所享有之裁量権，基於特定之原因萎縮至</w:t>
      </w:r>
      <w:r>
        <w:rPr>
          <w:spacing w:val="122"/>
          <w:w w:val="105"/>
        </w:rPr>
        <w:t> </w:t>
      </w:r>
      <w:r>
        <w:rPr>
          <w:w w:val="105"/>
        </w:rPr>
        <w:t>零，以致僅有任命該職位競爭者（原告）為該職位之公務員，始為合法時，</w:t>
      </w:r>
    </w:p>
    <w:p>
      <w:pPr>
        <w:spacing w:line="290" w:lineRule="exact" w:before="0"/>
        <w:ind w:left="326" w:right="0" w:firstLine="0"/>
        <w:jc w:val="left"/>
        <w:rPr>
          <w:rFonts w:ascii="Arial" w:eastAsia="Arial"/>
          <w:sz w:val="8"/>
        </w:rPr>
      </w:pPr>
      <w:r>
        <w:rPr>
          <w:spacing w:val="1"/>
          <w:w w:val="85"/>
          <w:sz w:val="26"/>
        </w:rPr>
        <w:t>才有 可能</w:t>
      </w:r>
      <w:r>
        <w:rPr>
          <w:rFonts w:ascii="Times New Roman" w:eastAsia="Times New Roman"/>
          <w:w w:val="85"/>
          <w:sz w:val="15"/>
        </w:rPr>
        <w:t>25</w:t>
      </w:r>
      <w:r>
        <w:rPr>
          <w:rFonts w:ascii="Times New Roman" w:eastAsia="Times New Roman"/>
          <w:spacing w:val="55"/>
          <w:sz w:val="15"/>
        </w:rPr>
        <w:t>  </w:t>
      </w:r>
      <w:r>
        <w:rPr>
          <w:rFonts w:ascii="Arial" w:eastAsia="Arial"/>
          <w:sz w:val="8"/>
        </w:rPr>
        <w:t>0</w:t>
      </w:r>
    </w:p>
    <w:p>
      <w:pPr>
        <w:pStyle w:val="BodyText"/>
        <w:spacing w:before="1"/>
        <w:rPr>
          <w:rFonts w:ascii="Arial"/>
          <w:sz w:val="22"/>
        </w:rPr>
      </w:pPr>
    </w:p>
    <w:p>
      <w:pPr>
        <w:pStyle w:val="BodyText"/>
        <w:ind w:left="794" w:right="549"/>
        <w:jc w:val="center"/>
      </w:pPr>
      <w:r>
        <w:rPr>
          <w:w w:val="120"/>
        </w:rPr>
        <w:t>二消極兢爭者訴訟</w:t>
      </w:r>
    </w:p>
    <w:p>
      <w:pPr>
        <w:pStyle w:val="BodyText"/>
        <w:spacing w:before="9"/>
        <w:rPr>
          <w:sz w:val="23"/>
        </w:rPr>
      </w:pPr>
    </w:p>
    <w:p>
      <w:pPr>
        <w:pStyle w:val="BodyText"/>
        <w:spacing w:line="321" w:lineRule="auto"/>
        <w:ind w:left="302" w:right="507" w:firstLine="568"/>
      </w:pPr>
      <w:r>
        <w:rPr>
          <w:w w:val="105"/>
        </w:rPr>
        <w:t>公務員法上消極競爭者訴訟，又稱真正競爭者訴訟，即競爭者於人事</w:t>
      </w:r>
      <w:r>
        <w:rPr>
          <w:spacing w:val="85"/>
          <w:w w:val="105"/>
        </w:rPr>
        <w:t> </w:t>
      </w:r>
      <w:r>
        <w:rPr>
          <w:w w:val="105"/>
        </w:rPr>
        <w:t>主管機關作成任命其他競爭者為系爭職位之公務員後，向法院提超訴訟，</w:t>
      </w:r>
      <w:r>
        <w:rPr>
          <w:spacing w:val="128"/>
          <w:w w:val="105"/>
        </w:rPr>
        <w:t> </w:t>
      </w:r>
      <w:r>
        <w:rPr>
          <w:w w:val="105"/>
        </w:rPr>
        <w:t>請求撤銷人事主管機關任命其他競爭者為系爭職位之公務員之行政處分  </w:t>
      </w:r>
      <w:r>
        <w:rPr>
          <w:spacing w:val="122"/>
          <w:w w:val="105"/>
        </w:rPr>
        <w:t> </w:t>
      </w:r>
      <w:r>
        <w:rPr>
          <w:spacing w:val="4"/>
        </w:rPr>
        <w:t>的訴訟類型 。例如：</w:t>
      </w:r>
      <w:r>
        <w:rPr>
          <w:spacing w:val="16"/>
          <w:w w:val="90"/>
        </w:rPr>
        <w:t>某甲於 </w:t>
      </w:r>
      <w:r>
        <w:rPr>
          <w:rFonts w:ascii="Arial" w:eastAsia="Arial"/>
          <w:w w:val="90"/>
          <w:sz w:val="29"/>
        </w:rPr>
        <w:t>A</w:t>
      </w:r>
      <w:r>
        <w:rPr>
          <w:rFonts w:ascii="Arial" w:eastAsia="Arial"/>
          <w:spacing w:val="21"/>
          <w:w w:val="90"/>
          <w:sz w:val="29"/>
        </w:rPr>
        <w:t> </w:t>
      </w:r>
      <w:r>
        <w:rPr>
          <w:spacing w:val="23"/>
        </w:rPr>
        <w:t>機關作成任命</w:t>
      </w:r>
      <w:r>
        <w:rPr>
          <w:spacing w:val="-23"/>
          <w:w w:val="90"/>
        </w:rPr>
        <w:t>某 </w:t>
      </w:r>
      <w:r>
        <w:rPr>
          <w:spacing w:val="42"/>
        </w:rPr>
        <w:t>乙為</w:t>
      </w:r>
      <w:r>
        <w:rPr>
          <w:spacing w:val="-29"/>
          <w:w w:val="90"/>
        </w:rPr>
        <w:t>系 </w:t>
      </w:r>
      <w:r>
        <w:rPr>
          <w:spacing w:val="13"/>
        </w:rPr>
        <w:t>爭職位之公務</w:t>
      </w:r>
      <w:r>
        <w:rPr>
          <w:spacing w:val="-29"/>
          <w:w w:val="90"/>
        </w:rPr>
        <w:t>員 </w:t>
      </w:r>
      <w:r>
        <w:rPr/>
        <w:t>的行</w:t>
      </w:r>
      <w:r>
        <w:rPr>
          <w:spacing w:val="7"/>
        </w:rPr>
        <w:t>政處分之後 </w:t>
      </w:r>
      <w:r>
        <w:rPr>
          <w:spacing w:val="12"/>
          <w:w w:val="90"/>
        </w:rPr>
        <w:t>，</w:t>
      </w:r>
      <w:r>
        <w:rPr>
          <w:spacing w:val="8"/>
        </w:rPr>
        <w:t>向行政法院提超訴訟 </w:t>
      </w:r>
      <w:r>
        <w:rPr>
          <w:spacing w:val="19"/>
          <w:w w:val="90"/>
        </w:rPr>
        <w:t>，</w:t>
      </w:r>
      <w:r>
        <w:rPr>
          <w:spacing w:val="7"/>
        </w:rPr>
        <w:t>請求撒銷 </w:t>
      </w:r>
      <w:r>
        <w:rPr>
          <w:rFonts w:ascii="Arial" w:eastAsia="Arial"/>
          <w:w w:val="90"/>
          <w:sz w:val="29"/>
        </w:rPr>
        <w:t>A</w:t>
      </w:r>
      <w:r>
        <w:rPr>
          <w:rFonts w:ascii="Arial" w:eastAsia="Arial"/>
          <w:spacing w:val="42"/>
          <w:w w:val="90"/>
          <w:sz w:val="29"/>
        </w:rPr>
        <w:t> </w:t>
      </w:r>
      <w:r>
        <w:rPr>
          <w:spacing w:val="24"/>
        </w:rPr>
        <w:t>機關任命</w:t>
      </w:r>
      <w:r>
        <w:rPr>
          <w:spacing w:val="-18"/>
          <w:w w:val="90"/>
        </w:rPr>
        <w:t>某 </w:t>
      </w:r>
      <w:r>
        <w:rPr>
          <w:spacing w:val="20"/>
        </w:rPr>
        <w:t>乙為該職位公</w:t>
      </w:r>
      <w:r>
        <w:rPr>
          <w:w w:val="105"/>
        </w:rPr>
        <w:t>務員之行政處分。</w:t>
      </w:r>
    </w:p>
    <w:p>
      <w:pPr>
        <w:pStyle w:val="BodyText"/>
        <w:spacing w:line="331" w:lineRule="auto" w:before="15"/>
        <w:ind w:left="308" w:right="515" w:firstLine="565"/>
      </w:pPr>
      <w:r>
        <w:rPr>
          <w:w w:val="110"/>
        </w:rPr>
        <w:t>有關消極競爭者訴訟之合法性問題，在德國實務上以及學說上有極大爭議。以下分別敘述之：</w:t>
      </w:r>
    </w:p>
    <w:p>
      <w:pPr>
        <w:pStyle w:val="BodyText"/>
        <w:spacing w:before="92"/>
        <w:ind w:right="275"/>
        <w:jc w:val="center"/>
      </w:pPr>
      <w:r>
        <w:rPr>
          <w:rFonts w:ascii="Times New Roman" w:eastAsia="Times New Roman"/>
          <w:b/>
          <w:spacing w:val="20"/>
          <w:w w:val="115"/>
          <w:position w:val="-2"/>
          <w:sz w:val="28"/>
        </w:rPr>
        <w:t>(</w:t>
      </w:r>
      <w:r>
        <w:rPr>
          <w:w w:val="115"/>
        </w:rPr>
        <w:t>一</w:t>
      </w:r>
      <w:r>
        <w:rPr>
          <w:rFonts w:ascii="Times New Roman" w:eastAsia="Times New Roman"/>
          <w:b/>
          <w:spacing w:val="-69"/>
          <w:w w:val="115"/>
          <w:position w:val="-2"/>
          <w:sz w:val="28"/>
        </w:rPr>
        <w:t>)</w:t>
      </w:r>
      <w:r>
        <w:rPr>
          <w:w w:val="115"/>
        </w:rPr>
        <w:t>實務上見解：不合法說</w:t>
      </w:r>
    </w:p>
    <w:p>
      <w:pPr>
        <w:pStyle w:val="BodyText"/>
        <w:spacing w:before="6"/>
        <w:rPr>
          <w:sz w:val="22"/>
        </w:rPr>
      </w:pPr>
    </w:p>
    <w:p>
      <w:pPr>
        <w:pStyle w:val="BodyText"/>
        <w:spacing w:line="321" w:lineRule="auto" w:before="1"/>
        <w:ind w:left="297" w:right="511" w:firstLine="575"/>
        <w:jc w:val="both"/>
      </w:pPr>
      <w:r>
        <w:rPr>
          <w:w w:val="105"/>
        </w:rPr>
        <w:t>有關消極競爭者訴訟之合法性問題，詳言之，即職位競爭者在人事主</w:t>
      </w:r>
      <w:r>
        <w:rPr>
          <w:spacing w:val="79"/>
          <w:w w:val="105"/>
        </w:rPr>
        <w:t> </w:t>
      </w:r>
      <w:r>
        <w:rPr>
          <w:w w:val="105"/>
        </w:rPr>
        <w:t>管機關已任命其他競爭者為系爭職務之公務員之後，以該人事主管機關為</w:t>
      </w:r>
      <w:r>
        <w:rPr>
          <w:spacing w:val="129"/>
          <w:w w:val="105"/>
        </w:rPr>
        <w:t> </w:t>
      </w:r>
      <w:r>
        <w:rPr>
          <w:w w:val="105"/>
        </w:rPr>
        <w:t>被告，提超撤銷訴訟，請求行政法院撤銷該項任命之行政處分。此－撤銷</w:t>
      </w:r>
      <w:r>
        <w:rPr>
          <w:spacing w:val="128"/>
          <w:w w:val="105"/>
        </w:rPr>
        <w:t> </w:t>
      </w:r>
      <w:r>
        <w:rPr>
          <w:spacing w:val="-2"/>
        </w:rPr>
        <w:t>訴訟之合法性問題 ，實務上以聯邦行 政法院於 </w:t>
      </w:r>
      <w:r>
        <w:rPr>
          <w:rFonts w:ascii="Times New Roman" w:eastAsia="Times New Roman"/>
          <w:sz w:val="30"/>
        </w:rPr>
        <w:t>1988</w:t>
      </w:r>
      <w:r>
        <w:rPr>
          <w:rFonts w:ascii="Times New Roman" w:eastAsia="Times New Roman"/>
          <w:spacing w:val="-3"/>
          <w:sz w:val="30"/>
        </w:rPr>
        <w:t> </w:t>
      </w:r>
      <w:r>
        <w:rPr>
          <w:spacing w:val="-29"/>
          <w:sz w:val="26"/>
        </w:rPr>
        <w:t>年 </w:t>
      </w:r>
      <w:r>
        <w:rPr>
          <w:rFonts w:ascii="Times New Roman" w:eastAsia="Times New Roman"/>
          <w:sz w:val="30"/>
        </w:rPr>
        <w:t>8</w:t>
      </w:r>
      <w:r>
        <w:rPr>
          <w:rFonts w:ascii="Times New Roman" w:eastAsia="Times New Roman"/>
          <w:spacing w:val="12"/>
          <w:sz w:val="30"/>
        </w:rPr>
        <w:t> </w:t>
      </w:r>
      <w:r>
        <w:rPr>
          <w:spacing w:val="-7"/>
        </w:rPr>
        <w:t>月 </w:t>
      </w:r>
      <w:r>
        <w:rPr>
          <w:rFonts w:ascii="Times New Roman" w:eastAsia="Times New Roman"/>
          <w:sz w:val="30"/>
        </w:rPr>
        <w:t>25</w:t>
      </w:r>
      <w:r>
        <w:rPr>
          <w:rFonts w:ascii="Times New Roman" w:eastAsia="Times New Roman"/>
          <w:spacing w:val="43"/>
          <w:sz w:val="30"/>
        </w:rPr>
        <w:t> </w:t>
      </w:r>
      <w:r>
        <w:rPr>
          <w:spacing w:val="-4"/>
        </w:rPr>
        <w:t>日 所作成判</w:t>
      </w:r>
      <w:r>
        <w:rPr>
          <w:w w:val="105"/>
        </w:rPr>
        <w:t>決之見解最具有代表性。</w:t>
      </w:r>
    </w:p>
    <w:p>
      <w:pPr>
        <w:pStyle w:val="ListParagraph"/>
        <w:numPr>
          <w:ilvl w:val="0"/>
          <w:numId w:val="1"/>
        </w:numPr>
        <w:tabs>
          <w:tab w:pos="1148" w:val="left" w:leader="none"/>
        </w:tabs>
        <w:spacing w:line="240" w:lineRule="auto" w:before="84" w:after="0"/>
        <w:ind w:left="1147" w:right="0" w:hanging="371"/>
        <w:jc w:val="left"/>
        <w:rPr>
          <w:rFonts w:ascii="Times New Roman" w:eastAsia="Times New Roman"/>
          <w:sz w:val="30"/>
        </w:rPr>
      </w:pPr>
      <w:r>
        <w:rPr>
          <w:spacing w:val="9"/>
          <w:w w:val="95"/>
          <w:sz w:val="25"/>
        </w:rPr>
        <w:t>聯邦行政法院 </w:t>
      </w:r>
      <w:r>
        <w:rPr>
          <w:rFonts w:ascii="Times New Roman" w:eastAsia="Times New Roman"/>
          <w:w w:val="95"/>
          <w:sz w:val="30"/>
        </w:rPr>
        <w:t>1988</w:t>
      </w:r>
      <w:r>
        <w:rPr>
          <w:rFonts w:ascii="Times New Roman" w:eastAsia="Times New Roman"/>
          <w:spacing w:val="-28"/>
          <w:w w:val="95"/>
          <w:sz w:val="30"/>
        </w:rPr>
        <w:t> </w:t>
      </w:r>
      <w:r>
        <w:rPr>
          <w:spacing w:val="-18"/>
          <w:w w:val="95"/>
          <w:sz w:val="26"/>
        </w:rPr>
        <w:t>年 </w:t>
      </w:r>
      <w:r>
        <w:rPr>
          <w:rFonts w:ascii="Times New Roman" w:eastAsia="Times New Roman"/>
          <w:w w:val="95"/>
          <w:sz w:val="30"/>
        </w:rPr>
        <w:t>8</w:t>
      </w:r>
      <w:r>
        <w:rPr>
          <w:rFonts w:ascii="Times New Roman" w:eastAsia="Times New Roman"/>
          <w:spacing w:val="27"/>
          <w:w w:val="95"/>
          <w:sz w:val="30"/>
        </w:rPr>
        <w:t> </w:t>
      </w:r>
      <w:r>
        <w:rPr>
          <w:spacing w:val="4"/>
          <w:w w:val="95"/>
          <w:sz w:val="25"/>
        </w:rPr>
        <w:t>月 </w:t>
      </w:r>
      <w:r>
        <w:rPr>
          <w:rFonts w:ascii="Times New Roman" w:eastAsia="Times New Roman"/>
          <w:w w:val="95"/>
          <w:sz w:val="30"/>
        </w:rPr>
        <w:t>25</w:t>
      </w:r>
      <w:r>
        <w:rPr>
          <w:rFonts w:ascii="Times New Roman" w:eastAsia="Times New Roman"/>
          <w:spacing w:val="57"/>
          <w:w w:val="95"/>
          <w:sz w:val="30"/>
        </w:rPr>
        <w:t> </w:t>
      </w:r>
      <w:r>
        <w:rPr>
          <w:spacing w:val="8"/>
          <w:w w:val="95"/>
          <w:sz w:val="25"/>
        </w:rPr>
        <w:t>日之 判決</w:t>
      </w:r>
    </w:p>
    <w:p>
      <w:pPr>
        <w:pStyle w:val="BodyText"/>
        <w:spacing w:before="2"/>
        <w:rPr>
          <w:sz w:val="23"/>
        </w:rPr>
      </w:pPr>
    </w:p>
    <w:p>
      <w:pPr>
        <w:spacing w:line="324" w:lineRule="auto" w:before="0"/>
        <w:ind w:left="301" w:right="495" w:firstLine="564"/>
        <w:jc w:val="both"/>
        <w:rPr>
          <w:sz w:val="25"/>
        </w:rPr>
      </w:pPr>
      <w:r>
        <w:rPr>
          <w:w w:val="105"/>
          <w:sz w:val="25"/>
        </w:rPr>
        <w:t>在此一判決中，聯邦行政法院認為：人事主管機關作成任命某乙為某</w:t>
      </w:r>
      <w:r>
        <w:rPr>
          <w:spacing w:val="102"/>
          <w:w w:val="105"/>
          <w:sz w:val="25"/>
        </w:rPr>
        <w:t> </w:t>
      </w:r>
      <w:r>
        <w:rPr>
          <w:w w:val="105"/>
          <w:sz w:val="25"/>
        </w:rPr>
        <w:t>職務公務員之行政處分後，對於系爭職務競爭者某甲所為告知其未獲任命 </w:t>
      </w:r>
      <w:r>
        <w:rPr>
          <w:spacing w:val="20"/>
          <w:w w:val="105"/>
          <w:sz w:val="25"/>
        </w:rPr>
        <w:t> </w:t>
      </w:r>
      <w:r>
        <w:rPr>
          <w:spacing w:val="-2"/>
          <w:w w:val="95"/>
          <w:sz w:val="25"/>
        </w:rPr>
        <w:t>之文書 ， 其性質為 一侵 益處分 </w:t>
      </w:r>
      <w:r>
        <w:rPr>
          <w:rFonts w:ascii="Times New Roman" w:eastAsia="Times New Roman"/>
          <w:spacing w:val="-5"/>
          <w:w w:val="95"/>
          <w:sz w:val="29"/>
        </w:rPr>
        <w:t>( </w:t>
      </w:r>
      <w:r>
        <w:rPr>
          <w:rFonts w:ascii="Times New Roman" w:eastAsia="Times New Roman"/>
          <w:w w:val="95"/>
          <w:sz w:val="29"/>
        </w:rPr>
        <w:t>be</w:t>
      </w:r>
      <w:r>
        <w:rPr>
          <w:rFonts w:ascii="Times New Roman" w:eastAsia="Times New Roman"/>
          <w:spacing w:val="-23"/>
          <w:w w:val="95"/>
          <w:sz w:val="29"/>
        </w:rPr>
        <w:t> </w:t>
      </w:r>
      <w:r>
        <w:rPr>
          <w:rFonts w:ascii="Times New Roman" w:eastAsia="Times New Roman"/>
          <w:w w:val="95"/>
          <w:sz w:val="29"/>
        </w:rPr>
        <w:t>las</w:t>
      </w:r>
      <w:r>
        <w:rPr>
          <w:rFonts w:ascii="Times New Roman" w:eastAsia="Times New Roman"/>
          <w:spacing w:val="-24"/>
          <w:w w:val="95"/>
          <w:sz w:val="29"/>
        </w:rPr>
        <w:t> </w:t>
      </w:r>
      <w:r>
        <w:rPr>
          <w:rFonts w:ascii="Times New Roman" w:eastAsia="Times New Roman"/>
          <w:w w:val="95"/>
          <w:sz w:val="29"/>
        </w:rPr>
        <w:t>t</w:t>
      </w:r>
      <w:r>
        <w:rPr>
          <w:rFonts w:ascii="Times New Roman" w:eastAsia="Times New Roman"/>
          <w:spacing w:val="-26"/>
          <w:w w:val="95"/>
          <w:sz w:val="29"/>
        </w:rPr>
        <w:t> </w:t>
      </w:r>
      <w:r>
        <w:rPr>
          <w:rFonts w:ascii="Times New Roman" w:eastAsia="Times New Roman"/>
          <w:w w:val="95"/>
          <w:sz w:val="29"/>
        </w:rPr>
        <w:t>ender</w:t>
      </w:r>
      <w:r>
        <w:rPr>
          <w:rFonts w:ascii="Times New Roman" w:eastAsia="Times New Roman"/>
          <w:spacing w:val="119"/>
          <w:sz w:val="29"/>
        </w:rPr>
        <w:t> </w:t>
      </w:r>
      <w:r>
        <w:rPr>
          <w:rFonts w:ascii="Times New Roman" w:eastAsia="Times New Roman"/>
          <w:w w:val="95"/>
          <w:sz w:val="29"/>
        </w:rPr>
        <w:t>Verw</w:t>
      </w:r>
      <w:r>
        <w:rPr>
          <w:rFonts w:ascii="Times New Roman" w:eastAsia="Times New Roman"/>
          <w:spacing w:val="30"/>
          <w:w w:val="95"/>
          <w:sz w:val="29"/>
        </w:rPr>
        <w:t> </w:t>
      </w:r>
      <w:r>
        <w:rPr>
          <w:rFonts w:ascii="Times New Roman" w:eastAsia="Times New Roman"/>
          <w:spacing w:val="15"/>
          <w:w w:val="95"/>
          <w:sz w:val="29"/>
        </w:rPr>
        <w:t>al</w:t>
      </w:r>
      <w:r>
        <w:rPr>
          <w:rFonts w:ascii="Times New Roman" w:eastAsia="Times New Roman"/>
          <w:spacing w:val="-27"/>
          <w:w w:val="95"/>
          <w:sz w:val="29"/>
        </w:rPr>
        <w:t> </w:t>
      </w:r>
      <w:r>
        <w:rPr>
          <w:rFonts w:ascii="Times New Roman" w:eastAsia="Times New Roman"/>
          <w:w w:val="95"/>
          <w:sz w:val="29"/>
        </w:rPr>
        <w:t>t</w:t>
      </w:r>
      <w:r>
        <w:rPr>
          <w:rFonts w:ascii="Times New Roman" w:eastAsia="Times New Roman"/>
          <w:spacing w:val="-20"/>
          <w:w w:val="95"/>
          <w:sz w:val="29"/>
        </w:rPr>
        <w:t> </w:t>
      </w:r>
      <w:r>
        <w:rPr>
          <w:rFonts w:ascii="Times New Roman" w:eastAsia="Times New Roman"/>
          <w:w w:val="95"/>
          <w:sz w:val="29"/>
        </w:rPr>
        <w:t>ungs</w:t>
      </w:r>
      <w:r>
        <w:rPr>
          <w:rFonts w:ascii="Times New Roman" w:eastAsia="Times New Roman"/>
          <w:spacing w:val="-7"/>
          <w:w w:val="95"/>
          <w:sz w:val="29"/>
        </w:rPr>
        <w:t> </w:t>
      </w:r>
      <w:r>
        <w:rPr>
          <w:rFonts w:ascii="Times New Roman" w:eastAsia="Times New Roman"/>
          <w:w w:val="95"/>
          <w:sz w:val="29"/>
        </w:rPr>
        <w:t>akt</w:t>
      </w:r>
      <w:r>
        <w:rPr>
          <w:rFonts w:ascii="Times New Roman" w:eastAsia="Times New Roman"/>
          <w:spacing w:val="25"/>
          <w:w w:val="95"/>
          <w:sz w:val="29"/>
        </w:rPr>
        <w:t> ) </w:t>
      </w:r>
      <w:r>
        <w:rPr>
          <w:spacing w:val="4"/>
          <w:w w:val="95"/>
          <w:sz w:val="25"/>
        </w:rPr>
        <w:t>。就行政</w:t>
      </w:r>
      <w:r>
        <w:rPr>
          <w:w w:val="105"/>
          <w:sz w:val="25"/>
        </w:rPr>
        <w:t>訴訟法上之一般原則而言，權利受侵害者（某甲）於收受該行政處分之後，</w:t>
      </w:r>
    </w:p>
    <w:p>
      <w:pPr>
        <w:pStyle w:val="BodyText"/>
        <w:rPr>
          <w:sz w:val="19"/>
        </w:rPr>
      </w:pPr>
      <w:r>
        <w:rPr/>
        <w:pict>
          <v:shape style="position:absolute;margin-left:95.174004pt;margin-top:14.392315pt;width:144.25pt;height:.1pt;mso-position-horizontal-relative:page;mso-position-vertical-relative:paragraph;z-index:-15651328;mso-wrap-distance-left:0;mso-wrap-distance-right:0" coordorigin="1903,288" coordsize="2885,0" path="m1903,288l4788,288e" filled="false" stroked="true" strokeweight=".480547pt" strokecolor="#000000">
            <v:path arrowok="t"/>
            <v:stroke dashstyle="solid"/>
            <w10:wrap type="topAndBottom"/>
          </v:shape>
        </w:pict>
      </w:r>
    </w:p>
    <w:p>
      <w:pPr>
        <w:pStyle w:val="BodyText"/>
        <w:spacing w:before="7"/>
        <w:rPr>
          <w:sz w:val="8"/>
        </w:rPr>
      </w:pPr>
    </w:p>
    <w:p>
      <w:pPr>
        <w:pStyle w:val="Heading6"/>
        <w:tabs>
          <w:tab w:pos="2576" w:val="left" w:leader="none"/>
          <w:tab w:pos="7280" w:val="left" w:leader="none"/>
        </w:tabs>
      </w:pPr>
      <w:r>
        <w:rPr>
          <w:w w:val="90"/>
          <w:position w:val="8"/>
          <w:sz w:val="13"/>
        </w:rPr>
        <w:t>24</w:t>
      </w:r>
      <w:r>
        <w:rPr>
          <w:spacing w:val="27"/>
          <w:position w:val="8"/>
          <w:sz w:val="13"/>
        </w:rPr>
        <w:t> </w:t>
      </w:r>
      <w:r>
        <w:rPr>
          <w:spacing w:val="27"/>
          <w:position w:val="8"/>
          <w:sz w:val="13"/>
        </w:rPr>
        <w:t> </w:t>
      </w:r>
      <w:r>
        <w:rPr>
          <w:w w:val="90"/>
        </w:rPr>
        <w:t>Vgl.</w:t>
      </w:r>
      <w:r>
        <w:rPr>
          <w:spacing w:val="137"/>
        </w:rPr>
        <w:t> </w:t>
      </w:r>
      <w:r>
        <w:rPr>
          <w:w w:val="90"/>
        </w:rPr>
        <w:t>Wi</w:t>
      </w:r>
      <w:r>
        <w:rPr>
          <w:spacing w:val="-11"/>
          <w:w w:val="90"/>
        </w:rPr>
        <w:t> </w:t>
      </w:r>
      <w:r>
        <w:rPr>
          <w:w w:val="90"/>
        </w:rPr>
        <w:t>ttkowski,</w:t>
        <w:tab/>
      </w:r>
      <w:r>
        <w:rPr/>
        <w:t>Die</w:t>
      </w:r>
      <w:r>
        <w:rPr>
          <w:spacing w:val="39"/>
        </w:rPr>
        <w:t> </w:t>
      </w:r>
      <w:r>
        <w:rPr/>
        <w:t>Konkurrentenklage</w:t>
      </w:r>
      <w:r>
        <w:rPr>
          <w:spacing w:val="48"/>
        </w:rPr>
        <w:t> </w:t>
      </w:r>
      <w:r>
        <w:rPr/>
        <w:t>im</w:t>
      </w:r>
      <w:r>
        <w:rPr>
          <w:spacing w:val="37"/>
        </w:rPr>
        <w:t> </w:t>
      </w:r>
      <w:r>
        <w:rPr/>
        <w:t>Beamtenrecht,</w:t>
        <w:tab/>
      </w:r>
      <w:r>
        <w:rPr>
          <w:w w:val="90"/>
        </w:rPr>
        <w:t>NJW</w:t>
      </w:r>
      <w:r>
        <w:rPr>
          <w:spacing w:val="29"/>
          <w:w w:val="90"/>
        </w:rPr>
        <w:t> </w:t>
      </w:r>
      <w:r>
        <w:rPr>
          <w:w w:val="90"/>
        </w:rPr>
        <w:t>1993,</w:t>
      </w:r>
      <w:r>
        <w:rPr>
          <w:spacing w:val="23"/>
          <w:w w:val="90"/>
        </w:rPr>
        <w:t> </w:t>
      </w:r>
      <w:r>
        <w:rPr>
          <w:w w:val="90"/>
        </w:rPr>
        <w:t>817.</w:t>
      </w:r>
    </w:p>
    <w:p>
      <w:pPr>
        <w:spacing w:before="14"/>
        <w:ind w:left="298" w:right="0" w:firstLine="0"/>
        <w:jc w:val="left"/>
        <w:rPr>
          <w:rFonts w:ascii="Times New Roman"/>
          <w:sz w:val="26"/>
        </w:rPr>
      </w:pPr>
      <w:r>
        <w:rPr>
          <w:rFonts w:ascii="Times New Roman"/>
          <w:position w:val="8"/>
          <w:sz w:val="13"/>
        </w:rPr>
        <w:t>25</w:t>
      </w:r>
      <w:r>
        <w:rPr>
          <w:rFonts w:ascii="Times New Roman"/>
          <w:spacing w:val="26"/>
          <w:position w:val="8"/>
          <w:sz w:val="13"/>
        </w:rPr>
        <w:t> </w:t>
      </w:r>
      <w:r>
        <w:rPr>
          <w:rFonts w:ascii="Times New Roman"/>
          <w:sz w:val="26"/>
        </w:rPr>
        <w:t>Schnellenbach,</w:t>
      </w:r>
      <w:r>
        <w:rPr>
          <w:rFonts w:ascii="Times New Roman"/>
          <w:spacing w:val="47"/>
          <w:sz w:val="26"/>
        </w:rPr>
        <w:t> </w:t>
      </w:r>
      <w:r>
        <w:rPr>
          <w:rFonts w:ascii="Times New Roman"/>
          <w:sz w:val="26"/>
        </w:rPr>
        <w:t>Beamtenrecht</w:t>
      </w:r>
      <w:r>
        <w:rPr>
          <w:rFonts w:ascii="Times New Roman"/>
          <w:spacing w:val="111"/>
          <w:sz w:val="26"/>
        </w:rPr>
        <w:t> </w:t>
      </w:r>
      <w:r>
        <w:rPr>
          <w:rFonts w:ascii="Times New Roman"/>
          <w:sz w:val="26"/>
        </w:rPr>
        <w:t>in</w:t>
      </w:r>
      <w:r>
        <w:rPr>
          <w:rFonts w:ascii="Times New Roman"/>
          <w:spacing w:val="50"/>
          <w:sz w:val="26"/>
        </w:rPr>
        <w:t> </w:t>
      </w:r>
      <w:r>
        <w:rPr>
          <w:rFonts w:ascii="Times New Roman"/>
          <w:sz w:val="26"/>
        </w:rPr>
        <w:t>der</w:t>
      </w:r>
      <w:r>
        <w:rPr>
          <w:rFonts w:ascii="Times New Roman"/>
          <w:spacing w:val="64"/>
          <w:sz w:val="26"/>
        </w:rPr>
        <w:t> </w:t>
      </w:r>
      <w:r>
        <w:rPr>
          <w:rFonts w:ascii="Times New Roman"/>
          <w:sz w:val="26"/>
        </w:rPr>
        <w:t>Praxis,</w:t>
      </w:r>
      <w:r>
        <w:rPr>
          <w:rFonts w:ascii="Times New Roman"/>
          <w:spacing w:val="124"/>
          <w:sz w:val="26"/>
        </w:rPr>
        <w:t> </w:t>
      </w:r>
      <w:r>
        <w:rPr>
          <w:rFonts w:ascii="Times New Roman"/>
          <w:sz w:val="26"/>
        </w:rPr>
        <w:t>5.</w:t>
      </w:r>
      <w:r>
        <w:rPr>
          <w:rFonts w:ascii="Times New Roman"/>
          <w:spacing w:val="110"/>
          <w:sz w:val="26"/>
        </w:rPr>
        <w:t> </w:t>
      </w:r>
      <w:r>
        <w:rPr>
          <w:rFonts w:ascii="Times New Roman"/>
          <w:sz w:val="26"/>
        </w:rPr>
        <w:t>Aufl.,</w:t>
      </w:r>
      <w:r>
        <w:rPr>
          <w:rFonts w:ascii="Times New Roman"/>
          <w:spacing w:val="119"/>
          <w:sz w:val="26"/>
        </w:rPr>
        <w:t> </w:t>
      </w:r>
      <w:r>
        <w:rPr>
          <w:rFonts w:ascii="Times New Roman"/>
          <w:sz w:val="26"/>
        </w:rPr>
        <w:t>2001,</w:t>
      </w:r>
      <w:r>
        <w:rPr>
          <w:rFonts w:ascii="Times New Roman"/>
          <w:spacing w:val="118"/>
          <w:sz w:val="26"/>
        </w:rPr>
        <w:t> </w:t>
      </w:r>
      <w:r>
        <w:rPr>
          <w:rFonts w:ascii="Times New Roman"/>
          <w:sz w:val="26"/>
        </w:rPr>
        <w:t>Rn.</w:t>
      </w:r>
      <w:r>
        <w:rPr>
          <w:rFonts w:ascii="Times New Roman"/>
          <w:spacing w:val="113"/>
          <w:sz w:val="26"/>
        </w:rPr>
        <w:t> </w:t>
      </w:r>
      <w:r>
        <w:rPr>
          <w:rFonts w:ascii="Times New Roman"/>
          <w:sz w:val="26"/>
        </w:rPr>
        <w:t>38.</w:t>
      </w:r>
    </w:p>
    <w:p>
      <w:pPr>
        <w:spacing w:after="0"/>
        <w:jc w:val="left"/>
        <w:rPr>
          <w:rFonts w:ascii="Times New Roman"/>
          <w:sz w:val="26"/>
        </w:rPr>
        <w:sectPr>
          <w:pgSz w:w="11910" w:h="16840"/>
          <w:pgMar w:header="862" w:footer="1017" w:top="1060" w:bottom="1200" w:left="1120" w:right="1060"/>
        </w:sectPr>
      </w:pPr>
    </w:p>
    <w:p>
      <w:pPr>
        <w:pStyle w:val="BodyText"/>
        <w:rPr>
          <w:rFonts w:ascii="Times New Roman"/>
          <w:sz w:val="20"/>
        </w:rPr>
      </w:pPr>
    </w:p>
    <w:p>
      <w:pPr>
        <w:pStyle w:val="BodyText"/>
        <w:spacing w:line="328" w:lineRule="auto" w:before="206"/>
        <w:ind w:left="307" w:right="515" w:hanging="6"/>
        <w:rPr>
          <w:rFonts w:ascii="Arial" w:eastAsia="Arial"/>
          <w:sz w:val="8"/>
        </w:rPr>
      </w:pPr>
      <w:r>
        <w:rPr>
          <w:w w:val="105"/>
        </w:rPr>
        <w:t>原得向行政法院主張権利保護，請求法院對於該人事主管機關就系爭職務</w:t>
      </w:r>
      <w:r>
        <w:rPr>
          <w:spacing w:val="121"/>
          <w:w w:val="105"/>
        </w:rPr>
        <w:t> </w:t>
      </w:r>
      <w:r>
        <w:rPr>
          <w:spacing w:val="17"/>
          <w:w w:val="95"/>
        </w:rPr>
        <w:t>所為之決定加以審查 </w:t>
      </w:r>
      <w:r>
        <w:rPr>
          <w:w w:val="85"/>
        </w:rPr>
        <w:t>，並</w:t>
      </w:r>
      <w:r>
        <w:rPr>
          <w:spacing w:val="122"/>
        </w:rPr>
        <w:t> </w:t>
      </w:r>
      <w:r>
        <w:rPr>
          <w:spacing w:val="47"/>
          <w:w w:val="85"/>
        </w:rPr>
        <w:t>命 </w:t>
      </w:r>
      <w:r>
        <w:rPr>
          <w:spacing w:val="7"/>
          <w:w w:val="95"/>
        </w:rPr>
        <w:t>人事主管機 關就系爭職務之任命重為 決定</w:t>
      </w:r>
      <w:r>
        <w:rPr>
          <w:rFonts w:ascii="Times New Roman" w:eastAsia="Times New Roman"/>
          <w:w w:val="85"/>
          <w:sz w:val="15"/>
        </w:rPr>
        <w:t>26</w:t>
      </w:r>
      <w:r>
        <w:rPr>
          <w:rFonts w:ascii="Times New Roman" w:eastAsia="Times New Roman"/>
          <w:spacing w:val="26"/>
          <w:sz w:val="15"/>
        </w:rPr>
        <w:t>   </w:t>
      </w:r>
      <w:r>
        <w:rPr>
          <w:rFonts w:ascii="Arial" w:eastAsia="Arial"/>
          <w:w w:val="105"/>
          <w:sz w:val="8"/>
        </w:rPr>
        <w:t>0</w:t>
      </w:r>
      <w:r>
        <w:rPr>
          <w:rFonts w:ascii="Arial" w:eastAsia="Arial"/>
          <w:spacing w:val="1"/>
          <w:w w:val="105"/>
          <w:sz w:val="8"/>
        </w:rPr>
        <w:t> </w:t>
      </w:r>
      <w:r>
        <w:rPr>
          <w:w w:val="105"/>
        </w:rPr>
        <w:t>然而，人事主管機關既已就系爭職務作成任命某乙為該職務公務員之決  </w:t>
      </w:r>
      <w:r>
        <w:rPr>
          <w:spacing w:val="115"/>
          <w:w w:val="105"/>
        </w:rPr>
        <w:t> </w:t>
      </w:r>
      <w:r>
        <w:rPr>
          <w:w w:val="105"/>
        </w:rPr>
        <w:t>定，即不可能再為變更，重新作成對某甲有利之決定。因此，人事主管機</w:t>
      </w:r>
      <w:r>
        <w:rPr>
          <w:spacing w:val="115"/>
          <w:w w:val="105"/>
        </w:rPr>
        <w:t> </w:t>
      </w:r>
      <w:r>
        <w:rPr>
          <w:w w:val="105"/>
        </w:rPr>
        <w:t>關對於某甲之侵益處分（告知其未獲任命之通知書），自該項任命生效之 </w:t>
      </w:r>
      <w:r>
        <w:rPr>
          <w:spacing w:val="9"/>
          <w:w w:val="105"/>
        </w:rPr>
        <w:t> </w:t>
      </w:r>
      <w:r>
        <w:rPr>
          <w:spacing w:val="3"/>
          <w:w w:val="95"/>
        </w:rPr>
        <w:t>時超 </w:t>
      </w:r>
      <w:r>
        <w:rPr>
          <w:spacing w:val="-25"/>
          <w:w w:val="85"/>
        </w:rPr>
        <w:t>， </w:t>
      </w:r>
      <w:r>
        <w:rPr>
          <w:w w:val="95"/>
        </w:rPr>
        <w:t>即已了 結 。某甲 向行政法院主張權 利保護之請求 </w:t>
      </w:r>
      <w:r>
        <w:rPr>
          <w:spacing w:val="-21"/>
          <w:w w:val="85"/>
        </w:rPr>
        <w:t>， </w:t>
      </w:r>
      <w:r>
        <w:rPr>
          <w:spacing w:val="1"/>
          <w:w w:val="95"/>
        </w:rPr>
        <w:t>即不合 法</w:t>
      </w:r>
      <w:r>
        <w:rPr>
          <w:rFonts w:ascii="Times New Roman" w:eastAsia="Times New Roman"/>
          <w:w w:val="85"/>
          <w:sz w:val="15"/>
        </w:rPr>
        <w:t>27</w:t>
      </w:r>
      <w:r>
        <w:rPr>
          <w:rFonts w:ascii="Times New Roman" w:eastAsia="Times New Roman"/>
          <w:spacing w:val="55"/>
          <w:sz w:val="15"/>
        </w:rPr>
        <w:t>  </w:t>
      </w:r>
      <w:r>
        <w:rPr>
          <w:rFonts w:ascii="Arial" w:eastAsia="Arial"/>
          <w:w w:val="105"/>
          <w:sz w:val="8"/>
        </w:rPr>
        <w:t>0</w:t>
      </w:r>
    </w:p>
    <w:p>
      <w:pPr>
        <w:spacing w:line="297" w:lineRule="auto" w:before="0"/>
        <w:ind w:left="305" w:right="534" w:firstLine="567"/>
        <w:jc w:val="left"/>
        <w:rPr>
          <w:rFonts w:ascii="Arial" w:eastAsia="Arial"/>
          <w:sz w:val="8"/>
        </w:rPr>
      </w:pPr>
      <w:r>
        <w:rPr>
          <w:spacing w:val="13"/>
          <w:w w:val="95"/>
          <w:sz w:val="25"/>
        </w:rPr>
        <w:t>上逑聯邦行政法院於 </w:t>
      </w:r>
      <w:r>
        <w:rPr>
          <w:rFonts w:ascii="Times New Roman" w:eastAsia="Times New Roman"/>
          <w:w w:val="95"/>
          <w:sz w:val="30"/>
        </w:rPr>
        <w:t>1988</w:t>
      </w:r>
      <w:r>
        <w:rPr>
          <w:rFonts w:ascii="Times New Roman" w:eastAsia="Times New Roman"/>
          <w:spacing w:val="20"/>
          <w:w w:val="95"/>
          <w:sz w:val="30"/>
        </w:rPr>
        <w:t> </w:t>
      </w:r>
      <w:r>
        <w:rPr>
          <w:spacing w:val="-10"/>
          <w:w w:val="95"/>
          <w:sz w:val="24"/>
        </w:rPr>
        <w:t>年 </w:t>
      </w:r>
      <w:r>
        <w:rPr>
          <w:rFonts w:ascii="Times New Roman" w:eastAsia="Times New Roman"/>
          <w:w w:val="95"/>
          <w:sz w:val="30"/>
        </w:rPr>
        <w:t>8</w:t>
      </w:r>
      <w:r>
        <w:rPr>
          <w:rFonts w:ascii="Times New Roman" w:eastAsia="Times New Roman"/>
          <w:spacing w:val="37"/>
          <w:w w:val="95"/>
          <w:sz w:val="30"/>
        </w:rPr>
        <w:t> </w:t>
      </w:r>
      <w:r>
        <w:rPr>
          <w:spacing w:val="10"/>
          <w:w w:val="95"/>
          <w:sz w:val="25"/>
        </w:rPr>
        <w:t>月 </w:t>
      </w:r>
      <w:r>
        <w:rPr>
          <w:rFonts w:ascii="Times New Roman" w:eastAsia="Times New Roman"/>
          <w:w w:val="95"/>
          <w:sz w:val="30"/>
        </w:rPr>
        <w:t>25</w:t>
      </w:r>
      <w:r>
        <w:rPr>
          <w:rFonts w:ascii="Times New Roman" w:eastAsia="Times New Roman"/>
          <w:spacing w:val="5"/>
          <w:w w:val="95"/>
          <w:sz w:val="30"/>
        </w:rPr>
        <w:t> </w:t>
      </w:r>
      <w:r>
        <w:rPr>
          <w:w w:val="95"/>
          <w:sz w:val="25"/>
        </w:rPr>
        <w:t>日 判決中之 見解 </w:t>
      </w:r>
      <w:r>
        <w:rPr>
          <w:w w:val="85"/>
          <w:sz w:val="25"/>
        </w:rPr>
        <w:t>，</w:t>
      </w:r>
      <w:r>
        <w:rPr>
          <w:spacing w:val="6"/>
          <w:w w:val="95"/>
          <w:sz w:val="25"/>
        </w:rPr>
        <w:t>其後並為該 法</w:t>
      </w:r>
      <w:r>
        <w:rPr>
          <w:spacing w:val="9"/>
          <w:w w:val="95"/>
          <w:sz w:val="25"/>
        </w:rPr>
        <w:t>院之其它判 決所採納</w:t>
      </w:r>
      <w:r>
        <w:rPr>
          <w:rFonts w:ascii="Arial" w:eastAsia="Arial"/>
          <w:w w:val="85"/>
          <w:sz w:val="15"/>
        </w:rPr>
        <w:t>28</w:t>
      </w:r>
      <w:r>
        <w:rPr>
          <w:rFonts w:ascii="Arial" w:eastAsia="Arial"/>
          <w:spacing w:val="3"/>
          <w:w w:val="85"/>
          <w:sz w:val="15"/>
        </w:rPr>
        <w:t> </w:t>
      </w:r>
      <w:r>
        <w:rPr>
          <w:rFonts w:ascii="Arial" w:eastAsia="Arial"/>
          <w:w w:val="95"/>
          <w:sz w:val="8"/>
        </w:rPr>
        <w:t>0</w:t>
      </w:r>
    </w:p>
    <w:p>
      <w:pPr>
        <w:pStyle w:val="BodyText"/>
        <w:spacing w:line="326" w:lineRule="auto" w:before="29"/>
        <w:ind w:left="305" w:right="536" w:firstLine="562"/>
      </w:pPr>
      <w:r>
        <w:rPr>
          <w:spacing w:val="5"/>
          <w:w w:val="95"/>
        </w:rPr>
        <w:t>由聯邦行 政法院 </w:t>
      </w:r>
      <w:r>
        <w:rPr>
          <w:rFonts w:ascii="Times New Roman" w:eastAsia="Times New Roman"/>
          <w:w w:val="95"/>
          <w:sz w:val="30"/>
        </w:rPr>
        <w:t>1988</w:t>
      </w:r>
      <w:r>
        <w:rPr>
          <w:rFonts w:ascii="Times New Roman" w:eastAsia="Times New Roman"/>
          <w:spacing w:val="37"/>
          <w:w w:val="95"/>
          <w:sz w:val="30"/>
        </w:rPr>
        <w:t> </w:t>
      </w:r>
      <w:r>
        <w:rPr>
          <w:spacing w:val="-5"/>
          <w:w w:val="95"/>
          <w:sz w:val="24"/>
        </w:rPr>
        <w:t>年 </w:t>
      </w:r>
      <w:r>
        <w:rPr>
          <w:rFonts w:ascii="Times New Roman" w:eastAsia="Times New Roman"/>
          <w:w w:val="95"/>
          <w:sz w:val="30"/>
        </w:rPr>
        <w:t>8</w:t>
      </w:r>
      <w:r>
        <w:rPr>
          <w:rFonts w:ascii="Times New Roman" w:eastAsia="Times New Roman"/>
          <w:spacing w:val="64"/>
          <w:w w:val="95"/>
          <w:sz w:val="30"/>
        </w:rPr>
        <w:t> </w:t>
      </w:r>
      <w:r>
        <w:rPr>
          <w:spacing w:val="23"/>
          <w:w w:val="95"/>
        </w:rPr>
        <w:t>月 </w:t>
      </w:r>
      <w:r>
        <w:rPr>
          <w:rFonts w:ascii="Times New Roman" w:eastAsia="Times New Roman"/>
          <w:w w:val="95"/>
          <w:sz w:val="30"/>
        </w:rPr>
        <w:t>25</w:t>
      </w:r>
      <w:r>
        <w:rPr>
          <w:rFonts w:ascii="Times New Roman" w:eastAsia="Times New Roman"/>
          <w:spacing w:val="31"/>
          <w:w w:val="95"/>
          <w:sz w:val="30"/>
        </w:rPr>
        <w:t> </w:t>
      </w:r>
      <w:r>
        <w:rPr>
          <w:spacing w:val="13"/>
          <w:w w:val="95"/>
        </w:rPr>
        <w:t>日 判決之內容觀之，聯邦行政法院似</w:t>
      </w:r>
      <w:r>
        <w:rPr>
          <w:w w:val="105"/>
        </w:rPr>
        <w:t>無意直接否定公務員法上消極競爭者訴訟之合法性。但基於以下二點理  </w:t>
      </w:r>
      <w:r>
        <w:rPr>
          <w:spacing w:val="96"/>
          <w:w w:val="105"/>
        </w:rPr>
        <w:t> </w:t>
      </w:r>
      <w:r>
        <w:rPr>
          <w:w w:val="105"/>
        </w:rPr>
        <w:t>由，聯邦行政法院仍駁回原告訴之請求。</w:t>
      </w:r>
    </w:p>
    <w:p>
      <w:pPr>
        <w:tabs>
          <w:tab w:pos="3779" w:val="left" w:leader="none"/>
        </w:tabs>
        <w:spacing w:line="324" w:lineRule="auto" w:before="6"/>
        <w:ind w:left="303" w:right="479" w:firstLine="565"/>
        <w:jc w:val="left"/>
        <w:rPr>
          <w:sz w:val="25"/>
        </w:rPr>
      </w:pPr>
      <w:r>
        <w:rPr>
          <w:w w:val="105"/>
          <w:sz w:val="25"/>
        </w:rPr>
        <w:t>聯邦行政法院認為：公務員法上消極競爭者訴訟，並非噹然不合法；</w:t>
      </w:r>
      <w:r>
        <w:rPr>
          <w:spacing w:val="115"/>
          <w:w w:val="105"/>
          <w:sz w:val="25"/>
        </w:rPr>
        <w:t> </w:t>
      </w:r>
      <w:r>
        <w:rPr>
          <w:w w:val="105"/>
          <w:sz w:val="25"/>
        </w:rPr>
        <w:t>聯邦行政法院之所以必須駁回原告訴之請求，係基於實體法上特別規定之 </w:t>
      </w:r>
      <w:r>
        <w:rPr>
          <w:spacing w:val="36"/>
          <w:w w:val="105"/>
          <w:sz w:val="25"/>
        </w:rPr>
        <w:t> </w:t>
      </w:r>
      <w:r>
        <w:rPr>
          <w:sz w:val="25"/>
        </w:rPr>
        <w:t>故</w:t>
      </w:r>
      <w:r>
        <w:rPr>
          <w:spacing w:val="-51"/>
          <w:sz w:val="25"/>
        </w:rPr>
        <w:t> </w:t>
      </w:r>
      <w:r>
        <w:rPr>
          <w:sz w:val="25"/>
        </w:rPr>
        <w:t>。按</w:t>
      </w:r>
      <w:r>
        <w:rPr>
          <w:spacing w:val="23"/>
          <w:sz w:val="25"/>
        </w:rPr>
        <w:t>聯</w:t>
      </w:r>
      <w:r>
        <w:rPr>
          <w:spacing w:val="33"/>
          <w:sz w:val="25"/>
        </w:rPr>
        <w:t>邦</w:t>
      </w:r>
      <w:r>
        <w:rPr>
          <w:sz w:val="25"/>
        </w:rPr>
        <w:t>公</w:t>
      </w:r>
      <w:r>
        <w:rPr>
          <w:spacing w:val="28"/>
          <w:sz w:val="25"/>
        </w:rPr>
        <w:t>務</w:t>
      </w:r>
      <w:r>
        <w:rPr>
          <w:sz w:val="25"/>
        </w:rPr>
        <w:t>員</w:t>
      </w:r>
      <w:r>
        <w:rPr>
          <w:spacing w:val="-69"/>
          <w:sz w:val="25"/>
        </w:rPr>
        <w:t> </w:t>
      </w:r>
      <w:r>
        <w:rPr>
          <w:sz w:val="25"/>
        </w:rPr>
        <w:t>法</w:t>
      </w:r>
      <w:r>
        <w:rPr>
          <w:spacing w:val="15"/>
          <w:sz w:val="25"/>
        </w:rPr>
        <w:t> </w:t>
      </w:r>
      <w:r>
        <w:rPr>
          <w:rFonts w:ascii="Times New Roman" w:eastAsia="Times New Roman"/>
          <w:sz w:val="28"/>
        </w:rPr>
        <w:t>(</w:t>
      </w:r>
      <w:r>
        <w:rPr>
          <w:rFonts w:ascii="Times New Roman" w:eastAsia="Times New Roman"/>
          <w:spacing w:val="-14"/>
          <w:sz w:val="28"/>
        </w:rPr>
        <w:t> </w:t>
      </w:r>
      <w:r>
        <w:rPr>
          <w:rFonts w:ascii="Times New Roman" w:eastAsia="Times New Roman"/>
          <w:sz w:val="28"/>
        </w:rPr>
        <w:t>Bundes</w:t>
      </w:r>
      <w:r>
        <w:rPr>
          <w:rFonts w:ascii="Times New Roman" w:eastAsia="Times New Roman"/>
          <w:spacing w:val="19"/>
          <w:sz w:val="28"/>
        </w:rPr>
        <w:t> </w:t>
      </w:r>
      <w:r>
        <w:rPr>
          <w:rFonts w:ascii="Times New Roman" w:eastAsia="Times New Roman"/>
          <w:sz w:val="28"/>
        </w:rPr>
        <w:t>beamt</w:t>
      </w:r>
      <w:r>
        <w:rPr>
          <w:rFonts w:ascii="Times New Roman" w:eastAsia="Times New Roman"/>
          <w:spacing w:val="-25"/>
          <w:sz w:val="28"/>
        </w:rPr>
        <w:t> </w:t>
      </w:r>
      <w:r>
        <w:rPr>
          <w:rFonts w:ascii="Times New Roman" w:eastAsia="Times New Roman"/>
          <w:sz w:val="28"/>
        </w:rPr>
        <w:t>enges</w:t>
      </w:r>
      <w:r>
        <w:rPr>
          <w:rFonts w:ascii="Times New Roman" w:eastAsia="Times New Roman"/>
          <w:spacing w:val="6"/>
          <w:sz w:val="28"/>
        </w:rPr>
        <w:t> </w:t>
      </w:r>
      <w:r>
        <w:rPr>
          <w:rFonts w:ascii="Times New Roman" w:eastAsia="Times New Roman"/>
          <w:spacing w:val="11"/>
          <w:sz w:val="28"/>
        </w:rPr>
        <w:t>et</w:t>
      </w:r>
      <w:r>
        <w:rPr>
          <w:rFonts w:ascii="Times New Roman" w:eastAsia="Times New Roman"/>
          <w:spacing w:val="-27"/>
          <w:sz w:val="28"/>
        </w:rPr>
        <w:t> </w:t>
      </w:r>
      <w:r>
        <w:rPr>
          <w:rFonts w:ascii="Times New Roman" w:eastAsia="Times New Roman"/>
          <w:sz w:val="28"/>
        </w:rPr>
        <w:t>z</w:t>
      </w:r>
      <w:r>
        <w:rPr>
          <w:rFonts w:ascii="Times New Roman" w:eastAsia="Times New Roman"/>
          <w:spacing w:val="-21"/>
          <w:sz w:val="28"/>
        </w:rPr>
        <w:t> </w:t>
      </w:r>
      <w:r>
        <w:rPr>
          <w:rFonts w:ascii="Times New Roman" w:eastAsia="Times New Roman"/>
          <w:sz w:val="28"/>
        </w:rPr>
        <w:t>)</w:t>
      </w:r>
      <w:r>
        <w:rPr>
          <w:rFonts w:ascii="Times New Roman" w:eastAsia="Times New Roman"/>
          <w:spacing w:val="2"/>
          <w:sz w:val="28"/>
        </w:rPr>
        <w:t> </w:t>
      </w:r>
      <w:r>
        <w:rPr>
          <w:spacing w:val="14"/>
          <w:sz w:val="25"/>
        </w:rPr>
        <w:t>上</w:t>
      </w:r>
      <w:r>
        <w:rPr>
          <w:spacing w:val="29"/>
          <w:sz w:val="25"/>
        </w:rPr>
        <w:t>有</w:t>
      </w:r>
      <w:r>
        <w:rPr>
          <w:spacing w:val="14"/>
          <w:sz w:val="25"/>
        </w:rPr>
        <w:t>所</w:t>
      </w:r>
      <w:r>
        <w:rPr>
          <w:sz w:val="25"/>
        </w:rPr>
        <w:t>謂「</w:t>
      </w:r>
      <w:r>
        <w:rPr>
          <w:spacing w:val="-75"/>
          <w:sz w:val="25"/>
        </w:rPr>
        <w:t> </w:t>
      </w:r>
      <w:r>
        <w:rPr>
          <w:spacing w:val="26"/>
          <w:sz w:val="25"/>
        </w:rPr>
        <w:t>職</w:t>
      </w:r>
      <w:r>
        <w:rPr>
          <w:spacing w:val="30"/>
          <w:sz w:val="25"/>
        </w:rPr>
        <w:t>務</w:t>
      </w:r>
      <w:r>
        <w:rPr>
          <w:spacing w:val="44"/>
          <w:sz w:val="25"/>
        </w:rPr>
        <w:t>安</w:t>
      </w:r>
      <w:r>
        <w:rPr>
          <w:sz w:val="25"/>
        </w:rPr>
        <w:t>定」</w:t>
      </w:r>
      <w:r>
        <w:rPr>
          <w:rFonts w:ascii="Times New Roman" w:eastAsia="Times New Roman"/>
          <w:w w:val="105"/>
          <w:sz w:val="28"/>
        </w:rPr>
        <w:t>(Amterstabi</w:t>
      </w:r>
      <w:r>
        <w:rPr>
          <w:rFonts w:ascii="Times New Roman" w:eastAsia="Times New Roman"/>
          <w:spacing w:val="-27"/>
          <w:w w:val="105"/>
          <w:sz w:val="28"/>
        </w:rPr>
        <w:t> </w:t>
      </w:r>
      <w:r>
        <w:rPr>
          <w:rFonts w:ascii="Times New Roman" w:eastAsia="Times New Roman"/>
          <w:spacing w:val="11"/>
          <w:w w:val="105"/>
          <w:sz w:val="28"/>
        </w:rPr>
        <w:t>1i</w:t>
      </w:r>
      <w:r>
        <w:rPr>
          <w:rFonts w:ascii="Times New Roman" w:eastAsia="Times New Roman"/>
          <w:spacing w:val="-28"/>
          <w:w w:val="105"/>
          <w:sz w:val="28"/>
        </w:rPr>
        <w:t> </w:t>
      </w:r>
      <w:r>
        <w:rPr>
          <w:rFonts w:ascii="Times New Roman" w:eastAsia="Times New Roman"/>
          <w:w w:val="105"/>
          <w:sz w:val="28"/>
        </w:rPr>
        <w:t>t</w:t>
      </w:r>
      <w:r>
        <w:rPr>
          <w:rFonts w:ascii="Times New Roman" w:eastAsia="Times New Roman"/>
          <w:spacing w:val="-32"/>
          <w:w w:val="105"/>
          <w:sz w:val="28"/>
        </w:rPr>
        <w:t> </w:t>
      </w:r>
      <w:r>
        <w:rPr>
          <w:rFonts w:ascii="Times New Roman" w:eastAsia="Times New Roman"/>
          <w:spacing w:val="16"/>
          <w:w w:val="105"/>
          <w:sz w:val="28"/>
        </w:rPr>
        <w:t>at</w:t>
      </w:r>
      <w:r>
        <w:rPr>
          <w:rFonts w:ascii="Times New Roman" w:eastAsia="Times New Roman"/>
          <w:spacing w:val="11"/>
          <w:w w:val="105"/>
          <w:sz w:val="28"/>
        </w:rPr>
        <w:t> </w:t>
      </w:r>
      <w:r>
        <w:rPr>
          <w:rFonts w:ascii="Times New Roman" w:eastAsia="Times New Roman"/>
          <w:w w:val="105"/>
          <w:sz w:val="28"/>
        </w:rPr>
        <w:t>)</w:t>
      </w:r>
      <w:r>
        <w:rPr>
          <w:rFonts w:ascii="Times New Roman" w:eastAsia="Times New Roman"/>
          <w:spacing w:val="36"/>
          <w:w w:val="105"/>
          <w:sz w:val="28"/>
        </w:rPr>
        <w:t> </w:t>
      </w:r>
      <w:r>
        <w:rPr>
          <w:spacing w:val="18"/>
          <w:w w:val="105"/>
          <w:sz w:val="25"/>
        </w:rPr>
        <w:t>原</w:t>
      </w:r>
      <w:r>
        <w:rPr>
          <w:w w:val="105"/>
          <w:sz w:val="25"/>
        </w:rPr>
        <w:t>則</w:t>
      </w:r>
      <w:r>
        <w:rPr>
          <w:rFonts w:ascii="Times New Roman" w:eastAsia="Times New Roman"/>
          <w:w w:val="95"/>
          <w:sz w:val="15"/>
        </w:rPr>
        <w:t>29</w:t>
      </w:r>
      <w:r>
        <w:rPr>
          <w:rFonts w:ascii="Times New Roman" w:eastAsia="Times New Roman"/>
          <w:spacing w:val="35"/>
          <w:w w:val="95"/>
          <w:sz w:val="15"/>
        </w:rPr>
        <w:t> </w:t>
      </w:r>
      <w:r>
        <w:rPr>
          <w:rFonts w:ascii="Times New Roman" w:eastAsia="Times New Roman"/>
          <w:w w:val="105"/>
          <w:sz w:val="15"/>
        </w:rPr>
        <w:t>,</w:t>
        <w:tab/>
      </w:r>
      <w:r>
        <w:rPr>
          <w:sz w:val="25"/>
        </w:rPr>
        <w:t>其</w:t>
      </w:r>
      <w:r>
        <w:rPr>
          <w:spacing w:val="44"/>
          <w:sz w:val="25"/>
        </w:rPr>
        <w:t>內</w:t>
      </w:r>
      <w:r>
        <w:rPr>
          <w:sz w:val="25"/>
        </w:rPr>
        <w:t>容</w:t>
      </w:r>
      <w:r>
        <w:rPr>
          <w:spacing w:val="10"/>
          <w:sz w:val="25"/>
        </w:rPr>
        <w:t>略</w:t>
      </w:r>
      <w:r>
        <w:rPr>
          <w:sz w:val="25"/>
        </w:rPr>
        <w:t>謂：</w:t>
      </w:r>
      <w:r>
        <w:rPr>
          <w:spacing w:val="118"/>
          <w:sz w:val="25"/>
        </w:rPr>
        <w:t> </w:t>
      </w:r>
      <w:r>
        <w:rPr>
          <w:sz w:val="25"/>
        </w:rPr>
        <w:t>公</w:t>
      </w:r>
      <w:r>
        <w:rPr>
          <w:spacing w:val="28"/>
          <w:sz w:val="25"/>
        </w:rPr>
        <w:t>務</w:t>
      </w:r>
      <w:r>
        <w:rPr>
          <w:spacing w:val="38"/>
          <w:sz w:val="25"/>
        </w:rPr>
        <w:t>員</w:t>
      </w:r>
      <w:r>
        <w:rPr>
          <w:spacing w:val="13"/>
          <w:sz w:val="25"/>
        </w:rPr>
        <w:t>任</w:t>
      </w:r>
      <w:r>
        <w:rPr>
          <w:sz w:val="25"/>
        </w:rPr>
        <w:t>命之行政</w:t>
      </w:r>
      <w:r>
        <w:rPr>
          <w:spacing w:val="22"/>
          <w:sz w:val="25"/>
        </w:rPr>
        <w:t>處</w:t>
      </w:r>
      <w:r>
        <w:rPr>
          <w:spacing w:val="17"/>
          <w:sz w:val="25"/>
        </w:rPr>
        <w:t>分</w:t>
      </w:r>
      <w:r>
        <w:rPr>
          <w:spacing w:val="44"/>
          <w:sz w:val="25"/>
        </w:rPr>
        <w:t>一</w:t>
      </w:r>
      <w:r>
        <w:rPr>
          <w:sz w:val="25"/>
        </w:rPr>
        <w:t>旦作</w:t>
      </w:r>
      <w:r>
        <w:rPr>
          <w:w w:val="105"/>
          <w:sz w:val="25"/>
        </w:rPr>
        <w:t>成後，除非有該法第十一條之無效（例如：該任命係由無任命權限之機關 </w:t>
      </w:r>
      <w:r>
        <w:rPr>
          <w:spacing w:val="11"/>
          <w:w w:val="105"/>
          <w:sz w:val="25"/>
        </w:rPr>
        <w:t> </w:t>
      </w:r>
      <w:r>
        <w:rPr>
          <w:spacing w:val="25"/>
          <w:sz w:val="25"/>
        </w:rPr>
        <w:t>所</w:t>
      </w:r>
      <w:r>
        <w:rPr>
          <w:spacing w:val="39"/>
          <w:sz w:val="25"/>
        </w:rPr>
        <w:t>為</w:t>
      </w:r>
      <w:r>
        <w:rPr>
          <w:sz w:val="25"/>
        </w:rPr>
        <w:t>）</w:t>
      </w:r>
      <w:r>
        <w:rPr>
          <w:spacing w:val="-77"/>
          <w:sz w:val="25"/>
        </w:rPr>
        <w:t>丶</w:t>
      </w:r>
      <w:r>
        <w:rPr>
          <w:sz w:val="25"/>
        </w:rPr>
        <w:t>第</w:t>
      </w:r>
      <w:r>
        <w:rPr>
          <w:spacing w:val="-61"/>
          <w:sz w:val="25"/>
        </w:rPr>
        <w:t> </w:t>
      </w:r>
      <w:r>
        <w:rPr>
          <w:sz w:val="25"/>
        </w:rPr>
        <w:t>十二條</w:t>
      </w:r>
      <w:r>
        <w:rPr>
          <w:spacing w:val="14"/>
          <w:sz w:val="25"/>
        </w:rPr>
        <w:t> </w:t>
      </w:r>
      <w:r>
        <w:rPr>
          <w:spacing w:val="10"/>
          <w:sz w:val="25"/>
        </w:rPr>
        <w:t>應</w:t>
      </w:r>
      <w:r>
        <w:rPr>
          <w:spacing w:val="21"/>
          <w:sz w:val="25"/>
        </w:rPr>
        <w:t>撤</w:t>
      </w:r>
      <w:r>
        <w:rPr>
          <w:sz w:val="25"/>
        </w:rPr>
        <w:t>回</w:t>
      </w:r>
      <w:r>
        <w:rPr>
          <w:spacing w:val="14"/>
          <w:sz w:val="25"/>
        </w:rPr>
        <w:t> </w:t>
      </w:r>
      <w:r>
        <w:rPr>
          <w:rFonts w:ascii="Times New Roman" w:eastAsia="Times New Roman"/>
          <w:sz w:val="28"/>
        </w:rPr>
        <w:t>(</w:t>
      </w:r>
      <w:r>
        <w:rPr>
          <w:rFonts w:ascii="Times New Roman" w:eastAsia="Times New Roman"/>
          <w:spacing w:val="-6"/>
          <w:sz w:val="28"/>
        </w:rPr>
        <w:t> </w:t>
      </w:r>
      <w:r>
        <w:rPr>
          <w:rFonts w:ascii="Times New Roman" w:eastAsia="Times New Roman"/>
          <w:sz w:val="28"/>
        </w:rPr>
        <w:t>zur</w:t>
      </w:r>
      <w:r>
        <w:rPr>
          <w:rFonts w:ascii="Times New Roman" w:eastAsia="Times New Roman"/>
          <w:spacing w:val="-18"/>
          <w:sz w:val="28"/>
        </w:rPr>
        <w:t> </w:t>
      </w:r>
      <w:r>
        <w:rPr>
          <w:rFonts w:ascii="Times New Roman" w:eastAsia="Times New Roman"/>
          <w:sz w:val="28"/>
        </w:rPr>
        <w:t>lic</w:t>
      </w:r>
      <w:r>
        <w:rPr>
          <w:rFonts w:ascii="Times New Roman" w:eastAsia="Times New Roman"/>
          <w:spacing w:val="-32"/>
          <w:sz w:val="28"/>
        </w:rPr>
        <w:t> </w:t>
      </w:r>
      <w:r>
        <w:rPr>
          <w:rFonts w:ascii="Times New Roman" w:eastAsia="Times New Roman"/>
          <w:sz w:val="28"/>
        </w:rPr>
        <w:t>kzunehmen</w:t>
      </w:r>
      <w:r>
        <w:rPr>
          <w:rFonts w:ascii="Times New Roman" w:eastAsia="Times New Roman"/>
          <w:spacing w:val="-12"/>
          <w:sz w:val="28"/>
        </w:rPr>
        <w:t> </w:t>
      </w:r>
      <w:r>
        <w:rPr>
          <w:rFonts w:ascii="Times New Roman" w:eastAsia="Times New Roman"/>
          <w:sz w:val="28"/>
        </w:rPr>
        <w:t>)</w:t>
      </w:r>
      <w:r>
        <w:rPr>
          <w:sz w:val="25"/>
        </w:rPr>
        <w:t>（</w:t>
      </w:r>
      <w:r>
        <w:rPr>
          <w:spacing w:val="-52"/>
          <w:sz w:val="25"/>
        </w:rPr>
        <w:t> </w:t>
      </w:r>
      <w:r>
        <w:rPr>
          <w:spacing w:val="11"/>
          <w:sz w:val="25"/>
        </w:rPr>
        <w:t>例</w:t>
      </w:r>
      <w:r>
        <w:rPr>
          <w:sz w:val="25"/>
        </w:rPr>
        <w:t>如</w:t>
      </w:r>
      <w:r>
        <w:rPr>
          <w:spacing w:val="19"/>
          <w:sz w:val="25"/>
        </w:rPr>
        <w:t>：</w:t>
      </w:r>
      <w:r>
        <w:rPr>
          <w:spacing w:val="15"/>
          <w:sz w:val="25"/>
        </w:rPr>
        <w:t>該</w:t>
      </w:r>
      <w:r>
        <w:rPr>
          <w:spacing w:val="18"/>
          <w:sz w:val="25"/>
        </w:rPr>
        <w:t>任</w:t>
      </w:r>
      <w:r>
        <w:rPr>
          <w:spacing w:val="10"/>
          <w:sz w:val="25"/>
        </w:rPr>
        <w:t>命</w:t>
      </w:r>
      <w:r>
        <w:rPr>
          <w:spacing w:val="17"/>
          <w:sz w:val="25"/>
        </w:rPr>
        <w:t>係</w:t>
      </w:r>
      <w:r>
        <w:rPr>
          <w:sz w:val="25"/>
        </w:rPr>
        <w:t>基</w:t>
      </w:r>
      <w:r>
        <w:rPr>
          <w:spacing w:val="10"/>
          <w:sz w:val="25"/>
        </w:rPr>
        <w:t>於</w:t>
      </w:r>
      <w:r>
        <w:rPr>
          <w:spacing w:val="23"/>
          <w:sz w:val="25"/>
        </w:rPr>
        <w:t>詐</w:t>
      </w:r>
      <w:r>
        <w:rPr>
          <w:spacing w:val="27"/>
          <w:sz w:val="25"/>
        </w:rPr>
        <w:t>欺</w:t>
      </w:r>
      <w:r>
        <w:rPr>
          <w:sz w:val="25"/>
        </w:rPr>
        <w:t>丶</w:t>
      </w:r>
      <w:r>
        <w:rPr>
          <w:spacing w:val="33"/>
          <w:w w:val="95"/>
          <w:sz w:val="25"/>
        </w:rPr>
        <w:t>脅</w:t>
      </w:r>
      <w:r>
        <w:rPr>
          <w:spacing w:val="22"/>
          <w:w w:val="95"/>
          <w:sz w:val="25"/>
        </w:rPr>
        <w:t>迫</w:t>
      </w:r>
      <w:r>
        <w:rPr>
          <w:spacing w:val="27"/>
          <w:w w:val="95"/>
          <w:sz w:val="25"/>
        </w:rPr>
        <w:t>或</w:t>
      </w:r>
      <w:r>
        <w:rPr>
          <w:spacing w:val="29"/>
          <w:w w:val="95"/>
          <w:sz w:val="25"/>
        </w:rPr>
        <w:t>賄</w:t>
      </w:r>
      <w:r>
        <w:rPr>
          <w:w w:val="95"/>
          <w:sz w:val="25"/>
        </w:rPr>
        <w:t>賂</w:t>
      </w:r>
      <w:r>
        <w:rPr>
          <w:spacing w:val="42"/>
          <w:w w:val="95"/>
          <w:sz w:val="25"/>
        </w:rPr>
        <w:t>所</w:t>
      </w:r>
      <w:r>
        <w:rPr>
          <w:spacing w:val="39"/>
          <w:w w:val="95"/>
          <w:sz w:val="25"/>
        </w:rPr>
        <w:t>為</w:t>
      </w:r>
      <w:r>
        <w:rPr>
          <w:w w:val="95"/>
          <w:sz w:val="25"/>
        </w:rPr>
        <w:t>）</w:t>
      </w:r>
      <w:r>
        <w:rPr>
          <w:spacing w:val="-71"/>
          <w:w w:val="95"/>
          <w:sz w:val="25"/>
        </w:rPr>
        <w:t> </w:t>
      </w:r>
      <w:r>
        <w:rPr>
          <w:w w:val="95"/>
          <w:sz w:val="25"/>
        </w:rPr>
        <w:t>或</w:t>
      </w:r>
      <w:r>
        <w:rPr>
          <w:spacing w:val="51"/>
          <w:w w:val="95"/>
          <w:sz w:val="25"/>
        </w:rPr>
        <w:t>得</w:t>
      </w:r>
      <w:r>
        <w:rPr>
          <w:spacing w:val="41"/>
          <w:w w:val="95"/>
          <w:sz w:val="25"/>
        </w:rPr>
        <w:t>撤</w:t>
      </w:r>
      <w:r>
        <w:rPr>
          <w:w w:val="95"/>
          <w:sz w:val="25"/>
        </w:rPr>
        <w:t>回</w:t>
      </w:r>
      <w:r>
        <w:rPr>
          <w:spacing w:val="35"/>
          <w:w w:val="95"/>
          <w:sz w:val="25"/>
        </w:rPr>
        <w:t> </w:t>
      </w:r>
      <w:r>
        <w:rPr>
          <w:rFonts w:ascii="Times New Roman" w:eastAsia="Times New Roman"/>
          <w:w w:val="95"/>
          <w:sz w:val="28"/>
        </w:rPr>
        <w:t>(</w:t>
      </w:r>
      <w:r>
        <w:rPr>
          <w:rFonts w:ascii="Times New Roman" w:eastAsia="Times New Roman"/>
          <w:spacing w:val="-4"/>
          <w:w w:val="95"/>
          <w:sz w:val="28"/>
        </w:rPr>
        <w:t> </w:t>
      </w:r>
      <w:r>
        <w:rPr>
          <w:rFonts w:ascii="Times New Roman" w:eastAsia="Times New Roman"/>
          <w:w w:val="95"/>
          <w:sz w:val="28"/>
        </w:rPr>
        <w:t>zur</w:t>
      </w:r>
      <w:r>
        <w:rPr>
          <w:rFonts w:ascii="Times New Roman" w:eastAsia="Times New Roman"/>
          <w:spacing w:val="-15"/>
          <w:w w:val="95"/>
          <w:sz w:val="28"/>
        </w:rPr>
        <w:t> </w:t>
      </w:r>
      <w:r>
        <w:rPr>
          <w:rFonts w:ascii="Times New Roman" w:eastAsia="Times New Roman"/>
          <w:w w:val="95"/>
          <w:sz w:val="28"/>
        </w:rPr>
        <w:t>lic</w:t>
      </w:r>
      <w:r>
        <w:rPr>
          <w:rFonts w:ascii="Times New Roman" w:eastAsia="Times New Roman"/>
          <w:spacing w:val="-36"/>
          <w:w w:val="95"/>
          <w:sz w:val="28"/>
        </w:rPr>
        <w:t> </w:t>
      </w:r>
      <w:r>
        <w:rPr>
          <w:rFonts w:ascii="Times New Roman" w:eastAsia="Times New Roman"/>
          <w:w w:val="95"/>
          <w:sz w:val="28"/>
        </w:rPr>
        <w:t>kge nommen</w:t>
      </w:r>
      <w:r>
        <w:rPr>
          <w:rFonts w:ascii="Times New Roman" w:eastAsia="Times New Roman"/>
          <w:spacing w:val="95"/>
          <w:sz w:val="28"/>
        </w:rPr>
        <w:t> </w:t>
      </w:r>
      <w:r>
        <w:rPr>
          <w:rFonts w:ascii="Times New Roman" w:eastAsia="Times New Roman"/>
          <w:w w:val="95"/>
          <w:sz w:val="28"/>
        </w:rPr>
        <w:t>werden</w:t>
      </w:r>
      <w:r>
        <w:rPr>
          <w:rFonts w:ascii="Times New Roman" w:eastAsia="Times New Roman"/>
          <w:spacing w:val="128"/>
          <w:sz w:val="28"/>
        </w:rPr>
        <w:t> </w:t>
      </w:r>
      <w:r>
        <w:rPr>
          <w:rFonts w:ascii="Times New Roman" w:eastAsia="Times New Roman"/>
          <w:w w:val="95"/>
          <w:sz w:val="28"/>
        </w:rPr>
        <w:t>ka</w:t>
      </w:r>
      <w:r>
        <w:rPr>
          <w:rFonts w:ascii="Times New Roman" w:eastAsia="Times New Roman"/>
          <w:spacing w:val="-20"/>
          <w:w w:val="95"/>
          <w:sz w:val="28"/>
        </w:rPr>
        <w:t> </w:t>
      </w:r>
      <w:r>
        <w:rPr>
          <w:rFonts w:ascii="Times New Roman" w:eastAsia="Times New Roman"/>
          <w:w w:val="95"/>
          <w:sz w:val="28"/>
        </w:rPr>
        <w:t>nn</w:t>
      </w:r>
      <w:r>
        <w:rPr>
          <w:rFonts w:ascii="Times New Roman" w:eastAsia="Times New Roman"/>
          <w:spacing w:val="7"/>
          <w:w w:val="95"/>
          <w:sz w:val="28"/>
        </w:rPr>
        <w:t> </w:t>
      </w:r>
      <w:r>
        <w:rPr>
          <w:rFonts w:ascii="Times New Roman" w:eastAsia="Times New Roman"/>
          <w:w w:val="95"/>
          <w:sz w:val="28"/>
        </w:rPr>
        <w:t>)</w:t>
      </w:r>
      <w:r>
        <w:rPr>
          <w:w w:val="95"/>
          <w:sz w:val="25"/>
        </w:rPr>
        <w:t>（</w:t>
      </w:r>
      <w:r>
        <w:rPr>
          <w:spacing w:val="-54"/>
          <w:w w:val="95"/>
          <w:sz w:val="25"/>
        </w:rPr>
        <w:t> </w:t>
      </w:r>
      <w:r>
        <w:rPr>
          <w:spacing w:val="11"/>
          <w:w w:val="95"/>
          <w:sz w:val="25"/>
        </w:rPr>
        <w:t>例</w:t>
      </w:r>
      <w:r>
        <w:rPr>
          <w:w w:val="95"/>
          <w:sz w:val="25"/>
        </w:rPr>
        <w:t>如：</w:t>
      </w:r>
      <w:r>
        <w:rPr>
          <w:spacing w:val="-76"/>
          <w:w w:val="95"/>
          <w:sz w:val="25"/>
        </w:rPr>
        <w:t> </w:t>
      </w:r>
      <w:r>
        <w:rPr>
          <w:w w:val="95"/>
          <w:sz w:val="25"/>
        </w:rPr>
        <w:t>受</w:t>
      </w:r>
      <w:r>
        <w:rPr>
          <w:w w:val="105"/>
          <w:sz w:val="25"/>
        </w:rPr>
        <w:t>任命人因案為公務員懲戒程序之被告，有喪失公務員資格之虞）之情形</w:t>
      </w:r>
    </w:p>
    <w:p>
      <w:pPr>
        <w:pStyle w:val="BodyText"/>
        <w:spacing w:line="321" w:lineRule="auto" w:before="1"/>
        <w:ind w:left="306" w:right="519" w:hanging="54"/>
        <w:jc w:val="both"/>
        <w:rPr>
          <w:rFonts w:ascii="Arial" w:eastAsia="Arial"/>
          <w:sz w:val="8"/>
        </w:rPr>
      </w:pPr>
      <w:r>
        <w:rPr>
          <w:rFonts w:ascii="Times New Roman" w:eastAsia="Times New Roman"/>
          <w:w w:val="75"/>
          <w:sz w:val="15"/>
        </w:rPr>
        <w:t>303</w:t>
      </w:r>
      <w:r>
        <w:rPr>
          <w:rFonts w:ascii="Times New Roman" w:eastAsia="Times New Roman"/>
          <w:spacing w:val="38"/>
          <w:sz w:val="15"/>
        </w:rPr>
        <w:t> </w:t>
      </w:r>
      <w:r>
        <w:rPr>
          <w:rFonts w:ascii="Times New Roman" w:eastAsia="Times New Roman"/>
          <w:w w:val="75"/>
          <w:sz w:val="15"/>
        </w:rPr>
        <w:t>1</w:t>
      </w:r>
      <w:r>
        <w:rPr>
          <w:rFonts w:ascii="Times New Roman" w:eastAsia="Times New Roman"/>
          <w:spacing w:val="27"/>
          <w:w w:val="75"/>
          <w:sz w:val="15"/>
        </w:rPr>
        <w:t> </w:t>
      </w:r>
      <w:r>
        <w:rPr>
          <w:rFonts w:ascii="Times New Roman" w:eastAsia="Times New Roman"/>
          <w:spacing w:val="35"/>
          <w:sz w:val="15"/>
        </w:rPr>
        <w:t>, </w:t>
      </w:r>
      <w:r>
        <w:rPr>
          <w:spacing w:val="10"/>
        </w:rPr>
        <w:t>該項公務員任命之行政處分即告確定 </w:t>
      </w:r>
      <w:r>
        <w:rPr>
          <w:spacing w:val="-27"/>
          <w:w w:val="75"/>
        </w:rPr>
        <w:t>， </w:t>
      </w:r>
      <w:r>
        <w:rPr>
          <w:spacing w:val="-4"/>
        </w:rPr>
        <w:t>不得 再行變更 。人事主管機 關</w:t>
      </w:r>
      <w:r>
        <w:rPr>
          <w:w w:val="105"/>
        </w:rPr>
        <w:t>對某乙之任命既已發生璀定之效力，行政法院即別無選擇，必須駁回某甲</w:t>
      </w:r>
      <w:r>
        <w:rPr>
          <w:spacing w:val="100"/>
          <w:w w:val="105"/>
        </w:rPr>
        <w:t> </w:t>
      </w:r>
      <w:r>
        <w:rPr>
          <w:spacing w:val="12"/>
          <w:w w:val="105"/>
        </w:rPr>
        <w:t>訴之請求</w:t>
      </w:r>
      <w:r>
        <w:rPr>
          <w:rFonts w:ascii="Times New Roman" w:eastAsia="Times New Roman"/>
          <w:w w:val="75"/>
          <w:sz w:val="15"/>
        </w:rPr>
        <w:t>32</w:t>
      </w:r>
      <w:r>
        <w:rPr>
          <w:rFonts w:ascii="Times New Roman" w:eastAsia="Times New Roman"/>
          <w:spacing w:val="11"/>
          <w:w w:val="75"/>
          <w:sz w:val="15"/>
        </w:rPr>
        <w:t> </w:t>
      </w:r>
      <w:r>
        <w:rPr>
          <w:rFonts w:ascii="Arial" w:eastAsia="Arial"/>
          <w:w w:val="105"/>
          <w:sz w:val="8"/>
        </w:rPr>
        <w:t>0</w:t>
      </w:r>
    </w:p>
    <w:p>
      <w:pPr>
        <w:pStyle w:val="BodyText"/>
        <w:spacing w:before="7"/>
        <w:rPr>
          <w:rFonts w:ascii="Arial"/>
          <w:sz w:val="17"/>
        </w:rPr>
      </w:pPr>
      <w:r>
        <w:rPr/>
        <w:pict>
          <v:shape style="position:absolute;margin-left:95.174004pt;margin-top:12.504831pt;width:144.25pt;height:.1pt;mso-position-horizontal-relative:page;mso-position-vertical-relative:paragraph;z-index:-15650816;mso-wrap-distance-left:0;mso-wrap-distance-right:0" coordorigin="1903,250" coordsize="2885,0" path="m1903,250l4788,250e" filled="false" stroked="true" strokeweight=".720821pt" strokecolor="#000000">
            <v:path arrowok="t"/>
            <v:stroke dashstyle="solid"/>
            <w10:wrap type="topAndBottom"/>
          </v:shape>
        </w:pict>
      </w:r>
    </w:p>
    <w:p>
      <w:pPr>
        <w:pStyle w:val="BodyText"/>
        <w:spacing w:before="1"/>
        <w:rPr>
          <w:rFonts w:ascii="Arial"/>
          <w:sz w:val="12"/>
        </w:rPr>
      </w:pPr>
    </w:p>
    <w:p>
      <w:pPr>
        <w:spacing w:before="75"/>
        <w:ind w:left="298" w:right="0" w:firstLine="0"/>
        <w:jc w:val="left"/>
        <w:rPr>
          <w:sz w:val="21"/>
        </w:rPr>
      </w:pPr>
      <w:r>
        <w:rPr>
          <w:rFonts w:ascii="Times New Roman" w:eastAsia="Times New Roman"/>
          <w:w w:val="110"/>
          <w:sz w:val="21"/>
          <w:vertAlign w:val="superscript"/>
        </w:rPr>
        <w:t>26</w:t>
      </w:r>
      <w:r>
        <w:rPr>
          <w:rFonts w:ascii="Times New Roman" w:eastAsia="Times New Roman"/>
          <w:spacing w:val="50"/>
          <w:w w:val="110"/>
          <w:sz w:val="21"/>
          <w:vertAlign w:val="baseline"/>
        </w:rPr>
        <w:t> </w:t>
      </w:r>
      <w:r>
        <w:rPr>
          <w:w w:val="110"/>
          <w:sz w:val="21"/>
          <w:vertAlign w:val="baseline"/>
        </w:rPr>
        <w:t>但聯邦行政法院在此並未明確說明正確之訴訟類型為何，詳後逑。</w:t>
      </w:r>
    </w:p>
    <w:p>
      <w:pPr>
        <w:pStyle w:val="Heading6"/>
        <w:spacing w:before="25"/>
      </w:pPr>
      <w:r>
        <w:rPr>
          <w:w w:val="90"/>
          <w:position w:val="8"/>
          <w:sz w:val="13"/>
        </w:rPr>
        <w:t>27</w:t>
      </w:r>
      <w:r>
        <w:rPr>
          <w:spacing w:val="22"/>
          <w:w w:val="90"/>
          <w:position w:val="8"/>
          <w:sz w:val="13"/>
        </w:rPr>
        <w:t> </w:t>
      </w:r>
      <w:r>
        <w:rPr>
          <w:w w:val="90"/>
        </w:rPr>
        <w:t>BVerwGE</w:t>
      </w:r>
      <w:r>
        <w:rPr>
          <w:spacing w:val="49"/>
          <w:w w:val="90"/>
        </w:rPr>
        <w:t> </w:t>
      </w:r>
      <w:r>
        <w:rPr>
          <w:w w:val="90"/>
        </w:rPr>
        <w:t>80,</w:t>
      </w:r>
      <w:r>
        <w:rPr>
          <w:spacing w:val="21"/>
          <w:w w:val="90"/>
        </w:rPr>
        <w:t> </w:t>
      </w:r>
      <w:r>
        <w:rPr>
          <w:w w:val="90"/>
        </w:rPr>
        <w:t>127</w:t>
      </w:r>
      <w:r>
        <w:rPr>
          <w:spacing w:val="38"/>
          <w:w w:val="90"/>
        </w:rPr>
        <w:t> </w:t>
      </w:r>
      <w:r>
        <w:rPr>
          <w:rFonts w:ascii="Arial"/>
          <w:w w:val="90"/>
          <w:sz w:val="19"/>
        </w:rPr>
        <w:t>=</w:t>
      </w:r>
      <w:r>
        <w:rPr>
          <w:rFonts w:ascii="Arial"/>
          <w:spacing w:val="2"/>
          <w:w w:val="90"/>
          <w:sz w:val="19"/>
        </w:rPr>
        <w:t> </w:t>
      </w:r>
      <w:r>
        <w:rPr>
          <w:w w:val="90"/>
        </w:rPr>
        <w:t>NVwZ</w:t>
      </w:r>
      <w:r>
        <w:rPr>
          <w:spacing w:val="38"/>
          <w:w w:val="90"/>
        </w:rPr>
        <w:t> </w:t>
      </w:r>
      <w:r>
        <w:rPr>
          <w:w w:val="90"/>
        </w:rPr>
        <w:t>1989,</w:t>
      </w:r>
      <w:r>
        <w:rPr>
          <w:spacing w:val="76"/>
        </w:rPr>
        <w:t> </w:t>
      </w:r>
      <w:r>
        <w:rPr>
          <w:w w:val="90"/>
        </w:rPr>
        <w:t>158</w:t>
      </w:r>
      <w:r>
        <w:rPr>
          <w:spacing w:val="35"/>
          <w:w w:val="90"/>
        </w:rPr>
        <w:t> </w:t>
      </w:r>
      <w:r>
        <w:rPr>
          <w:rFonts w:ascii="Arial"/>
          <w:w w:val="90"/>
          <w:sz w:val="19"/>
        </w:rPr>
        <w:t>=</w:t>
      </w:r>
      <w:r>
        <w:rPr>
          <w:rFonts w:ascii="Arial"/>
          <w:spacing w:val="47"/>
          <w:sz w:val="19"/>
        </w:rPr>
        <w:t> </w:t>
      </w:r>
      <w:r>
        <w:rPr>
          <w:w w:val="90"/>
        </w:rPr>
        <w:t>NJW</w:t>
      </w:r>
      <w:r>
        <w:rPr>
          <w:spacing w:val="32"/>
          <w:w w:val="90"/>
        </w:rPr>
        <w:t> </w:t>
      </w:r>
      <w:r>
        <w:rPr>
          <w:w w:val="90"/>
        </w:rPr>
        <w:t>1989,</w:t>
      </w:r>
      <w:r>
        <w:rPr>
          <w:spacing w:val="85"/>
        </w:rPr>
        <w:t> </w:t>
      </w:r>
      <w:r>
        <w:rPr>
          <w:w w:val="90"/>
        </w:rPr>
        <w:t>997.</w:t>
      </w:r>
    </w:p>
    <w:p>
      <w:pPr>
        <w:tabs>
          <w:tab w:pos="6186" w:val="left" w:leader="none"/>
          <w:tab w:pos="7147" w:val="left" w:leader="none"/>
        </w:tabs>
        <w:spacing w:before="9"/>
        <w:ind w:left="298" w:right="0" w:firstLine="0"/>
        <w:jc w:val="left"/>
        <w:rPr>
          <w:rFonts w:ascii="Times New Roman" w:eastAsia="Times New Roman"/>
          <w:sz w:val="26"/>
        </w:rPr>
      </w:pPr>
      <w:r>
        <w:rPr>
          <w:rFonts w:ascii="Times New Roman" w:eastAsia="Times New Roman"/>
          <w:position w:val="8"/>
          <w:sz w:val="13"/>
        </w:rPr>
        <w:t>28  </w:t>
      </w:r>
      <w:r>
        <w:rPr>
          <w:rFonts w:ascii="Times New Roman" w:eastAsia="Times New Roman"/>
          <w:spacing w:val="18"/>
          <w:position w:val="8"/>
          <w:sz w:val="13"/>
        </w:rPr>
        <w:t> </w:t>
      </w:r>
      <w:r>
        <w:rPr>
          <w:sz w:val="21"/>
        </w:rPr>
        <w:t>參</w:t>
      </w:r>
      <w:r>
        <w:rPr>
          <w:spacing w:val="-47"/>
          <w:sz w:val="21"/>
        </w:rPr>
        <w:t> </w:t>
      </w:r>
      <w:r>
        <w:rPr>
          <w:spacing w:val="14"/>
          <w:sz w:val="21"/>
        </w:rPr>
        <w:t>閱</w:t>
      </w:r>
      <w:r>
        <w:rPr>
          <w:spacing w:val="26"/>
          <w:sz w:val="21"/>
        </w:rPr>
        <w:t>聯</w:t>
      </w:r>
      <w:r>
        <w:rPr>
          <w:sz w:val="21"/>
        </w:rPr>
        <w:t>邦</w:t>
      </w:r>
      <w:r>
        <w:rPr>
          <w:spacing w:val="52"/>
          <w:sz w:val="21"/>
        </w:rPr>
        <w:t>行</w:t>
      </w:r>
      <w:r>
        <w:rPr>
          <w:spacing w:val="35"/>
          <w:sz w:val="21"/>
        </w:rPr>
        <w:t>政</w:t>
      </w:r>
      <w:r>
        <w:rPr>
          <w:spacing w:val="20"/>
          <w:sz w:val="21"/>
        </w:rPr>
        <w:t>法</w:t>
      </w:r>
      <w:r>
        <w:rPr>
          <w:sz w:val="21"/>
        </w:rPr>
        <w:t>浣</w:t>
      </w:r>
      <w:r>
        <w:rPr>
          <w:rFonts w:ascii="Times New Roman" w:eastAsia="Times New Roman"/>
          <w:sz w:val="26"/>
        </w:rPr>
        <w:t>1989</w:t>
      </w:r>
      <w:r>
        <w:rPr>
          <w:sz w:val="21"/>
        </w:rPr>
        <w:t>年</w:t>
      </w:r>
      <w:r>
        <w:rPr>
          <w:rFonts w:ascii="Times New Roman" w:eastAsia="Times New Roman"/>
          <w:spacing w:val="11"/>
          <w:sz w:val="26"/>
        </w:rPr>
        <w:t>3</w:t>
      </w:r>
      <w:r>
        <w:rPr>
          <w:spacing w:val="32"/>
          <w:sz w:val="21"/>
        </w:rPr>
        <w:t>月</w:t>
      </w:r>
      <w:r>
        <w:rPr>
          <w:rFonts w:ascii="Times New Roman" w:eastAsia="Times New Roman"/>
          <w:spacing w:val="21"/>
          <w:sz w:val="26"/>
        </w:rPr>
        <w:t>9</w:t>
      </w:r>
      <w:r>
        <w:rPr>
          <w:sz w:val="21"/>
        </w:rPr>
        <w:t>日</w:t>
      </w:r>
      <w:r>
        <w:rPr>
          <w:spacing w:val="-65"/>
          <w:sz w:val="21"/>
        </w:rPr>
        <w:t> </w:t>
      </w:r>
      <w:r>
        <w:rPr>
          <w:spacing w:val="10"/>
          <w:sz w:val="21"/>
        </w:rPr>
        <w:t>所</w:t>
      </w:r>
      <w:r>
        <w:rPr>
          <w:spacing w:val="19"/>
          <w:sz w:val="21"/>
        </w:rPr>
        <w:t>作</w:t>
      </w:r>
      <w:r>
        <w:rPr>
          <w:spacing w:val="15"/>
          <w:sz w:val="21"/>
        </w:rPr>
        <w:t>成</w:t>
      </w:r>
      <w:r>
        <w:rPr>
          <w:spacing w:val="21"/>
          <w:sz w:val="21"/>
        </w:rPr>
        <w:t>之</w:t>
      </w:r>
      <w:r>
        <w:rPr>
          <w:spacing w:val="23"/>
          <w:sz w:val="21"/>
        </w:rPr>
        <w:t>判</w:t>
      </w:r>
      <w:r>
        <w:rPr>
          <w:sz w:val="21"/>
        </w:rPr>
        <w:t>決；</w:t>
      </w:r>
      <w:r>
        <w:rPr>
          <w:spacing w:val="-80"/>
          <w:sz w:val="21"/>
        </w:rPr>
        <w:t> </w:t>
      </w:r>
      <w:r>
        <w:rPr>
          <w:rFonts w:ascii="Times New Roman" w:eastAsia="Times New Roman"/>
          <w:sz w:val="26"/>
        </w:rPr>
        <w:t>vg</w:t>
      </w:r>
      <w:r>
        <w:rPr>
          <w:rFonts w:ascii="Times New Roman" w:eastAsia="Times New Roman"/>
          <w:spacing w:val="-30"/>
          <w:sz w:val="26"/>
        </w:rPr>
        <w:t> </w:t>
      </w:r>
      <w:r>
        <w:rPr>
          <w:rFonts w:ascii="Times New Roman" w:eastAsia="Times New Roman"/>
          <w:sz w:val="26"/>
        </w:rPr>
        <w:t>l.</w:t>
        <w:tab/>
      </w:r>
      <w:r>
        <w:rPr>
          <w:rFonts w:ascii="Times New Roman" w:eastAsia="Times New Roman"/>
          <w:spacing w:val="-1"/>
          <w:w w:val="85"/>
          <w:sz w:val="26"/>
        </w:rPr>
        <w:t>BVerwG,</w:t>
        <w:tab/>
      </w:r>
      <w:r>
        <w:rPr>
          <w:rFonts w:ascii="Times New Roman" w:eastAsia="Times New Roman"/>
          <w:w w:val="90"/>
          <w:sz w:val="26"/>
        </w:rPr>
        <w:t>DVBl</w:t>
      </w:r>
      <w:r>
        <w:rPr>
          <w:rFonts w:ascii="Times New Roman" w:eastAsia="Times New Roman"/>
          <w:spacing w:val="4"/>
          <w:w w:val="90"/>
          <w:sz w:val="26"/>
        </w:rPr>
        <w:t> </w:t>
      </w:r>
      <w:r>
        <w:rPr>
          <w:rFonts w:ascii="Times New Roman" w:eastAsia="Times New Roman"/>
          <w:w w:val="90"/>
          <w:sz w:val="26"/>
        </w:rPr>
        <w:t>1989,</w:t>
      </w:r>
      <w:r>
        <w:rPr>
          <w:rFonts w:ascii="Times New Roman" w:eastAsia="Times New Roman"/>
          <w:spacing w:val="32"/>
          <w:w w:val="90"/>
          <w:sz w:val="26"/>
        </w:rPr>
        <w:t> </w:t>
      </w:r>
      <w:r>
        <w:rPr>
          <w:rFonts w:ascii="Times New Roman" w:eastAsia="Times New Roman"/>
          <w:w w:val="90"/>
          <w:sz w:val="26"/>
        </w:rPr>
        <w:t>1150.</w:t>
      </w:r>
    </w:p>
    <w:p>
      <w:pPr>
        <w:spacing w:before="33"/>
        <w:ind w:left="298" w:right="0" w:firstLine="0"/>
        <w:jc w:val="left"/>
        <w:rPr>
          <w:sz w:val="21"/>
        </w:rPr>
      </w:pPr>
      <w:r>
        <w:rPr>
          <w:rFonts w:ascii="Times New Roman" w:eastAsia="Times New Roman"/>
          <w:w w:val="110"/>
          <w:sz w:val="21"/>
          <w:vertAlign w:val="superscript"/>
        </w:rPr>
        <w:t>29</w:t>
      </w:r>
      <w:r>
        <w:rPr>
          <w:rFonts w:ascii="Times New Roman" w:eastAsia="Times New Roman"/>
          <w:spacing w:val="14"/>
          <w:w w:val="110"/>
          <w:sz w:val="21"/>
          <w:vertAlign w:val="baseline"/>
        </w:rPr>
        <w:t>   </w:t>
      </w:r>
      <w:r>
        <w:rPr>
          <w:w w:val="110"/>
          <w:sz w:val="21"/>
          <w:vertAlign w:val="baseline"/>
        </w:rPr>
        <w:t>有關職務安定原則之內容，中文資料，可參：程明修，職務安定原則，月旦法學教</w:t>
      </w:r>
    </w:p>
    <w:p>
      <w:pPr>
        <w:tabs>
          <w:tab w:pos="3037" w:val="left" w:leader="none"/>
        </w:tabs>
        <w:spacing w:before="16"/>
        <w:ind w:left="531" w:right="0" w:firstLine="0"/>
        <w:jc w:val="left"/>
        <w:rPr>
          <w:sz w:val="21"/>
        </w:rPr>
      </w:pPr>
      <w:r>
        <w:rPr>
          <w:w w:val="85"/>
          <w:sz w:val="21"/>
        </w:rPr>
        <w:t>室</w:t>
      </w:r>
      <w:r>
        <w:rPr>
          <w:spacing w:val="14"/>
          <w:w w:val="85"/>
          <w:sz w:val="21"/>
        </w:rPr>
        <w:t> </w:t>
      </w:r>
      <w:r>
        <w:rPr>
          <w:w w:val="85"/>
          <w:sz w:val="21"/>
        </w:rPr>
        <w:t>，</w:t>
      </w:r>
      <w:r>
        <w:rPr>
          <w:spacing w:val="-30"/>
          <w:w w:val="85"/>
          <w:sz w:val="21"/>
        </w:rPr>
        <w:t> </w:t>
      </w:r>
      <w:r>
        <w:rPr>
          <w:spacing w:val="31"/>
          <w:w w:val="85"/>
          <w:sz w:val="21"/>
        </w:rPr>
        <w:t>第</w:t>
      </w:r>
      <w:r>
        <w:rPr>
          <w:rFonts w:ascii="Times New Roman" w:eastAsia="Times New Roman"/>
          <w:w w:val="85"/>
          <w:sz w:val="26"/>
        </w:rPr>
        <w:t>39</w:t>
      </w:r>
      <w:r>
        <w:rPr>
          <w:w w:val="85"/>
          <w:sz w:val="21"/>
        </w:rPr>
        <w:t>期</w:t>
      </w:r>
      <w:r>
        <w:rPr>
          <w:spacing w:val="2"/>
          <w:w w:val="85"/>
          <w:sz w:val="21"/>
        </w:rPr>
        <w:t> </w:t>
      </w:r>
      <w:r>
        <w:rPr>
          <w:w w:val="85"/>
          <w:sz w:val="21"/>
        </w:rPr>
        <w:t>，</w:t>
      </w:r>
      <w:r>
        <w:rPr>
          <w:spacing w:val="-37"/>
          <w:w w:val="85"/>
          <w:sz w:val="21"/>
        </w:rPr>
        <w:t> </w:t>
      </w:r>
      <w:r>
        <w:rPr>
          <w:spacing w:val="30"/>
          <w:w w:val="85"/>
          <w:sz w:val="21"/>
        </w:rPr>
        <w:t>頁</w:t>
      </w:r>
      <w:r>
        <w:rPr>
          <w:rFonts w:ascii="Times New Roman" w:eastAsia="Times New Roman"/>
          <w:w w:val="85"/>
          <w:sz w:val="26"/>
        </w:rPr>
        <w:t>32-</w:t>
      </w:r>
      <w:r>
        <w:rPr>
          <w:rFonts w:ascii="Times New Roman" w:eastAsia="Times New Roman"/>
          <w:spacing w:val="-27"/>
          <w:w w:val="85"/>
          <w:sz w:val="26"/>
        </w:rPr>
        <w:t> </w:t>
      </w:r>
      <w:r>
        <w:rPr>
          <w:rFonts w:ascii="Times New Roman" w:eastAsia="Times New Roman"/>
          <w:w w:val="85"/>
          <w:sz w:val="26"/>
        </w:rPr>
        <w:t>3,3</w:t>
        <w:tab/>
      </w:r>
      <w:r>
        <w:rPr>
          <w:rFonts w:ascii="Times New Roman" w:eastAsia="Times New Roman"/>
          <w:w w:val="90"/>
          <w:sz w:val="26"/>
        </w:rPr>
        <w:t>2006</w:t>
      </w:r>
      <w:r>
        <w:rPr>
          <w:rFonts w:ascii="Times New Roman" w:eastAsia="Times New Roman"/>
          <w:spacing w:val="-3"/>
          <w:w w:val="90"/>
          <w:sz w:val="26"/>
        </w:rPr>
        <w:t> </w:t>
      </w:r>
      <w:r>
        <w:rPr>
          <w:w w:val="90"/>
          <w:sz w:val="21"/>
        </w:rPr>
        <w:t>年</w:t>
      </w:r>
      <w:r>
        <w:rPr>
          <w:rFonts w:ascii="Times New Roman" w:eastAsia="Times New Roman"/>
          <w:spacing w:val="20"/>
          <w:w w:val="90"/>
          <w:sz w:val="26"/>
        </w:rPr>
        <w:t>1</w:t>
      </w:r>
      <w:r>
        <w:rPr>
          <w:w w:val="90"/>
          <w:sz w:val="21"/>
        </w:rPr>
        <w:t>月</w:t>
      </w:r>
      <w:r>
        <w:rPr>
          <w:spacing w:val="-2"/>
          <w:w w:val="90"/>
          <w:sz w:val="21"/>
        </w:rPr>
        <w:t> </w:t>
      </w:r>
      <w:r>
        <w:rPr>
          <w:w w:val="90"/>
          <w:sz w:val="21"/>
        </w:rPr>
        <w:t>。</w:t>
      </w:r>
    </w:p>
    <w:p>
      <w:pPr>
        <w:spacing w:line="252" w:lineRule="auto" w:before="15"/>
        <w:ind w:left="505" w:right="585" w:hanging="207"/>
        <w:jc w:val="both"/>
        <w:rPr>
          <w:rFonts w:ascii="Arial" w:eastAsia="Arial"/>
          <w:sz w:val="24"/>
        </w:rPr>
      </w:pPr>
      <w:r>
        <w:rPr>
          <w:rFonts w:ascii="Times New Roman" w:eastAsia="Times New Roman"/>
          <w:w w:val="95"/>
          <w:position w:val="8"/>
          <w:sz w:val="13"/>
        </w:rPr>
        <w:t>30</w:t>
      </w:r>
      <w:r>
        <w:rPr>
          <w:rFonts w:ascii="Times New Roman" w:eastAsia="Times New Roman"/>
          <w:spacing w:val="21"/>
          <w:w w:val="95"/>
          <w:position w:val="8"/>
          <w:sz w:val="13"/>
        </w:rPr>
        <w:t> </w:t>
      </w:r>
      <w:r>
        <w:rPr>
          <w:spacing w:val="7"/>
          <w:w w:val="95"/>
          <w:sz w:val="21"/>
        </w:rPr>
        <w:t>有關任命公務 員 處分之無效及撒回 ， 詳閱</w:t>
      </w:r>
      <w:r>
        <w:rPr>
          <w:rFonts w:ascii="Times New Roman" w:eastAsia="Times New Roman"/>
          <w:w w:val="95"/>
          <w:sz w:val="26"/>
        </w:rPr>
        <w:t>Kuni</w:t>
      </w:r>
      <w:r>
        <w:rPr>
          <w:rFonts w:ascii="Times New Roman" w:eastAsia="Times New Roman"/>
          <w:spacing w:val="17"/>
          <w:w w:val="95"/>
          <w:sz w:val="26"/>
        </w:rPr>
        <w:t> </w:t>
      </w:r>
      <w:r>
        <w:rPr>
          <w:rFonts w:ascii="Times New Roman" w:eastAsia="Times New Roman"/>
          <w:w w:val="95"/>
          <w:sz w:val="26"/>
        </w:rPr>
        <w:t>g,</w:t>
      </w:r>
      <w:r>
        <w:rPr>
          <w:rFonts w:ascii="Times New Roman" w:eastAsia="Times New Roman"/>
          <w:spacing w:val="8"/>
          <w:w w:val="95"/>
          <w:sz w:val="26"/>
        </w:rPr>
        <w:t> </w:t>
      </w:r>
      <w:r>
        <w:rPr>
          <w:rFonts w:ascii="Times New Roman" w:eastAsia="Times New Roman"/>
          <w:w w:val="95"/>
          <w:sz w:val="26"/>
        </w:rPr>
        <w:t>in</w:t>
      </w:r>
      <w:r>
        <w:rPr>
          <w:rFonts w:ascii="Times New Roman" w:eastAsia="Times New Roman"/>
          <w:spacing w:val="27"/>
          <w:w w:val="95"/>
          <w:sz w:val="26"/>
        </w:rPr>
        <w:t>: </w:t>
      </w:r>
      <w:r>
        <w:rPr>
          <w:rFonts w:ascii="Times New Roman" w:eastAsia="Times New Roman"/>
          <w:w w:val="95"/>
          <w:sz w:val="26"/>
        </w:rPr>
        <w:t>Schmidt-A/3mann/Schoch,</w:t>
      </w:r>
      <w:r>
        <w:rPr>
          <w:rFonts w:ascii="Times New Roman" w:eastAsia="Times New Roman"/>
          <w:spacing w:val="-60"/>
          <w:w w:val="95"/>
          <w:sz w:val="26"/>
        </w:rPr>
        <w:t> </w:t>
      </w:r>
      <w:r>
        <w:rPr>
          <w:rFonts w:ascii="Times New Roman" w:eastAsia="Times New Roman"/>
          <w:w w:val="95"/>
          <w:sz w:val="26"/>
        </w:rPr>
        <w:t>Besonderes</w:t>
      </w:r>
      <w:r>
        <w:rPr>
          <w:rFonts w:ascii="Times New Roman" w:eastAsia="Times New Roman"/>
          <w:spacing w:val="17"/>
          <w:w w:val="95"/>
          <w:sz w:val="26"/>
        </w:rPr>
        <w:t> </w:t>
      </w:r>
      <w:r>
        <w:rPr>
          <w:rFonts w:ascii="Times New Roman" w:eastAsia="Times New Roman"/>
          <w:w w:val="95"/>
          <w:sz w:val="26"/>
        </w:rPr>
        <w:t>Verwal</w:t>
      </w:r>
      <w:r>
        <w:rPr>
          <w:rFonts w:ascii="Times New Roman" w:eastAsia="Times New Roman"/>
          <w:spacing w:val="-14"/>
          <w:w w:val="95"/>
          <w:sz w:val="26"/>
        </w:rPr>
        <w:t> </w:t>
      </w:r>
      <w:r>
        <w:rPr>
          <w:rFonts w:ascii="Times New Roman" w:eastAsia="Times New Roman"/>
          <w:w w:val="95"/>
          <w:sz w:val="26"/>
        </w:rPr>
        <w:t>tungsrecht</w:t>
      </w:r>
      <w:r>
        <w:rPr>
          <w:rFonts w:ascii="Times New Roman" w:eastAsia="Times New Roman"/>
          <w:spacing w:val="7"/>
          <w:w w:val="95"/>
          <w:sz w:val="26"/>
        </w:rPr>
        <w:t>, </w:t>
      </w:r>
      <w:r>
        <w:rPr>
          <w:rFonts w:ascii="Times New Roman" w:eastAsia="Times New Roman"/>
          <w:w w:val="95"/>
          <w:sz w:val="26"/>
        </w:rPr>
        <w:t>14.</w:t>
      </w:r>
      <w:r>
        <w:rPr>
          <w:rFonts w:ascii="Times New Roman" w:eastAsia="Times New Roman"/>
          <w:spacing w:val="59"/>
          <w:w w:val="95"/>
          <w:sz w:val="26"/>
        </w:rPr>
        <w:t> </w:t>
      </w:r>
      <w:r>
        <w:rPr>
          <w:rFonts w:ascii="Times New Roman" w:eastAsia="Times New Roman"/>
          <w:w w:val="95"/>
          <w:sz w:val="26"/>
        </w:rPr>
        <w:t>Aufl.</w:t>
      </w:r>
      <w:r>
        <w:rPr>
          <w:rFonts w:ascii="Times New Roman" w:eastAsia="Times New Roman"/>
          <w:spacing w:val="4"/>
          <w:w w:val="95"/>
          <w:sz w:val="26"/>
        </w:rPr>
        <w:t>, </w:t>
      </w:r>
      <w:r>
        <w:rPr>
          <w:rFonts w:ascii="Times New Roman" w:eastAsia="Times New Roman"/>
          <w:w w:val="95"/>
          <w:sz w:val="26"/>
        </w:rPr>
        <w:t>2008,</w:t>
      </w:r>
      <w:r>
        <w:rPr>
          <w:rFonts w:ascii="Times New Roman" w:eastAsia="Times New Roman"/>
          <w:spacing w:val="10"/>
          <w:w w:val="95"/>
          <w:sz w:val="26"/>
        </w:rPr>
        <w:t> </w:t>
      </w:r>
      <w:r>
        <w:rPr>
          <w:rFonts w:ascii="Times New Roman" w:eastAsia="Times New Roman"/>
          <w:w w:val="95"/>
          <w:sz w:val="26"/>
        </w:rPr>
        <w:t>6.</w:t>
      </w:r>
      <w:r>
        <w:rPr>
          <w:rFonts w:ascii="Times New Roman" w:eastAsia="Times New Roman"/>
          <w:spacing w:val="54"/>
          <w:w w:val="95"/>
          <w:sz w:val="26"/>
        </w:rPr>
        <w:t> </w:t>
      </w:r>
      <w:r>
        <w:rPr>
          <w:rFonts w:ascii="Times New Roman" w:eastAsia="Times New Roman"/>
          <w:w w:val="95"/>
          <w:sz w:val="26"/>
        </w:rPr>
        <w:t>Kap</w:t>
      </w:r>
      <w:r>
        <w:rPr>
          <w:rFonts w:ascii="Times New Roman" w:eastAsia="Times New Roman"/>
          <w:spacing w:val="30"/>
          <w:w w:val="95"/>
          <w:sz w:val="26"/>
        </w:rPr>
        <w:t>. </w:t>
      </w:r>
      <w:r>
        <w:rPr>
          <w:rFonts w:ascii="Times New Roman" w:eastAsia="Times New Roman"/>
          <w:w w:val="95"/>
          <w:sz w:val="26"/>
        </w:rPr>
        <w:t>Rn</w:t>
      </w:r>
      <w:r>
        <w:rPr>
          <w:rFonts w:ascii="Times New Roman" w:eastAsia="Times New Roman"/>
          <w:spacing w:val="3"/>
          <w:w w:val="95"/>
          <w:sz w:val="26"/>
        </w:rPr>
        <w:t>. </w:t>
      </w:r>
      <w:r>
        <w:rPr>
          <w:rFonts w:ascii="Times New Roman" w:eastAsia="Times New Roman"/>
          <w:w w:val="95"/>
          <w:sz w:val="26"/>
        </w:rPr>
        <w:t>93</w:t>
      </w:r>
      <w:r>
        <w:rPr>
          <w:rFonts w:ascii="Times New Roman" w:eastAsia="Times New Roman"/>
          <w:spacing w:val="15"/>
          <w:w w:val="95"/>
          <w:sz w:val="26"/>
        </w:rPr>
        <w:t> </w:t>
      </w:r>
      <w:r>
        <w:rPr>
          <w:rFonts w:ascii="Arial" w:eastAsia="Arial"/>
          <w:w w:val="95"/>
          <w:sz w:val="24"/>
        </w:rPr>
        <w:t>ff.</w:t>
      </w:r>
    </w:p>
    <w:p>
      <w:pPr>
        <w:spacing w:line="276" w:lineRule="auto" w:before="17"/>
        <w:ind w:left="502" w:right="516" w:hanging="204"/>
        <w:jc w:val="both"/>
        <w:rPr>
          <w:sz w:val="21"/>
        </w:rPr>
      </w:pPr>
      <w:r>
        <w:rPr>
          <w:rFonts w:ascii="Times New Roman" w:eastAsia="Times New Roman"/>
          <w:w w:val="110"/>
          <w:sz w:val="21"/>
          <w:vertAlign w:val="superscript"/>
        </w:rPr>
        <w:t>31</w:t>
      </w:r>
      <w:r>
        <w:rPr>
          <w:rFonts w:ascii="Times New Roman" w:eastAsia="Times New Roman"/>
          <w:spacing w:val="9"/>
          <w:w w:val="110"/>
          <w:sz w:val="21"/>
          <w:vertAlign w:val="baseline"/>
        </w:rPr>
        <w:t>    </w:t>
      </w:r>
      <w:r>
        <w:rPr>
          <w:w w:val="110"/>
          <w:sz w:val="21"/>
          <w:vertAlign w:val="baseline"/>
        </w:rPr>
        <w:t>我國公務人員任用法上並無任用無效之規定，該法第二十八條第二項規定，公務員任用後，發現於其任用前已有同條第一項各款公務人員消極資格之一者，應撤銷任</w:t>
      </w:r>
      <w:r>
        <w:rPr>
          <w:spacing w:val="50"/>
          <w:w w:val="110"/>
          <w:sz w:val="21"/>
          <w:vertAlign w:val="baseline"/>
        </w:rPr>
        <w:t> </w:t>
      </w:r>
      <w:r>
        <w:rPr>
          <w:w w:val="110"/>
          <w:sz w:val="21"/>
          <w:vertAlign w:val="baseline"/>
        </w:rPr>
        <w:t>用。</w:t>
      </w:r>
    </w:p>
    <w:p>
      <w:pPr>
        <w:spacing w:before="9"/>
        <w:ind w:left="298" w:right="0" w:firstLine="0"/>
        <w:jc w:val="both"/>
        <w:rPr>
          <w:sz w:val="21"/>
        </w:rPr>
      </w:pPr>
      <w:r>
        <w:rPr>
          <w:rFonts w:ascii="Times New Roman" w:eastAsia="Times New Roman"/>
          <w:w w:val="110"/>
          <w:sz w:val="21"/>
          <w:vertAlign w:val="superscript"/>
        </w:rPr>
        <w:t>32</w:t>
      </w:r>
      <w:r>
        <w:rPr>
          <w:rFonts w:ascii="Times New Roman" w:eastAsia="Times New Roman"/>
          <w:w w:val="110"/>
          <w:sz w:val="21"/>
          <w:vertAlign w:val="baseline"/>
        </w:rPr>
        <w:t>       </w:t>
      </w:r>
      <w:r>
        <w:rPr>
          <w:w w:val="110"/>
          <w:sz w:val="21"/>
          <w:vertAlign w:val="baseline"/>
        </w:rPr>
        <w:t>此一見解不僅為聯邦行政法院在該判決中所採納，亦普遍受到各邦高等行政法院之</w:t>
      </w:r>
    </w:p>
    <w:p>
      <w:pPr>
        <w:pStyle w:val="Heading6"/>
        <w:spacing w:before="25"/>
        <w:ind w:left="524"/>
      </w:pPr>
      <w:r>
        <w:rPr>
          <w:rFonts w:ascii="SimSun" w:eastAsia="SimSun" w:hint="eastAsia"/>
          <w:w w:val="90"/>
          <w:sz w:val="22"/>
        </w:rPr>
        <w:t>支持；</w:t>
      </w:r>
      <w:r>
        <w:rPr>
          <w:rFonts w:ascii="SimSun" w:eastAsia="SimSun" w:hint="eastAsia"/>
          <w:spacing w:val="161"/>
          <w:sz w:val="22"/>
        </w:rPr>
        <w:t> </w:t>
      </w:r>
      <w:r>
        <w:rPr>
          <w:w w:val="90"/>
        </w:rPr>
        <w:t>vgl.</w:t>
      </w:r>
      <w:r>
        <w:rPr>
          <w:spacing w:val="96"/>
        </w:rPr>
        <w:t> </w:t>
      </w:r>
      <w:r>
        <w:rPr>
          <w:w w:val="90"/>
        </w:rPr>
        <w:t>Wi</w:t>
      </w:r>
      <w:r>
        <w:rPr>
          <w:spacing w:val="-9"/>
          <w:w w:val="90"/>
        </w:rPr>
        <w:t> </w:t>
      </w:r>
      <w:r>
        <w:rPr>
          <w:w w:val="90"/>
        </w:rPr>
        <w:t>ttkowski,</w:t>
      </w:r>
      <w:r>
        <w:rPr>
          <w:spacing w:val="114"/>
        </w:rPr>
        <w:t> </w:t>
      </w:r>
      <w:r>
        <w:rPr>
          <w:w w:val="90"/>
        </w:rPr>
        <w:t>Die</w:t>
      </w:r>
      <w:r>
        <w:rPr>
          <w:spacing w:val="38"/>
          <w:w w:val="90"/>
        </w:rPr>
        <w:t> </w:t>
      </w:r>
      <w:r>
        <w:rPr>
          <w:w w:val="90"/>
        </w:rPr>
        <w:t>Konkurrentenklage</w:t>
      </w:r>
      <w:r>
        <w:rPr>
          <w:spacing w:val="47"/>
          <w:w w:val="90"/>
        </w:rPr>
        <w:t> </w:t>
      </w:r>
      <w:r>
        <w:rPr>
          <w:w w:val="90"/>
        </w:rPr>
        <w:t>im</w:t>
      </w:r>
      <w:r>
        <w:rPr>
          <w:spacing w:val="28"/>
          <w:w w:val="90"/>
        </w:rPr>
        <w:t> </w:t>
      </w:r>
      <w:r>
        <w:rPr>
          <w:w w:val="90"/>
        </w:rPr>
        <w:t>Beamtenrecht,</w:t>
      </w:r>
      <w:r>
        <w:rPr>
          <w:spacing w:val="148"/>
        </w:rPr>
        <w:t> </w:t>
      </w:r>
      <w:r>
        <w:rPr>
          <w:w w:val="90"/>
        </w:rPr>
        <w:t>NJW</w:t>
      </w:r>
      <w:r>
        <w:rPr>
          <w:spacing w:val="27"/>
          <w:w w:val="90"/>
        </w:rPr>
        <w:t> </w:t>
      </w:r>
      <w:r>
        <w:rPr>
          <w:w w:val="90"/>
        </w:rPr>
        <w:t>1993,</w:t>
      </w:r>
      <w:r>
        <w:rPr>
          <w:spacing w:val="111"/>
        </w:rPr>
        <w:t> </w:t>
      </w:r>
      <w:r>
        <w:rPr>
          <w:w w:val="90"/>
        </w:rPr>
        <w:t>817</w:t>
      </w:r>
    </w:p>
    <w:p>
      <w:pPr>
        <w:spacing w:after="0"/>
        <w:sectPr>
          <w:pgSz w:w="11910" w:h="16840"/>
          <w:pgMar w:header="862" w:footer="1017" w:top="1060" w:bottom="1200" w:left="1120" w:right="1060"/>
        </w:sectPr>
      </w:pPr>
    </w:p>
    <w:p>
      <w:pPr>
        <w:pStyle w:val="BodyText"/>
        <w:rPr>
          <w:rFonts w:ascii="Times New Roman"/>
          <w:sz w:val="20"/>
        </w:rPr>
      </w:pPr>
    </w:p>
    <w:p>
      <w:pPr>
        <w:pStyle w:val="BodyText"/>
        <w:spacing w:line="324" w:lineRule="auto" w:before="206"/>
        <w:ind w:left="303" w:right="490" w:firstLine="561"/>
        <w:rPr>
          <w:rFonts w:ascii="Arial" w:eastAsia="Arial"/>
          <w:sz w:val="8"/>
        </w:rPr>
      </w:pPr>
      <w:r>
        <w:rPr>
          <w:w w:val="105"/>
        </w:rPr>
        <w:t>除上述職務安定原則之理由外，聯邦行政法院認為：職務競爭者（某</w:t>
      </w:r>
      <w:r>
        <w:rPr>
          <w:spacing w:val="108"/>
          <w:w w:val="105"/>
        </w:rPr>
        <w:t> </w:t>
      </w:r>
      <w:r>
        <w:rPr>
          <w:w w:val="105"/>
        </w:rPr>
        <w:t>甲）不得以人事主管機關任命某乙為公務員之行政處分為對象而提超撒銷 </w:t>
      </w:r>
      <w:r>
        <w:rPr>
          <w:spacing w:val="13"/>
          <w:w w:val="105"/>
        </w:rPr>
        <w:t> </w:t>
      </w:r>
      <w:r>
        <w:rPr>
          <w:w w:val="105"/>
        </w:rPr>
        <w:t>訴訟；因為侵害某甲之權利者，並非人事主管機關任命某乙為公務員之行 </w:t>
      </w:r>
      <w:r>
        <w:rPr>
          <w:spacing w:val="13"/>
          <w:w w:val="105"/>
        </w:rPr>
        <w:t> </w:t>
      </w:r>
      <w:r>
        <w:rPr>
          <w:w w:val="105"/>
        </w:rPr>
        <w:t>政處分，而是告知某甲其未獲任命之通知書。此二行政處分應加以區分， </w:t>
      </w:r>
      <w:r>
        <w:rPr>
          <w:spacing w:val="13"/>
          <w:w w:val="105"/>
        </w:rPr>
        <w:t> </w:t>
      </w:r>
      <w:r>
        <w:rPr>
          <w:w w:val="105"/>
        </w:rPr>
        <w:t>不得混為一談。換言之，依聯邦行政法院之見解，人事主管機關任命某乙 </w:t>
      </w:r>
      <w:r>
        <w:rPr>
          <w:spacing w:val="13"/>
          <w:w w:val="105"/>
        </w:rPr>
        <w:t> </w:t>
      </w:r>
      <w:r>
        <w:rPr>
          <w:w w:val="105"/>
        </w:rPr>
        <w:t>為公務員之行政處分，其對象僅及於某乙，並無針對某甲之第三人效力 </w:t>
      </w:r>
      <w:r>
        <w:rPr>
          <w:spacing w:val="54"/>
          <w:w w:val="105"/>
        </w:rPr>
        <w:t> </w:t>
      </w:r>
      <w:r>
        <w:rPr>
          <w:rFonts w:ascii="Times New Roman" w:eastAsia="Times New Roman"/>
          <w:sz w:val="29"/>
        </w:rPr>
        <w:t>(Dri</w:t>
      </w:r>
      <w:r>
        <w:rPr>
          <w:rFonts w:ascii="Times New Roman" w:eastAsia="Times New Roman"/>
          <w:spacing w:val="-29"/>
          <w:sz w:val="29"/>
        </w:rPr>
        <w:t> </w:t>
      </w:r>
      <w:r>
        <w:rPr>
          <w:rFonts w:ascii="Times New Roman" w:eastAsia="Times New Roman"/>
          <w:sz w:val="29"/>
        </w:rPr>
        <w:t>t</w:t>
      </w:r>
      <w:r>
        <w:rPr>
          <w:rFonts w:ascii="Times New Roman" w:eastAsia="Times New Roman"/>
          <w:spacing w:val="-25"/>
          <w:sz w:val="29"/>
        </w:rPr>
        <w:t> </w:t>
      </w:r>
      <w:r>
        <w:rPr>
          <w:rFonts w:ascii="Times New Roman" w:eastAsia="Times New Roman"/>
          <w:sz w:val="29"/>
        </w:rPr>
        <w:t>twi</w:t>
      </w:r>
      <w:r>
        <w:rPr>
          <w:rFonts w:ascii="Times New Roman" w:eastAsia="Times New Roman"/>
          <w:spacing w:val="-28"/>
          <w:sz w:val="29"/>
        </w:rPr>
        <w:t> </w:t>
      </w:r>
      <w:r>
        <w:rPr>
          <w:rFonts w:ascii="Times New Roman" w:eastAsia="Times New Roman"/>
          <w:sz w:val="29"/>
        </w:rPr>
        <w:t>r</w:t>
      </w:r>
      <w:r>
        <w:rPr>
          <w:rFonts w:ascii="Times New Roman" w:eastAsia="Times New Roman"/>
          <w:spacing w:val="-33"/>
          <w:sz w:val="29"/>
        </w:rPr>
        <w:t> </w:t>
      </w:r>
      <w:r>
        <w:rPr>
          <w:rFonts w:ascii="Times New Roman" w:eastAsia="Times New Roman"/>
          <w:sz w:val="29"/>
        </w:rPr>
        <w:t>kung</w:t>
      </w:r>
      <w:r>
        <w:rPr>
          <w:rFonts w:ascii="Times New Roman" w:eastAsia="Times New Roman"/>
          <w:spacing w:val="-4"/>
          <w:sz w:val="29"/>
        </w:rPr>
        <w:t> )</w:t>
      </w:r>
      <w:r>
        <w:rPr>
          <w:spacing w:val="-5"/>
        </w:rPr>
        <w:t>。聯邦行 政法院於該項判決中雖 未明言 </w:t>
      </w:r>
      <w:r>
        <w:rPr>
          <w:spacing w:val="17"/>
          <w:w w:val="95"/>
        </w:rPr>
        <w:t>，</w:t>
      </w:r>
      <w:r>
        <w:rPr>
          <w:spacing w:val="18"/>
        </w:rPr>
        <w:t>然而推敲其意 </w:t>
      </w:r>
      <w:r>
        <w:rPr>
          <w:w w:val="95"/>
        </w:rPr>
        <w:t>，</w:t>
      </w:r>
      <w:r>
        <w:rPr>
          <w:spacing w:val="1"/>
          <w:w w:val="95"/>
        </w:rPr>
        <w:t> </w:t>
      </w:r>
      <w:r>
        <w:rPr>
          <w:w w:val="105"/>
        </w:rPr>
        <w:t>似乎也可以認為聯邦行政法院係間接否定職務競爭者（某甲）提超消極競 </w:t>
      </w:r>
      <w:r>
        <w:rPr>
          <w:spacing w:val="10"/>
          <w:w w:val="105"/>
        </w:rPr>
        <w:t> </w:t>
      </w:r>
      <w:r>
        <w:rPr>
          <w:spacing w:val="9"/>
        </w:rPr>
        <w:t>爭者訴訟之合法性</w:t>
      </w:r>
      <w:r>
        <w:rPr>
          <w:rFonts w:ascii="Times New Roman" w:eastAsia="Times New Roman"/>
          <w:w w:val="95"/>
          <w:sz w:val="16"/>
        </w:rPr>
        <w:t>33</w:t>
      </w:r>
      <w:r>
        <w:rPr>
          <w:rFonts w:ascii="Times New Roman" w:eastAsia="Times New Roman"/>
          <w:spacing w:val="69"/>
          <w:sz w:val="16"/>
        </w:rPr>
        <w:t>  </w:t>
      </w:r>
      <w:r>
        <w:rPr>
          <w:rFonts w:ascii="Arial" w:eastAsia="Arial"/>
          <w:w w:val="105"/>
          <w:sz w:val="8"/>
        </w:rPr>
        <w:t>0</w:t>
      </w:r>
    </w:p>
    <w:p>
      <w:pPr>
        <w:pStyle w:val="BodyText"/>
        <w:spacing w:line="319" w:lineRule="auto" w:before="17"/>
        <w:ind w:left="298" w:right="364" w:firstLine="575"/>
        <w:rPr>
          <w:rFonts w:ascii="Arial" w:eastAsia="Arial"/>
          <w:sz w:val="8"/>
        </w:rPr>
      </w:pPr>
      <w:r>
        <w:rPr>
          <w:spacing w:val="3"/>
          <w:w w:val="95"/>
        </w:rPr>
        <w:t>綜合以上所述，可知聯邦行 政法院在 </w:t>
      </w:r>
      <w:r>
        <w:rPr>
          <w:rFonts w:ascii="Times New Roman" w:eastAsia="Times New Roman"/>
          <w:w w:val="95"/>
          <w:sz w:val="30"/>
        </w:rPr>
        <w:t>1988</w:t>
      </w:r>
      <w:r>
        <w:rPr>
          <w:rFonts w:ascii="Times New Roman" w:eastAsia="Times New Roman"/>
          <w:spacing w:val="26"/>
          <w:w w:val="95"/>
          <w:sz w:val="30"/>
        </w:rPr>
        <w:t> </w:t>
      </w:r>
      <w:r>
        <w:rPr>
          <w:spacing w:val="-4"/>
          <w:w w:val="95"/>
          <w:sz w:val="24"/>
        </w:rPr>
        <w:t>年 </w:t>
      </w:r>
      <w:r>
        <w:rPr>
          <w:rFonts w:ascii="Times New Roman" w:eastAsia="Times New Roman"/>
          <w:w w:val="95"/>
          <w:sz w:val="30"/>
        </w:rPr>
        <w:t>8</w:t>
      </w:r>
      <w:r>
        <w:rPr>
          <w:rFonts w:ascii="Times New Roman" w:eastAsia="Times New Roman"/>
          <w:spacing w:val="51"/>
          <w:w w:val="95"/>
          <w:sz w:val="30"/>
        </w:rPr>
        <w:t> </w:t>
      </w:r>
      <w:r>
        <w:rPr>
          <w:spacing w:val="20"/>
          <w:w w:val="95"/>
        </w:rPr>
        <w:t>月 </w:t>
      </w:r>
      <w:r>
        <w:rPr>
          <w:rFonts w:ascii="Times New Roman" w:eastAsia="Times New Roman"/>
          <w:w w:val="95"/>
          <w:sz w:val="30"/>
        </w:rPr>
        <w:t>25</w:t>
      </w:r>
      <w:r>
        <w:rPr>
          <w:rFonts w:ascii="Times New Roman" w:eastAsia="Times New Roman"/>
          <w:spacing w:val="25"/>
          <w:w w:val="95"/>
          <w:sz w:val="30"/>
        </w:rPr>
        <w:t> </w:t>
      </w:r>
      <w:r>
        <w:rPr>
          <w:spacing w:val="18"/>
          <w:w w:val="95"/>
        </w:rPr>
        <w:t>日之 判決</w:t>
      </w:r>
      <w:r>
        <w:rPr>
          <w:spacing w:val="-53"/>
          <w:w w:val="95"/>
        </w:rPr>
        <w:t>（</w:t>
      </w:r>
      <w:r>
        <w:rPr>
          <w:w w:val="95"/>
        </w:rPr>
        <w:t>間接 ）</w:t>
      </w:r>
      <w:r>
        <w:rPr>
          <w:spacing w:val="-116"/>
          <w:w w:val="95"/>
        </w:rPr>
        <w:t> </w:t>
      </w:r>
      <w:r>
        <w:rPr/>
        <w:t>否定公務員法上消極競爭者訴訟之理由有二：其一為原告（某甲）所受之     </w:t>
      </w:r>
      <w:r>
        <w:rPr>
          <w:spacing w:val="56"/>
        </w:rPr>
        <w:t> </w:t>
      </w:r>
      <w:r>
        <w:rPr>
          <w:spacing w:val="18"/>
          <w:w w:val="95"/>
        </w:rPr>
        <w:t>侵益處分已了 結 </w:t>
      </w:r>
      <w:r>
        <w:rPr>
          <w:rFonts w:ascii="Times New Roman" w:eastAsia="Times New Roman"/>
          <w:w w:val="95"/>
          <w:sz w:val="29"/>
        </w:rPr>
        <w:t>( er</w:t>
      </w:r>
      <w:r>
        <w:rPr>
          <w:rFonts w:ascii="Times New Roman" w:eastAsia="Times New Roman"/>
          <w:spacing w:val="31"/>
          <w:w w:val="95"/>
          <w:sz w:val="29"/>
        </w:rPr>
        <w:t> </w:t>
      </w:r>
      <w:r>
        <w:rPr>
          <w:rFonts w:ascii="Times New Roman" w:eastAsia="Times New Roman"/>
          <w:spacing w:val="9"/>
          <w:w w:val="95"/>
          <w:sz w:val="29"/>
        </w:rPr>
        <w:t>ledi</w:t>
      </w:r>
      <w:r>
        <w:rPr>
          <w:rFonts w:ascii="Times New Roman" w:eastAsia="Times New Roman"/>
          <w:spacing w:val="-11"/>
          <w:w w:val="95"/>
          <w:sz w:val="29"/>
        </w:rPr>
        <w:t> </w:t>
      </w:r>
      <w:r>
        <w:rPr>
          <w:rFonts w:ascii="Times New Roman" w:eastAsia="Times New Roman"/>
          <w:w w:val="95"/>
          <w:sz w:val="29"/>
        </w:rPr>
        <w:t>gt</w:t>
      </w:r>
      <w:r>
        <w:rPr>
          <w:rFonts w:ascii="Times New Roman" w:eastAsia="Times New Roman"/>
          <w:spacing w:val="39"/>
          <w:w w:val="95"/>
          <w:sz w:val="29"/>
        </w:rPr>
        <w:t> ) </w:t>
      </w:r>
      <w:r>
        <w:rPr>
          <w:spacing w:val="3"/>
          <w:w w:val="95"/>
        </w:rPr>
        <w:t>， 其次為人事主管機 關任命某 乙為公務 員之</w:t>
      </w:r>
      <w:r>
        <w:rPr>
          <w:spacing w:val="1"/>
          <w:w w:val="95"/>
        </w:rPr>
        <w:t> </w:t>
      </w:r>
      <w:r>
        <w:rPr>
          <w:spacing w:val="-1"/>
          <w:w w:val="95"/>
        </w:rPr>
        <w:t>行 政處分 ，並 不具備第三人效力 ， 某甲 之權利並未受到該處分之侵 害</w:t>
      </w:r>
      <w:r>
        <w:rPr>
          <w:rFonts w:ascii="Times New Roman" w:eastAsia="Times New Roman"/>
          <w:w w:val="95"/>
          <w:sz w:val="16"/>
        </w:rPr>
        <w:t>34</w:t>
      </w:r>
      <w:r>
        <w:rPr>
          <w:rFonts w:ascii="Times New Roman" w:eastAsia="Times New Roman"/>
          <w:spacing w:val="52"/>
          <w:sz w:val="16"/>
        </w:rPr>
        <w:t>  </w:t>
      </w:r>
      <w:r>
        <w:rPr>
          <w:rFonts w:ascii="Arial" w:eastAsia="Arial"/>
          <w:sz w:val="8"/>
        </w:rPr>
        <w:t>0</w:t>
      </w:r>
    </w:p>
    <w:p>
      <w:pPr>
        <w:pStyle w:val="ListParagraph"/>
        <w:numPr>
          <w:ilvl w:val="0"/>
          <w:numId w:val="1"/>
        </w:numPr>
        <w:tabs>
          <w:tab w:pos="1148" w:val="left" w:leader="none"/>
        </w:tabs>
        <w:spacing w:line="240" w:lineRule="auto" w:before="93" w:after="0"/>
        <w:ind w:left="1147" w:right="0" w:hanging="357"/>
        <w:jc w:val="left"/>
        <w:rPr>
          <w:rFonts w:ascii="Times New Roman" w:eastAsia="Times New Roman"/>
          <w:sz w:val="30"/>
        </w:rPr>
      </w:pPr>
      <w:r>
        <w:rPr>
          <w:spacing w:val="8"/>
          <w:sz w:val="25"/>
        </w:rPr>
        <w:t>聯邦憲法法院 </w:t>
      </w:r>
      <w:r>
        <w:rPr>
          <w:rFonts w:ascii="Times New Roman" w:eastAsia="Times New Roman"/>
          <w:sz w:val="30"/>
        </w:rPr>
        <w:t>1989</w:t>
      </w:r>
      <w:r>
        <w:rPr>
          <w:rFonts w:ascii="Times New Roman" w:eastAsia="Times New Roman"/>
          <w:spacing w:val="-37"/>
          <w:sz w:val="30"/>
        </w:rPr>
        <w:t> </w:t>
      </w:r>
      <w:r>
        <w:rPr>
          <w:spacing w:val="-18"/>
          <w:sz w:val="24"/>
        </w:rPr>
        <w:t>年 </w:t>
      </w:r>
      <w:r>
        <w:rPr>
          <w:rFonts w:ascii="Times New Roman" w:eastAsia="Times New Roman"/>
          <w:sz w:val="30"/>
        </w:rPr>
        <w:t>9</w:t>
      </w:r>
      <w:r>
        <w:rPr>
          <w:rFonts w:ascii="Times New Roman" w:eastAsia="Times New Roman"/>
          <w:spacing w:val="25"/>
          <w:sz w:val="30"/>
        </w:rPr>
        <w:t> </w:t>
      </w:r>
      <w:r>
        <w:rPr>
          <w:spacing w:val="-15"/>
          <w:sz w:val="25"/>
        </w:rPr>
        <w:t>月 </w:t>
      </w:r>
      <w:r>
        <w:rPr>
          <w:rFonts w:ascii="Times New Roman" w:eastAsia="Times New Roman"/>
          <w:sz w:val="30"/>
        </w:rPr>
        <w:t>19</w:t>
      </w:r>
      <w:r>
        <w:rPr>
          <w:rFonts w:ascii="Times New Roman" w:eastAsia="Times New Roman"/>
          <w:spacing w:val="-2"/>
          <w:sz w:val="30"/>
        </w:rPr>
        <w:t> </w:t>
      </w:r>
      <w:r>
        <w:rPr>
          <w:spacing w:val="1"/>
          <w:sz w:val="25"/>
        </w:rPr>
        <w:t>日之 裁定</w:t>
      </w:r>
    </w:p>
    <w:p>
      <w:pPr>
        <w:pStyle w:val="BodyText"/>
        <w:spacing w:before="5"/>
        <w:rPr>
          <w:sz w:val="23"/>
        </w:rPr>
      </w:pPr>
    </w:p>
    <w:p>
      <w:pPr>
        <w:pStyle w:val="BodyText"/>
        <w:spacing w:line="321" w:lineRule="auto"/>
        <w:ind w:left="304" w:right="501" w:firstLine="583"/>
        <w:rPr>
          <w:rFonts w:ascii="Arial" w:eastAsia="Arial"/>
          <w:sz w:val="8"/>
        </w:rPr>
      </w:pPr>
      <w:r>
        <w:rPr>
          <w:w w:val="105"/>
        </w:rPr>
        <w:t>噹事人不服上述聯邦行政法院之判決，向聯邦憲法法院提超憲法訴  </w:t>
      </w:r>
      <w:r>
        <w:rPr>
          <w:spacing w:val="99"/>
          <w:w w:val="105"/>
        </w:rPr>
        <w:t> </w:t>
      </w:r>
      <w:r>
        <w:rPr>
          <w:spacing w:val="-8"/>
          <w:w w:val="95"/>
        </w:rPr>
        <w:t>願 。聯邦 憲法法院於 </w:t>
      </w:r>
      <w:r>
        <w:rPr>
          <w:rFonts w:ascii="Times New Roman" w:eastAsia="Times New Roman"/>
          <w:w w:val="95"/>
          <w:sz w:val="30"/>
        </w:rPr>
        <w:t>1989</w:t>
      </w:r>
      <w:r>
        <w:rPr>
          <w:rFonts w:ascii="Times New Roman" w:eastAsia="Times New Roman"/>
          <w:spacing w:val="24"/>
          <w:w w:val="95"/>
          <w:sz w:val="30"/>
        </w:rPr>
        <w:t> </w:t>
      </w:r>
      <w:r>
        <w:rPr>
          <w:spacing w:val="-5"/>
          <w:w w:val="95"/>
          <w:sz w:val="24"/>
        </w:rPr>
        <w:t>年 </w:t>
      </w:r>
      <w:r>
        <w:rPr>
          <w:rFonts w:ascii="Times New Roman" w:eastAsia="Times New Roman"/>
          <w:w w:val="95"/>
          <w:sz w:val="30"/>
        </w:rPr>
        <w:t>9</w:t>
      </w:r>
      <w:r>
        <w:rPr>
          <w:rFonts w:ascii="Times New Roman" w:eastAsia="Times New Roman"/>
          <w:spacing w:val="64"/>
          <w:w w:val="95"/>
          <w:sz w:val="30"/>
        </w:rPr>
        <w:t> </w:t>
      </w:r>
      <w:r>
        <w:rPr>
          <w:spacing w:val="3"/>
          <w:w w:val="95"/>
        </w:rPr>
        <w:t>月 </w:t>
      </w:r>
      <w:r>
        <w:rPr>
          <w:rFonts w:ascii="Times New Roman" w:eastAsia="Times New Roman"/>
          <w:w w:val="95"/>
          <w:sz w:val="30"/>
        </w:rPr>
        <w:t>19</w:t>
      </w:r>
      <w:r>
        <w:rPr>
          <w:rFonts w:ascii="Times New Roman" w:eastAsia="Times New Roman"/>
          <w:spacing w:val="36"/>
          <w:w w:val="95"/>
          <w:sz w:val="30"/>
        </w:rPr>
        <w:t> </w:t>
      </w:r>
      <w:r>
        <w:rPr>
          <w:w w:val="95"/>
        </w:rPr>
        <w:t>日之 裁定中 ， 肯定聯邦行 政法院此一</w:t>
      </w:r>
      <w:r>
        <w:rPr>
          <w:w w:val="105"/>
        </w:rPr>
        <w:t>見解之合憲性。聯邦憲法法院認為上逑案例中，聯邦行政法院之審查権限 </w:t>
      </w:r>
      <w:r>
        <w:rPr>
          <w:spacing w:val="1"/>
          <w:w w:val="105"/>
        </w:rPr>
        <w:t> </w:t>
      </w:r>
      <w:r>
        <w:rPr>
          <w:w w:val="105"/>
        </w:rPr>
        <w:t>受到公務員法之限制，是以無法提供噹事人足夠之權利保障，該判決之見 </w:t>
      </w:r>
      <w:r>
        <w:rPr>
          <w:spacing w:val="1"/>
          <w:w w:val="105"/>
        </w:rPr>
        <w:t> </w:t>
      </w:r>
      <w:r>
        <w:rPr>
          <w:w w:val="105"/>
        </w:rPr>
        <w:t>解並無可責難之處。所競爭之職位如已任命他人，其所提超之訴訟即無勝 </w:t>
      </w:r>
      <w:r>
        <w:rPr>
          <w:spacing w:val="1"/>
          <w:w w:val="105"/>
        </w:rPr>
        <w:t> </w:t>
      </w:r>
      <w:r>
        <w:rPr>
          <w:w w:val="105"/>
        </w:rPr>
        <w:t>訴之望，此一結果對於噹事人之権利保護請求亦非不可期待之限制。為防 </w:t>
      </w:r>
      <w:r>
        <w:rPr>
          <w:spacing w:val="26"/>
          <w:w w:val="105"/>
        </w:rPr>
        <w:t> </w:t>
      </w:r>
      <w:r>
        <w:rPr>
          <w:spacing w:val="13"/>
          <w:w w:val="95"/>
        </w:rPr>
        <w:t>止爭訟事件因人事主管機 關任命他人而造成事實已完結 </w:t>
      </w:r>
      <w:r>
        <w:rPr>
          <w:rFonts w:ascii="Times New Roman" w:eastAsia="Times New Roman"/>
          <w:w w:val="95"/>
          <w:sz w:val="29"/>
        </w:rPr>
        <w:t>( Schaf f ung</w:t>
      </w:r>
      <w:r>
        <w:rPr>
          <w:rFonts w:ascii="Times New Roman" w:eastAsia="Times New Roman"/>
          <w:spacing w:val="1"/>
          <w:w w:val="95"/>
          <w:sz w:val="29"/>
        </w:rPr>
        <w:t> </w:t>
      </w:r>
      <w:r>
        <w:rPr>
          <w:rFonts w:ascii="Times New Roman" w:eastAsia="Times New Roman"/>
          <w:w w:val="95"/>
          <w:sz w:val="29"/>
        </w:rPr>
        <w:t>vollendeter</w:t>
      </w:r>
      <w:r>
        <w:rPr>
          <w:rFonts w:ascii="Times New Roman" w:eastAsia="Times New Roman"/>
          <w:spacing w:val="139"/>
          <w:sz w:val="29"/>
        </w:rPr>
        <w:t> </w:t>
      </w:r>
      <w:r>
        <w:rPr>
          <w:rFonts w:ascii="Times New Roman" w:eastAsia="Times New Roman"/>
          <w:w w:val="95"/>
          <w:sz w:val="29"/>
        </w:rPr>
        <w:t>Ta</w:t>
      </w:r>
      <w:r>
        <w:rPr>
          <w:rFonts w:ascii="Times New Roman" w:eastAsia="Times New Roman"/>
          <w:spacing w:val="-2"/>
          <w:w w:val="95"/>
          <w:sz w:val="29"/>
        </w:rPr>
        <w:t> </w:t>
      </w:r>
      <w:r>
        <w:rPr>
          <w:rFonts w:ascii="Times New Roman" w:eastAsia="Times New Roman"/>
          <w:w w:val="95"/>
          <w:sz w:val="29"/>
        </w:rPr>
        <w:t>t</w:t>
      </w:r>
      <w:r>
        <w:rPr>
          <w:rFonts w:ascii="Times New Roman" w:eastAsia="Times New Roman"/>
          <w:spacing w:val="15"/>
          <w:w w:val="95"/>
          <w:sz w:val="29"/>
        </w:rPr>
        <w:t> </w:t>
      </w:r>
      <w:r>
        <w:rPr>
          <w:rFonts w:ascii="Times New Roman" w:eastAsia="Times New Roman"/>
          <w:w w:val="95"/>
          <w:sz w:val="29"/>
        </w:rPr>
        <w:t>s</w:t>
      </w:r>
      <w:r>
        <w:rPr>
          <w:rFonts w:ascii="Times New Roman" w:eastAsia="Times New Roman"/>
          <w:spacing w:val="-8"/>
          <w:w w:val="95"/>
          <w:sz w:val="29"/>
        </w:rPr>
        <w:t> </w:t>
      </w:r>
      <w:r>
        <w:rPr>
          <w:rFonts w:ascii="Times New Roman" w:eastAsia="Times New Roman"/>
          <w:w w:val="95"/>
          <w:sz w:val="29"/>
        </w:rPr>
        <w:t>ach</w:t>
      </w:r>
      <w:r>
        <w:rPr>
          <w:rFonts w:ascii="Times New Roman" w:eastAsia="Times New Roman"/>
          <w:spacing w:val="65"/>
          <w:w w:val="95"/>
          <w:sz w:val="29"/>
        </w:rPr>
        <w:t> </w:t>
      </w:r>
      <w:r>
        <w:rPr>
          <w:rFonts w:ascii="Times New Roman" w:eastAsia="Times New Roman"/>
          <w:w w:val="95"/>
          <w:sz w:val="29"/>
        </w:rPr>
        <w:t>en</w:t>
      </w:r>
      <w:r>
        <w:rPr>
          <w:rFonts w:ascii="Times New Roman" w:eastAsia="Times New Roman"/>
          <w:spacing w:val="-3"/>
          <w:w w:val="95"/>
          <w:sz w:val="29"/>
        </w:rPr>
        <w:t> )</w:t>
      </w:r>
      <w:r>
        <w:rPr>
          <w:rFonts w:ascii="Times New Roman" w:eastAsia="Times New Roman"/>
          <w:spacing w:val="131"/>
          <w:sz w:val="29"/>
        </w:rPr>
        <w:t> </w:t>
      </w:r>
      <w:r>
        <w:rPr>
          <w:spacing w:val="-2"/>
          <w:w w:val="95"/>
        </w:rPr>
        <w:t>之 結果 ， 需從 暫時權利保護制度著眼</w:t>
      </w:r>
      <w:r>
        <w:rPr>
          <w:rFonts w:ascii="Times New Roman" w:eastAsia="Times New Roman"/>
          <w:w w:val="95"/>
          <w:sz w:val="16"/>
        </w:rPr>
        <w:t>35</w:t>
      </w:r>
      <w:r>
        <w:rPr>
          <w:rFonts w:ascii="Times New Roman" w:eastAsia="Times New Roman"/>
          <w:spacing w:val="52"/>
          <w:sz w:val="16"/>
        </w:rPr>
        <w:t>  </w:t>
      </w:r>
      <w:r>
        <w:rPr>
          <w:rFonts w:ascii="Arial" w:eastAsia="Arial"/>
          <w:w w:val="105"/>
          <w:sz w:val="8"/>
        </w:rPr>
        <w:t>0</w:t>
      </w:r>
    </w:p>
    <w:p>
      <w:pPr>
        <w:spacing w:line="324" w:lineRule="auto" w:before="4"/>
        <w:ind w:left="301" w:right="517" w:firstLine="567"/>
        <w:jc w:val="both"/>
        <w:rPr>
          <w:rFonts w:ascii="Times New Roman" w:eastAsia="Times New Roman"/>
          <w:sz w:val="29"/>
        </w:rPr>
      </w:pPr>
      <w:r>
        <w:rPr>
          <w:w w:val="110"/>
          <w:sz w:val="25"/>
        </w:rPr>
        <w:t>聯邦憲法法院進一步指出：競爭者訴訟之噹事人欲獲得有效之權利救濟，其前提為：競爭落敗之噹事人需在其競爭者被任命該職務前之合理期間內，經由職務長官之通知而獲知該選拔程序之結果，俾其有足夠之時間</w:t>
      </w:r>
      <w:r>
        <w:rPr>
          <w:spacing w:val="17"/>
          <w:sz w:val="25"/>
        </w:rPr>
        <w:t>作成是否尋求權利救濟之決定</w:t>
      </w:r>
      <w:r>
        <w:rPr>
          <w:rFonts w:ascii="Times New Roman" w:eastAsia="Times New Roman"/>
          <w:sz w:val="29"/>
        </w:rPr>
        <w:t>( daB der</w:t>
      </w:r>
      <w:r>
        <w:rPr>
          <w:rFonts w:ascii="Times New Roman" w:eastAsia="Times New Roman"/>
          <w:spacing w:val="1"/>
          <w:sz w:val="29"/>
        </w:rPr>
        <w:t> </w:t>
      </w:r>
      <w:r>
        <w:rPr>
          <w:rFonts w:ascii="Times New Roman" w:eastAsia="Times New Roman"/>
          <w:sz w:val="29"/>
        </w:rPr>
        <w:t>unter legene Bewerber</w:t>
      </w:r>
      <w:r>
        <w:rPr>
          <w:rFonts w:ascii="Times New Roman" w:eastAsia="Times New Roman"/>
          <w:spacing w:val="1"/>
          <w:sz w:val="29"/>
        </w:rPr>
        <w:t> </w:t>
      </w:r>
      <w:r>
        <w:rPr>
          <w:rFonts w:ascii="Times New Roman" w:eastAsia="Times New Roman"/>
          <w:sz w:val="29"/>
        </w:rPr>
        <w:t>innerhal b</w:t>
      </w:r>
      <w:r>
        <w:rPr>
          <w:rFonts w:ascii="Times New Roman" w:eastAsia="Times New Roman"/>
          <w:spacing w:val="1"/>
          <w:sz w:val="29"/>
        </w:rPr>
        <w:t> </w:t>
      </w:r>
      <w:r>
        <w:rPr>
          <w:rFonts w:ascii="Times New Roman" w:eastAsia="Times New Roman"/>
          <w:spacing w:val="-1"/>
          <w:w w:val="110"/>
          <w:sz w:val="29"/>
        </w:rPr>
        <w:t>einer</w:t>
      </w:r>
      <w:r>
        <w:rPr>
          <w:rFonts w:ascii="Times New Roman" w:eastAsia="Times New Roman"/>
          <w:spacing w:val="48"/>
          <w:w w:val="110"/>
          <w:sz w:val="29"/>
        </w:rPr>
        <w:t> </w:t>
      </w:r>
      <w:r>
        <w:rPr>
          <w:rFonts w:ascii="Times New Roman" w:eastAsia="Times New Roman"/>
          <w:spacing w:val="-1"/>
          <w:w w:val="110"/>
          <w:sz w:val="29"/>
        </w:rPr>
        <w:t>fur</w:t>
      </w:r>
      <w:r>
        <w:rPr>
          <w:rFonts w:ascii="Times New Roman" w:eastAsia="Times New Roman"/>
          <w:spacing w:val="22"/>
          <w:w w:val="110"/>
          <w:sz w:val="29"/>
        </w:rPr>
        <w:t> </w:t>
      </w:r>
      <w:r>
        <w:rPr>
          <w:rFonts w:ascii="Times New Roman" w:eastAsia="Times New Roman"/>
          <w:spacing w:val="-1"/>
          <w:w w:val="110"/>
          <w:sz w:val="29"/>
        </w:rPr>
        <w:t>seine</w:t>
      </w:r>
      <w:r>
        <w:rPr>
          <w:rFonts w:ascii="Times New Roman" w:eastAsia="Times New Roman"/>
          <w:spacing w:val="18"/>
          <w:w w:val="110"/>
          <w:sz w:val="29"/>
        </w:rPr>
        <w:t> </w:t>
      </w:r>
      <w:r>
        <w:rPr>
          <w:rFonts w:ascii="Times New Roman" w:eastAsia="Times New Roman"/>
          <w:w w:val="110"/>
          <w:sz w:val="29"/>
        </w:rPr>
        <w:t>Rechtsschutzentscheidung</w:t>
      </w:r>
      <w:r>
        <w:rPr>
          <w:rFonts w:ascii="Times New Roman" w:eastAsia="Times New Roman"/>
          <w:spacing w:val="12"/>
          <w:w w:val="110"/>
          <w:sz w:val="29"/>
        </w:rPr>
        <w:t> </w:t>
      </w:r>
      <w:r>
        <w:rPr>
          <w:rFonts w:ascii="Times New Roman" w:eastAsia="Times New Roman"/>
          <w:w w:val="110"/>
          <w:sz w:val="29"/>
        </w:rPr>
        <w:t>ausreichenden</w:t>
      </w:r>
      <w:r>
        <w:rPr>
          <w:rFonts w:ascii="Times New Roman" w:eastAsia="Times New Roman"/>
          <w:spacing w:val="59"/>
          <w:w w:val="110"/>
          <w:sz w:val="29"/>
        </w:rPr>
        <w:t> </w:t>
      </w:r>
      <w:r>
        <w:rPr>
          <w:rFonts w:ascii="Times New Roman" w:eastAsia="Times New Roman"/>
          <w:w w:val="110"/>
          <w:sz w:val="29"/>
        </w:rPr>
        <w:t>Zei</w:t>
      </w:r>
      <w:r>
        <w:rPr>
          <w:rFonts w:ascii="Times New Roman" w:eastAsia="Times New Roman"/>
          <w:spacing w:val="-35"/>
          <w:w w:val="110"/>
          <w:sz w:val="29"/>
        </w:rPr>
        <w:t> </w:t>
      </w:r>
      <w:r>
        <w:rPr>
          <w:rFonts w:ascii="Times New Roman" w:eastAsia="Times New Roman"/>
          <w:w w:val="110"/>
          <w:sz w:val="29"/>
        </w:rPr>
        <w:t>tspanne</w:t>
      </w:r>
    </w:p>
    <w:p>
      <w:pPr>
        <w:pStyle w:val="BodyText"/>
        <w:rPr>
          <w:rFonts w:ascii="Times New Roman"/>
          <w:sz w:val="20"/>
        </w:rPr>
      </w:pPr>
    </w:p>
    <w:p>
      <w:pPr>
        <w:pStyle w:val="Heading6"/>
        <w:spacing w:before="244"/>
        <w:ind w:left="518"/>
      </w:pPr>
      <w:r>
        <w:rPr/>
        <w:pict>
          <v:line style="position:absolute;mso-position-horizontal-relative:page;mso-position-vertical-relative:paragraph;z-index:15806976" from="95.174004pt,.789728pt" to="549.89426pt,.789728pt" stroked="true" strokeweight=".480547pt" strokecolor="#000000">
            <v:stroke dashstyle="solid"/>
            <w10:wrap type="none"/>
          </v:line>
        </w:pict>
      </w:r>
      <w:r>
        <w:rPr>
          <w:w w:val="95"/>
        </w:rPr>
        <w:t>(818)</w:t>
      </w:r>
      <w:r>
        <w:rPr>
          <w:spacing w:val="51"/>
          <w:w w:val="95"/>
        </w:rPr>
        <w:t> </w:t>
      </w:r>
      <w:r>
        <w:rPr>
          <w:w w:val="95"/>
        </w:rPr>
        <w:t>Fn.</w:t>
      </w:r>
      <w:r>
        <w:rPr>
          <w:spacing w:val="24"/>
          <w:w w:val="95"/>
        </w:rPr>
        <w:t> </w:t>
      </w:r>
      <w:r>
        <w:rPr>
          <w:w w:val="95"/>
        </w:rPr>
        <w:t>8</w:t>
      </w:r>
      <w:r>
        <w:rPr>
          <w:spacing w:val="32"/>
          <w:w w:val="95"/>
        </w:rPr>
        <w:t> </w:t>
      </w:r>
      <w:r>
        <w:rPr>
          <w:w w:val="95"/>
        </w:rPr>
        <w:t>m.</w:t>
      </w:r>
      <w:r>
        <w:rPr>
          <w:spacing w:val="32"/>
          <w:w w:val="95"/>
        </w:rPr>
        <w:t> </w:t>
      </w:r>
      <w:r>
        <w:rPr>
          <w:w w:val="95"/>
          <w:sz w:val="25"/>
        </w:rPr>
        <w:t>w.</w:t>
      </w:r>
      <w:r>
        <w:rPr>
          <w:spacing w:val="39"/>
          <w:w w:val="95"/>
          <w:sz w:val="25"/>
        </w:rPr>
        <w:t> </w:t>
      </w:r>
      <w:r>
        <w:rPr>
          <w:w w:val="95"/>
        </w:rPr>
        <w:t>N.</w:t>
      </w:r>
    </w:p>
    <w:p>
      <w:pPr>
        <w:tabs>
          <w:tab w:pos="1975" w:val="left" w:leader="none"/>
          <w:tab w:pos="6679" w:val="left" w:leader="none"/>
        </w:tabs>
        <w:spacing w:before="18"/>
        <w:ind w:left="298" w:right="0" w:firstLine="0"/>
        <w:jc w:val="left"/>
        <w:rPr>
          <w:rFonts w:ascii="Times New Roman"/>
          <w:sz w:val="26"/>
        </w:rPr>
      </w:pPr>
      <w:r>
        <w:rPr>
          <w:rFonts w:ascii="Times New Roman"/>
          <w:position w:val="9"/>
          <w:sz w:val="13"/>
        </w:rPr>
        <w:t>33</w:t>
      </w:r>
      <w:r>
        <w:rPr>
          <w:rFonts w:ascii="Times New Roman"/>
          <w:spacing w:val="49"/>
          <w:position w:val="9"/>
          <w:sz w:val="13"/>
        </w:rPr>
        <w:t> </w:t>
      </w:r>
      <w:r>
        <w:rPr>
          <w:rFonts w:ascii="Times New Roman"/>
          <w:sz w:val="26"/>
        </w:rPr>
        <w:t>Wittkowski,</w:t>
        <w:tab/>
        <w:t>Die</w:t>
      </w:r>
      <w:r>
        <w:rPr>
          <w:rFonts w:ascii="Times New Roman"/>
          <w:spacing w:val="40"/>
          <w:sz w:val="26"/>
        </w:rPr>
        <w:t> </w:t>
      </w:r>
      <w:r>
        <w:rPr>
          <w:rFonts w:ascii="Times New Roman"/>
          <w:sz w:val="26"/>
        </w:rPr>
        <w:t>Konkurrentenklage</w:t>
      </w:r>
      <w:r>
        <w:rPr>
          <w:rFonts w:ascii="Times New Roman"/>
          <w:spacing w:val="45"/>
          <w:sz w:val="26"/>
        </w:rPr>
        <w:t> </w:t>
      </w:r>
      <w:r>
        <w:rPr>
          <w:rFonts w:ascii="Times New Roman"/>
          <w:sz w:val="26"/>
        </w:rPr>
        <w:t>im</w:t>
      </w:r>
      <w:r>
        <w:rPr>
          <w:rFonts w:ascii="Times New Roman"/>
          <w:spacing w:val="38"/>
          <w:sz w:val="26"/>
        </w:rPr>
        <w:t> </w:t>
      </w:r>
      <w:r>
        <w:rPr>
          <w:rFonts w:ascii="Times New Roman"/>
          <w:sz w:val="26"/>
        </w:rPr>
        <w:t>Beamtenrecht,</w:t>
        <w:tab/>
      </w:r>
      <w:r>
        <w:rPr>
          <w:rFonts w:ascii="Times New Roman"/>
          <w:w w:val="95"/>
          <w:sz w:val="26"/>
        </w:rPr>
        <w:t>NJW</w:t>
      </w:r>
      <w:r>
        <w:rPr>
          <w:rFonts w:ascii="Times New Roman"/>
          <w:spacing w:val="30"/>
          <w:w w:val="95"/>
          <w:sz w:val="26"/>
        </w:rPr>
        <w:t> </w:t>
      </w:r>
      <w:r>
        <w:rPr>
          <w:rFonts w:ascii="Times New Roman"/>
          <w:w w:val="95"/>
          <w:sz w:val="26"/>
        </w:rPr>
        <w:t>1993,</w:t>
      </w:r>
      <w:r>
        <w:rPr>
          <w:rFonts w:ascii="Times New Roman"/>
          <w:spacing w:val="16"/>
          <w:w w:val="95"/>
          <w:sz w:val="26"/>
        </w:rPr>
        <w:t> </w:t>
      </w:r>
      <w:r>
        <w:rPr>
          <w:rFonts w:ascii="Times New Roman"/>
          <w:w w:val="95"/>
          <w:sz w:val="26"/>
        </w:rPr>
        <w:t>817</w:t>
      </w:r>
      <w:r>
        <w:rPr>
          <w:rFonts w:ascii="Times New Roman"/>
          <w:spacing w:val="38"/>
          <w:w w:val="95"/>
          <w:sz w:val="26"/>
        </w:rPr>
        <w:t> </w:t>
      </w:r>
      <w:r>
        <w:rPr>
          <w:rFonts w:ascii="Times New Roman"/>
          <w:w w:val="95"/>
          <w:sz w:val="26"/>
        </w:rPr>
        <w:t>(818).</w:t>
      </w:r>
    </w:p>
    <w:p>
      <w:pPr>
        <w:spacing w:line="227" w:lineRule="exact" w:before="77"/>
        <w:ind w:left="298" w:right="0" w:firstLine="0"/>
        <w:jc w:val="left"/>
        <w:rPr>
          <w:rFonts w:ascii="Times New Roman"/>
          <w:sz w:val="20"/>
        </w:rPr>
      </w:pPr>
      <w:r>
        <w:rPr>
          <w:rFonts w:ascii="Times New Roman"/>
          <w:spacing w:val="-1"/>
          <w:sz w:val="20"/>
          <w:vertAlign w:val="superscript"/>
        </w:rPr>
        <w:t>34</w:t>
      </w:r>
      <w:r>
        <w:rPr>
          <w:rFonts w:ascii="Times New Roman"/>
          <w:spacing w:val="2"/>
          <w:sz w:val="20"/>
          <w:vertAlign w:val="baseline"/>
        </w:rPr>
        <w:t> </w:t>
      </w:r>
      <w:r>
        <w:rPr>
          <w:rFonts w:ascii="Times New Roman"/>
          <w:spacing w:val="-1"/>
          <w:sz w:val="20"/>
          <w:vertAlign w:val="baseline"/>
        </w:rPr>
        <w:t>Schnellenbach, </w:t>
      </w:r>
      <w:r>
        <w:rPr>
          <w:rFonts w:ascii="Times New Roman"/>
          <w:sz w:val="20"/>
          <w:vertAlign w:val="baseline"/>
        </w:rPr>
        <w:t>Beamtenrecht</w:t>
      </w:r>
      <w:r>
        <w:rPr>
          <w:rFonts w:ascii="Times New Roman"/>
          <w:spacing w:val="-1"/>
          <w:sz w:val="20"/>
          <w:vertAlign w:val="baseline"/>
        </w:rPr>
        <w:t> </w:t>
      </w:r>
      <w:r>
        <w:rPr>
          <w:rFonts w:ascii="Times New Roman"/>
          <w:sz w:val="20"/>
          <w:vertAlign w:val="baseline"/>
        </w:rPr>
        <w:t>in</w:t>
      </w:r>
      <w:r>
        <w:rPr>
          <w:rFonts w:ascii="Times New Roman"/>
          <w:spacing w:val="-1"/>
          <w:sz w:val="20"/>
          <w:vertAlign w:val="baseline"/>
        </w:rPr>
        <w:t> </w:t>
      </w:r>
      <w:r>
        <w:rPr>
          <w:rFonts w:ascii="Times New Roman"/>
          <w:sz w:val="20"/>
          <w:vertAlign w:val="baseline"/>
        </w:rPr>
        <w:t>der</w:t>
      </w:r>
      <w:r>
        <w:rPr>
          <w:rFonts w:ascii="Times New Roman"/>
          <w:spacing w:val="1"/>
          <w:sz w:val="20"/>
          <w:vertAlign w:val="baseline"/>
        </w:rPr>
        <w:t> </w:t>
      </w:r>
      <w:r>
        <w:rPr>
          <w:rFonts w:ascii="Times New Roman"/>
          <w:sz w:val="20"/>
          <w:vertAlign w:val="baseline"/>
        </w:rPr>
        <w:t>Praxis,</w:t>
      </w:r>
      <w:r>
        <w:rPr>
          <w:rFonts w:ascii="Times New Roman"/>
          <w:spacing w:val="-1"/>
          <w:sz w:val="20"/>
          <w:vertAlign w:val="baseline"/>
        </w:rPr>
        <w:t> </w:t>
      </w:r>
      <w:r>
        <w:rPr>
          <w:rFonts w:ascii="Times New Roman"/>
          <w:sz w:val="20"/>
          <w:vertAlign w:val="baseline"/>
        </w:rPr>
        <w:t>5.</w:t>
      </w:r>
      <w:r>
        <w:rPr>
          <w:rFonts w:ascii="Times New Roman"/>
          <w:spacing w:val="-12"/>
          <w:sz w:val="20"/>
          <w:vertAlign w:val="baseline"/>
        </w:rPr>
        <w:t> </w:t>
      </w:r>
      <w:r>
        <w:rPr>
          <w:rFonts w:ascii="Times New Roman"/>
          <w:sz w:val="20"/>
          <w:vertAlign w:val="baseline"/>
        </w:rPr>
        <w:t>Aufl.,</w:t>
      </w:r>
      <w:r>
        <w:rPr>
          <w:rFonts w:ascii="Times New Roman"/>
          <w:spacing w:val="1"/>
          <w:sz w:val="20"/>
          <w:vertAlign w:val="baseline"/>
        </w:rPr>
        <w:t> </w:t>
      </w:r>
      <w:r>
        <w:rPr>
          <w:rFonts w:ascii="Times New Roman"/>
          <w:sz w:val="20"/>
          <w:vertAlign w:val="baseline"/>
        </w:rPr>
        <w:t>2001,</w:t>
      </w:r>
      <w:r>
        <w:rPr>
          <w:rFonts w:ascii="Times New Roman"/>
          <w:spacing w:val="-2"/>
          <w:sz w:val="20"/>
          <w:vertAlign w:val="baseline"/>
        </w:rPr>
        <w:t> </w:t>
      </w:r>
      <w:r>
        <w:rPr>
          <w:rFonts w:ascii="Times New Roman"/>
          <w:sz w:val="20"/>
          <w:vertAlign w:val="baseline"/>
        </w:rPr>
        <w:t>Rn.</w:t>
      </w:r>
      <w:r>
        <w:rPr>
          <w:rFonts w:ascii="Times New Roman"/>
          <w:spacing w:val="-1"/>
          <w:sz w:val="20"/>
          <w:vertAlign w:val="baseline"/>
        </w:rPr>
        <w:t> </w:t>
      </w:r>
      <w:r>
        <w:rPr>
          <w:rFonts w:ascii="Times New Roman"/>
          <w:sz w:val="20"/>
          <w:vertAlign w:val="baseline"/>
        </w:rPr>
        <w:t>41.</w:t>
      </w:r>
    </w:p>
    <w:p>
      <w:pPr>
        <w:pStyle w:val="Heading6"/>
        <w:tabs>
          <w:tab w:pos="2108" w:val="left" w:leader="none"/>
        </w:tabs>
        <w:spacing w:line="288" w:lineRule="exact" w:before="0"/>
      </w:pPr>
      <w:r>
        <w:rPr>
          <w:w w:val="95"/>
          <w:position w:val="8"/>
          <w:sz w:val="13"/>
        </w:rPr>
        <w:t>35</w:t>
      </w:r>
      <w:r>
        <w:rPr>
          <w:spacing w:val="45"/>
          <w:position w:val="8"/>
          <w:sz w:val="13"/>
        </w:rPr>
        <w:t> </w:t>
      </w:r>
      <w:r>
        <w:rPr>
          <w:w w:val="95"/>
        </w:rPr>
        <w:t>Vgl.</w:t>
      </w:r>
      <w:r>
        <w:rPr>
          <w:spacing w:val="69"/>
        </w:rPr>
        <w:t> </w:t>
      </w:r>
      <w:r>
        <w:rPr>
          <w:w w:val="95"/>
        </w:rPr>
        <w:t>BVerfG,</w:t>
        <w:tab/>
      </w:r>
      <w:r>
        <w:rPr>
          <w:w w:val="90"/>
        </w:rPr>
        <w:t>NJW</w:t>
      </w:r>
      <w:r>
        <w:rPr>
          <w:spacing w:val="27"/>
          <w:w w:val="90"/>
        </w:rPr>
        <w:t> </w:t>
      </w:r>
      <w:r>
        <w:rPr>
          <w:w w:val="90"/>
        </w:rPr>
        <w:t>1990,</w:t>
      </w:r>
      <w:r>
        <w:rPr>
          <w:spacing w:val="21"/>
          <w:w w:val="90"/>
        </w:rPr>
        <w:t> </w:t>
      </w:r>
      <w:r>
        <w:rPr>
          <w:w w:val="90"/>
        </w:rPr>
        <w:t>501.</w:t>
      </w:r>
    </w:p>
    <w:p>
      <w:pPr>
        <w:spacing w:after="0" w:line="288" w:lineRule="exact"/>
        <w:sectPr>
          <w:pgSz w:w="11910" w:h="16840"/>
          <w:pgMar w:header="862" w:footer="1017" w:top="1060" w:bottom="1200" w:left="1120" w:right="1060"/>
        </w:sectPr>
      </w:pPr>
    </w:p>
    <w:p>
      <w:pPr>
        <w:pStyle w:val="BodyText"/>
        <w:rPr>
          <w:rFonts w:ascii="Times New Roman"/>
          <w:sz w:val="20"/>
        </w:rPr>
      </w:pPr>
    </w:p>
    <w:p>
      <w:pPr>
        <w:pStyle w:val="BodyText"/>
        <w:spacing w:before="2"/>
        <w:rPr>
          <w:rFonts w:ascii="Times New Roman"/>
          <w:sz w:val="18"/>
        </w:rPr>
      </w:pPr>
    </w:p>
    <w:p>
      <w:pPr>
        <w:spacing w:line="309" w:lineRule="auto" w:before="0"/>
        <w:ind w:left="302" w:right="358" w:firstLine="2"/>
        <w:jc w:val="left"/>
        <w:rPr>
          <w:rFonts w:ascii="Arial" w:eastAsia="Arial"/>
          <w:sz w:val="8"/>
        </w:rPr>
      </w:pPr>
      <w:r>
        <w:rPr>
          <w:rFonts w:ascii="Times New Roman" w:eastAsia="Times New Roman"/>
          <w:w w:val="105"/>
          <w:sz w:val="28"/>
        </w:rPr>
        <w:t>vor</w:t>
      </w:r>
      <w:r>
        <w:rPr>
          <w:rFonts w:ascii="Times New Roman" w:eastAsia="Times New Roman"/>
          <w:spacing w:val="1"/>
          <w:w w:val="105"/>
          <w:sz w:val="28"/>
        </w:rPr>
        <w:t> </w:t>
      </w:r>
      <w:r>
        <w:rPr>
          <w:rFonts w:ascii="Times New Roman" w:eastAsia="Times New Roman"/>
          <w:w w:val="105"/>
          <w:sz w:val="28"/>
        </w:rPr>
        <w:t>der</w:t>
      </w:r>
      <w:r>
        <w:rPr>
          <w:rFonts w:ascii="Times New Roman" w:eastAsia="Times New Roman"/>
          <w:spacing w:val="1"/>
          <w:w w:val="105"/>
          <w:sz w:val="28"/>
        </w:rPr>
        <w:t> </w:t>
      </w:r>
      <w:r>
        <w:rPr>
          <w:rFonts w:ascii="Times New Roman" w:eastAsia="Times New Roman"/>
          <w:w w:val="105"/>
          <w:sz w:val="28"/>
        </w:rPr>
        <w:t>Ernennung</w:t>
      </w:r>
      <w:r>
        <w:rPr>
          <w:rFonts w:ascii="Times New Roman" w:eastAsia="Times New Roman"/>
          <w:spacing w:val="1"/>
          <w:w w:val="105"/>
          <w:sz w:val="28"/>
        </w:rPr>
        <w:t> </w:t>
      </w:r>
      <w:r>
        <w:rPr>
          <w:rFonts w:ascii="Times New Roman" w:eastAsia="Times New Roman"/>
          <w:w w:val="105"/>
          <w:sz w:val="28"/>
        </w:rPr>
        <w:t>des</w:t>
      </w:r>
      <w:r>
        <w:rPr>
          <w:rFonts w:ascii="Times New Roman" w:eastAsia="Times New Roman"/>
          <w:spacing w:val="1"/>
          <w:w w:val="105"/>
          <w:sz w:val="28"/>
        </w:rPr>
        <w:t> </w:t>
      </w:r>
      <w:r>
        <w:rPr>
          <w:rFonts w:ascii="Times New Roman" w:eastAsia="Times New Roman"/>
          <w:w w:val="105"/>
          <w:sz w:val="28"/>
        </w:rPr>
        <w:t>Mitbewerbers</w:t>
      </w:r>
      <w:r>
        <w:rPr>
          <w:rFonts w:ascii="Times New Roman" w:eastAsia="Times New Roman"/>
          <w:spacing w:val="1"/>
          <w:w w:val="105"/>
          <w:sz w:val="28"/>
        </w:rPr>
        <w:t> </w:t>
      </w:r>
      <w:r>
        <w:rPr>
          <w:rFonts w:ascii="Times New Roman" w:eastAsia="Times New Roman"/>
          <w:w w:val="105"/>
          <w:sz w:val="28"/>
        </w:rPr>
        <w:t>durch</w:t>
      </w:r>
      <w:r>
        <w:rPr>
          <w:rFonts w:ascii="Times New Roman" w:eastAsia="Times New Roman"/>
          <w:spacing w:val="1"/>
          <w:w w:val="105"/>
          <w:sz w:val="28"/>
        </w:rPr>
        <w:t> </w:t>
      </w:r>
      <w:r>
        <w:rPr>
          <w:rFonts w:ascii="Times New Roman" w:eastAsia="Times New Roman"/>
          <w:w w:val="105"/>
          <w:sz w:val="28"/>
        </w:rPr>
        <w:t>eine</w:t>
      </w:r>
      <w:r>
        <w:rPr>
          <w:rFonts w:ascii="Times New Roman" w:eastAsia="Times New Roman"/>
          <w:spacing w:val="1"/>
          <w:w w:val="105"/>
          <w:sz w:val="28"/>
        </w:rPr>
        <w:t> </w:t>
      </w:r>
      <w:r>
        <w:rPr>
          <w:rFonts w:ascii="Times New Roman" w:eastAsia="Times New Roman"/>
          <w:w w:val="105"/>
          <w:sz w:val="28"/>
        </w:rPr>
        <w:t>Mitteilung</w:t>
      </w:r>
      <w:r>
        <w:rPr>
          <w:rFonts w:ascii="Times New Roman" w:eastAsia="Times New Roman"/>
          <w:spacing w:val="1"/>
          <w:w w:val="105"/>
          <w:sz w:val="28"/>
        </w:rPr>
        <w:t> </w:t>
      </w:r>
      <w:r>
        <w:rPr>
          <w:rFonts w:ascii="Times New Roman" w:eastAsia="Times New Roman"/>
          <w:w w:val="105"/>
          <w:sz w:val="28"/>
        </w:rPr>
        <w:t>seines</w:t>
      </w:r>
      <w:r>
        <w:rPr>
          <w:rFonts w:ascii="Times New Roman" w:eastAsia="Times New Roman"/>
          <w:spacing w:val="1"/>
          <w:w w:val="105"/>
          <w:sz w:val="28"/>
        </w:rPr>
        <w:t> </w:t>
      </w:r>
      <w:r>
        <w:rPr>
          <w:rFonts w:ascii="Times New Roman" w:eastAsia="Times New Roman"/>
          <w:w w:val="105"/>
          <w:sz w:val="28"/>
        </w:rPr>
        <w:t>Dienstherrn</w:t>
      </w:r>
      <w:r>
        <w:rPr>
          <w:rFonts w:ascii="Times New Roman" w:eastAsia="Times New Roman"/>
          <w:spacing w:val="9"/>
          <w:w w:val="105"/>
          <w:sz w:val="28"/>
        </w:rPr>
        <w:t> </w:t>
      </w:r>
      <w:r>
        <w:rPr>
          <w:rFonts w:ascii="Times New Roman" w:eastAsia="Times New Roman"/>
          <w:w w:val="105"/>
          <w:sz w:val="28"/>
        </w:rPr>
        <w:t>Kenntnis</w:t>
      </w:r>
      <w:r>
        <w:rPr>
          <w:rFonts w:ascii="Times New Roman" w:eastAsia="Times New Roman"/>
          <w:spacing w:val="64"/>
          <w:w w:val="105"/>
          <w:sz w:val="28"/>
        </w:rPr>
        <w:t> </w:t>
      </w:r>
      <w:r>
        <w:rPr>
          <w:rFonts w:ascii="Times New Roman" w:eastAsia="Times New Roman"/>
          <w:w w:val="105"/>
          <w:sz w:val="28"/>
        </w:rPr>
        <w:t>vom</w:t>
      </w:r>
      <w:r>
        <w:rPr>
          <w:rFonts w:ascii="Times New Roman" w:eastAsia="Times New Roman"/>
          <w:spacing w:val="54"/>
          <w:w w:val="105"/>
          <w:sz w:val="28"/>
        </w:rPr>
        <w:t> </w:t>
      </w:r>
      <w:r>
        <w:rPr>
          <w:rFonts w:ascii="Times New Roman" w:eastAsia="Times New Roman"/>
          <w:w w:val="105"/>
          <w:sz w:val="28"/>
        </w:rPr>
        <w:t>Ausgang</w:t>
      </w:r>
      <w:r>
        <w:rPr>
          <w:rFonts w:ascii="Times New Roman" w:eastAsia="Times New Roman"/>
          <w:spacing w:val="57"/>
          <w:w w:val="105"/>
          <w:sz w:val="28"/>
        </w:rPr>
        <w:t> </w:t>
      </w:r>
      <w:r>
        <w:rPr>
          <w:rFonts w:ascii="Times New Roman" w:eastAsia="Times New Roman"/>
          <w:w w:val="105"/>
          <w:sz w:val="28"/>
        </w:rPr>
        <w:t>des</w:t>
      </w:r>
      <w:r>
        <w:rPr>
          <w:rFonts w:ascii="Times New Roman" w:eastAsia="Times New Roman"/>
          <w:spacing w:val="37"/>
          <w:w w:val="105"/>
          <w:sz w:val="28"/>
        </w:rPr>
        <w:t> </w:t>
      </w:r>
      <w:r>
        <w:rPr>
          <w:rFonts w:ascii="Times New Roman" w:eastAsia="Times New Roman"/>
          <w:w w:val="105"/>
          <w:sz w:val="28"/>
        </w:rPr>
        <w:t>Auswahlverfahrens</w:t>
      </w:r>
      <w:r>
        <w:rPr>
          <w:rFonts w:ascii="Times New Roman" w:eastAsia="Times New Roman"/>
          <w:spacing w:val="50"/>
          <w:w w:val="105"/>
          <w:sz w:val="28"/>
        </w:rPr>
        <w:t> </w:t>
      </w:r>
      <w:r>
        <w:rPr>
          <w:rFonts w:ascii="Times New Roman" w:eastAsia="Times New Roman"/>
          <w:w w:val="105"/>
          <w:sz w:val="28"/>
        </w:rPr>
        <w:t>er</w:t>
      </w:r>
      <w:r>
        <w:rPr>
          <w:rFonts w:ascii="Times New Roman" w:eastAsia="Times New Roman"/>
          <w:spacing w:val="-12"/>
          <w:w w:val="105"/>
          <w:sz w:val="28"/>
        </w:rPr>
        <w:t> </w:t>
      </w:r>
      <w:r>
        <w:rPr>
          <w:rFonts w:ascii="Times New Roman" w:eastAsia="Times New Roman"/>
          <w:w w:val="105"/>
          <w:sz w:val="28"/>
        </w:rPr>
        <w:t>langt</w:t>
      </w:r>
      <w:r>
        <w:rPr>
          <w:rFonts w:ascii="Times New Roman" w:eastAsia="Times New Roman"/>
          <w:spacing w:val="16"/>
          <w:w w:val="105"/>
          <w:sz w:val="28"/>
        </w:rPr>
        <w:t> ) </w:t>
      </w:r>
      <w:r>
        <w:rPr>
          <w:w w:val="105"/>
          <w:sz w:val="28"/>
        </w:rPr>
        <w:t>。</w:t>
      </w:r>
      <w:r>
        <w:rPr>
          <w:spacing w:val="1"/>
          <w:sz w:val="25"/>
        </w:rPr>
        <w:t>此項職務長官之 通知義務 可直接由基本法第 </w:t>
      </w:r>
      <w:r>
        <w:rPr>
          <w:rFonts w:ascii="Times New Roman" w:eastAsia="Times New Roman"/>
          <w:sz w:val="28"/>
        </w:rPr>
        <w:t>33</w:t>
      </w:r>
      <w:r>
        <w:rPr>
          <w:rFonts w:ascii="Times New Roman" w:eastAsia="Times New Roman"/>
          <w:spacing w:val="-24"/>
          <w:sz w:val="28"/>
        </w:rPr>
        <w:t> </w:t>
      </w:r>
      <w:r>
        <w:rPr>
          <w:spacing w:val="3"/>
          <w:sz w:val="25"/>
        </w:rPr>
        <w:t>條第 </w:t>
      </w:r>
      <w:r>
        <w:rPr>
          <w:rFonts w:ascii="Times New Roman" w:eastAsia="Times New Roman"/>
          <w:sz w:val="30"/>
        </w:rPr>
        <w:t>2</w:t>
      </w:r>
      <w:r>
        <w:rPr>
          <w:rFonts w:ascii="Times New Roman" w:eastAsia="Times New Roman"/>
          <w:spacing w:val="-4"/>
          <w:sz w:val="30"/>
        </w:rPr>
        <w:t> </w:t>
      </w:r>
      <w:r>
        <w:rPr>
          <w:spacing w:val="6"/>
          <w:sz w:val="25"/>
        </w:rPr>
        <w:t>項及第 </w:t>
      </w:r>
      <w:r>
        <w:rPr>
          <w:rFonts w:ascii="Times New Roman" w:eastAsia="Times New Roman"/>
          <w:sz w:val="28"/>
        </w:rPr>
        <w:t>19</w:t>
      </w:r>
      <w:r>
        <w:rPr>
          <w:rFonts w:ascii="Times New Roman" w:eastAsia="Times New Roman"/>
          <w:spacing w:val="-16"/>
          <w:sz w:val="28"/>
        </w:rPr>
        <w:t> </w:t>
      </w:r>
      <w:r>
        <w:rPr>
          <w:spacing w:val="4"/>
          <w:sz w:val="25"/>
        </w:rPr>
        <w:t>條第 </w:t>
      </w:r>
      <w:r>
        <w:rPr>
          <w:rFonts w:ascii="Times New Roman" w:eastAsia="Times New Roman"/>
          <w:sz w:val="30"/>
        </w:rPr>
        <w:t>4</w:t>
      </w:r>
      <w:r>
        <w:rPr>
          <w:rFonts w:ascii="Times New Roman" w:eastAsia="Times New Roman"/>
          <w:spacing w:val="-7"/>
          <w:sz w:val="30"/>
        </w:rPr>
        <w:t> </w:t>
      </w:r>
      <w:r>
        <w:rPr>
          <w:sz w:val="25"/>
        </w:rPr>
        <w:t>項</w:t>
      </w:r>
      <w:r>
        <w:rPr>
          <w:w w:val="105"/>
          <w:sz w:val="25"/>
        </w:rPr>
        <w:t>導出。蓋如競爭落敗之當事人俟其競爭者被任命為該職務後始得知該選拔  </w:t>
      </w:r>
      <w:r>
        <w:rPr>
          <w:spacing w:val="14"/>
          <w:w w:val="105"/>
          <w:sz w:val="25"/>
        </w:rPr>
        <w:t> </w:t>
      </w:r>
      <w:r>
        <w:rPr>
          <w:w w:val="105"/>
          <w:sz w:val="25"/>
        </w:rPr>
        <w:t>程序之結果，此種行政程序之內涵將使其後續之司法救濟程序無從發揮其  </w:t>
      </w:r>
      <w:r>
        <w:rPr>
          <w:spacing w:val="48"/>
          <w:w w:val="105"/>
          <w:sz w:val="25"/>
        </w:rPr>
        <w:t> </w:t>
      </w:r>
      <w:r>
        <w:rPr>
          <w:spacing w:val="5"/>
          <w:w w:val="95"/>
          <w:sz w:val="23"/>
        </w:rPr>
        <w:t>功能</w:t>
      </w:r>
      <w:r>
        <w:rPr>
          <w:rFonts w:ascii="Arial" w:eastAsia="Arial"/>
          <w:w w:val="90"/>
          <w:sz w:val="15"/>
        </w:rPr>
        <w:t>36</w:t>
      </w:r>
      <w:r>
        <w:rPr>
          <w:rFonts w:ascii="Arial" w:eastAsia="Arial"/>
          <w:spacing w:val="54"/>
          <w:sz w:val="15"/>
        </w:rPr>
        <w:t>  </w:t>
      </w:r>
      <w:r>
        <w:rPr>
          <w:rFonts w:ascii="Arial" w:eastAsia="Arial"/>
          <w:w w:val="90"/>
          <w:sz w:val="8"/>
        </w:rPr>
        <w:t>0</w:t>
      </w:r>
    </w:p>
    <w:p>
      <w:pPr>
        <w:pStyle w:val="ListParagraph"/>
        <w:numPr>
          <w:ilvl w:val="0"/>
          <w:numId w:val="1"/>
        </w:numPr>
        <w:tabs>
          <w:tab w:pos="1148" w:val="left" w:leader="none"/>
        </w:tabs>
        <w:spacing w:line="240" w:lineRule="auto" w:before="190" w:after="0"/>
        <w:ind w:left="1147" w:right="0" w:hanging="362"/>
        <w:jc w:val="left"/>
        <w:rPr>
          <w:rFonts w:ascii="Times New Roman" w:eastAsia="Times New Roman"/>
          <w:sz w:val="28"/>
        </w:rPr>
      </w:pPr>
      <w:r>
        <w:rPr>
          <w:spacing w:val="9"/>
          <w:sz w:val="25"/>
        </w:rPr>
        <w:t>聯邦行政法院 </w:t>
      </w:r>
      <w:r>
        <w:rPr>
          <w:rFonts w:ascii="Times New Roman" w:eastAsia="Times New Roman"/>
          <w:sz w:val="28"/>
        </w:rPr>
        <w:t>2001</w:t>
      </w:r>
      <w:r>
        <w:rPr>
          <w:rFonts w:ascii="Times New Roman" w:eastAsia="Times New Roman"/>
          <w:spacing w:val="6"/>
          <w:sz w:val="28"/>
        </w:rPr>
        <w:t> </w:t>
      </w:r>
      <w:r>
        <w:rPr>
          <w:spacing w:val="-18"/>
          <w:sz w:val="25"/>
        </w:rPr>
        <w:t>年 </w:t>
      </w:r>
      <w:r>
        <w:rPr>
          <w:rFonts w:ascii="Times New Roman" w:eastAsia="Times New Roman"/>
          <w:sz w:val="28"/>
        </w:rPr>
        <w:t>9</w:t>
      </w:r>
      <w:r>
        <w:rPr>
          <w:rFonts w:ascii="Times New Roman" w:eastAsia="Times New Roman"/>
          <w:spacing w:val="31"/>
          <w:sz w:val="28"/>
        </w:rPr>
        <w:t> </w:t>
      </w:r>
      <w:r>
        <w:rPr>
          <w:spacing w:val="-6"/>
          <w:sz w:val="22"/>
        </w:rPr>
        <w:t>月 </w:t>
      </w:r>
      <w:r>
        <w:rPr>
          <w:rFonts w:ascii="Times New Roman" w:eastAsia="Times New Roman"/>
          <w:sz w:val="28"/>
        </w:rPr>
        <w:t>13</w:t>
      </w:r>
      <w:r>
        <w:rPr>
          <w:rFonts w:ascii="Times New Roman" w:eastAsia="Times New Roman"/>
          <w:spacing w:val="4"/>
          <w:sz w:val="28"/>
        </w:rPr>
        <w:t> </w:t>
      </w:r>
      <w:r>
        <w:rPr>
          <w:spacing w:val="3"/>
          <w:sz w:val="25"/>
        </w:rPr>
        <w:t>日之 判決</w:t>
      </w:r>
    </w:p>
    <w:p>
      <w:pPr>
        <w:pStyle w:val="BodyText"/>
        <w:spacing w:before="9"/>
        <w:rPr>
          <w:sz w:val="23"/>
        </w:rPr>
      </w:pPr>
    </w:p>
    <w:p>
      <w:pPr>
        <w:pStyle w:val="BodyText"/>
        <w:ind w:left="872"/>
      </w:pPr>
      <w:r>
        <w:rPr>
          <w:w w:val="110"/>
        </w:rPr>
        <w:t>上逑聯邦行政法院關於否定公務員法上消極競爭者訴訟之實務見</w:t>
      </w:r>
    </w:p>
    <w:p>
      <w:pPr>
        <w:tabs>
          <w:tab w:pos="6965" w:val="left" w:leader="none"/>
        </w:tabs>
        <w:spacing w:line="319" w:lineRule="auto" w:before="111"/>
        <w:ind w:left="302" w:right="509" w:firstLine="10"/>
        <w:jc w:val="left"/>
        <w:rPr>
          <w:rFonts w:ascii="Arial" w:eastAsia="Arial"/>
          <w:sz w:val="8"/>
        </w:rPr>
      </w:pPr>
      <w:r>
        <w:rPr>
          <w:w w:val="95"/>
          <w:sz w:val="25"/>
        </w:rPr>
        <w:t>解</w:t>
      </w:r>
      <w:r>
        <w:rPr>
          <w:spacing w:val="-3"/>
          <w:w w:val="95"/>
          <w:sz w:val="25"/>
        </w:rPr>
        <w:t> </w:t>
      </w:r>
      <w:r>
        <w:rPr>
          <w:w w:val="95"/>
          <w:sz w:val="25"/>
        </w:rPr>
        <w:t>，</w:t>
      </w:r>
      <w:r>
        <w:rPr>
          <w:spacing w:val="-58"/>
          <w:w w:val="95"/>
          <w:sz w:val="25"/>
        </w:rPr>
        <w:t> </w:t>
      </w:r>
      <w:r>
        <w:rPr>
          <w:w w:val="95"/>
          <w:sz w:val="25"/>
        </w:rPr>
        <w:t>至</w:t>
      </w:r>
      <w:r>
        <w:rPr>
          <w:spacing w:val="-14"/>
          <w:w w:val="95"/>
          <w:sz w:val="25"/>
        </w:rPr>
        <w:t> </w:t>
      </w:r>
      <w:r>
        <w:rPr>
          <w:rFonts w:ascii="Times New Roman" w:eastAsia="Times New Roman"/>
          <w:w w:val="95"/>
          <w:sz w:val="28"/>
        </w:rPr>
        <w:t>2001</w:t>
      </w:r>
      <w:r>
        <w:rPr>
          <w:rFonts w:ascii="Times New Roman" w:eastAsia="Times New Roman"/>
          <w:spacing w:val="39"/>
          <w:w w:val="95"/>
          <w:sz w:val="28"/>
        </w:rPr>
        <w:t> </w:t>
      </w:r>
      <w:r>
        <w:rPr>
          <w:w w:val="95"/>
          <w:sz w:val="25"/>
        </w:rPr>
        <w:t>年</w:t>
      </w:r>
      <w:r>
        <w:rPr>
          <w:spacing w:val="31"/>
          <w:w w:val="95"/>
          <w:sz w:val="25"/>
        </w:rPr>
        <w:t>略</w:t>
      </w:r>
      <w:r>
        <w:rPr>
          <w:spacing w:val="40"/>
          <w:w w:val="95"/>
          <w:sz w:val="25"/>
        </w:rPr>
        <w:t>有</w:t>
      </w:r>
      <w:r>
        <w:rPr>
          <w:w w:val="95"/>
          <w:sz w:val="25"/>
        </w:rPr>
        <w:t>鬆</w:t>
      </w:r>
      <w:r>
        <w:rPr>
          <w:spacing w:val="23"/>
          <w:w w:val="95"/>
          <w:sz w:val="25"/>
        </w:rPr>
        <w:t>動</w:t>
      </w:r>
      <w:r>
        <w:rPr>
          <w:spacing w:val="22"/>
          <w:w w:val="95"/>
          <w:sz w:val="25"/>
        </w:rPr>
        <w:t>之</w:t>
      </w:r>
      <w:r>
        <w:rPr>
          <w:spacing w:val="35"/>
          <w:w w:val="95"/>
          <w:sz w:val="25"/>
        </w:rPr>
        <w:t>跡</w:t>
      </w:r>
      <w:r>
        <w:rPr>
          <w:w w:val="95"/>
          <w:sz w:val="25"/>
        </w:rPr>
        <w:t>象</w:t>
      </w:r>
      <w:r>
        <w:rPr>
          <w:spacing w:val="-25"/>
          <w:w w:val="95"/>
          <w:sz w:val="25"/>
        </w:rPr>
        <w:t> </w:t>
      </w:r>
      <w:r>
        <w:rPr>
          <w:w w:val="95"/>
          <w:sz w:val="25"/>
        </w:rPr>
        <w:t>。聯邦行</w:t>
      </w:r>
      <w:r>
        <w:rPr>
          <w:spacing w:val="-42"/>
          <w:w w:val="95"/>
          <w:sz w:val="25"/>
        </w:rPr>
        <w:t> </w:t>
      </w:r>
      <w:r>
        <w:rPr>
          <w:spacing w:val="15"/>
          <w:w w:val="95"/>
          <w:sz w:val="25"/>
        </w:rPr>
        <w:t>政</w:t>
      </w:r>
      <w:r>
        <w:rPr>
          <w:w w:val="95"/>
          <w:sz w:val="25"/>
        </w:rPr>
        <w:t>法</w:t>
      </w:r>
      <w:r>
        <w:rPr>
          <w:spacing w:val="34"/>
          <w:w w:val="95"/>
          <w:sz w:val="25"/>
        </w:rPr>
        <w:t>院</w:t>
      </w:r>
      <w:r>
        <w:rPr>
          <w:w w:val="95"/>
          <w:sz w:val="25"/>
        </w:rPr>
        <w:t>在</w:t>
      </w:r>
      <w:r>
        <w:rPr>
          <w:spacing w:val="-18"/>
          <w:w w:val="95"/>
          <w:sz w:val="25"/>
        </w:rPr>
        <w:t> </w:t>
      </w:r>
      <w:r>
        <w:rPr>
          <w:rFonts w:ascii="Times New Roman" w:eastAsia="Times New Roman"/>
          <w:w w:val="95"/>
          <w:sz w:val="28"/>
        </w:rPr>
        <w:t>2001</w:t>
      </w:r>
      <w:r>
        <w:rPr>
          <w:rFonts w:ascii="Times New Roman" w:eastAsia="Times New Roman"/>
          <w:spacing w:val="39"/>
          <w:w w:val="95"/>
          <w:sz w:val="28"/>
        </w:rPr>
        <w:t> </w:t>
      </w:r>
      <w:r>
        <w:rPr>
          <w:w w:val="95"/>
          <w:sz w:val="25"/>
        </w:rPr>
        <w:t>年</w:t>
      </w:r>
      <w:r>
        <w:rPr>
          <w:spacing w:val="-18"/>
          <w:w w:val="95"/>
          <w:sz w:val="25"/>
        </w:rPr>
        <w:t> </w:t>
      </w:r>
      <w:r>
        <w:rPr>
          <w:rFonts w:ascii="Times New Roman" w:eastAsia="Times New Roman"/>
          <w:w w:val="95"/>
          <w:sz w:val="28"/>
        </w:rPr>
        <w:t>9</w:t>
      </w:r>
      <w:r>
        <w:rPr>
          <w:rFonts w:ascii="Times New Roman" w:eastAsia="Times New Roman"/>
          <w:spacing w:val="53"/>
          <w:w w:val="95"/>
          <w:sz w:val="28"/>
        </w:rPr>
        <w:t> </w:t>
      </w:r>
      <w:r>
        <w:rPr>
          <w:w w:val="95"/>
          <w:sz w:val="25"/>
        </w:rPr>
        <w:t>月</w:t>
      </w:r>
      <w:r>
        <w:rPr>
          <w:spacing w:val="7"/>
          <w:w w:val="95"/>
          <w:sz w:val="25"/>
        </w:rPr>
        <w:t> </w:t>
      </w:r>
      <w:r>
        <w:rPr>
          <w:rFonts w:ascii="Times New Roman" w:eastAsia="Times New Roman"/>
          <w:w w:val="95"/>
          <w:sz w:val="28"/>
        </w:rPr>
        <w:t>13</w:t>
      </w:r>
      <w:r>
        <w:rPr>
          <w:rFonts w:ascii="Times New Roman" w:eastAsia="Times New Roman"/>
          <w:spacing w:val="31"/>
          <w:w w:val="95"/>
          <w:sz w:val="28"/>
        </w:rPr>
        <w:t> </w:t>
      </w:r>
      <w:r>
        <w:rPr>
          <w:w w:val="95"/>
          <w:sz w:val="25"/>
        </w:rPr>
        <w:t>日</w:t>
      </w:r>
      <w:r>
        <w:rPr>
          <w:spacing w:val="-61"/>
          <w:w w:val="95"/>
          <w:sz w:val="25"/>
        </w:rPr>
        <w:t> </w:t>
      </w:r>
      <w:r>
        <w:rPr>
          <w:spacing w:val="21"/>
          <w:w w:val="95"/>
          <w:sz w:val="25"/>
        </w:rPr>
        <w:t>作</w:t>
      </w:r>
      <w:r>
        <w:rPr>
          <w:w w:val="95"/>
          <w:sz w:val="25"/>
        </w:rPr>
        <w:t>成</w:t>
      </w:r>
      <w:r>
        <w:rPr>
          <w:w w:val="105"/>
          <w:sz w:val="25"/>
        </w:rPr>
        <w:t>一項判決。本件之案例事實略為：原告為終生職之公務員，任職於不萊梅</w:t>
      </w:r>
      <w:r>
        <w:rPr>
          <w:spacing w:val="126"/>
          <w:w w:val="105"/>
          <w:sz w:val="25"/>
        </w:rPr>
        <w:t> </w:t>
      </w:r>
      <w:r>
        <w:rPr>
          <w:spacing w:val="12"/>
          <w:sz w:val="25"/>
        </w:rPr>
        <w:t>市</w:t>
      </w:r>
      <w:r>
        <w:rPr>
          <w:spacing w:val="22"/>
          <w:sz w:val="25"/>
        </w:rPr>
        <w:t>議</w:t>
      </w:r>
      <w:r>
        <w:rPr>
          <w:sz w:val="25"/>
        </w:rPr>
        <w:t>會</w:t>
      </w:r>
      <w:r>
        <w:rPr>
          <w:spacing w:val="-41"/>
          <w:sz w:val="25"/>
        </w:rPr>
        <w:t> </w:t>
      </w:r>
      <w:r>
        <w:rPr>
          <w:spacing w:val="-56"/>
          <w:sz w:val="25"/>
        </w:rPr>
        <w:t>。</w:t>
      </w:r>
      <w:r>
        <w:rPr>
          <w:rFonts w:ascii="Times New Roman" w:eastAsia="Times New Roman"/>
          <w:sz w:val="28"/>
        </w:rPr>
        <w:t>1995</w:t>
      </w:r>
      <w:r>
        <w:rPr>
          <w:rFonts w:ascii="Times New Roman" w:eastAsia="Times New Roman"/>
          <w:spacing w:val="3"/>
          <w:sz w:val="28"/>
        </w:rPr>
        <w:t> </w:t>
      </w:r>
      <w:r>
        <w:rPr>
          <w:sz w:val="25"/>
        </w:rPr>
        <w:t>年</w:t>
      </w:r>
      <w:r>
        <w:rPr>
          <w:spacing w:val="-49"/>
          <w:sz w:val="25"/>
        </w:rPr>
        <w:t> </w:t>
      </w:r>
      <w:r>
        <w:rPr>
          <w:rFonts w:ascii="Times New Roman" w:eastAsia="Times New Roman"/>
          <w:sz w:val="28"/>
        </w:rPr>
        <w:t>10</w:t>
      </w:r>
      <w:r>
        <w:rPr>
          <w:rFonts w:ascii="Times New Roman" w:eastAsia="Times New Roman"/>
          <w:spacing w:val="39"/>
          <w:sz w:val="28"/>
        </w:rPr>
        <w:t> </w:t>
      </w:r>
      <w:r>
        <w:rPr>
          <w:sz w:val="25"/>
        </w:rPr>
        <w:t>月</w:t>
      </w:r>
      <w:r>
        <w:rPr>
          <w:spacing w:val="-15"/>
          <w:sz w:val="25"/>
        </w:rPr>
        <w:t> </w:t>
      </w:r>
      <w:r>
        <w:rPr>
          <w:rFonts w:ascii="Times New Roman" w:eastAsia="Times New Roman"/>
          <w:sz w:val="28"/>
        </w:rPr>
        <w:t>31</w:t>
      </w:r>
      <w:r>
        <w:rPr>
          <w:rFonts w:ascii="Times New Roman" w:eastAsia="Times New Roman"/>
          <w:spacing w:val="12"/>
          <w:sz w:val="28"/>
        </w:rPr>
        <w:t> </w:t>
      </w:r>
      <w:r>
        <w:rPr>
          <w:sz w:val="25"/>
        </w:rPr>
        <w:t>日</w:t>
      </w:r>
      <w:r>
        <w:rPr>
          <w:spacing w:val="-64"/>
          <w:sz w:val="25"/>
        </w:rPr>
        <w:t> </w:t>
      </w:r>
      <w:r>
        <w:rPr>
          <w:spacing w:val="26"/>
          <w:sz w:val="25"/>
        </w:rPr>
        <w:t>其</w:t>
      </w:r>
      <w:r>
        <w:rPr>
          <w:sz w:val="25"/>
        </w:rPr>
        <w:t>受</w:t>
      </w:r>
      <w:r>
        <w:rPr>
          <w:spacing w:val="56"/>
          <w:sz w:val="25"/>
        </w:rPr>
        <w:t>調</w:t>
      </w:r>
      <w:r>
        <w:rPr>
          <w:spacing w:val="19"/>
          <w:sz w:val="25"/>
        </w:rPr>
        <w:t>職</w:t>
      </w:r>
      <w:r>
        <w:rPr>
          <w:spacing w:val="17"/>
          <w:sz w:val="25"/>
        </w:rPr>
        <w:t>處</w:t>
      </w:r>
      <w:r>
        <w:rPr>
          <w:sz w:val="25"/>
        </w:rPr>
        <w:t>分</w:t>
      </w:r>
      <w:r>
        <w:rPr>
          <w:spacing w:val="-23"/>
          <w:sz w:val="25"/>
        </w:rPr>
        <w:t> </w:t>
      </w:r>
      <w:r>
        <w:rPr>
          <w:w w:val="95"/>
          <w:sz w:val="25"/>
        </w:rPr>
        <w:t>，</w:t>
      </w:r>
      <w:r>
        <w:rPr>
          <w:spacing w:val="-83"/>
          <w:w w:val="95"/>
          <w:sz w:val="25"/>
        </w:rPr>
        <w:t> </w:t>
      </w:r>
      <w:r>
        <w:rPr>
          <w:spacing w:val="25"/>
          <w:sz w:val="25"/>
        </w:rPr>
        <w:t>原</w:t>
      </w:r>
      <w:r>
        <w:rPr>
          <w:spacing w:val="22"/>
          <w:sz w:val="25"/>
        </w:rPr>
        <w:t>職</w:t>
      </w:r>
      <w:r>
        <w:rPr>
          <w:spacing w:val="40"/>
          <w:sz w:val="25"/>
        </w:rPr>
        <w:t>並</w:t>
      </w:r>
      <w:r>
        <w:rPr>
          <w:sz w:val="25"/>
        </w:rPr>
        <w:t>已於 </w:t>
      </w:r>
      <w:r>
        <w:rPr>
          <w:rFonts w:ascii="Times New Roman" w:eastAsia="Times New Roman"/>
          <w:sz w:val="28"/>
        </w:rPr>
        <w:t>1995 </w:t>
      </w:r>
      <w:r>
        <w:rPr>
          <w:sz w:val="25"/>
        </w:rPr>
        <w:t>年 </w:t>
      </w:r>
      <w:r>
        <w:rPr>
          <w:rFonts w:ascii="Times New Roman" w:eastAsia="Times New Roman"/>
          <w:sz w:val="28"/>
        </w:rPr>
        <w:t>l l</w:t>
      </w:r>
      <w:r>
        <w:rPr>
          <w:rFonts w:ascii="Times New Roman" w:eastAsia="Times New Roman"/>
          <w:spacing w:val="70"/>
          <w:sz w:val="28"/>
        </w:rPr>
        <w:t> </w:t>
      </w:r>
      <w:r>
        <w:rPr>
          <w:sz w:val="25"/>
        </w:rPr>
        <w:t>月 </w:t>
      </w:r>
      <w:r>
        <w:rPr>
          <w:rFonts w:ascii="Times New Roman" w:eastAsia="Times New Roman"/>
          <w:sz w:val="28"/>
        </w:rPr>
        <w:t>l</w:t>
      </w:r>
      <w:r>
        <w:rPr>
          <w:rFonts w:ascii="Times New Roman" w:eastAsia="Times New Roman"/>
          <w:spacing w:val="1"/>
          <w:sz w:val="28"/>
        </w:rPr>
        <w:t> </w:t>
      </w:r>
      <w:r>
        <w:rPr>
          <w:sz w:val="25"/>
        </w:rPr>
        <w:t>日</w:t>
      </w:r>
      <w:r>
        <w:rPr>
          <w:spacing w:val="-77"/>
          <w:sz w:val="25"/>
        </w:rPr>
        <w:t> </w:t>
      </w:r>
      <w:r>
        <w:rPr>
          <w:spacing w:val="18"/>
          <w:sz w:val="25"/>
        </w:rPr>
        <w:t>任</w:t>
      </w:r>
      <w:r>
        <w:rPr>
          <w:spacing w:val="12"/>
          <w:sz w:val="25"/>
        </w:rPr>
        <w:t>命</w:t>
      </w:r>
      <w:r>
        <w:rPr>
          <w:spacing w:val="21"/>
          <w:sz w:val="25"/>
        </w:rPr>
        <w:t>他</w:t>
      </w:r>
      <w:r>
        <w:rPr>
          <w:sz w:val="25"/>
        </w:rPr>
        <w:t>人</w:t>
      </w:r>
      <w:r>
        <w:rPr>
          <w:spacing w:val="-51"/>
          <w:sz w:val="25"/>
        </w:rPr>
        <w:t> </w:t>
      </w:r>
      <w:r>
        <w:rPr>
          <w:sz w:val="25"/>
        </w:rPr>
        <w:t>。原</w:t>
      </w:r>
      <w:r>
        <w:rPr>
          <w:spacing w:val="27"/>
          <w:sz w:val="25"/>
        </w:rPr>
        <w:t>告</w:t>
      </w:r>
      <w:r>
        <w:rPr>
          <w:spacing w:val="35"/>
          <w:sz w:val="25"/>
        </w:rPr>
        <w:t>不</w:t>
      </w:r>
      <w:r>
        <w:rPr>
          <w:sz w:val="25"/>
        </w:rPr>
        <w:t>服</w:t>
      </w:r>
      <w:r>
        <w:rPr>
          <w:spacing w:val="13"/>
          <w:sz w:val="25"/>
        </w:rPr>
        <w:t>調</w:t>
      </w:r>
      <w:r>
        <w:rPr>
          <w:spacing w:val="19"/>
          <w:sz w:val="25"/>
        </w:rPr>
        <w:t>職</w:t>
      </w:r>
      <w:r>
        <w:rPr>
          <w:spacing w:val="27"/>
          <w:sz w:val="25"/>
        </w:rPr>
        <w:t>處</w:t>
      </w:r>
      <w:r>
        <w:rPr>
          <w:sz w:val="25"/>
        </w:rPr>
        <w:t>分</w:t>
      </w:r>
      <w:r>
        <w:rPr>
          <w:spacing w:val="-26"/>
          <w:sz w:val="25"/>
        </w:rPr>
        <w:t> </w:t>
      </w:r>
      <w:r>
        <w:rPr>
          <w:w w:val="95"/>
          <w:sz w:val="25"/>
        </w:rPr>
        <w:t>，提</w:t>
      </w:r>
      <w:r>
        <w:rPr>
          <w:spacing w:val="55"/>
          <w:w w:val="95"/>
          <w:sz w:val="25"/>
        </w:rPr>
        <w:t> </w:t>
      </w:r>
      <w:r>
        <w:rPr>
          <w:sz w:val="25"/>
        </w:rPr>
        <w:t>超</w:t>
      </w:r>
      <w:r>
        <w:rPr>
          <w:spacing w:val="17"/>
          <w:sz w:val="25"/>
        </w:rPr>
        <w:t>行</w:t>
      </w:r>
      <w:r>
        <w:rPr>
          <w:sz w:val="25"/>
        </w:rPr>
        <w:t>政訴訟</w:t>
      </w:r>
      <w:r>
        <w:rPr>
          <w:spacing w:val="-27"/>
          <w:sz w:val="25"/>
        </w:rPr>
        <w:t> </w:t>
      </w:r>
      <w:r>
        <w:rPr>
          <w:sz w:val="25"/>
        </w:rPr>
        <w:t>。聯邦行</w:t>
      </w:r>
      <w:r>
        <w:rPr>
          <w:spacing w:val="-62"/>
          <w:sz w:val="25"/>
        </w:rPr>
        <w:t> </w:t>
      </w:r>
      <w:r>
        <w:rPr>
          <w:spacing w:val="15"/>
          <w:sz w:val="25"/>
        </w:rPr>
        <w:t>政</w:t>
      </w:r>
      <w:r>
        <w:rPr>
          <w:sz w:val="25"/>
        </w:rPr>
        <w:t>法</w:t>
      </w:r>
      <w:r>
        <w:rPr>
          <w:spacing w:val="34"/>
          <w:sz w:val="25"/>
        </w:rPr>
        <w:t>院</w:t>
      </w:r>
      <w:r>
        <w:rPr>
          <w:sz w:val="25"/>
        </w:rPr>
        <w:t>在 </w:t>
      </w:r>
      <w:r>
        <w:rPr>
          <w:rFonts w:ascii="Times New Roman" w:eastAsia="Times New Roman"/>
          <w:sz w:val="28"/>
        </w:rPr>
        <w:t>2001</w:t>
      </w:r>
      <w:r>
        <w:rPr>
          <w:rFonts w:ascii="Times New Roman" w:eastAsia="Times New Roman"/>
          <w:spacing w:val="1"/>
          <w:sz w:val="28"/>
        </w:rPr>
        <w:t> </w:t>
      </w:r>
      <w:r>
        <w:rPr>
          <w:sz w:val="25"/>
        </w:rPr>
        <w:t>年</w:t>
      </w:r>
      <w:r>
        <w:rPr>
          <w:spacing w:val="-29"/>
          <w:sz w:val="25"/>
        </w:rPr>
        <w:t> </w:t>
      </w:r>
      <w:r>
        <w:rPr>
          <w:rFonts w:ascii="Times New Roman" w:eastAsia="Times New Roman"/>
          <w:sz w:val="30"/>
        </w:rPr>
        <w:t>9</w:t>
      </w:r>
      <w:r>
        <w:rPr>
          <w:rFonts w:ascii="Times New Roman" w:eastAsia="Times New Roman"/>
          <w:spacing w:val="47"/>
          <w:sz w:val="30"/>
        </w:rPr>
        <w:t> </w:t>
      </w:r>
      <w:r>
        <w:rPr>
          <w:sz w:val="25"/>
        </w:rPr>
        <w:t>月</w:t>
      </w:r>
      <w:r>
        <w:rPr>
          <w:spacing w:val="-7"/>
          <w:sz w:val="25"/>
        </w:rPr>
        <w:t> </w:t>
      </w:r>
      <w:r>
        <w:rPr>
          <w:rFonts w:ascii="Times New Roman" w:eastAsia="Times New Roman"/>
          <w:sz w:val="28"/>
        </w:rPr>
        <w:t>13</w:t>
      </w:r>
      <w:r>
        <w:rPr>
          <w:rFonts w:ascii="Times New Roman" w:eastAsia="Times New Roman"/>
          <w:spacing w:val="31"/>
          <w:sz w:val="28"/>
        </w:rPr>
        <w:t> </w:t>
      </w:r>
      <w:r>
        <w:rPr>
          <w:sz w:val="25"/>
        </w:rPr>
        <w:t>日</w:t>
      </w:r>
      <w:r>
        <w:rPr>
          <w:spacing w:val="-68"/>
          <w:sz w:val="25"/>
        </w:rPr>
        <w:t> </w:t>
      </w:r>
      <w:r>
        <w:rPr>
          <w:spacing w:val="12"/>
          <w:sz w:val="25"/>
        </w:rPr>
        <w:t>所</w:t>
      </w:r>
      <w:r>
        <w:rPr>
          <w:spacing w:val="17"/>
          <w:sz w:val="25"/>
        </w:rPr>
        <w:t>作</w:t>
      </w:r>
      <w:r>
        <w:rPr>
          <w:spacing w:val="18"/>
          <w:sz w:val="25"/>
        </w:rPr>
        <w:t>成</w:t>
      </w:r>
      <w:r>
        <w:rPr>
          <w:spacing w:val="12"/>
          <w:sz w:val="25"/>
        </w:rPr>
        <w:t>之</w:t>
      </w:r>
      <w:r>
        <w:rPr>
          <w:spacing w:val="29"/>
          <w:sz w:val="25"/>
        </w:rPr>
        <w:t>判</w:t>
      </w:r>
      <w:r>
        <w:rPr>
          <w:spacing w:val="37"/>
          <w:sz w:val="25"/>
        </w:rPr>
        <w:t>決</w:t>
      </w:r>
      <w:r>
        <w:rPr>
          <w:sz w:val="25"/>
        </w:rPr>
        <w:t>中</w:t>
      </w:r>
      <w:r>
        <w:rPr>
          <w:spacing w:val="10"/>
          <w:sz w:val="25"/>
        </w:rPr>
        <w:t> </w:t>
      </w:r>
      <w:r>
        <w:rPr>
          <w:w w:val="95"/>
          <w:sz w:val="25"/>
        </w:rPr>
        <w:t>，</w:t>
      </w:r>
      <w:r>
        <w:rPr>
          <w:spacing w:val="-60"/>
          <w:w w:val="95"/>
          <w:sz w:val="25"/>
        </w:rPr>
        <w:t> </w:t>
      </w:r>
      <w:r>
        <w:rPr>
          <w:spacing w:val="18"/>
          <w:sz w:val="25"/>
        </w:rPr>
        <w:t>最</w:t>
      </w:r>
      <w:r>
        <w:rPr>
          <w:sz w:val="25"/>
        </w:rPr>
        <w:t>終仍</w:t>
      </w:r>
      <w:r>
        <w:rPr>
          <w:spacing w:val="18"/>
          <w:sz w:val="25"/>
        </w:rPr>
        <w:t>駁</w:t>
      </w:r>
      <w:r>
        <w:rPr>
          <w:sz w:val="25"/>
        </w:rPr>
        <w:t>回</w:t>
      </w:r>
      <w:r>
        <w:rPr>
          <w:spacing w:val="30"/>
          <w:sz w:val="25"/>
        </w:rPr>
        <w:t>原</w:t>
      </w:r>
      <w:r>
        <w:rPr>
          <w:spacing w:val="24"/>
          <w:sz w:val="25"/>
        </w:rPr>
        <w:t>告</w:t>
      </w:r>
      <w:r>
        <w:rPr>
          <w:sz w:val="25"/>
        </w:rPr>
        <w:t>之上訴</w:t>
      </w:r>
      <w:r>
        <w:rPr>
          <w:spacing w:val="-28"/>
          <w:sz w:val="25"/>
        </w:rPr>
        <w:t> </w:t>
      </w:r>
      <w:r>
        <w:rPr>
          <w:sz w:val="25"/>
        </w:rPr>
        <w:t>。但</w:t>
      </w:r>
      <w:r>
        <w:rPr>
          <w:spacing w:val="29"/>
          <w:sz w:val="25"/>
        </w:rPr>
        <w:t>該判</w:t>
      </w:r>
      <w:r>
        <w:rPr>
          <w:sz w:val="25"/>
        </w:rPr>
        <w:t>決</w:t>
      </w:r>
      <w:r>
        <w:rPr>
          <w:spacing w:val="43"/>
          <w:sz w:val="25"/>
        </w:rPr>
        <w:t>在</w:t>
      </w:r>
      <w:r>
        <w:rPr>
          <w:spacing w:val="17"/>
          <w:sz w:val="25"/>
        </w:rPr>
        <w:t>理</w:t>
      </w:r>
      <w:r>
        <w:rPr>
          <w:sz w:val="25"/>
        </w:rPr>
        <w:t>由</w:t>
      </w:r>
      <w:r>
        <w:rPr>
          <w:w w:val="105"/>
          <w:sz w:val="25"/>
        </w:rPr>
        <w:t>中曾提出質疑，認為實務上傳統否定公務員法上消極競爭者訴訟合法性之 </w:t>
      </w:r>
      <w:r>
        <w:rPr>
          <w:spacing w:val="20"/>
          <w:w w:val="105"/>
          <w:sz w:val="25"/>
        </w:rPr>
        <w:t> </w:t>
      </w:r>
      <w:r>
        <w:rPr>
          <w:w w:val="95"/>
          <w:sz w:val="25"/>
        </w:rPr>
        <w:t>見解</w:t>
      </w:r>
      <w:r>
        <w:rPr>
          <w:spacing w:val="53"/>
          <w:w w:val="95"/>
          <w:sz w:val="25"/>
        </w:rPr>
        <w:t> </w:t>
      </w:r>
      <w:r>
        <w:rPr>
          <w:w w:val="95"/>
          <w:sz w:val="25"/>
        </w:rPr>
        <w:t>，</w:t>
      </w:r>
      <w:r>
        <w:rPr>
          <w:spacing w:val="-74"/>
          <w:w w:val="95"/>
          <w:sz w:val="25"/>
        </w:rPr>
        <w:t> </w:t>
      </w:r>
      <w:r>
        <w:rPr>
          <w:spacing w:val="16"/>
          <w:w w:val="95"/>
          <w:sz w:val="25"/>
        </w:rPr>
        <w:t>與</w:t>
      </w:r>
      <w:r>
        <w:rPr>
          <w:w w:val="95"/>
          <w:sz w:val="25"/>
        </w:rPr>
        <w:t>基</w:t>
      </w:r>
      <w:r>
        <w:rPr>
          <w:spacing w:val="20"/>
          <w:w w:val="95"/>
          <w:sz w:val="25"/>
        </w:rPr>
        <w:t>本</w:t>
      </w:r>
      <w:r>
        <w:rPr>
          <w:spacing w:val="38"/>
          <w:w w:val="95"/>
          <w:sz w:val="25"/>
        </w:rPr>
        <w:t>法</w:t>
      </w:r>
      <w:r>
        <w:rPr>
          <w:w w:val="95"/>
          <w:sz w:val="25"/>
        </w:rPr>
        <w:t>第</w:t>
      </w:r>
      <w:r>
        <w:rPr>
          <w:spacing w:val="-11"/>
          <w:w w:val="95"/>
          <w:sz w:val="25"/>
        </w:rPr>
        <w:t> </w:t>
      </w:r>
      <w:r>
        <w:rPr>
          <w:rFonts w:ascii="Times New Roman" w:eastAsia="Times New Roman"/>
          <w:w w:val="95"/>
          <w:sz w:val="28"/>
        </w:rPr>
        <w:t>19</w:t>
      </w:r>
      <w:r>
        <w:rPr>
          <w:rFonts w:ascii="Times New Roman" w:eastAsia="Times New Roman"/>
          <w:spacing w:val="4"/>
          <w:w w:val="95"/>
          <w:sz w:val="28"/>
        </w:rPr>
        <w:t> </w:t>
      </w:r>
      <w:r>
        <w:rPr>
          <w:spacing w:val="31"/>
          <w:w w:val="95"/>
          <w:sz w:val="25"/>
        </w:rPr>
        <w:t>條</w:t>
      </w:r>
      <w:r>
        <w:rPr>
          <w:w w:val="95"/>
          <w:sz w:val="25"/>
        </w:rPr>
        <w:t>第</w:t>
      </w:r>
      <w:r>
        <w:rPr>
          <w:spacing w:val="4"/>
          <w:w w:val="95"/>
          <w:sz w:val="25"/>
        </w:rPr>
        <w:t> </w:t>
      </w:r>
      <w:r>
        <w:rPr>
          <w:rFonts w:ascii="Times New Roman" w:eastAsia="Times New Roman"/>
          <w:w w:val="95"/>
          <w:sz w:val="28"/>
        </w:rPr>
        <w:t>4</w:t>
      </w:r>
      <w:r>
        <w:rPr>
          <w:rFonts w:ascii="Times New Roman" w:eastAsia="Times New Roman"/>
          <w:spacing w:val="25"/>
          <w:w w:val="95"/>
          <w:sz w:val="28"/>
        </w:rPr>
        <w:t> </w:t>
      </w:r>
      <w:r>
        <w:rPr>
          <w:w w:val="95"/>
          <w:sz w:val="25"/>
        </w:rPr>
        <w:t>項「</w:t>
      </w:r>
      <w:r>
        <w:rPr>
          <w:spacing w:val="-37"/>
          <w:w w:val="95"/>
          <w:sz w:val="25"/>
        </w:rPr>
        <w:t> </w:t>
      </w:r>
      <w:r>
        <w:rPr>
          <w:spacing w:val="28"/>
          <w:w w:val="95"/>
          <w:sz w:val="25"/>
        </w:rPr>
        <w:t>有</w:t>
      </w:r>
      <w:r>
        <w:rPr>
          <w:spacing w:val="35"/>
          <w:w w:val="95"/>
          <w:sz w:val="25"/>
        </w:rPr>
        <w:t>效</w:t>
      </w:r>
      <w:r>
        <w:rPr>
          <w:spacing w:val="23"/>
          <w:w w:val="95"/>
          <w:sz w:val="25"/>
        </w:rPr>
        <w:t>権</w:t>
      </w:r>
      <w:r>
        <w:rPr>
          <w:spacing w:val="15"/>
          <w:w w:val="95"/>
          <w:sz w:val="25"/>
        </w:rPr>
        <w:t>利</w:t>
      </w:r>
      <w:r>
        <w:rPr>
          <w:spacing w:val="26"/>
          <w:w w:val="95"/>
          <w:sz w:val="25"/>
        </w:rPr>
        <w:t>保</w:t>
      </w:r>
      <w:r>
        <w:rPr>
          <w:w w:val="95"/>
          <w:sz w:val="25"/>
        </w:rPr>
        <w:t>護」</w:t>
      </w:r>
      <w:r>
        <w:rPr>
          <w:rFonts w:ascii="Times New Roman" w:eastAsia="Times New Roman"/>
          <w:w w:val="95"/>
          <w:sz w:val="28"/>
        </w:rPr>
        <w:t>(</w:t>
      </w:r>
      <w:r>
        <w:rPr>
          <w:rFonts w:ascii="Times New Roman" w:eastAsia="Times New Roman"/>
          <w:spacing w:val="-3"/>
          <w:w w:val="95"/>
          <w:sz w:val="28"/>
        </w:rPr>
        <w:t> </w:t>
      </w:r>
      <w:r>
        <w:rPr>
          <w:rFonts w:ascii="Times New Roman" w:eastAsia="Times New Roman"/>
          <w:w w:val="95"/>
          <w:sz w:val="28"/>
        </w:rPr>
        <w:t>Das</w:t>
        <w:tab/>
      </w:r>
      <w:r>
        <w:rPr>
          <w:rFonts w:ascii="Times New Roman" w:eastAsia="Times New Roman"/>
          <w:w w:val="105"/>
          <w:sz w:val="28"/>
        </w:rPr>
        <w:t>Gebot</w:t>
      </w:r>
      <w:r>
        <w:rPr>
          <w:rFonts w:ascii="Times New Roman" w:eastAsia="Times New Roman"/>
          <w:spacing w:val="1"/>
          <w:w w:val="105"/>
          <w:sz w:val="28"/>
        </w:rPr>
        <w:t> </w:t>
      </w:r>
      <w:r>
        <w:rPr>
          <w:rFonts w:ascii="Times New Roman" w:eastAsia="Times New Roman"/>
          <w:w w:val="105"/>
          <w:sz w:val="28"/>
        </w:rPr>
        <w:t>ef f ektiven</w:t>
      </w:r>
      <w:r>
        <w:rPr>
          <w:rFonts w:ascii="Times New Roman" w:eastAsia="Times New Roman"/>
          <w:spacing w:val="-71"/>
          <w:w w:val="105"/>
          <w:sz w:val="28"/>
        </w:rPr>
        <w:t> </w:t>
      </w:r>
      <w:r>
        <w:rPr>
          <w:rFonts w:ascii="Times New Roman" w:eastAsia="Times New Roman"/>
          <w:w w:val="95"/>
          <w:sz w:val="28"/>
        </w:rPr>
        <w:t>Rec</w:t>
      </w:r>
      <w:r>
        <w:rPr>
          <w:rFonts w:ascii="Times New Roman" w:eastAsia="Times New Roman"/>
          <w:spacing w:val="50"/>
          <w:w w:val="95"/>
          <w:sz w:val="28"/>
        </w:rPr>
        <w:t> </w:t>
      </w:r>
      <w:r>
        <w:rPr>
          <w:rFonts w:ascii="Times New Roman" w:eastAsia="Times New Roman"/>
          <w:w w:val="95"/>
          <w:sz w:val="28"/>
        </w:rPr>
        <w:t>ht</w:t>
      </w:r>
      <w:r>
        <w:rPr>
          <w:rFonts w:ascii="Times New Roman" w:eastAsia="Times New Roman"/>
          <w:spacing w:val="6"/>
          <w:w w:val="95"/>
          <w:sz w:val="28"/>
        </w:rPr>
        <w:t> </w:t>
      </w:r>
      <w:r>
        <w:rPr>
          <w:rFonts w:ascii="Times New Roman" w:eastAsia="Times New Roman"/>
          <w:w w:val="95"/>
          <w:sz w:val="28"/>
        </w:rPr>
        <w:t>s</w:t>
      </w:r>
      <w:r>
        <w:rPr>
          <w:rFonts w:ascii="Times New Roman" w:eastAsia="Times New Roman"/>
          <w:spacing w:val="-32"/>
          <w:w w:val="95"/>
          <w:sz w:val="28"/>
        </w:rPr>
        <w:t> </w:t>
      </w:r>
      <w:r>
        <w:rPr>
          <w:rFonts w:ascii="Times New Roman" w:eastAsia="Times New Roman"/>
          <w:w w:val="95"/>
          <w:sz w:val="28"/>
        </w:rPr>
        <w:t>s</w:t>
      </w:r>
      <w:r>
        <w:rPr>
          <w:rFonts w:ascii="Times New Roman" w:eastAsia="Times New Roman"/>
          <w:spacing w:val="-27"/>
          <w:w w:val="95"/>
          <w:sz w:val="28"/>
        </w:rPr>
        <w:t> </w:t>
      </w:r>
      <w:r>
        <w:rPr>
          <w:rFonts w:ascii="Times New Roman" w:eastAsia="Times New Roman"/>
          <w:w w:val="95"/>
          <w:sz w:val="28"/>
        </w:rPr>
        <w:t>chut</w:t>
      </w:r>
      <w:r>
        <w:rPr>
          <w:rFonts w:ascii="Times New Roman" w:eastAsia="Times New Roman"/>
          <w:spacing w:val="38"/>
          <w:w w:val="95"/>
          <w:sz w:val="28"/>
        </w:rPr>
        <w:t> </w:t>
      </w:r>
      <w:r>
        <w:rPr>
          <w:rFonts w:ascii="Times New Roman" w:eastAsia="Times New Roman"/>
          <w:w w:val="95"/>
          <w:sz w:val="28"/>
        </w:rPr>
        <w:t>zes</w:t>
      </w:r>
      <w:r>
        <w:rPr>
          <w:rFonts w:ascii="Times New Roman" w:eastAsia="Times New Roman"/>
          <w:spacing w:val="30"/>
          <w:w w:val="95"/>
          <w:sz w:val="28"/>
        </w:rPr>
        <w:t> </w:t>
      </w:r>
      <w:r>
        <w:rPr>
          <w:rFonts w:ascii="Times New Roman" w:eastAsia="Times New Roman"/>
          <w:w w:val="95"/>
          <w:sz w:val="28"/>
        </w:rPr>
        <w:t>)</w:t>
      </w:r>
      <w:r>
        <w:rPr>
          <w:rFonts w:ascii="Times New Roman" w:eastAsia="Times New Roman"/>
          <w:spacing w:val="81"/>
          <w:sz w:val="28"/>
        </w:rPr>
        <w:t> </w:t>
      </w:r>
      <w:r>
        <w:rPr>
          <w:spacing w:val="37"/>
          <w:w w:val="95"/>
          <w:sz w:val="24"/>
        </w:rPr>
        <w:t>之</w:t>
      </w:r>
      <w:r>
        <w:rPr>
          <w:spacing w:val="44"/>
          <w:w w:val="95"/>
          <w:sz w:val="24"/>
        </w:rPr>
        <w:t>要</w:t>
      </w:r>
      <w:r>
        <w:rPr>
          <w:w w:val="95"/>
          <w:sz w:val="24"/>
        </w:rPr>
        <w:t>求</w:t>
      </w:r>
      <w:r>
        <w:rPr>
          <w:spacing w:val="18"/>
          <w:w w:val="95"/>
          <w:sz w:val="24"/>
        </w:rPr>
        <w:t>似難</w:t>
      </w:r>
      <w:r>
        <w:rPr>
          <w:spacing w:val="33"/>
          <w:w w:val="95"/>
          <w:sz w:val="24"/>
        </w:rPr>
        <w:t>相</w:t>
      </w:r>
      <w:r>
        <w:rPr>
          <w:w w:val="95"/>
          <w:sz w:val="24"/>
        </w:rPr>
        <w:t>容</w:t>
      </w:r>
      <w:r>
        <w:rPr>
          <w:rFonts w:ascii="Times New Roman" w:eastAsia="Times New Roman"/>
          <w:w w:val="95"/>
          <w:sz w:val="16"/>
        </w:rPr>
        <w:t>37</w:t>
      </w:r>
      <w:r>
        <w:rPr>
          <w:rFonts w:ascii="Times New Roman" w:eastAsia="Times New Roman"/>
          <w:spacing w:val="52"/>
          <w:sz w:val="16"/>
        </w:rPr>
        <w:t>  </w:t>
      </w:r>
      <w:r>
        <w:rPr>
          <w:rFonts w:ascii="Arial" w:eastAsia="Arial"/>
          <w:w w:val="105"/>
          <w:sz w:val="8"/>
        </w:rPr>
        <w:t>0</w:t>
      </w:r>
    </w:p>
    <w:p>
      <w:pPr>
        <w:spacing w:line="324" w:lineRule="auto" w:before="30"/>
        <w:ind w:left="302" w:right="514" w:firstLine="569"/>
        <w:jc w:val="left"/>
        <w:rPr>
          <w:sz w:val="25"/>
        </w:rPr>
      </w:pPr>
      <w:r>
        <w:rPr>
          <w:w w:val="110"/>
          <w:sz w:val="25"/>
        </w:rPr>
        <w:t>上逑判決之見解受到學說之背定，認為是對於實務上傳統「職務安定</w:t>
      </w:r>
      <w:r>
        <w:rPr>
          <w:spacing w:val="9"/>
          <w:w w:val="105"/>
          <w:sz w:val="25"/>
        </w:rPr>
        <w:t>優於競爭者權利保護」</w:t>
      </w:r>
      <w:r>
        <w:rPr>
          <w:rFonts w:ascii="Times New Roman" w:eastAsia="Times New Roman"/>
          <w:w w:val="105"/>
          <w:sz w:val="28"/>
        </w:rPr>
        <w:t>( Vor </w:t>
      </w:r>
      <w:r>
        <w:rPr>
          <w:rFonts w:ascii="Times New Roman" w:eastAsia="Times New Roman"/>
          <w:spacing w:val="12"/>
          <w:w w:val="105"/>
          <w:sz w:val="28"/>
        </w:rPr>
        <w:t>rang  </w:t>
      </w:r>
      <w:r>
        <w:rPr>
          <w:rFonts w:ascii="Times New Roman" w:eastAsia="Times New Roman"/>
          <w:w w:val="105"/>
          <w:sz w:val="28"/>
        </w:rPr>
        <w:t>der</w:t>
      </w:r>
      <w:r>
        <w:rPr>
          <w:rFonts w:ascii="Times New Roman" w:eastAsia="Times New Roman"/>
          <w:spacing w:val="74"/>
          <w:w w:val="105"/>
          <w:sz w:val="28"/>
        </w:rPr>
        <w:t> </w:t>
      </w:r>
      <w:r>
        <w:rPr>
          <w:rFonts w:ascii="Times New Roman" w:eastAsia="Times New Roman"/>
          <w:w w:val="105"/>
          <w:sz w:val="28"/>
        </w:rPr>
        <w:t>Amterstabilitat  vor  </w:t>
      </w:r>
      <w:r>
        <w:rPr>
          <w:rFonts w:ascii="Times New Roman" w:eastAsia="Times New Roman"/>
          <w:w w:val="90"/>
          <w:sz w:val="28"/>
        </w:rPr>
        <w:t>dem</w:t>
      </w:r>
      <w:r>
        <w:rPr>
          <w:rFonts w:ascii="Times New Roman" w:eastAsia="Times New Roman"/>
          <w:spacing w:val="1"/>
          <w:w w:val="90"/>
          <w:sz w:val="28"/>
        </w:rPr>
        <w:t> </w:t>
      </w:r>
      <w:r>
        <w:rPr>
          <w:rFonts w:ascii="Times New Roman" w:eastAsia="Times New Roman"/>
          <w:w w:val="95"/>
          <w:sz w:val="28"/>
        </w:rPr>
        <w:t>Rechtsschutz</w:t>
      </w:r>
      <w:r>
        <w:rPr>
          <w:rFonts w:ascii="Times New Roman" w:eastAsia="Times New Roman"/>
          <w:spacing w:val="90"/>
          <w:sz w:val="28"/>
        </w:rPr>
        <w:t> </w:t>
      </w:r>
      <w:r>
        <w:rPr>
          <w:rFonts w:ascii="Times New Roman" w:eastAsia="Times New Roman"/>
          <w:w w:val="95"/>
          <w:sz w:val="28"/>
        </w:rPr>
        <w:t>des</w:t>
      </w:r>
      <w:r>
        <w:rPr>
          <w:rFonts w:ascii="Times New Roman" w:eastAsia="Times New Roman"/>
          <w:spacing w:val="66"/>
          <w:sz w:val="28"/>
        </w:rPr>
        <w:t> </w:t>
      </w:r>
      <w:r>
        <w:rPr>
          <w:rFonts w:ascii="Times New Roman" w:eastAsia="Times New Roman"/>
          <w:w w:val="95"/>
          <w:sz w:val="28"/>
        </w:rPr>
        <w:t>Konkurr</w:t>
      </w:r>
      <w:r>
        <w:rPr>
          <w:rFonts w:ascii="Times New Roman" w:eastAsia="Times New Roman"/>
          <w:spacing w:val="-13"/>
          <w:w w:val="95"/>
          <w:sz w:val="28"/>
        </w:rPr>
        <w:t> </w:t>
      </w:r>
      <w:r>
        <w:rPr>
          <w:rFonts w:ascii="Times New Roman" w:eastAsia="Times New Roman"/>
          <w:spacing w:val="10"/>
          <w:w w:val="95"/>
          <w:sz w:val="28"/>
        </w:rPr>
        <w:t>ent</w:t>
      </w:r>
      <w:r>
        <w:rPr>
          <w:rFonts w:ascii="Times New Roman" w:eastAsia="Times New Roman"/>
          <w:spacing w:val="22"/>
          <w:w w:val="95"/>
          <w:sz w:val="28"/>
        </w:rPr>
        <w:t> </w:t>
      </w:r>
      <w:r>
        <w:rPr>
          <w:rFonts w:ascii="Times New Roman" w:eastAsia="Times New Roman"/>
          <w:w w:val="95"/>
          <w:sz w:val="28"/>
        </w:rPr>
        <w:t>en</w:t>
      </w:r>
      <w:r>
        <w:rPr>
          <w:rFonts w:ascii="Times New Roman" w:eastAsia="Times New Roman"/>
          <w:spacing w:val="13"/>
          <w:w w:val="95"/>
          <w:sz w:val="28"/>
        </w:rPr>
        <w:t> )</w:t>
      </w:r>
      <w:r>
        <w:rPr>
          <w:rFonts w:ascii="Times New Roman" w:eastAsia="Times New Roman"/>
          <w:spacing w:val="142"/>
          <w:sz w:val="28"/>
        </w:rPr>
        <w:t> </w:t>
      </w:r>
      <w:r>
        <w:rPr>
          <w:spacing w:val="8"/>
          <w:w w:val="95"/>
          <w:sz w:val="25"/>
        </w:rPr>
        <w:t>見解之重大 突破</w:t>
      </w:r>
      <w:r>
        <w:rPr>
          <w:rFonts w:ascii="Times New Roman" w:eastAsia="Times New Roman"/>
          <w:w w:val="90"/>
          <w:sz w:val="16"/>
        </w:rPr>
        <w:t>38</w:t>
      </w:r>
      <w:r>
        <w:rPr>
          <w:rFonts w:ascii="Times New Roman" w:eastAsia="Times New Roman"/>
          <w:spacing w:val="72"/>
          <w:sz w:val="16"/>
        </w:rPr>
        <w:t> </w:t>
      </w:r>
      <w:r>
        <w:rPr>
          <w:spacing w:val="4"/>
          <w:w w:val="90"/>
          <w:sz w:val="25"/>
        </w:rPr>
        <w:t>。 </w:t>
      </w:r>
      <w:r>
        <w:rPr>
          <w:spacing w:val="11"/>
          <w:w w:val="95"/>
          <w:sz w:val="25"/>
        </w:rPr>
        <w:t>惟實際上 </w:t>
      </w:r>
      <w:r>
        <w:rPr>
          <w:spacing w:val="-31"/>
          <w:w w:val="90"/>
          <w:sz w:val="25"/>
        </w:rPr>
        <w:t>， </w:t>
      </w:r>
      <w:r>
        <w:rPr>
          <w:spacing w:val="7"/>
          <w:w w:val="95"/>
          <w:sz w:val="25"/>
        </w:rPr>
        <w:t>聯邦行</w:t>
      </w:r>
      <w:r>
        <w:rPr>
          <w:spacing w:val="4"/>
          <w:sz w:val="25"/>
        </w:rPr>
        <w:t>政法院在 </w:t>
      </w:r>
      <w:r>
        <w:rPr>
          <w:rFonts w:ascii="Times New Roman" w:eastAsia="Times New Roman"/>
          <w:w w:val="90"/>
          <w:sz w:val="28"/>
        </w:rPr>
        <w:t>2001</w:t>
      </w:r>
      <w:r>
        <w:rPr>
          <w:rFonts w:ascii="Times New Roman" w:eastAsia="Times New Roman"/>
          <w:spacing w:val="38"/>
          <w:w w:val="90"/>
          <w:sz w:val="28"/>
        </w:rPr>
        <w:t> </w:t>
      </w:r>
      <w:r>
        <w:rPr>
          <w:spacing w:val="-11"/>
          <w:sz w:val="25"/>
        </w:rPr>
        <w:t>年 </w:t>
      </w:r>
      <w:r>
        <w:rPr>
          <w:rFonts w:ascii="Times New Roman" w:eastAsia="Times New Roman"/>
          <w:w w:val="90"/>
          <w:sz w:val="28"/>
        </w:rPr>
        <w:t>9</w:t>
      </w:r>
      <w:r>
        <w:rPr>
          <w:rFonts w:ascii="Times New Roman" w:eastAsia="Times New Roman"/>
          <w:spacing w:val="54"/>
          <w:w w:val="90"/>
          <w:sz w:val="28"/>
        </w:rPr>
        <w:t> </w:t>
      </w:r>
      <w:r>
        <w:rPr>
          <w:spacing w:val="3"/>
          <w:w w:val="90"/>
          <w:sz w:val="25"/>
        </w:rPr>
        <w:t>月 </w:t>
      </w:r>
      <w:r>
        <w:rPr>
          <w:rFonts w:ascii="Times New Roman" w:eastAsia="Times New Roman"/>
          <w:sz w:val="28"/>
        </w:rPr>
        <w:t>13</w:t>
      </w:r>
      <w:r>
        <w:rPr>
          <w:rFonts w:ascii="Times New Roman" w:eastAsia="Times New Roman"/>
          <w:spacing w:val="32"/>
          <w:sz w:val="28"/>
        </w:rPr>
        <w:t> </w:t>
      </w:r>
      <w:r>
        <w:rPr>
          <w:spacing w:val="-25"/>
          <w:w w:val="90"/>
          <w:sz w:val="25"/>
        </w:rPr>
        <w:t>日 </w:t>
      </w:r>
      <w:r>
        <w:rPr>
          <w:spacing w:val="12"/>
          <w:sz w:val="25"/>
        </w:rPr>
        <w:t>所作成之判決中 </w:t>
      </w:r>
      <w:r>
        <w:rPr>
          <w:spacing w:val="15"/>
          <w:w w:val="90"/>
          <w:sz w:val="25"/>
        </w:rPr>
        <w:t>，</w:t>
      </w:r>
      <w:r>
        <w:rPr>
          <w:spacing w:val="13"/>
          <w:sz w:val="25"/>
        </w:rPr>
        <w:t>仍駁回原告之上訴。其後各</w:t>
      </w:r>
      <w:r>
        <w:rPr>
          <w:w w:val="110"/>
          <w:sz w:val="25"/>
        </w:rPr>
        <w:t>級法院之裁判中，亦未見有肯定公務員法上消極競爭者訴訟合法性之案</w:t>
      </w:r>
      <w:r>
        <w:rPr>
          <w:spacing w:val="1"/>
          <w:w w:val="110"/>
          <w:sz w:val="25"/>
        </w:rPr>
        <w:t> </w:t>
      </w:r>
      <w:r>
        <w:rPr>
          <w:w w:val="115"/>
          <w:sz w:val="25"/>
        </w:rPr>
        <w:t>例。法院實務見解並未真正改變。</w:t>
      </w:r>
    </w:p>
    <w:p>
      <w:pPr>
        <w:pStyle w:val="BodyText"/>
        <w:spacing w:before="104"/>
        <w:ind w:left="2958"/>
      </w:pPr>
      <w:r>
        <w:rPr>
          <w:rFonts w:ascii="Times New Roman" w:eastAsia="Times New Roman"/>
          <w:b/>
          <w:spacing w:val="10"/>
          <w:w w:val="115"/>
          <w:position w:val="-2"/>
          <w:sz w:val="28"/>
        </w:rPr>
        <w:t>(</w:t>
      </w:r>
      <w:r>
        <w:rPr>
          <w:w w:val="115"/>
        </w:rPr>
        <w:t>二</w:t>
      </w:r>
      <w:r>
        <w:rPr>
          <w:rFonts w:ascii="Times New Roman" w:eastAsia="Times New Roman"/>
          <w:b/>
          <w:spacing w:val="-79"/>
          <w:w w:val="115"/>
          <w:position w:val="-2"/>
          <w:sz w:val="28"/>
        </w:rPr>
        <w:t>)</w:t>
      </w:r>
      <w:r>
        <w:rPr>
          <w:w w:val="115"/>
        </w:rPr>
        <w:t>學說上多藪見解：合法說</w:t>
      </w:r>
    </w:p>
    <w:p>
      <w:pPr>
        <w:pStyle w:val="BodyText"/>
        <w:spacing w:before="7"/>
        <w:rPr>
          <w:sz w:val="22"/>
        </w:rPr>
      </w:pPr>
    </w:p>
    <w:p>
      <w:pPr>
        <w:pStyle w:val="BodyText"/>
        <w:ind w:left="872"/>
      </w:pPr>
      <w:r>
        <w:rPr>
          <w:w w:val="110"/>
        </w:rPr>
        <w:t>上逑聯邦行政法院之實務見解，固然有其理論依據，在學說上亦不乏</w:t>
      </w:r>
    </w:p>
    <w:p>
      <w:pPr>
        <w:pStyle w:val="BodyText"/>
        <w:rPr>
          <w:sz w:val="20"/>
        </w:rPr>
      </w:pPr>
    </w:p>
    <w:p>
      <w:pPr>
        <w:pStyle w:val="BodyText"/>
        <w:spacing w:before="8"/>
        <w:rPr>
          <w:sz w:val="10"/>
        </w:rPr>
      </w:pPr>
      <w:r>
        <w:rPr/>
        <w:pict>
          <v:shape style="position:absolute;margin-left:95.174004pt;margin-top:9.170568pt;width:144.25pt;height:.1pt;mso-position-horizontal-relative:page;mso-position-vertical-relative:paragraph;z-index:-15649792;mso-wrap-distance-left:0;mso-wrap-distance-right:0" coordorigin="1903,183" coordsize="2885,0" path="m1903,183l4788,183e" filled="false" stroked="true" strokeweight=".720821pt" strokecolor="#000000">
            <v:path arrowok="t"/>
            <v:stroke dashstyle="solid"/>
            <w10:wrap type="topAndBottom"/>
          </v:shape>
        </w:pict>
      </w:r>
    </w:p>
    <w:p>
      <w:pPr>
        <w:pStyle w:val="BodyText"/>
        <w:spacing w:before="4"/>
        <w:rPr>
          <w:sz w:val="8"/>
        </w:rPr>
      </w:pPr>
    </w:p>
    <w:p>
      <w:pPr>
        <w:pStyle w:val="Heading6"/>
        <w:tabs>
          <w:tab w:pos="2108" w:val="left" w:leader="none"/>
        </w:tabs>
      </w:pPr>
      <w:r>
        <w:rPr>
          <w:w w:val="95"/>
          <w:position w:val="9"/>
          <w:sz w:val="13"/>
        </w:rPr>
        <w:t>36</w:t>
      </w:r>
      <w:r>
        <w:rPr>
          <w:spacing w:val="45"/>
          <w:position w:val="9"/>
          <w:sz w:val="13"/>
        </w:rPr>
        <w:t> </w:t>
      </w:r>
      <w:r>
        <w:rPr>
          <w:w w:val="95"/>
        </w:rPr>
        <w:t>Vgl.</w:t>
      </w:r>
      <w:r>
        <w:rPr>
          <w:spacing w:val="69"/>
        </w:rPr>
        <w:t> </w:t>
      </w:r>
      <w:r>
        <w:rPr>
          <w:w w:val="95"/>
        </w:rPr>
        <w:t>BVerfG,</w:t>
        <w:tab/>
      </w:r>
      <w:r>
        <w:rPr>
          <w:w w:val="90"/>
        </w:rPr>
        <w:t>NJW</w:t>
      </w:r>
      <w:r>
        <w:rPr>
          <w:spacing w:val="27"/>
          <w:w w:val="90"/>
        </w:rPr>
        <w:t> </w:t>
      </w:r>
      <w:r>
        <w:rPr>
          <w:w w:val="90"/>
        </w:rPr>
        <w:t>1990,</w:t>
      </w:r>
      <w:r>
        <w:rPr>
          <w:spacing w:val="21"/>
          <w:w w:val="90"/>
        </w:rPr>
        <w:t> </w:t>
      </w:r>
      <w:r>
        <w:rPr>
          <w:w w:val="90"/>
        </w:rPr>
        <w:t>501.</w:t>
      </w:r>
    </w:p>
    <w:p>
      <w:pPr>
        <w:tabs>
          <w:tab w:pos="2892" w:val="left" w:leader="none"/>
          <w:tab w:pos="5855" w:val="left" w:leader="none"/>
        </w:tabs>
        <w:spacing w:before="9"/>
        <w:ind w:left="298" w:right="0" w:firstLine="0"/>
        <w:jc w:val="left"/>
        <w:rPr>
          <w:sz w:val="21"/>
        </w:rPr>
      </w:pPr>
      <w:r>
        <w:rPr>
          <w:rFonts w:ascii="Times New Roman" w:eastAsia="Times New Roman"/>
          <w:w w:val="95"/>
          <w:position w:val="8"/>
          <w:sz w:val="13"/>
        </w:rPr>
        <w:t>37</w:t>
      </w:r>
      <w:r>
        <w:rPr>
          <w:rFonts w:ascii="Times New Roman" w:eastAsia="Times New Roman"/>
          <w:spacing w:val="41"/>
          <w:position w:val="8"/>
          <w:sz w:val="13"/>
        </w:rPr>
        <w:t> </w:t>
      </w:r>
      <w:r>
        <w:rPr>
          <w:rFonts w:ascii="Times New Roman" w:eastAsia="Times New Roman"/>
          <w:w w:val="95"/>
          <w:sz w:val="26"/>
        </w:rPr>
        <w:t>BverwGE</w:t>
      </w:r>
      <w:r>
        <w:rPr>
          <w:rFonts w:ascii="Times New Roman" w:eastAsia="Times New Roman"/>
          <w:spacing w:val="22"/>
          <w:w w:val="95"/>
          <w:sz w:val="26"/>
        </w:rPr>
        <w:t> </w:t>
      </w:r>
      <w:r>
        <w:rPr>
          <w:rFonts w:ascii="Times New Roman" w:eastAsia="Times New Roman"/>
          <w:w w:val="95"/>
          <w:sz w:val="26"/>
        </w:rPr>
        <w:t>115,</w:t>
      </w:r>
      <w:r>
        <w:rPr>
          <w:rFonts w:ascii="Times New Roman" w:eastAsia="Times New Roman"/>
          <w:spacing w:val="60"/>
          <w:sz w:val="26"/>
        </w:rPr>
        <w:t> </w:t>
      </w:r>
      <w:r>
        <w:rPr>
          <w:rFonts w:ascii="Times New Roman" w:eastAsia="Times New Roman"/>
          <w:w w:val="95"/>
          <w:sz w:val="26"/>
        </w:rPr>
        <w:t>89</w:t>
      </w:r>
      <w:r>
        <w:rPr>
          <w:rFonts w:ascii="Times New Roman" w:eastAsia="Times New Roman"/>
          <w:spacing w:val="26"/>
          <w:w w:val="95"/>
          <w:sz w:val="26"/>
        </w:rPr>
        <w:t> </w:t>
      </w:r>
      <w:r>
        <w:rPr>
          <w:rFonts w:ascii="Times New Roman" w:eastAsia="Times New Roman"/>
          <w:w w:val="95"/>
          <w:sz w:val="26"/>
        </w:rPr>
        <w:t>ff.</w:t>
        <w:tab/>
      </w:r>
      <w:r>
        <w:rPr>
          <w:rFonts w:ascii="Arial" w:eastAsia="Arial"/>
          <w:spacing w:val="10"/>
          <w:w w:val="105"/>
          <w:sz w:val="19"/>
        </w:rPr>
        <w:t>= </w:t>
      </w:r>
      <w:r>
        <w:rPr>
          <w:rFonts w:ascii="Times New Roman" w:eastAsia="Times New Roman"/>
          <w:sz w:val="26"/>
        </w:rPr>
        <w:t>DVBl</w:t>
      </w:r>
      <w:r>
        <w:rPr>
          <w:rFonts w:ascii="Times New Roman" w:eastAsia="Times New Roman"/>
          <w:spacing w:val="30"/>
          <w:sz w:val="26"/>
        </w:rPr>
        <w:t>. </w:t>
      </w:r>
      <w:r>
        <w:rPr>
          <w:rFonts w:ascii="Times New Roman" w:eastAsia="Times New Roman"/>
          <w:sz w:val="26"/>
        </w:rPr>
        <w:t>2002,</w:t>
      </w:r>
      <w:r>
        <w:rPr>
          <w:rFonts w:ascii="Times New Roman" w:eastAsia="Times New Roman"/>
          <w:spacing w:val="46"/>
          <w:sz w:val="26"/>
        </w:rPr>
        <w:t> </w:t>
      </w:r>
      <w:r>
        <w:rPr>
          <w:rFonts w:ascii="Times New Roman" w:eastAsia="Times New Roman"/>
          <w:sz w:val="26"/>
        </w:rPr>
        <w:t>S</w:t>
      </w:r>
      <w:r>
        <w:rPr>
          <w:rFonts w:ascii="Times New Roman" w:eastAsia="Times New Roman"/>
          <w:spacing w:val="27"/>
          <w:sz w:val="26"/>
        </w:rPr>
        <w:t>. </w:t>
      </w:r>
      <w:r>
        <w:rPr>
          <w:rFonts w:ascii="Times New Roman" w:eastAsia="Times New Roman"/>
          <w:sz w:val="26"/>
        </w:rPr>
        <w:t>203</w:t>
      </w:r>
      <w:r>
        <w:rPr>
          <w:rFonts w:ascii="Times New Roman" w:eastAsia="Times New Roman"/>
          <w:spacing w:val="14"/>
          <w:sz w:val="26"/>
        </w:rPr>
        <w:t> </w:t>
      </w:r>
      <w:r>
        <w:rPr>
          <w:rFonts w:ascii="Times New Roman" w:eastAsia="Times New Roman"/>
          <w:sz w:val="26"/>
        </w:rPr>
        <w:t>ff.</w:t>
        <w:tab/>
      </w:r>
      <w:r>
        <w:rPr>
          <w:w w:val="105"/>
          <w:sz w:val="21"/>
        </w:rPr>
        <w:t>中文資料，參閱：程明修，公務</w:t>
      </w:r>
    </w:p>
    <w:p>
      <w:pPr>
        <w:spacing w:after="0"/>
        <w:jc w:val="left"/>
        <w:rPr>
          <w:sz w:val="21"/>
        </w:rPr>
        <w:sectPr>
          <w:pgSz w:w="11910" w:h="16840"/>
          <w:pgMar w:header="862" w:footer="1017" w:top="1060" w:bottom="1200" w:left="1120" w:right="1060"/>
        </w:sectPr>
      </w:pPr>
    </w:p>
    <w:p>
      <w:pPr>
        <w:spacing w:before="1"/>
        <w:ind w:left="518" w:right="0" w:firstLine="0"/>
        <w:jc w:val="left"/>
        <w:rPr>
          <w:rFonts w:ascii="Times New Roman" w:eastAsia="Times New Roman"/>
          <w:sz w:val="26"/>
        </w:rPr>
      </w:pPr>
      <w:r>
        <w:rPr>
          <w:spacing w:val="-5"/>
          <w:w w:val="95"/>
          <w:sz w:val="21"/>
        </w:rPr>
        <w:t>人員 陞遷之救濟 ，公務 人 員保障暨培訓委員 會委託研究計 畫 ， 頁</w:t>
      </w:r>
      <w:r>
        <w:rPr>
          <w:rFonts w:ascii="Times New Roman" w:eastAsia="Times New Roman"/>
          <w:w w:val="95"/>
          <w:sz w:val="26"/>
        </w:rPr>
        <w:t>115-</w:t>
      </w:r>
      <w:r>
        <w:rPr>
          <w:rFonts w:ascii="Times New Roman" w:eastAsia="Times New Roman"/>
          <w:spacing w:val="-24"/>
          <w:w w:val="95"/>
          <w:sz w:val="26"/>
        </w:rPr>
        <w:t> </w:t>
      </w:r>
      <w:r>
        <w:rPr>
          <w:rFonts w:ascii="Times New Roman" w:eastAsia="Times New Roman"/>
          <w:w w:val="95"/>
          <w:sz w:val="26"/>
        </w:rPr>
        <w:t>11,6</w:t>
      </w:r>
    </w:p>
    <w:p>
      <w:pPr>
        <w:spacing w:before="58"/>
        <w:ind w:left="525" w:right="0" w:firstLine="0"/>
        <w:jc w:val="left"/>
        <w:rPr>
          <w:sz w:val="20"/>
        </w:rPr>
      </w:pPr>
      <w:r>
        <w:rPr>
          <w:w w:val="95"/>
          <w:sz w:val="20"/>
        </w:rPr>
        <w:t>月。</w:t>
      </w:r>
    </w:p>
    <w:p>
      <w:pPr>
        <w:spacing w:before="1"/>
        <w:ind w:left="192" w:right="0" w:firstLine="0"/>
        <w:jc w:val="left"/>
        <w:rPr>
          <w:rFonts w:ascii="Times New Roman" w:eastAsia="Times New Roman"/>
          <w:sz w:val="26"/>
        </w:rPr>
      </w:pPr>
      <w:r>
        <w:rPr/>
        <w:br w:type="column"/>
      </w:r>
      <w:r>
        <w:rPr>
          <w:rFonts w:ascii="Times New Roman" w:eastAsia="Times New Roman"/>
          <w:w w:val="90"/>
          <w:sz w:val="26"/>
        </w:rPr>
        <w:t>2005</w:t>
      </w:r>
      <w:r>
        <w:rPr>
          <w:rFonts w:ascii="Times New Roman" w:eastAsia="Times New Roman"/>
          <w:spacing w:val="-6"/>
          <w:w w:val="90"/>
          <w:sz w:val="26"/>
        </w:rPr>
        <w:t> </w:t>
      </w:r>
      <w:r>
        <w:rPr>
          <w:w w:val="90"/>
          <w:sz w:val="21"/>
        </w:rPr>
        <w:t>年</w:t>
      </w:r>
      <w:r>
        <w:rPr>
          <w:rFonts w:ascii="Times New Roman" w:eastAsia="Times New Roman"/>
          <w:w w:val="90"/>
          <w:sz w:val="26"/>
        </w:rPr>
        <w:t>10</w:t>
      </w:r>
    </w:p>
    <w:p>
      <w:pPr>
        <w:spacing w:after="0"/>
        <w:jc w:val="left"/>
        <w:rPr>
          <w:rFonts w:ascii="Times New Roman" w:eastAsia="Times New Roman"/>
          <w:sz w:val="26"/>
        </w:rPr>
        <w:sectPr>
          <w:type w:val="continuous"/>
          <w:pgSz w:w="11910" w:h="16840"/>
          <w:pgMar w:top="1020" w:bottom="280" w:left="1120" w:right="1060"/>
          <w:cols w:num="2" w:equalWidth="0">
            <w:col w:w="8016" w:space="40"/>
            <w:col w:w="1674"/>
          </w:cols>
        </w:sectPr>
      </w:pPr>
    </w:p>
    <w:p>
      <w:pPr>
        <w:tabs>
          <w:tab w:pos="8739" w:val="left" w:leader="none"/>
        </w:tabs>
        <w:spacing w:line="264" w:lineRule="auto" w:before="21"/>
        <w:ind w:left="521" w:right="522" w:hanging="223"/>
        <w:jc w:val="left"/>
        <w:rPr>
          <w:sz w:val="21"/>
        </w:rPr>
      </w:pPr>
      <w:r>
        <w:rPr>
          <w:rFonts w:ascii="Times New Roman" w:eastAsia="Times New Roman"/>
          <w:position w:val="8"/>
          <w:sz w:val="13"/>
        </w:rPr>
        <w:t>38</w:t>
      </w:r>
      <w:r>
        <w:rPr>
          <w:rFonts w:ascii="Times New Roman" w:eastAsia="Times New Roman"/>
          <w:spacing w:val="48"/>
          <w:position w:val="8"/>
          <w:sz w:val="13"/>
        </w:rPr>
        <w:t> </w:t>
      </w:r>
      <w:r>
        <w:rPr>
          <w:rFonts w:ascii="Times New Roman" w:eastAsia="Times New Roman"/>
          <w:sz w:val="26"/>
        </w:rPr>
        <w:t>Battis</w:t>
      </w:r>
      <w:r>
        <w:rPr>
          <w:rFonts w:ascii="Times New Roman" w:eastAsia="Times New Roman"/>
          <w:spacing w:val="35"/>
          <w:sz w:val="26"/>
        </w:rPr>
        <w:t>, </w:t>
      </w:r>
      <w:r>
        <w:rPr>
          <w:rFonts w:ascii="Times New Roman" w:eastAsia="Times New Roman"/>
          <w:sz w:val="26"/>
        </w:rPr>
        <w:t>Entwicklung</w:t>
      </w:r>
      <w:r>
        <w:rPr>
          <w:rFonts w:ascii="Times New Roman" w:eastAsia="Times New Roman"/>
          <w:spacing w:val="34"/>
          <w:sz w:val="26"/>
        </w:rPr>
        <w:t> </w:t>
      </w:r>
      <w:r>
        <w:rPr>
          <w:rFonts w:ascii="Times New Roman" w:eastAsia="Times New Roman"/>
          <w:sz w:val="26"/>
        </w:rPr>
        <w:t>des</w:t>
      </w:r>
      <w:r>
        <w:rPr>
          <w:rFonts w:ascii="Times New Roman" w:eastAsia="Times New Roman"/>
          <w:spacing w:val="21"/>
          <w:sz w:val="26"/>
        </w:rPr>
        <w:t> </w:t>
      </w:r>
      <w:r>
        <w:rPr>
          <w:rFonts w:ascii="Times New Roman" w:eastAsia="Times New Roman"/>
          <w:sz w:val="26"/>
        </w:rPr>
        <w:t>Beamtenrechts</w:t>
      </w:r>
      <w:r>
        <w:rPr>
          <w:rFonts w:ascii="Times New Roman" w:eastAsia="Times New Roman"/>
          <w:spacing w:val="63"/>
          <w:sz w:val="26"/>
        </w:rPr>
        <w:t> </w:t>
      </w:r>
      <w:r>
        <w:rPr>
          <w:rFonts w:ascii="Times New Roman" w:eastAsia="Times New Roman"/>
          <w:sz w:val="26"/>
        </w:rPr>
        <w:t>im</w:t>
      </w:r>
      <w:r>
        <w:rPr>
          <w:rFonts w:ascii="Times New Roman" w:eastAsia="Times New Roman"/>
          <w:spacing w:val="32"/>
          <w:sz w:val="26"/>
        </w:rPr>
        <w:t> </w:t>
      </w:r>
      <w:r>
        <w:rPr>
          <w:rFonts w:ascii="Times New Roman" w:eastAsia="Times New Roman"/>
          <w:sz w:val="26"/>
        </w:rPr>
        <w:t>Jahre</w:t>
      </w:r>
      <w:r>
        <w:rPr>
          <w:rFonts w:ascii="Times New Roman" w:eastAsia="Times New Roman"/>
          <w:spacing w:val="31"/>
          <w:sz w:val="26"/>
        </w:rPr>
        <w:t> </w:t>
      </w:r>
      <w:r>
        <w:rPr>
          <w:rFonts w:ascii="Times New Roman" w:eastAsia="Times New Roman"/>
          <w:sz w:val="26"/>
        </w:rPr>
        <w:t>2001,</w:t>
      </w:r>
      <w:r>
        <w:rPr>
          <w:rFonts w:ascii="Times New Roman" w:eastAsia="Times New Roman"/>
          <w:spacing w:val="86"/>
          <w:sz w:val="26"/>
        </w:rPr>
        <w:t> </w:t>
      </w:r>
      <w:r>
        <w:rPr>
          <w:rFonts w:ascii="Times New Roman" w:eastAsia="Times New Roman"/>
          <w:sz w:val="26"/>
        </w:rPr>
        <w:t>NJW</w:t>
      </w:r>
      <w:r>
        <w:rPr>
          <w:rFonts w:ascii="Times New Roman" w:eastAsia="Times New Roman"/>
          <w:spacing w:val="33"/>
          <w:sz w:val="26"/>
        </w:rPr>
        <w:t> </w:t>
      </w:r>
      <w:r>
        <w:rPr>
          <w:rFonts w:ascii="Times New Roman" w:eastAsia="Times New Roman"/>
          <w:sz w:val="26"/>
        </w:rPr>
        <w:t>2002,</w:t>
      </w:r>
      <w:r>
        <w:rPr>
          <w:rFonts w:ascii="Times New Roman" w:eastAsia="Times New Roman"/>
          <w:spacing w:val="67"/>
          <w:sz w:val="26"/>
        </w:rPr>
        <w:t> </w:t>
      </w:r>
      <w:r>
        <w:rPr>
          <w:rFonts w:ascii="Times New Roman" w:eastAsia="Times New Roman"/>
          <w:sz w:val="26"/>
        </w:rPr>
        <w:t>1089.</w:t>
        <w:tab/>
      </w:r>
      <w:r>
        <w:rPr>
          <w:w w:val="105"/>
          <w:sz w:val="21"/>
        </w:rPr>
        <w:t>中文資料，參閱：程明修，公務人員陞遷之救濟，公務人員保障暨培訓委員會委託研究</w:t>
      </w:r>
    </w:p>
    <w:p>
      <w:pPr>
        <w:tabs>
          <w:tab w:pos="2075" w:val="left" w:leader="none"/>
        </w:tabs>
        <w:spacing w:line="291" w:lineRule="exact" w:before="0"/>
        <w:ind w:left="510" w:right="0" w:firstLine="0"/>
        <w:jc w:val="left"/>
        <w:rPr>
          <w:sz w:val="20"/>
        </w:rPr>
      </w:pPr>
      <w:r>
        <w:rPr>
          <w:spacing w:val="7"/>
          <w:w w:val="90"/>
          <w:sz w:val="21"/>
        </w:rPr>
        <w:t>計</w:t>
      </w:r>
      <w:r>
        <w:rPr>
          <w:w w:val="90"/>
          <w:sz w:val="21"/>
        </w:rPr>
        <w:t>畫</w:t>
      </w:r>
      <w:r>
        <w:rPr>
          <w:spacing w:val="-2"/>
          <w:w w:val="90"/>
          <w:sz w:val="21"/>
        </w:rPr>
        <w:t> </w:t>
      </w:r>
      <w:r>
        <w:rPr>
          <w:w w:val="90"/>
          <w:sz w:val="21"/>
        </w:rPr>
        <w:t>，</w:t>
      </w:r>
      <w:r>
        <w:rPr>
          <w:spacing w:val="-61"/>
          <w:w w:val="90"/>
          <w:sz w:val="21"/>
        </w:rPr>
        <w:t> </w:t>
      </w:r>
      <w:r>
        <w:rPr>
          <w:spacing w:val="7"/>
          <w:w w:val="90"/>
          <w:sz w:val="21"/>
        </w:rPr>
        <w:t>頁</w:t>
      </w:r>
      <w:r>
        <w:rPr>
          <w:rFonts w:ascii="Times New Roman" w:eastAsia="Times New Roman"/>
          <w:w w:val="90"/>
          <w:sz w:val="26"/>
        </w:rPr>
        <w:t>11,6</w:t>
        <w:tab/>
        <w:t>2005</w:t>
      </w:r>
      <w:r>
        <w:rPr>
          <w:rFonts w:ascii="Times New Roman" w:eastAsia="Times New Roman"/>
          <w:spacing w:val="-1"/>
          <w:w w:val="90"/>
          <w:sz w:val="26"/>
        </w:rPr>
        <w:t> </w:t>
      </w:r>
      <w:r>
        <w:rPr>
          <w:w w:val="90"/>
          <w:sz w:val="21"/>
        </w:rPr>
        <w:t>年</w:t>
      </w:r>
      <w:r>
        <w:rPr>
          <w:rFonts w:ascii="Times New Roman" w:eastAsia="Times New Roman"/>
          <w:w w:val="90"/>
          <w:sz w:val="26"/>
        </w:rPr>
        <w:t>10</w:t>
      </w:r>
      <w:r>
        <w:rPr>
          <w:rFonts w:ascii="Times New Roman" w:eastAsia="Times New Roman"/>
          <w:spacing w:val="-29"/>
          <w:w w:val="90"/>
          <w:sz w:val="26"/>
        </w:rPr>
        <w:t> </w:t>
      </w:r>
      <w:r>
        <w:rPr>
          <w:w w:val="90"/>
          <w:sz w:val="20"/>
        </w:rPr>
        <w:t>月</w:t>
      </w:r>
      <w:r>
        <w:rPr>
          <w:spacing w:val="6"/>
          <w:w w:val="90"/>
          <w:sz w:val="20"/>
        </w:rPr>
        <w:t> </w:t>
      </w:r>
      <w:r>
        <w:rPr>
          <w:w w:val="90"/>
          <w:sz w:val="20"/>
        </w:rPr>
        <w:t>。</w:t>
      </w:r>
    </w:p>
    <w:p>
      <w:pPr>
        <w:spacing w:after="0" w:line="291" w:lineRule="exact"/>
        <w:jc w:val="left"/>
        <w:rPr>
          <w:sz w:val="20"/>
        </w:rPr>
        <w:sectPr>
          <w:type w:val="continuous"/>
          <w:pgSz w:w="11910" w:h="16840"/>
          <w:pgMar w:top="1020" w:bottom="280" w:left="1120" w:right="1060"/>
        </w:sectPr>
      </w:pPr>
    </w:p>
    <w:p>
      <w:pPr>
        <w:pStyle w:val="BodyText"/>
        <w:spacing w:before="3"/>
        <w:rPr>
          <w:sz w:val="28"/>
        </w:rPr>
      </w:pPr>
    </w:p>
    <w:p>
      <w:pPr>
        <w:pStyle w:val="BodyText"/>
        <w:spacing w:line="336" w:lineRule="auto" w:before="65"/>
        <w:ind w:left="310" w:right="620" w:firstLine="10"/>
      </w:pPr>
      <w:r>
        <w:rPr>
          <w:spacing w:val="5"/>
          <w:w w:val="95"/>
        </w:rPr>
        <w:t>支持者</w:t>
      </w:r>
      <w:r>
        <w:rPr>
          <w:rFonts w:ascii="Arial" w:eastAsia="Arial"/>
          <w:w w:val="80"/>
          <w:sz w:val="15"/>
        </w:rPr>
        <w:t>39</w:t>
      </w:r>
      <w:r>
        <w:rPr>
          <w:rFonts w:ascii="Arial" w:eastAsia="Arial"/>
          <w:spacing w:val="16"/>
          <w:w w:val="80"/>
          <w:sz w:val="15"/>
        </w:rPr>
        <w:t> </w:t>
      </w:r>
      <w:r>
        <w:rPr>
          <w:spacing w:val="21"/>
          <w:w w:val="80"/>
        </w:rPr>
        <w:t>。 </w:t>
      </w:r>
      <w:r>
        <w:rPr>
          <w:spacing w:val="32"/>
          <w:w w:val="95"/>
        </w:rPr>
        <w:t>然而 </w:t>
      </w:r>
      <w:r>
        <w:rPr>
          <w:spacing w:val="-23"/>
          <w:w w:val="80"/>
        </w:rPr>
        <w:t>， </w:t>
      </w:r>
      <w:r>
        <w:rPr>
          <w:spacing w:val="6"/>
          <w:w w:val="95"/>
        </w:rPr>
        <w:t>基於以下理由 </w:t>
      </w:r>
      <w:r>
        <w:rPr>
          <w:spacing w:val="-23"/>
          <w:w w:val="80"/>
        </w:rPr>
        <w:t>， </w:t>
      </w:r>
      <w:r>
        <w:rPr>
          <w:spacing w:val="11"/>
          <w:w w:val="95"/>
        </w:rPr>
        <w:t>學說上多數 見解 認為上述聯邦行政法院</w:t>
      </w:r>
      <w:r>
        <w:rPr>
          <w:w w:val="105"/>
        </w:rPr>
        <w:t>之實務見解不應採納，應認為消極競爭者訴訟為合法：</w:t>
      </w:r>
    </w:p>
    <w:p>
      <w:pPr>
        <w:pStyle w:val="BodyText"/>
        <w:spacing w:line="331" w:lineRule="auto"/>
        <w:ind w:left="303" w:right="512" w:firstLine="571"/>
      </w:pPr>
      <w:r>
        <w:rPr>
          <w:w w:val="110"/>
        </w:rPr>
        <w:t>首先，聯邦行政法院認為：未獲任命之職位競爭者（某甲）所提超之撤銷訴訟，已因人事主管機關任命其他競爭者（某乙）而失其標的</w:t>
      </w:r>
    </w:p>
    <w:p>
      <w:pPr>
        <w:spacing w:line="320" w:lineRule="exact" w:before="0"/>
        <w:ind w:left="430" w:right="0" w:firstLine="0"/>
        <w:jc w:val="left"/>
        <w:rPr>
          <w:sz w:val="25"/>
        </w:rPr>
      </w:pPr>
      <w:r>
        <w:rPr>
          <w:rFonts w:ascii="Times New Roman" w:eastAsia="Times New Roman"/>
          <w:spacing w:val="-1"/>
          <w:w w:val="95"/>
          <w:sz w:val="29"/>
        </w:rPr>
        <w:t>( </w:t>
      </w:r>
      <w:r>
        <w:rPr>
          <w:rFonts w:ascii="Times New Roman" w:eastAsia="Times New Roman"/>
          <w:w w:val="95"/>
          <w:sz w:val="29"/>
        </w:rPr>
        <w:t>gegens</w:t>
      </w:r>
      <w:r>
        <w:rPr>
          <w:rFonts w:ascii="Times New Roman" w:eastAsia="Times New Roman"/>
          <w:spacing w:val="-10"/>
          <w:w w:val="95"/>
          <w:sz w:val="29"/>
        </w:rPr>
        <w:t> </w:t>
      </w:r>
      <w:r>
        <w:rPr>
          <w:rFonts w:ascii="Times New Roman" w:eastAsia="Times New Roman"/>
          <w:w w:val="95"/>
          <w:sz w:val="29"/>
        </w:rPr>
        <w:t>t</w:t>
      </w:r>
      <w:r>
        <w:rPr>
          <w:rFonts w:ascii="Times New Roman" w:eastAsia="Times New Roman"/>
          <w:spacing w:val="10"/>
          <w:w w:val="95"/>
          <w:sz w:val="29"/>
        </w:rPr>
        <w:t> </w:t>
      </w:r>
      <w:r>
        <w:rPr>
          <w:rFonts w:ascii="Times New Roman" w:eastAsia="Times New Roman"/>
          <w:w w:val="95"/>
          <w:sz w:val="29"/>
        </w:rPr>
        <w:t>and</w:t>
      </w:r>
      <w:r>
        <w:rPr>
          <w:rFonts w:ascii="Times New Roman" w:eastAsia="Times New Roman"/>
          <w:spacing w:val="-10"/>
          <w:w w:val="95"/>
          <w:sz w:val="29"/>
        </w:rPr>
        <w:t> </w:t>
      </w:r>
      <w:r>
        <w:rPr>
          <w:rFonts w:ascii="Times New Roman" w:eastAsia="Times New Roman"/>
          <w:w w:val="95"/>
          <w:sz w:val="29"/>
        </w:rPr>
        <w:t>los</w:t>
      </w:r>
      <w:r>
        <w:rPr>
          <w:rFonts w:ascii="Times New Roman" w:eastAsia="Times New Roman"/>
          <w:spacing w:val="18"/>
          <w:w w:val="95"/>
          <w:sz w:val="29"/>
        </w:rPr>
        <w:t> ) </w:t>
      </w:r>
      <w:r>
        <w:rPr>
          <w:spacing w:val="-3"/>
          <w:w w:val="95"/>
          <w:sz w:val="25"/>
        </w:rPr>
        <w:t>， 因為該侵益處分已了 結 。此一觀 點並不正 璀。所謂侵</w:t>
      </w:r>
    </w:p>
    <w:p>
      <w:pPr>
        <w:spacing w:line="316" w:lineRule="auto" w:before="98"/>
        <w:ind w:left="303" w:right="553" w:firstLine="16"/>
        <w:jc w:val="left"/>
        <w:rPr>
          <w:sz w:val="25"/>
        </w:rPr>
      </w:pPr>
      <w:r>
        <w:rPr>
          <w:spacing w:val="24"/>
          <w:sz w:val="25"/>
        </w:rPr>
        <w:t>益處分事實上了結 </w:t>
      </w:r>
      <w:r>
        <w:rPr>
          <w:rFonts w:ascii="Times New Roman" w:eastAsia="Times New Roman"/>
          <w:spacing w:val="-2"/>
          <w:sz w:val="29"/>
        </w:rPr>
        <w:t>( </w:t>
      </w:r>
      <w:r>
        <w:rPr>
          <w:rFonts w:ascii="Times New Roman" w:eastAsia="Times New Roman"/>
          <w:spacing w:val="15"/>
          <w:sz w:val="29"/>
        </w:rPr>
        <w:t>tatsachl</w:t>
      </w:r>
      <w:r>
        <w:rPr>
          <w:rFonts w:ascii="Times New Roman" w:eastAsia="Times New Roman"/>
          <w:spacing w:val="-6"/>
          <w:sz w:val="29"/>
        </w:rPr>
        <w:t> </w:t>
      </w:r>
      <w:r>
        <w:rPr>
          <w:rFonts w:ascii="Times New Roman" w:eastAsia="Times New Roman"/>
          <w:sz w:val="29"/>
        </w:rPr>
        <w:t>ich</w:t>
      </w:r>
      <w:r>
        <w:rPr>
          <w:rFonts w:ascii="Times New Roman" w:eastAsia="Times New Roman"/>
          <w:spacing w:val="51"/>
          <w:sz w:val="29"/>
        </w:rPr>
        <w:t> </w:t>
      </w:r>
      <w:r>
        <w:rPr>
          <w:rFonts w:ascii="Times New Roman" w:eastAsia="Times New Roman"/>
          <w:sz w:val="29"/>
        </w:rPr>
        <w:t>er</w:t>
      </w:r>
      <w:r>
        <w:rPr>
          <w:rFonts w:ascii="Times New Roman" w:eastAsia="Times New Roman"/>
          <w:spacing w:val="11"/>
          <w:sz w:val="29"/>
        </w:rPr>
        <w:t> </w:t>
      </w:r>
      <w:r>
        <w:rPr>
          <w:rFonts w:ascii="Times New Roman" w:eastAsia="Times New Roman"/>
          <w:spacing w:val="9"/>
          <w:sz w:val="29"/>
        </w:rPr>
        <w:t>ledigt</w:t>
      </w:r>
      <w:r>
        <w:rPr>
          <w:rFonts w:ascii="Times New Roman" w:eastAsia="Times New Roman"/>
          <w:spacing w:val="30"/>
          <w:sz w:val="29"/>
        </w:rPr>
        <w:t> ) </w:t>
      </w:r>
      <w:r>
        <w:rPr>
          <w:spacing w:val="-34"/>
          <w:w w:val="95"/>
          <w:sz w:val="25"/>
        </w:rPr>
        <w:t>， </w:t>
      </w:r>
      <w:r>
        <w:rPr>
          <w:spacing w:val="19"/>
          <w:sz w:val="25"/>
        </w:rPr>
        <w:t>係指該侵益處分所包含之</w:t>
      </w:r>
      <w:r>
        <w:rPr>
          <w:spacing w:val="14"/>
          <w:sz w:val="25"/>
        </w:rPr>
        <w:t>權利侵害 </w:t>
      </w:r>
      <w:r>
        <w:rPr>
          <w:rFonts w:ascii="Times New Roman" w:eastAsia="Times New Roman"/>
          <w:spacing w:val="-13"/>
          <w:sz w:val="29"/>
        </w:rPr>
        <w:t>( </w:t>
      </w:r>
      <w:r>
        <w:rPr>
          <w:rFonts w:ascii="Times New Roman" w:eastAsia="Times New Roman"/>
          <w:w w:val="95"/>
          <w:sz w:val="29"/>
        </w:rPr>
        <w:t>Bes</w:t>
      </w:r>
      <w:r>
        <w:rPr>
          <w:rFonts w:ascii="Times New Roman" w:eastAsia="Times New Roman"/>
          <w:spacing w:val="31"/>
          <w:w w:val="95"/>
          <w:sz w:val="29"/>
        </w:rPr>
        <w:t> </w:t>
      </w:r>
      <w:r>
        <w:rPr>
          <w:rFonts w:ascii="Times New Roman" w:eastAsia="Times New Roman"/>
          <w:w w:val="95"/>
          <w:sz w:val="29"/>
        </w:rPr>
        <w:t>c</w:t>
      </w:r>
      <w:r>
        <w:rPr>
          <w:rFonts w:ascii="Times New Roman" w:eastAsia="Times New Roman"/>
          <w:spacing w:val="-19"/>
          <w:w w:val="95"/>
          <w:sz w:val="29"/>
        </w:rPr>
        <w:t> </w:t>
      </w:r>
      <w:r>
        <w:rPr>
          <w:rFonts w:ascii="Times New Roman" w:eastAsia="Times New Roman"/>
          <w:sz w:val="29"/>
        </w:rPr>
        <w:t>hwer</w:t>
      </w:r>
      <w:r>
        <w:rPr>
          <w:rFonts w:ascii="Times New Roman" w:eastAsia="Times New Roman"/>
          <w:spacing w:val="11"/>
          <w:sz w:val="29"/>
        </w:rPr>
        <w:t> ) </w:t>
      </w:r>
      <w:r>
        <w:rPr>
          <w:spacing w:val="2"/>
          <w:sz w:val="25"/>
        </w:rPr>
        <w:t>嗣後已因其他原因被 除去之情形 。就尋求行政法院</w:t>
      </w:r>
      <w:r>
        <w:rPr>
          <w:w w:val="105"/>
          <w:sz w:val="25"/>
        </w:rPr>
        <w:t>權利保護之原告而言，人事主管機關任命其他競爭者為系爭公職之公務  </w:t>
      </w:r>
      <w:r>
        <w:rPr>
          <w:spacing w:val="106"/>
          <w:w w:val="105"/>
          <w:sz w:val="25"/>
        </w:rPr>
        <w:t> </w:t>
      </w:r>
      <w:r>
        <w:rPr>
          <w:spacing w:val="-2"/>
          <w:w w:val="95"/>
          <w:sz w:val="25"/>
        </w:rPr>
        <w:t>員 ， 非但不是侵益處分之了結 ， 反而正 是權利侵害之 開始</w:t>
      </w:r>
      <w:r>
        <w:rPr>
          <w:rFonts w:ascii="Times New Roman" w:eastAsia="Times New Roman"/>
          <w:w w:val="95"/>
          <w:sz w:val="15"/>
        </w:rPr>
        <w:t>40</w:t>
      </w:r>
      <w:r>
        <w:rPr>
          <w:rFonts w:ascii="Times New Roman" w:eastAsia="Times New Roman"/>
          <w:spacing w:val="48"/>
          <w:sz w:val="15"/>
        </w:rPr>
        <w:t>  </w:t>
      </w:r>
      <w:r>
        <w:rPr>
          <w:w w:val="95"/>
          <w:sz w:val="25"/>
        </w:rPr>
        <w:t>。</w:t>
      </w:r>
    </w:p>
    <w:p>
      <w:pPr>
        <w:pStyle w:val="BodyText"/>
        <w:tabs>
          <w:tab w:pos="4347" w:val="left" w:leader="none"/>
        </w:tabs>
        <w:spacing w:line="328" w:lineRule="auto" w:before="33"/>
        <w:ind w:left="300" w:right="500" w:firstLine="577"/>
        <w:rPr>
          <w:rFonts w:ascii="Times New Roman" w:eastAsia="Times New Roman"/>
          <w:sz w:val="29"/>
        </w:rPr>
      </w:pPr>
      <w:r>
        <w:rPr/>
        <w:t>其次，聯邦行政法院認為：人事主管機關任命其他競爭者（某乙）為   </w:t>
      </w:r>
      <w:r>
        <w:rPr>
          <w:spacing w:val="104"/>
        </w:rPr>
        <w:t> </w:t>
      </w:r>
      <w:r>
        <w:rPr/>
        <w:t>公務員之行政處分，並不具備第三人效力，某甲之權利並未受到該處分之    </w:t>
      </w:r>
      <w:r>
        <w:rPr>
          <w:spacing w:val="56"/>
        </w:rPr>
        <w:t> </w:t>
      </w:r>
      <w:r>
        <w:rPr/>
        <w:t>侵害，因此不得對該行政處分提超撒銷訴訟。此一見解亦值得懷疑。此一    </w:t>
      </w:r>
      <w:r>
        <w:rPr>
          <w:spacing w:val="56"/>
        </w:rPr>
        <w:t> </w:t>
      </w:r>
      <w:r>
        <w:rPr/>
        <w:t>見解</w:t>
      </w:r>
      <w:r>
        <w:rPr>
          <w:spacing w:val="-48"/>
        </w:rPr>
        <w:t> </w:t>
      </w:r>
      <w:r>
        <w:rPr/>
        <w:t>不僅</w:t>
      </w:r>
      <w:r>
        <w:rPr>
          <w:spacing w:val="-48"/>
        </w:rPr>
        <w:t> </w:t>
      </w:r>
      <w:r>
        <w:rPr>
          <w:spacing w:val="24"/>
        </w:rPr>
        <w:t>與</w:t>
      </w:r>
      <w:r>
        <w:rPr/>
        <w:t>學</w:t>
      </w:r>
      <w:r>
        <w:rPr>
          <w:spacing w:val="51"/>
        </w:rPr>
        <w:t>說</w:t>
      </w:r>
      <w:r>
        <w:rPr/>
        <w:t>上</w:t>
      </w:r>
      <w:r>
        <w:rPr>
          <w:spacing w:val="15"/>
        </w:rPr>
        <w:t>之</w:t>
      </w:r>
      <w:r>
        <w:rPr/>
        <w:t>通</w:t>
      </w:r>
      <w:r>
        <w:rPr>
          <w:spacing w:val="23"/>
        </w:rPr>
        <w:t>說</w:t>
      </w:r>
      <w:r>
        <w:rPr>
          <w:spacing w:val="37"/>
        </w:rPr>
        <w:t>不</w:t>
      </w:r>
      <w:r>
        <w:rPr>
          <w:spacing w:val="-61"/>
        </w:rPr>
        <w:t>容</w:t>
      </w:r>
      <w:r>
        <w:rPr>
          <w:rFonts w:ascii="Times New Roman" w:eastAsia="Times New Roman"/>
          <w:w w:val="75"/>
          <w:sz w:val="15"/>
        </w:rPr>
        <w:t>4</w:t>
      </w:r>
      <w:r>
        <w:rPr>
          <w:rFonts w:ascii="Times New Roman" w:eastAsia="Times New Roman"/>
          <w:spacing w:val="13"/>
          <w:w w:val="75"/>
          <w:sz w:val="15"/>
        </w:rPr>
        <w:t> </w:t>
      </w:r>
      <w:r>
        <w:rPr>
          <w:rFonts w:ascii="Times New Roman" w:eastAsia="Times New Roman"/>
          <w:w w:val="75"/>
          <w:sz w:val="15"/>
        </w:rPr>
        <w:t>1</w:t>
      </w:r>
      <w:r>
        <w:rPr>
          <w:rFonts w:ascii="Times New Roman" w:eastAsia="Times New Roman"/>
          <w:spacing w:val="26"/>
          <w:sz w:val="15"/>
        </w:rPr>
        <w:t> </w:t>
      </w:r>
      <w:r>
        <w:rPr>
          <w:rFonts w:ascii="Times New Roman" w:eastAsia="Times New Roman"/>
          <w:sz w:val="15"/>
        </w:rPr>
        <w:t>,</w:t>
        <w:tab/>
      </w:r>
      <w:r>
        <w:rPr/>
        <w:t>其</w:t>
      </w:r>
      <w:r>
        <w:rPr>
          <w:spacing w:val="32"/>
        </w:rPr>
        <w:t>理</w:t>
      </w:r>
      <w:r>
        <w:rPr>
          <w:spacing w:val="20"/>
        </w:rPr>
        <w:t>論</w:t>
      </w:r>
      <w:r>
        <w:rPr>
          <w:spacing w:val="11"/>
        </w:rPr>
        <w:t>本</w:t>
      </w:r>
      <w:r>
        <w:rPr>
          <w:spacing w:val="49"/>
        </w:rPr>
        <w:t>身</w:t>
      </w:r>
      <w:r>
        <w:rPr/>
        <w:t>亦有</w:t>
      </w:r>
      <w:r>
        <w:rPr>
          <w:spacing w:val="-49"/>
        </w:rPr>
        <w:t> </w:t>
      </w:r>
      <w:r>
        <w:rPr>
          <w:spacing w:val="53"/>
        </w:rPr>
        <w:t>不</w:t>
      </w:r>
      <w:r>
        <w:rPr/>
        <w:t>噹之</w:t>
      </w:r>
      <w:r>
        <w:rPr>
          <w:spacing w:val="-56"/>
        </w:rPr>
        <w:t> </w:t>
      </w:r>
      <w:r>
        <w:rPr/>
        <w:t>處</w:t>
      </w:r>
      <w:r>
        <w:rPr>
          <w:spacing w:val="-40"/>
        </w:rPr>
        <w:t> </w:t>
      </w:r>
      <w:r>
        <w:rPr/>
        <w:t>。因為基</w:t>
      </w:r>
      <w:r>
        <w:rPr>
          <w:spacing w:val="-55"/>
        </w:rPr>
        <w:t> </w:t>
      </w:r>
      <w:r>
        <w:rPr>
          <w:spacing w:val="10"/>
        </w:rPr>
        <w:t>於</w:t>
      </w:r>
      <w:r>
        <w:rPr/>
        <w:t>預算法等理由，系爭公職只能任命一人擔任。人事主管機關如任命某乙擔任    </w:t>
      </w:r>
      <w:r>
        <w:rPr>
          <w:spacing w:val="38"/>
        </w:rPr>
        <w:t> </w:t>
      </w:r>
      <w:r>
        <w:rPr>
          <w:spacing w:val="18"/>
        </w:rPr>
        <w:t>該</w:t>
      </w:r>
      <w:r>
        <w:rPr>
          <w:spacing w:val="19"/>
        </w:rPr>
        <w:t>職</w:t>
      </w:r>
      <w:r>
        <w:rPr>
          <w:spacing w:val="30"/>
        </w:rPr>
        <w:t>務</w:t>
      </w:r>
      <w:r>
        <w:rPr/>
        <w:t>之公</w:t>
      </w:r>
      <w:r>
        <w:rPr>
          <w:spacing w:val="38"/>
        </w:rPr>
        <w:t>務</w:t>
      </w:r>
      <w:r>
        <w:rPr/>
        <w:t>員</w:t>
      </w:r>
      <w:r>
        <w:rPr>
          <w:spacing w:val="20"/>
        </w:rPr>
        <w:t> </w:t>
      </w:r>
      <w:r>
        <w:rPr>
          <w:w w:val="75"/>
        </w:rPr>
        <w:t>，</w:t>
      </w:r>
      <w:r>
        <w:rPr>
          <w:spacing w:val="-41"/>
          <w:w w:val="75"/>
        </w:rPr>
        <w:t> </w:t>
      </w:r>
      <w:r>
        <w:rPr>
          <w:spacing w:val="25"/>
        </w:rPr>
        <w:t>其</w:t>
      </w:r>
      <w:r>
        <w:rPr/>
        <w:t>競</w:t>
      </w:r>
      <w:r>
        <w:rPr>
          <w:spacing w:val="15"/>
        </w:rPr>
        <w:t>爭</w:t>
      </w:r>
      <w:r>
        <w:rPr>
          <w:spacing w:val="29"/>
        </w:rPr>
        <w:t>者</w:t>
      </w:r>
      <w:r>
        <w:rPr/>
        <w:t>某甲</w:t>
      </w:r>
      <w:r>
        <w:rPr>
          <w:spacing w:val="-10"/>
        </w:rPr>
        <w:t> </w:t>
      </w:r>
      <w:r>
        <w:rPr>
          <w:spacing w:val="13"/>
        </w:rPr>
        <w:t>擔</w:t>
      </w:r>
      <w:r>
        <w:rPr>
          <w:spacing w:val="16"/>
        </w:rPr>
        <w:t>任</w:t>
      </w:r>
      <w:r>
        <w:rPr>
          <w:spacing w:val="18"/>
        </w:rPr>
        <w:t>該</w:t>
      </w:r>
      <w:r>
        <w:rPr>
          <w:spacing w:val="19"/>
        </w:rPr>
        <w:t>職</w:t>
      </w:r>
      <w:r>
        <w:rPr>
          <w:spacing w:val="14"/>
        </w:rPr>
        <w:t>務</w:t>
      </w:r>
      <w:r>
        <w:rPr/>
        <w:t>公</w:t>
      </w:r>
      <w:r>
        <w:rPr>
          <w:spacing w:val="28"/>
        </w:rPr>
        <w:t>務</w:t>
      </w:r>
      <w:r>
        <w:rPr/>
        <w:t>員之</w:t>
      </w:r>
      <w:r>
        <w:rPr>
          <w:spacing w:val="9"/>
        </w:rPr>
        <w:t> </w:t>
      </w:r>
      <w:r>
        <w:rPr>
          <w:spacing w:val="22"/>
        </w:rPr>
        <w:t>希</w:t>
      </w:r>
      <w:r>
        <w:rPr>
          <w:spacing w:val="29"/>
        </w:rPr>
        <w:t>望</w:t>
      </w:r>
      <w:r>
        <w:rPr>
          <w:spacing w:val="11"/>
        </w:rPr>
        <w:t>即</w:t>
      </w:r>
      <w:r>
        <w:rPr>
          <w:spacing w:val="36"/>
        </w:rPr>
        <w:t>告</w:t>
      </w:r>
      <w:r>
        <w:rPr>
          <w:spacing w:val="27"/>
        </w:rPr>
        <w:t>落</w:t>
      </w:r>
      <w:r>
        <w:rPr/>
        <w:t>空</w:t>
      </w:r>
      <w:r>
        <w:rPr>
          <w:rFonts w:ascii="Times New Roman" w:eastAsia="Times New Roman"/>
          <w:w w:val="75"/>
          <w:sz w:val="15"/>
        </w:rPr>
        <w:t>42</w:t>
      </w:r>
      <w:r>
        <w:rPr>
          <w:rFonts w:ascii="Times New Roman" w:eastAsia="Times New Roman"/>
          <w:spacing w:val="19"/>
          <w:sz w:val="15"/>
        </w:rPr>
        <w:t>  </w:t>
      </w:r>
      <w:r>
        <w:rPr>
          <w:rFonts w:ascii="Times New Roman" w:eastAsia="Times New Roman"/>
          <w:spacing w:val="20"/>
          <w:sz w:val="15"/>
        </w:rPr>
        <w:t> </w:t>
      </w:r>
      <w:r>
        <w:rPr>
          <w:w w:val="75"/>
        </w:rPr>
        <w:t>。</w:t>
      </w:r>
      <w:r>
        <w:rPr>
          <w:spacing w:val="-11"/>
          <w:w w:val="75"/>
        </w:rPr>
        <w:t> </w:t>
      </w:r>
      <w:r>
        <w:rPr>
          <w:w w:val="85"/>
        </w:rPr>
        <w:t>就</w:t>
      </w:r>
      <w:r>
        <w:rPr/>
        <w:t>形式上而言，人事主管機關任命某乙為公務員之行政處分，與該機關告知    </w:t>
      </w:r>
      <w:r>
        <w:rPr>
          <w:spacing w:val="56"/>
        </w:rPr>
        <w:t> </w:t>
      </w:r>
      <w:r>
        <w:rPr/>
        <w:t>某甲未獲任命之通知書，固然是二個獨立之行政處分；然而事實上，噹人    </w:t>
      </w:r>
      <w:r>
        <w:rPr>
          <w:spacing w:val="56"/>
        </w:rPr>
        <w:t> </w:t>
      </w:r>
      <w:r>
        <w:rPr/>
        <w:t>事主管機關作成任命某乙為公務員之行政處分時，即排除某甲擔任是項公    </w:t>
      </w:r>
      <w:r>
        <w:rPr>
          <w:spacing w:val="56"/>
        </w:rPr>
        <w:t> </w:t>
      </w:r>
      <w:r>
        <w:rPr/>
        <w:t>職之機會。此一結果，與經濟法上典型之消極競爭者訴訟之案例，如：數    </w:t>
      </w:r>
      <w:r>
        <w:rPr>
          <w:spacing w:val="56"/>
        </w:rPr>
        <w:t> </w:t>
      </w:r>
      <w:r>
        <w:rPr/>
        <w:t>競爭者申請一項營業許可或津貼補助之情形相同。因此，將人事主管機關    </w:t>
      </w:r>
      <w:r>
        <w:rPr>
          <w:spacing w:val="56"/>
        </w:rPr>
        <w:t> </w:t>
      </w:r>
      <w:r>
        <w:rPr/>
        <w:t>作成任命某乙為公務員之行政處分，視為同時兼具授益某乙，及侵害某甲    </w:t>
      </w:r>
      <w:r>
        <w:rPr>
          <w:spacing w:val="33"/>
        </w:rPr>
        <w:t> </w:t>
      </w:r>
      <w:r>
        <w:rPr>
          <w:spacing w:val="23"/>
        </w:rPr>
        <w:t>權</w:t>
      </w:r>
      <w:r>
        <w:rPr>
          <w:spacing w:val="19"/>
        </w:rPr>
        <w:t>利</w:t>
      </w:r>
      <w:r>
        <w:rPr/>
        <w:t>之「</w:t>
      </w:r>
      <w:r>
        <w:rPr>
          <w:spacing w:val="37"/>
        </w:rPr>
        <w:t>附</w:t>
      </w:r>
      <w:r>
        <w:rPr>
          <w:spacing w:val="44"/>
        </w:rPr>
        <w:t>第</w:t>
      </w:r>
      <w:r>
        <w:rPr>
          <w:spacing w:val="26"/>
        </w:rPr>
        <w:t>三</w:t>
      </w:r>
      <w:r>
        <w:rPr/>
        <w:t>人</w:t>
      </w:r>
      <w:r>
        <w:rPr>
          <w:spacing w:val="29"/>
        </w:rPr>
        <w:t>效</w:t>
      </w:r>
      <w:r>
        <w:rPr/>
        <w:t>力之行</w:t>
      </w:r>
      <w:r>
        <w:rPr>
          <w:spacing w:val="17"/>
        </w:rPr>
        <w:t> </w:t>
      </w:r>
      <w:r>
        <w:rPr/>
        <w:t>政</w:t>
      </w:r>
      <w:r>
        <w:rPr>
          <w:spacing w:val="22"/>
        </w:rPr>
        <w:t>處</w:t>
      </w:r>
      <w:r>
        <w:rPr/>
        <w:t>分」</w:t>
      </w:r>
      <w:r>
        <w:rPr>
          <w:rFonts w:ascii="Times New Roman" w:eastAsia="Times New Roman"/>
          <w:sz w:val="29"/>
        </w:rPr>
        <w:t>(</w:t>
      </w:r>
      <w:r>
        <w:rPr>
          <w:rFonts w:ascii="Times New Roman" w:eastAsia="Times New Roman"/>
          <w:spacing w:val="-28"/>
          <w:sz w:val="29"/>
        </w:rPr>
        <w:t> </w:t>
      </w:r>
      <w:r>
        <w:rPr>
          <w:rFonts w:ascii="Times New Roman" w:eastAsia="Times New Roman"/>
          <w:sz w:val="29"/>
        </w:rPr>
        <w:t>Verwa</w:t>
      </w:r>
      <w:r>
        <w:rPr>
          <w:rFonts w:ascii="Times New Roman" w:eastAsia="Times New Roman"/>
          <w:spacing w:val="-35"/>
          <w:sz w:val="29"/>
        </w:rPr>
        <w:t> </w:t>
      </w:r>
      <w:r>
        <w:rPr>
          <w:rFonts w:ascii="Times New Roman" w:eastAsia="Times New Roman"/>
          <w:sz w:val="29"/>
        </w:rPr>
        <w:t>l</w:t>
      </w:r>
      <w:r>
        <w:rPr>
          <w:rFonts w:ascii="Times New Roman" w:eastAsia="Times New Roman"/>
          <w:spacing w:val="-32"/>
          <w:sz w:val="29"/>
        </w:rPr>
        <w:t> </w:t>
      </w:r>
      <w:r>
        <w:rPr>
          <w:rFonts w:ascii="Times New Roman" w:eastAsia="Times New Roman"/>
          <w:sz w:val="29"/>
        </w:rPr>
        <w:t>t</w:t>
      </w:r>
      <w:r>
        <w:rPr>
          <w:rFonts w:ascii="Times New Roman" w:eastAsia="Times New Roman"/>
          <w:spacing w:val="-21"/>
          <w:sz w:val="29"/>
        </w:rPr>
        <w:t> </w:t>
      </w:r>
      <w:r>
        <w:rPr>
          <w:rFonts w:ascii="Times New Roman" w:eastAsia="Times New Roman"/>
          <w:sz w:val="29"/>
        </w:rPr>
        <w:t>ungs</w:t>
      </w:r>
      <w:r>
        <w:rPr>
          <w:rFonts w:ascii="Times New Roman" w:eastAsia="Times New Roman"/>
          <w:spacing w:val="-19"/>
          <w:sz w:val="29"/>
        </w:rPr>
        <w:t> </w:t>
      </w:r>
      <w:r>
        <w:rPr>
          <w:rFonts w:ascii="Times New Roman" w:eastAsia="Times New Roman"/>
          <w:sz w:val="29"/>
        </w:rPr>
        <w:t>akt</w:t>
      </w:r>
      <w:r>
        <w:rPr>
          <w:rFonts w:ascii="Times New Roman" w:eastAsia="Times New Roman"/>
          <w:spacing w:val="3"/>
          <w:sz w:val="29"/>
        </w:rPr>
        <w:t> </w:t>
      </w:r>
      <w:r>
        <w:rPr>
          <w:rFonts w:ascii="Times New Roman" w:eastAsia="Times New Roman"/>
          <w:sz w:val="29"/>
        </w:rPr>
        <w:t>e</w:t>
      </w:r>
      <w:r>
        <w:rPr>
          <w:rFonts w:ascii="Times New Roman" w:eastAsia="Times New Roman"/>
          <w:spacing w:val="69"/>
          <w:sz w:val="29"/>
        </w:rPr>
        <w:t> </w:t>
      </w:r>
      <w:r>
        <w:rPr>
          <w:rFonts w:ascii="Times New Roman" w:eastAsia="Times New Roman"/>
          <w:sz w:val="29"/>
        </w:rPr>
        <w:t>mit</w:t>
      </w:r>
    </w:p>
    <w:p>
      <w:pPr>
        <w:pStyle w:val="BodyText"/>
        <w:spacing w:before="10"/>
        <w:rPr>
          <w:rFonts w:ascii="Times New Roman"/>
          <w:sz w:val="12"/>
        </w:rPr>
      </w:pPr>
      <w:r>
        <w:rPr/>
        <w:pict>
          <v:shape style="position:absolute;margin-left:95.174004pt;margin-top:9.777402pt;width:144.25pt;height:.1pt;mso-position-horizontal-relative:page;mso-position-vertical-relative:paragraph;z-index:-15649280;mso-wrap-distance-left:0;mso-wrap-distance-right:0" coordorigin="1903,196" coordsize="2885,0" path="m1903,196l4788,196e" filled="false" stroked="true" strokeweight=".720821pt" strokecolor="#000000">
            <v:path arrowok="t"/>
            <v:stroke dashstyle="solid"/>
            <w10:wrap type="topAndBottom"/>
          </v:shape>
        </w:pict>
      </w:r>
    </w:p>
    <w:p>
      <w:pPr>
        <w:pStyle w:val="BodyText"/>
        <w:spacing w:before="2"/>
        <w:rPr>
          <w:rFonts w:ascii="Times New Roman"/>
          <w:sz w:val="6"/>
        </w:rPr>
      </w:pPr>
    </w:p>
    <w:p>
      <w:pPr>
        <w:spacing w:before="87"/>
        <w:ind w:left="298" w:right="0" w:firstLine="0"/>
        <w:jc w:val="left"/>
        <w:rPr>
          <w:rFonts w:ascii="Times New Roman"/>
          <w:sz w:val="24"/>
        </w:rPr>
      </w:pPr>
      <w:r>
        <w:rPr>
          <w:rFonts w:ascii="Times New Roman"/>
          <w:position w:val="8"/>
          <w:sz w:val="13"/>
        </w:rPr>
        <w:t>39</w:t>
      </w:r>
      <w:r>
        <w:rPr>
          <w:rFonts w:ascii="Times New Roman"/>
          <w:sz w:val="24"/>
        </w:rPr>
        <w:t>Vgl.</w:t>
      </w:r>
      <w:r>
        <w:rPr>
          <w:rFonts w:ascii="Times New Roman"/>
          <w:spacing w:val="115"/>
          <w:sz w:val="24"/>
        </w:rPr>
        <w:t> </w:t>
      </w:r>
      <w:r>
        <w:rPr>
          <w:rFonts w:ascii="Times New Roman"/>
          <w:sz w:val="24"/>
        </w:rPr>
        <w:t>z.</w:t>
      </w:r>
      <w:r>
        <w:rPr>
          <w:rFonts w:ascii="Times New Roman"/>
          <w:spacing w:val="106"/>
          <w:sz w:val="24"/>
        </w:rPr>
        <w:t> </w:t>
      </w:r>
      <w:r>
        <w:rPr>
          <w:rFonts w:ascii="Times New Roman"/>
          <w:sz w:val="24"/>
        </w:rPr>
        <w:t>B.</w:t>
      </w:r>
      <w:r>
        <w:rPr>
          <w:rFonts w:ascii="Times New Roman"/>
          <w:spacing w:val="114"/>
          <w:sz w:val="24"/>
        </w:rPr>
        <w:t> </w:t>
      </w:r>
      <w:r>
        <w:rPr>
          <w:rFonts w:ascii="Times New Roman"/>
          <w:sz w:val="24"/>
        </w:rPr>
        <w:t>Kunig,</w:t>
      </w:r>
      <w:r>
        <w:rPr>
          <w:rFonts w:ascii="Times New Roman"/>
          <w:spacing w:val="79"/>
          <w:sz w:val="24"/>
        </w:rPr>
        <w:t> </w:t>
      </w:r>
      <w:r>
        <w:rPr>
          <w:rFonts w:ascii="Times New Roman"/>
          <w:sz w:val="24"/>
        </w:rPr>
        <w:t>in:</w:t>
      </w:r>
      <w:r>
        <w:rPr>
          <w:rFonts w:ascii="Times New Roman"/>
          <w:spacing w:val="79"/>
          <w:sz w:val="24"/>
        </w:rPr>
        <w:t> </w:t>
      </w:r>
      <w:r>
        <w:rPr>
          <w:rFonts w:ascii="Times New Roman"/>
          <w:sz w:val="24"/>
        </w:rPr>
        <w:t>Schmidt-A</w:t>
      </w:r>
      <w:r>
        <w:rPr>
          <w:rFonts w:ascii="Times New Roman"/>
          <w:spacing w:val="12"/>
          <w:sz w:val="24"/>
        </w:rPr>
        <w:t> </w:t>
      </w:r>
      <w:r>
        <w:rPr>
          <w:rFonts w:ascii="Times New Roman"/>
          <w:sz w:val="30"/>
        </w:rPr>
        <w:t>/3</w:t>
      </w:r>
      <w:r>
        <w:rPr>
          <w:rFonts w:ascii="Times New Roman"/>
          <w:spacing w:val="-39"/>
          <w:sz w:val="30"/>
        </w:rPr>
        <w:t> </w:t>
      </w:r>
      <w:r>
        <w:rPr>
          <w:rFonts w:ascii="Times New Roman"/>
          <w:sz w:val="24"/>
        </w:rPr>
        <w:t>mann/Schoch,  </w:t>
      </w:r>
      <w:r>
        <w:rPr>
          <w:rFonts w:ascii="Times New Roman"/>
          <w:spacing w:val="9"/>
          <w:sz w:val="24"/>
        </w:rPr>
        <w:t> </w:t>
      </w:r>
      <w:r>
        <w:rPr>
          <w:rFonts w:ascii="Times New Roman"/>
          <w:sz w:val="24"/>
        </w:rPr>
        <w:t>Besonderes</w:t>
      </w:r>
      <w:r>
        <w:rPr>
          <w:rFonts w:ascii="Times New Roman"/>
          <w:spacing w:val="73"/>
          <w:sz w:val="24"/>
        </w:rPr>
        <w:t> </w:t>
      </w:r>
      <w:r>
        <w:rPr>
          <w:rFonts w:ascii="Times New Roman"/>
          <w:sz w:val="24"/>
        </w:rPr>
        <w:t>Verwal</w:t>
      </w:r>
      <w:r>
        <w:rPr>
          <w:rFonts w:ascii="Times New Roman"/>
          <w:spacing w:val="-12"/>
          <w:sz w:val="24"/>
        </w:rPr>
        <w:t> </w:t>
      </w:r>
      <w:r>
        <w:rPr>
          <w:rFonts w:ascii="Times New Roman"/>
          <w:sz w:val="24"/>
        </w:rPr>
        <w:t>tungsrecht,</w:t>
      </w:r>
    </w:p>
    <w:p>
      <w:pPr>
        <w:pStyle w:val="ListParagraph"/>
        <w:numPr>
          <w:ilvl w:val="0"/>
          <w:numId w:val="2"/>
        </w:numPr>
        <w:tabs>
          <w:tab w:pos="979" w:val="left" w:leader="none"/>
        </w:tabs>
        <w:spacing w:line="271" w:lineRule="auto" w:before="24" w:after="0"/>
        <w:ind w:left="501" w:right="545" w:hanging="1"/>
        <w:jc w:val="left"/>
        <w:rPr>
          <w:rFonts w:ascii="Times New Roman"/>
          <w:sz w:val="24"/>
        </w:rPr>
      </w:pPr>
      <w:r>
        <w:rPr>
          <w:rFonts w:ascii="Times New Roman"/>
          <w:sz w:val="24"/>
        </w:rPr>
        <w:t>Aufl.,</w:t>
      </w:r>
      <w:r>
        <w:rPr>
          <w:rFonts w:ascii="Times New Roman"/>
          <w:spacing w:val="61"/>
          <w:sz w:val="24"/>
        </w:rPr>
        <w:t> </w:t>
      </w:r>
      <w:r>
        <w:rPr>
          <w:rFonts w:ascii="Times New Roman"/>
          <w:sz w:val="24"/>
        </w:rPr>
        <w:t>2008,  </w:t>
      </w:r>
      <w:r>
        <w:rPr>
          <w:rFonts w:ascii="Times New Roman"/>
          <w:spacing w:val="1"/>
          <w:sz w:val="24"/>
        </w:rPr>
        <w:t> </w:t>
      </w:r>
      <w:r>
        <w:rPr>
          <w:rFonts w:ascii="Times New Roman"/>
          <w:sz w:val="24"/>
        </w:rPr>
        <w:t>6.   Kap.   Rn.   91;   vgl.   auch</w:t>
      </w:r>
      <w:r>
        <w:rPr>
          <w:rFonts w:ascii="Times New Roman"/>
          <w:spacing w:val="60"/>
          <w:sz w:val="24"/>
        </w:rPr>
        <w:t> </w:t>
      </w:r>
      <w:r>
        <w:rPr>
          <w:rFonts w:ascii="Times New Roman"/>
          <w:sz w:val="24"/>
        </w:rPr>
        <w:t>Schnel lenbach,  </w:t>
      </w:r>
      <w:r>
        <w:rPr>
          <w:rFonts w:ascii="Times New Roman"/>
          <w:spacing w:val="1"/>
          <w:sz w:val="24"/>
        </w:rPr>
        <w:t> </w:t>
      </w:r>
      <w:r>
        <w:rPr>
          <w:rFonts w:ascii="Times New Roman"/>
          <w:sz w:val="24"/>
        </w:rPr>
        <w:t>Beamtenrecht   in</w:t>
      </w:r>
      <w:r>
        <w:rPr>
          <w:rFonts w:ascii="Times New Roman"/>
          <w:spacing w:val="-57"/>
          <w:sz w:val="24"/>
        </w:rPr>
        <w:t> </w:t>
      </w:r>
      <w:r>
        <w:rPr>
          <w:rFonts w:ascii="Times New Roman"/>
          <w:sz w:val="24"/>
        </w:rPr>
        <w:t>der</w:t>
      </w:r>
      <w:r>
        <w:rPr>
          <w:rFonts w:ascii="Times New Roman"/>
          <w:spacing w:val="38"/>
          <w:sz w:val="24"/>
        </w:rPr>
        <w:t> </w:t>
      </w:r>
      <w:r>
        <w:rPr>
          <w:rFonts w:ascii="Times New Roman"/>
          <w:sz w:val="24"/>
        </w:rPr>
        <w:t>Praxis,</w:t>
      </w:r>
      <w:r>
        <w:rPr>
          <w:rFonts w:ascii="Times New Roman"/>
          <w:spacing w:val="8"/>
          <w:sz w:val="24"/>
        </w:rPr>
        <w:t> </w:t>
      </w:r>
      <w:r>
        <w:rPr>
          <w:rFonts w:ascii="Times New Roman"/>
          <w:sz w:val="24"/>
        </w:rPr>
        <w:t>5.</w:t>
      </w:r>
      <w:r>
        <w:rPr>
          <w:rFonts w:ascii="Times New Roman"/>
          <w:spacing w:val="1"/>
          <w:sz w:val="24"/>
        </w:rPr>
        <w:t> </w:t>
      </w:r>
      <w:r>
        <w:rPr>
          <w:rFonts w:ascii="Times New Roman"/>
          <w:sz w:val="24"/>
        </w:rPr>
        <w:t>Aufl.,</w:t>
      </w:r>
      <w:r>
        <w:rPr>
          <w:rFonts w:ascii="Times New Roman"/>
          <w:spacing w:val="15"/>
          <w:sz w:val="24"/>
        </w:rPr>
        <w:t> </w:t>
      </w:r>
      <w:r>
        <w:rPr>
          <w:rFonts w:ascii="Times New Roman"/>
          <w:sz w:val="24"/>
        </w:rPr>
        <w:t>2001,</w:t>
      </w:r>
      <w:r>
        <w:rPr>
          <w:rFonts w:ascii="Times New Roman"/>
          <w:spacing w:val="10"/>
          <w:sz w:val="24"/>
        </w:rPr>
        <w:t> </w:t>
      </w:r>
      <w:r>
        <w:rPr>
          <w:rFonts w:ascii="Times New Roman"/>
          <w:sz w:val="24"/>
        </w:rPr>
        <w:t>Rn.</w:t>
      </w:r>
      <w:r>
        <w:rPr>
          <w:rFonts w:ascii="Times New Roman"/>
          <w:spacing w:val="4"/>
          <w:sz w:val="24"/>
        </w:rPr>
        <w:t> </w:t>
      </w:r>
      <w:r>
        <w:rPr>
          <w:rFonts w:ascii="Times New Roman"/>
          <w:sz w:val="24"/>
        </w:rPr>
        <w:t>41</w:t>
      </w:r>
      <w:r>
        <w:rPr>
          <w:rFonts w:ascii="Times New Roman"/>
          <w:spacing w:val="8"/>
          <w:sz w:val="24"/>
        </w:rPr>
        <w:t> </w:t>
      </w:r>
      <w:r>
        <w:rPr>
          <w:rFonts w:ascii="Times New Roman"/>
          <w:sz w:val="24"/>
        </w:rPr>
        <w:t>m.</w:t>
      </w:r>
      <w:r>
        <w:rPr>
          <w:rFonts w:ascii="Times New Roman"/>
          <w:spacing w:val="2"/>
          <w:sz w:val="24"/>
        </w:rPr>
        <w:t> </w:t>
      </w:r>
      <w:r>
        <w:rPr>
          <w:rFonts w:ascii="Times New Roman"/>
          <w:sz w:val="24"/>
        </w:rPr>
        <w:t>w.</w:t>
      </w:r>
      <w:r>
        <w:rPr>
          <w:rFonts w:ascii="Times New Roman"/>
          <w:spacing w:val="10"/>
          <w:sz w:val="24"/>
        </w:rPr>
        <w:t> </w:t>
      </w:r>
      <w:r>
        <w:rPr>
          <w:rFonts w:ascii="Times New Roman"/>
          <w:sz w:val="24"/>
        </w:rPr>
        <w:t>N.</w:t>
      </w:r>
    </w:p>
    <w:p>
      <w:pPr>
        <w:spacing w:line="264" w:lineRule="auto" w:before="1"/>
        <w:ind w:left="518" w:right="512" w:hanging="220"/>
        <w:jc w:val="both"/>
        <w:rPr>
          <w:rFonts w:ascii="Times New Roman"/>
          <w:sz w:val="24"/>
        </w:rPr>
      </w:pPr>
      <w:r>
        <w:rPr>
          <w:rFonts w:ascii="Times New Roman"/>
          <w:w w:val="105"/>
          <w:position w:val="8"/>
          <w:sz w:val="13"/>
        </w:rPr>
        <w:t>40</w:t>
      </w:r>
      <w:r>
        <w:rPr>
          <w:rFonts w:ascii="Times New Roman"/>
          <w:spacing w:val="1"/>
          <w:w w:val="105"/>
          <w:position w:val="8"/>
          <w:sz w:val="13"/>
        </w:rPr>
        <w:t> </w:t>
      </w:r>
      <w:r>
        <w:rPr>
          <w:rFonts w:ascii="Times New Roman"/>
          <w:w w:val="105"/>
          <w:sz w:val="24"/>
        </w:rPr>
        <w:t>Von</w:t>
      </w:r>
      <w:r>
        <w:rPr>
          <w:rFonts w:ascii="Times New Roman"/>
          <w:spacing w:val="1"/>
          <w:w w:val="105"/>
          <w:sz w:val="24"/>
        </w:rPr>
        <w:t> </w:t>
      </w:r>
      <w:r>
        <w:rPr>
          <w:rFonts w:ascii="Times New Roman"/>
          <w:w w:val="105"/>
          <w:sz w:val="24"/>
        </w:rPr>
        <w:t>Mutius,</w:t>
      </w:r>
      <w:r>
        <w:rPr>
          <w:rFonts w:ascii="Times New Roman"/>
          <w:spacing w:val="1"/>
          <w:w w:val="105"/>
          <w:sz w:val="24"/>
        </w:rPr>
        <w:t> </w:t>
      </w:r>
      <w:r>
        <w:rPr>
          <w:rFonts w:ascii="Times New Roman"/>
          <w:w w:val="105"/>
          <w:sz w:val="24"/>
        </w:rPr>
        <w:t>Konkurrentenklage  im  Beamtenrecht, </w:t>
      </w:r>
      <w:r>
        <w:rPr>
          <w:rFonts w:ascii="Times New Roman"/>
          <w:spacing w:val="1"/>
          <w:w w:val="105"/>
          <w:sz w:val="24"/>
        </w:rPr>
        <w:t> </w:t>
      </w:r>
      <w:r>
        <w:rPr>
          <w:rFonts w:ascii="Times New Roman"/>
          <w:w w:val="105"/>
          <w:sz w:val="24"/>
        </w:rPr>
        <w:t>VerwArch  69  (1978), </w:t>
      </w:r>
      <w:r>
        <w:rPr>
          <w:rFonts w:ascii="Times New Roman"/>
          <w:spacing w:val="1"/>
          <w:w w:val="105"/>
          <w:sz w:val="24"/>
        </w:rPr>
        <w:t> </w:t>
      </w:r>
      <w:r>
        <w:rPr>
          <w:rFonts w:ascii="Times New Roman"/>
          <w:w w:val="105"/>
          <w:sz w:val="24"/>
        </w:rPr>
        <w:t>103</w:t>
      </w:r>
      <w:r>
        <w:rPr>
          <w:rFonts w:ascii="Times New Roman"/>
          <w:spacing w:val="1"/>
          <w:w w:val="105"/>
          <w:sz w:val="24"/>
        </w:rPr>
        <w:t> </w:t>
      </w:r>
      <w:r>
        <w:rPr>
          <w:rFonts w:ascii="Times New Roman"/>
          <w:w w:val="105"/>
          <w:sz w:val="24"/>
        </w:rPr>
        <w:t>(110).</w:t>
      </w:r>
    </w:p>
    <w:p>
      <w:pPr>
        <w:spacing w:line="271" w:lineRule="auto" w:before="17"/>
        <w:ind w:left="505" w:right="530" w:hanging="207"/>
        <w:jc w:val="both"/>
        <w:rPr>
          <w:rFonts w:ascii="Times New Roman" w:eastAsia="Times New Roman"/>
          <w:sz w:val="24"/>
        </w:rPr>
      </w:pPr>
      <w:r>
        <w:rPr>
          <w:rFonts w:ascii="Times New Roman" w:eastAsia="Times New Roman"/>
          <w:w w:val="110"/>
          <w:sz w:val="21"/>
          <w:vertAlign w:val="superscript"/>
        </w:rPr>
        <w:t>41</w:t>
      </w:r>
      <w:r>
        <w:rPr>
          <w:rFonts w:ascii="Times New Roman" w:eastAsia="Times New Roman"/>
          <w:spacing w:val="12"/>
          <w:w w:val="110"/>
          <w:sz w:val="21"/>
          <w:vertAlign w:val="baseline"/>
        </w:rPr>
        <w:t>    </w:t>
      </w:r>
      <w:r>
        <w:rPr>
          <w:w w:val="110"/>
          <w:sz w:val="21"/>
          <w:vertAlign w:val="baseline"/>
        </w:rPr>
        <w:t>通說以為：人事主管機關任命其他競爭者（某乙）為公務員之行政處分，為附第三</w:t>
      </w:r>
      <w:r>
        <w:rPr>
          <w:sz w:val="21"/>
          <w:vertAlign w:val="baseline"/>
        </w:rPr>
        <w:t>人效力 ， 即附侵害未 獲任命之競爭者某甲權利效力之行 政處分； </w:t>
      </w:r>
      <w:r>
        <w:rPr>
          <w:rFonts w:ascii="Times New Roman" w:eastAsia="Times New Roman"/>
          <w:sz w:val="24"/>
          <w:vertAlign w:val="baseline"/>
        </w:rPr>
        <w:t>vg l. von</w:t>
      </w:r>
      <w:r>
        <w:rPr>
          <w:rFonts w:ascii="Times New Roman" w:eastAsia="Times New Roman"/>
          <w:spacing w:val="1"/>
          <w:sz w:val="24"/>
          <w:vertAlign w:val="baseline"/>
        </w:rPr>
        <w:t> </w:t>
      </w:r>
      <w:r>
        <w:rPr>
          <w:rFonts w:ascii="Times New Roman" w:eastAsia="Times New Roman"/>
          <w:sz w:val="24"/>
          <w:vertAlign w:val="baseline"/>
        </w:rPr>
        <w:t>Mutius,</w:t>
      </w:r>
      <w:r>
        <w:rPr>
          <w:rFonts w:ascii="Times New Roman" w:eastAsia="Times New Roman"/>
          <w:spacing w:val="1"/>
          <w:sz w:val="24"/>
          <w:vertAlign w:val="baseline"/>
        </w:rPr>
        <w:t> </w:t>
      </w:r>
      <w:r>
        <w:rPr>
          <w:rFonts w:ascii="Times New Roman" w:eastAsia="Times New Roman"/>
          <w:w w:val="105"/>
          <w:sz w:val="24"/>
          <w:vertAlign w:val="baseline"/>
        </w:rPr>
        <w:t>Konkur  rentenklage  </w:t>
      </w:r>
      <w:r>
        <w:rPr>
          <w:rFonts w:ascii="Times New Roman" w:eastAsia="Times New Roman"/>
          <w:sz w:val="24"/>
          <w:vertAlign w:val="baseline"/>
        </w:rPr>
        <w:t>im </w:t>
      </w:r>
      <w:r>
        <w:rPr>
          <w:rFonts w:ascii="Times New Roman" w:eastAsia="Times New Roman"/>
          <w:w w:val="105"/>
          <w:sz w:val="24"/>
          <w:vertAlign w:val="baseline"/>
        </w:rPr>
        <w:t>Beamtenrecht,  VerwArch 69 (1978),  103 (105); Schenke,</w:t>
      </w:r>
      <w:r>
        <w:rPr>
          <w:rFonts w:ascii="Times New Roman" w:eastAsia="Times New Roman"/>
          <w:spacing w:val="1"/>
          <w:w w:val="105"/>
          <w:sz w:val="24"/>
          <w:vertAlign w:val="baseline"/>
        </w:rPr>
        <w:t> </w:t>
      </w:r>
      <w:r>
        <w:rPr>
          <w:rFonts w:ascii="Times New Roman" w:eastAsia="Times New Roman"/>
          <w:w w:val="110"/>
          <w:sz w:val="24"/>
          <w:vertAlign w:val="baseline"/>
        </w:rPr>
        <w:t>in: FS</w:t>
      </w:r>
      <w:r>
        <w:rPr>
          <w:rFonts w:ascii="Times New Roman" w:eastAsia="Times New Roman"/>
          <w:spacing w:val="1"/>
          <w:w w:val="110"/>
          <w:sz w:val="24"/>
          <w:vertAlign w:val="baseline"/>
        </w:rPr>
        <w:t> </w:t>
      </w:r>
      <w:r>
        <w:rPr>
          <w:rFonts w:ascii="Times New Roman" w:eastAsia="Times New Roman"/>
          <w:w w:val="110"/>
          <w:sz w:val="24"/>
          <w:vertAlign w:val="baseline"/>
        </w:rPr>
        <w:t>Muhl, 1981,</w:t>
      </w:r>
      <w:r>
        <w:rPr>
          <w:rFonts w:ascii="Times New Roman" w:eastAsia="Times New Roman"/>
          <w:spacing w:val="1"/>
          <w:w w:val="110"/>
          <w:sz w:val="24"/>
          <w:vertAlign w:val="baseline"/>
        </w:rPr>
        <w:t> </w:t>
      </w:r>
      <w:r>
        <w:rPr>
          <w:rFonts w:ascii="Times New Roman" w:eastAsia="Times New Roman"/>
          <w:w w:val="110"/>
          <w:sz w:val="24"/>
          <w:vertAlign w:val="baseline"/>
        </w:rPr>
        <w:t>S. 580;</w:t>
      </w:r>
      <w:r>
        <w:rPr>
          <w:rFonts w:ascii="Times New Roman" w:eastAsia="Times New Roman"/>
          <w:spacing w:val="1"/>
          <w:w w:val="110"/>
          <w:sz w:val="24"/>
          <w:vertAlign w:val="baseline"/>
        </w:rPr>
        <w:t> </w:t>
      </w:r>
      <w:r>
        <w:rPr>
          <w:rFonts w:ascii="Times New Roman" w:eastAsia="Times New Roman"/>
          <w:w w:val="110"/>
          <w:sz w:val="24"/>
          <w:vertAlign w:val="baseline"/>
        </w:rPr>
        <w:t>vgl.</w:t>
      </w:r>
      <w:r>
        <w:rPr>
          <w:rFonts w:ascii="Times New Roman" w:eastAsia="Times New Roman"/>
          <w:spacing w:val="1"/>
          <w:w w:val="110"/>
          <w:sz w:val="24"/>
          <w:vertAlign w:val="baseline"/>
        </w:rPr>
        <w:t> </w:t>
      </w:r>
      <w:r>
        <w:rPr>
          <w:rFonts w:ascii="Times New Roman" w:eastAsia="Times New Roman"/>
          <w:w w:val="110"/>
          <w:sz w:val="24"/>
          <w:vertAlign w:val="baseline"/>
        </w:rPr>
        <w:t>Schoch, Vorlaufiger</w:t>
      </w:r>
      <w:r>
        <w:rPr>
          <w:rFonts w:ascii="Times New Roman" w:eastAsia="Times New Roman"/>
          <w:spacing w:val="1"/>
          <w:w w:val="110"/>
          <w:sz w:val="24"/>
          <w:vertAlign w:val="baseline"/>
        </w:rPr>
        <w:t> </w:t>
      </w:r>
      <w:r>
        <w:rPr>
          <w:rFonts w:ascii="Times New Roman" w:eastAsia="Times New Roman"/>
          <w:w w:val="110"/>
          <w:sz w:val="24"/>
          <w:vertAlign w:val="baseline"/>
        </w:rPr>
        <w:t>Rechtsschutz</w:t>
      </w:r>
      <w:r>
        <w:rPr>
          <w:rFonts w:ascii="Times New Roman" w:eastAsia="Times New Roman"/>
          <w:spacing w:val="1"/>
          <w:w w:val="110"/>
          <w:sz w:val="24"/>
          <w:vertAlign w:val="baseline"/>
        </w:rPr>
        <w:t> </w:t>
      </w:r>
      <w:r>
        <w:rPr>
          <w:rFonts w:ascii="Times New Roman" w:eastAsia="Times New Roman"/>
          <w:w w:val="110"/>
          <w:sz w:val="24"/>
          <w:vertAlign w:val="baseline"/>
        </w:rPr>
        <w:t>und</w:t>
      </w:r>
      <w:r>
        <w:rPr>
          <w:rFonts w:ascii="Times New Roman" w:eastAsia="Times New Roman"/>
          <w:spacing w:val="1"/>
          <w:w w:val="110"/>
          <w:sz w:val="24"/>
          <w:vertAlign w:val="baseline"/>
        </w:rPr>
        <w:t> </w:t>
      </w:r>
      <w:r>
        <w:rPr>
          <w:rFonts w:ascii="Times New Roman" w:eastAsia="Times New Roman"/>
          <w:w w:val="110"/>
          <w:sz w:val="24"/>
          <w:vertAlign w:val="baseline"/>
        </w:rPr>
        <w:t>Risikoverteilung</w:t>
      </w:r>
      <w:r>
        <w:rPr>
          <w:rFonts w:ascii="Times New Roman" w:eastAsia="Times New Roman"/>
          <w:spacing w:val="63"/>
          <w:w w:val="110"/>
          <w:sz w:val="24"/>
          <w:vertAlign w:val="baseline"/>
        </w:rPr>
        <w:t> </w:t>
      </w:r>
      <w:r>
        <w:rPr>
          <w:rFonts w:ascii="Times New Roman" w:eastAsia="Times New Roman"/>
          <w:sz w:val="24"/>
          <w:vertAlign w:val="baseline"/>
        </w:rPr>
        <w:t>im</w:t>
      </w:r>
      <w:r>
        <w:rPr>
          <w:rFonts w:ascii="Times New Roman" w:eastAsia="Times New Roman"/>
          <w:spacing w:val="53"/>
          <w:sz w:val="24"/>
          <w:vertAlign w:val="baseline"/>
        </w:rPr>
        <w:t> </w:t>
      </w:r>
      <w:r>
        <w:rPr>
          <w:rFonts w:ascii="Times New Roman" w:eastAsia="Times New Roman"/>
          <w:w w:val="110"/>
          <w:sz w:val="24"/>
          <w:vertAlign w:val="baseline"/>
        </w:rPr>
        <w:t>Verwaltungsrecht</w:t>
      </w:r>
      <w:r>
        <w:rPr>
          <w:rFonts w:ascii="Times New Roman" w:eastAsia="Times New Roman"/>
          <w:spacing w:val="12"/>
          <w:w w:val="110"/>
          <w:sz w:val="24"/>
          <w:vertAlign w:val="baseline"/>
        </w:rPr>
        <w:t>, </w:t>
      </w:r>
      <w:r>
        <w:rPr>
          <w:rFonts w:ascii="Times New Roman" w:eastAsia="Times New Roman"/>
          <w:w w:val="110"/>
          <w:sz w:val="24"/>
          <w:vertAlign w:val="baseline"/>
        </w:rPr>
        <w:t>1988,</w:t>
      </w:r>
      <w:r>
        <w:rPr>
          <w:rFonts w:ascii="Times New Roman" w:eastAsia="Times New Roman"/>
          <w:spacing w:val="27"/>
          <w:w w:val="110"/>
          <w:sz w:val="24"/>
          <w:vertAlign w:val="baseline"/>
        </w:rPr>
        <w:t> </w:t>
      </w:r>
      <w:r>
        <w:rPr>
          <w:rFonts w:ascii="Times New Roman" w:eastAsia="Times New Roman"/>
          <w:w w:val="110"/>
          <w:sz w:val="24"/>
          <w:vertAlign w:val="baseline"/>
        </w:rPr>
        <w:t>S</w:t>
      </w:r>
      <w:r>
        <w:rPr>
          <w:rFonts w:ascii="Times New Roman" w:eastAsia="Times New Roman"/>
          <w:spacing w:val="15"/>
          <w:w w:val="110"/>
          <w:sz w:val="24"/>
          <w:vertAlign w:val="baseline"/>
        </w:rPr>
        <w:t>. </w:t>
      </w:r>
      <w:r>
        <w:rPr>
          <w:rFonts w:ascii="Times New Roman" w:eastAsia="Times New Roman"/>
          <w:w w:val="110"/>
          <w:sz w:val="24"/>
          <w:vertAlign w:val="baseline"/>
        </w:rPr>
        <w:t>692</w:t>
      </w:r>
      <w:r>
        <w:rPr>
          <w:rFonts w:ascii="Times New Roman" w:eastAsia="Times New Roman"/>
          <w:spacing w:val="47"/>
          <w:w w:val="110"/>
          <w:sz w:val="24"/>
          <w:vertAlign w:val="baseline"/>
        </w:rPr>
        <w:t> </w:t>
      </w:r>
      <w:r>
        <w:rPr>
          <w:rFonts w:ascii="Times New Roman" w:eastAsia="Times New Roman"/>
          <w:w w:val="110"/>
          <w:sz w:val="24"/>
          <w:vertAlign w:val="baseline"/>
        </w:rPr>
        <w:t>Fn</w:t>
      </w:r>
      <w:r>
        <w:rPr>
          <w:rFonts w:ascii="Times New Roman" w:eastAsia="Times New Roman"/>
          <w:spacing w:val="18"/>
          <w:w w:val="110"/>
          <w:sz w:val="24"/>
          <w:vertAlign w:val="baseline"/>
        </w:rPr>
        <w:t>. </w:t>
      </w:r>
      <w:r>
        <w:rPr>
          <w:rFonts w:ascii="Times New Roman" w:eastAsia="Times New Roman"/>
          <w:w w:val="110"/>
          <w:sz w:val="24"/>
          <w:vertAlign w:val="baseline"/>
        </w:rPr>
        <w:t>92</w:t>
      </w:r>
      <w:r>
        <w:rPr>
          <w:rFonts w:ascii="Times New Roman" w:eastAsia="Times New Roman"/>
          <w:spacing w:val="47"/>
          <w:w w:val="110"/>
          <w:sz w:val="24"/>
          <w:vertAlign w:val="baseline"/>
        </w:rPr>
        <w:t> </w:t>
      </w:r>
      <w:r>
        <w:rPr>
          <w:rFonts w:ascii="Times New Roman" w:eastAsia="Times New Roman"/>
          <w:sz w:val="24"/>
          <w:vertAlign w:val="baseline"/>
        </w:rPr>
        <w:t>m</w:t>
      </w:r>
      <w:r>
        <w:rPr>
          <w:rFonts w:ascii="Times New Roman" w:eastAsia="Times New Roman"/>
          <w:spacing w:val="21"/>
          <w:sz w:val="24"/>
          <w:vertAlign w:val="baseline"/>
        </w:rPr>
        <w:t>. </w:t>
      </w:r>
      <w:r>
        <w:rPr>
          <w:rFonts w:ascii="Times New Roman" w:eastAsia="Times New Roman"/>
          <w:sz w:val="24"/>
          <w:vertAlign w:val="baseline"/>
        </w:rPr>
        <w:t>w</w:t>
      </w:r>
      <w:r>
        <w:rPr>
          <w:rFonts w:ascii="Times New Roman" w:eastAsia="Times New Roman"/>
          <w:spacing w:val="25"/>
          <w:sz w:val="24"/>
          <w:vertAlign w:val="baseline"/>
        </w:rPr>
        <w:t>. </w:t>
      </w:r>
      <w:r>
        <w:rPr>
          <w:rFonts w:ascii="Times New Roman" w:eastAsia="Times New Roman"/>
          <w:sz w:val="24"/>
          <w:vertAlign w:val="baseline"/>
        </w:rPr>
        <w:t>N.</w:t>
      </w:r>
    </w:p>
    <w:p>
      <w:pPr>
        <w:spacing w:line="271" w:lineRule="auto" w:before="4"/>
        <w:ind w:left="500" w:right="620" w:hanging="202"/>
        <w:jc w:val="left"/>
        <w:rPr>
          <w:rFonts w:ascii="Arial"/>
          <w:sz w:val="24"/>
        </w:rPr>
      </w:pPr>
      <w:r>
        <w:rPr>
          <w:rFonts w:ascii="Times New Roman"/>
          <w:w w:val="105"/>
          <w:position w:val="8"/>
          <w:sz w:val="13"/>
        </w:rPr>
        <w:t>42</w:t>
      </w:r>
      <w:r>
        <w:rPr>
          <w:rFonts w:ascii="Times New Roman"/>
          <w:spacing w:val="1"/>
          <w:w w:val="105"/>
          <w:position w:val="8"/>
          <w:sz w:val="13"/>
        </w:rPr>
        <w:t> </w:t>
      </w:r>
      <w:r>
        <w:rPr>
          <w:rFonts w:ascii="Times New Roman"/>
          <w:w w:val="105"/>
          <w:sz w:val="24"/>
        </w:rPr>
        <w:t>Schoch,</w:t>
      </w:r>
      <w:r>
        <w:rPr>
          <w:rFonts w:ascii="Times New Roman"/>
          <w:spacing w:val="1"/>
          <w:w w:val="105"/>
          <w:sz w:val="24"/>
        </w:rPr>
        <w:t> </w:t>
      </w:r>
      <w:r>
        <w:rPr>
          <w:rFonts w:ascii="Times New Roman"/>
          <w:w w:val="105"/>
          <w:sz w:val="24"/>
        </w:rPr>
        <w:t>Vorlauf</w:t>
      </w:r>
      <w:r>
        <w:rPr>
          <w:rFonts w:ascii="Times New Roman"/>
          <w:spacing w:val="1"/>
          <w:w w:val="105"/>
          <w:sz w:val="24"/>
        </w:rPr>
        <w:t> </w:t>
      </w:r>
      <w:r>
        <w:rPr>
          <w:rFonts w:ascii="Times New Roman"/>
          <w:w w:val="105"/>
          <w:sz w:val="24"/>
        </w:rPr>
        <w:t>iger</w:t>
      </w:r>
      <w:r>
        <w:rPr>
          <w:rFonts w:ascii="Times New Roman"/>
          <w:spacing w:val="1"/>
          <w:w w:val="105"/>
          <w:sz w:val="24"/>
        </w:rPr>
        <w:t> </w:t>
      </w:r>
      <w:r>
        <w:rPr>
          <w:rFonts w:ascii="Times New Roman"/>
          <w:w w:val="105"/>
          <w:sz w:val="24"/>
        </w:rPr>
        <w:t>Rechtsschutz</w:t>
      </w:r>
      <w:r>
        <w:rPr>
          <w:rFonts w:ascii="Times New Roman"/>
          <w:spacing w:val="1"/>
          <w:w w:val="105"/>
          <w:sz w:val="24"/>
        </w:rPr>
        <w:t> </w:t>
      </w:r>
      <w:r>
        <w:rPr>
          <w:rFonts w:ascii="Times New Roman"/>
          <w:w w:val="105"/>
          <w:sz w:val="24"/>
        </w:rPr>
        <w:t>und</w:t>
      </w:r>
      <w:r>
        <w:rPr>
          <w:rFonts w:ascii="Times New Roman"/>
          <w:spacing w:val="1"/>
          <w:w w:val="105"/>
          <w:sz w:val="24"/>
        </w:rPr>
        <w:t> </w:t>
      </w:r>
      <w:r>
        <w:rPr>
          <w:rFonts w:ascii="Times New Roman"/>
          <w:w w:val="105"/>
          <w:sz w:val="24"/>
        </w:rPr>
        <w:t>Risikovertei lung</w:t>
      </w:r>
      <w:r>
        <w:rPr>
          <w:rFonts w:ascii="Times New Roman"/>
          <w:spacing w:val="1"/>
          <w:w w:val="105"/>
          <w:sz w:val="24"/>
        </w:rPr>
        <w:t> </w:t>
      </w:r>
      <w:r>
        <w:rPr>
          <w:rFonts w:ascii="Times New Roman"/>
          <w:w w:val="105"/>
          <w:sz w:val="24"/>
        </w:rPr>
        <w:t>im  Verwal tungsrecht,</w:t>
      </w:r>
      <w:r>
        <w:rPr>
          <w:rFonts w:ascii="Times New Roman"/>
          <w:spacing w:val="-60"/>
          <w:w w:val="105"/>
          <w:sz w:val="24"/>
        </w:rPr>
        <w:t> </w:t>
      </w:r>
      <w:r>
        <w:rPr>
          <w:rFonts w:ascii="Times New Roman"/>
          <w:w w:val="105"/>
          <w:sz w:val="24"/>
        </w:rPr>
        <w:t>1988,</w:t>
      </w:r>
      <w:r>
        <w:rPr>
          <w:rFonts w:ascii="Times New Roman"/>
          <w:spacing w:val="51"/>
          <w:w w:val="105"/>
          <w:sz w:val="24"/>
        </w:rPr>
        <w:t> </w:t>
      </w:r>
      <w:r>
        <w:rPr>
          <w:rFonts w:ascii="Times New Roman"/>
          <w:w w:val="105"/>
          <w:sz w:val="24"/>
        </w:rPr>
        <w:t>S.</w:t>
      </w:r>
      <w:r>
        <w:rPr>
          <w:rFonts w:ascii="Times New Roman"/>
          <w:spacing w:val="59"/>
          <w:w w:val="105"/>
          <w:sz w:val="24"/>
        </w:rPr>
        <w:t> </w:t>
      </w:r>
      <w:r>
        <w:rPr>
          <w:rFonts w:ascii="Times New Roman"/>
          <w:w w:val="105"/>
          <w:sz w:val="24"/>
        </w:rPr>
        <w:t>692</w:t>
      </w:r>
      <w:r>
        <w:rPr>
          <w:rFonts w:ascii="Times New Roman"/>
          <w:spacing w:val="20"/>
          <w:w w:val="105"/>
          <w:sz w:val="24"/>
        </w:rPr>
        <w:t> </w:t>
      </w:r>
      <w:r>
        <w:rPr>
          <w:rFonts w:ascii="Arial"/>
          <w:w w:val="105"/>
          <w:sz w:val="24"/>
        </w:rPr>
        <w:t>f.</w:t>
      </w:r>
    </w:p>
    <w:p>
      <w:pPr>
        <w:spacing w:after="0" w:line="271" w:lineRule="auto"/>
        <w:jc w:val="left"/>
        <w:rPr>
          <w:rFonts w:ascii="Arial"/>
          <w:sz w:val="24"/>
        </w:rPr>
        <w:sectPr>
          <w:pgSz w:w="11910" w:h="16840"/>
          <w:pgMar w:header="862" w:footer="1017" w:top="1060" w:bottom="1200" w:left="1120" w:right="1060"/>
        </w:sectPr>
      </w:pPr>
    </w:p>
    <w:p>
      <w:pPr>
        <w:pStyle w:val="BodyText"/>
        <w:spacing w:before="7"/>
        <w:rPr>
          <w:rFonts w:ascii="Arial"/>
          <w:sz w:val="29"/>
        </w:rPr>
      </w:pPr>
    </w:p>
    <w:p>
      <w:pPr>
        <w:tabs>
          <w:tab w:pos="1169" w:val="left" w:leader="none"/>
        </w:tabs>
        <w:spacing w:before="89"/>
        <w:ind w:left="302" w:right="0" w:firstLine="0"/>
        <w:jc w:val="left"/>
        <w:rPr>
          <w:sz w:val="25"/>
        </w:rPr>
      </w:pPr>
      <w:r>
        <w:rPr>
          <w:rFonts w:ascii="Times New Roman" w:eastAsia="Times New Roman"/>
          <w:spacing w:val="-1"/>
          <w:w w:val="67"/>
          <w:sz w:val="28"/>
        </w:rPr>
        <w:t>D</w:t>
      </w:r>
      <w:r>
        <w:rPr>
          <w:rFonts w:ascii="Times New Roman" w:eastAsia="Times New Roman"/>
          <w:w w:val="67"/>
          <w:sz w:val="28"/>
        </w:rPr>
        <w:t>r</w:t>
      </w:r>
      <w:r>
        <w:rPr>
          <w:rFonts w:ascii="Times New Roman" w:eastAsia="Times New Roman"/>
          <w:spacing w:val="-18"/>
          <w:sz w:val="28"/>
        </w:rPr>
        <w:t>  </w:t>
      </w:r>
      <w:r>
        <w:rPr>
          <w:rFonts w:ascii="Times New Roman" w:eastAsia="Times New Roman"/>
          <w:w w:val="67"/>
          <w:sz w:val="28"/>
        </w:rPr>
        <w:t>i</w:t>
      </w:r>
      <w:r>
        <w:rPr>
          <w:rFonts w:ascii="Times New Roman" w:eastAsia="Times New Roman"/>
          <w:spacing w:val="8"/>
          <w:sz w:val="28"/>
        </w:rPr>
        <w:t> </w:t>
      </w:r>
      <w:r>
        <w:rPr>
          <w:rFonts w:ascii="Times New Roman" w:eastAsia="Times New Roman"/>
          <w:w w:val="67"/>
          <w:sz w:val="28"/>
        </w:rPr>
        <w:t>t</w:t>
      </w:r>
      <w:r>
        <w:rPr>
          <w:rFonts w:ascii="Times New Roman" w:eastAsia="Times New Roman"/>
          <w:spacing w:val="-17"/>
          <w:sz w:val="28"/>
        </w:rPr>
        <w:t> </w:t>
      </w:r>
      <w:r>
        <w:rPr>
          <w:rFonts w:ascii="Times New Roman" w:eastAsia="Times New Roman"/>
          <w:spacing w:val="-177"/>
          <w:w w:val="106"/>
          <w:sz w:val="28"/>
        </w:rPr>
        <w:t>w</w:t>
      </w:r>
      <w:r>
        <w:rPr>
          <w:rFonts w:ascii="Times New Roman" w:eastAsia="Times New Roman"/>
          <w:w w:val="67"/>
          <w:sz w:val="28"/>
        </w:rPr>
        <w:t>t</w:t>
      </w:r>
      <w:r>
        <w:rPr>
          <w:rFonts w:ascii="Times New Roman" w:eastAsia="Times New Roman"/>
          <w:sz w:val="28"/>
        </w:rPr>
        <w:tab/>
      </w:r>
      <w:r>
        <w:rPr>
          <w:rFonts w:ascii="Times New Roman" w:eastAsia="Times New Roman"/>
          <w:w w:val="106"/>
          <w:sz w:val="28"/>
        </w:rPr>
        <w:t>i</w:t>
      </w:r>
      <w:r>
        <w:rPr>
          <w:rFonts w:ascii="Times New Roman" w:eastAsia="Times New Roman"/>
          <w:spacing w:val="-22"/>
          <w:sz w:val="28"/>
        </w:rPr>
        <w:t> </w:t>
      </w:r>
      <w:r>
        <w:rPr>
          <w:rFonts w:ascii="Times New Roman" w:eastAsia="Times New Roman"/>
          <w:spacing w:val="35"/>
          <w:w w:val="106"/>
          <w:sz w:val="28"/>
        </w:rPr>
        <w:t>r</w:t>
      </w:r>
      <w:r>
        <w:rPr>
          <w:rFonts w:ascii="Times New Roman" w:eastAsia="Times New Roman"/>
          <w:w w:val="91"/>
          <w:sz w:val="28"/>
        </w:rPr>
        <w:t>ku</w:t>
      </w:r>
      <w:r>
        <w:rPr>
          <w:rFonts w:ascii="Times New Roman" w:eastAsia="Times New Roman"/>
          <w:spacing w:val="29"/>
          <w:w w:val="91"/>
          <w:sz w:val="28"/>
        </w:rPr>
        <w:t>n</w:t>
      </w:r>
      <w:r>
        <w:rPr>
          <w:rFonts w:ascii="Times New Roman" w:eastAsia="Times New Roman"/>
          <w:spacing w:val="33"/>
          <w:w w:val="108"/>
          <w:sz w:val="28"/>
        </w:rPr>
        <w:t>g</w:t>
      </w:r>
      <w:r>
        <w:rPr>
          <w:rFonts w:ascii="Times New Roman" w:eastAsia="Times New Roman"/>
          <w:w w:val="108"/>
          <w:sz w:val="28"/>
        </w:rPr>
        <w:t>)</w:t>
      </w:r>
      <w:r>
        <w:rPr>
          <w:rFonts w:ascii="Times New Roman" w:eastAsia="Times New Roman"/>
          <w:spacing w:val="12"/>
          <w:sz w:val="28"/>
        </w:rPr>
        <w:t> </w:t>
      </w:r>
      <w:r>
        <w:rPr>
          <w:w w:val="62"/>
          <w:sz w:val="25"/>
        </w:rPr>
        <w:t>，</w:t>
      </w:r>
      <w:r>
        <w:rPr>
          <w:spacing w:val="-84"/>
          <w:sz w:val="25"/>
        </w:rPr>
        <w:t> </w:t>
      </w:r>
      <w:r>
        <w:rPr>
          <w:spacing w:val="34"/>
          <w:w w:val="103"/>
          <w:sz w:val="25"/>
        </w:rPr>
        <w:t>應</w:t>
      </w:r>
      <w:r>
        <w:rPr>
          <w:spacing w:val="37"/>
          <w:w w:val="96"/>
          <w:sz w:val="25"/>
        </w:rPr>
        <w:t>為正確</w:t>
      </w:r>
      <w:r>
        <w:rPr>
          <w:spacing w:val="26"/>
          <w:w w:val="109"/>
          <w:sz w:val="25"/>
        </w:rPr>
        <w:t>之</w:t>
      </w:r>
      <w:r>
        <w:rPr>
          <w:w w:val="95"/>
          <w:sz w:val="25"/>
        </w:rPr>
        <w:t>見解</w:t>
      </w:r>
      <w:r>
        <w:rPr>
          <w:spacing w:val="6"/>
          <w:sz w:val="25"/>
        </w:rPr>
        <w:t> </w:t>
      </w:r>
      <w:r>
        <w:rPr>
          <w:w w:val="107"/>
          <w:sz w:val="25"/>
        </w:rPr>
        <w:t>。</w:t>
      </w:r>
    </w:p>
    <w:p>
      <w:pPr>
        <w:pStyle w:val="BodyText"/>
        <w:spacing w:line="326" w:lineRule="auto" w:before="112"/>
        <w:ind w:left="302" w:right="502" w:firstLine="570"/>
      </w:pPr>
      <w:r>
        <w:rPr>
          <w:w w:val="110"/>
        </w:rPr>
        <w:t>再者，所謂公務員法上之職務安定原則，固然有其重要性。然而，無條件貫徹職務安定原則之結果，將造成人事主管機關一旦任命競爭者中之一人擔任系爭公職之公務員時，即發生形成既定事實之效果，其他競爭者再也無從向行政法院尋求権利救濟。固然，人事主管機關之任命如構成聯</w:t>
      </w:r>
      <w:r>
        <w:rPr>
          <w:spacing w:val="21"/>
        </w:rPr>
        <w:t>邦公務</w:t>
      </w:r>
      <w:r>
        <w:rPr>
          <w:spacing w:val="-26"/>
          <w:w w:val="95"/>
        </w:rPr>
        <w:t>員 </w:t>
      </w:r>
      <w:r>
        <w:rPr>
          <w:spacing w:val="23"/>
        </w:rPr>
        <w:t>法第 </w:t>
      </w:r>
      <w:r>
        <w:rPr>
          <w:rFonts w:ascii="Times New Roman" w:eastAsia="Times New Roman"/>
          <w:sz w:val="28"/>
        </w:rPr>
        <w:t>l</w:t>
      </w:r>
      <w:r>
        <w:rPr>
          <w:rFonts w:ascii="Times New Roman" w:eastAsia="Times New Roman"/>
          <w:spacing w:val="24"/>
          <w:sz w:val="28"/>
        </w:rPr>
        <w:t> </w:t>
      </w:r>
      <w:r>
        <w:rPr>
          <w:rFonts w:ascii="Times New Roman" w:eastAsia="Times New Roman"/>
          <w:sz w:val="28"/>
        </w:rPr>
        <w:t>l</w:t>
      </w:r>
      <w:r>
        <w:rPr>
          <w:rFonts w:ascii="Times New Roman" w:eastAsia="Times New Roman"/>
          <w:spacing w:val="26"/>
          <w:sz w:val="28"/>
        </w:rPr>
        <w:t> </w:t>
      </w:r>
      <w:r>
        <w:rPr>
          <w:spacing w:val="-21"/>
        </w:rPr>
        <w:t>條 、第 </w:t>
      </w:r>
      <w:r>
        <w:rPr>
          <w:rFonts w:ascii="Times New Roman" w:eastAsia="Times New Roman"/>
          <w:sz w:val="28"/>
        </w:rPr>
        <w:t>12</w:t>
      </w:r>
      <w:r>
        <w:rPr>
          <w:rFonts w:ascii="Times New Roman" w:eastAsia="Times New Roman"/>
          <w:spacing w:val="12"/>
          <w:sz w:val="28"/>
        </w:rPr>
        <w:t> </w:t>
      </w:r>
      <w:r>
        <w:rPr>
          <w:spacing w:val="11"/>
        </w:rPr>
        <w:t>條之無效或撒回之情事 </w:t>
      </w:r>
      <w:r>
        <w:rPr>
          <w:spacing w:val="-44"/>
          <w:w w:val="95"/>
        </w:rPr>
        <w:t>， </w:t>
      </w:r>
      <w:r>
        <w:rPr>
          <w:spacing w:val="4"/>
        </w:rPr>
        <w:t>未獲任命之競爭者仍</w:t>
      </w:r>
      <w:r>
        <w:rPr>
          <w:spacing w:val="12"/>
        </w:rPr>
        <w:t>有向行政法院訴訟請求權利保護之機會</w:t>
      </w:r>
      <w:r>
        <w:rPr>
          <w:rFonts w:ascii="Times New Roman" w:eastAsia="Times New Roman"/>
          <w:w w:val="95"/>
          <w:sz w:val="15"/>
        </w:rPr>
        <w:t>43</w:t>
      </w:r>
      <w:r>
        <w:rPr>
          <w:rFonts w:ascii="Times New Roman" w:eastAsia="Times New Roman"/>
          <w:spacing w:val="35"/>
          <w:sz w:val="15"/>
        </w:rPr>
        <w:t>    </w:t>
      </w:r>
      <w:r>
        <w:rPr>
          <w:spacing w:val="11"/>
          <w:w w:val="90"/>
        </w:rPr>
        <w:t>。 然而該 法第 </w:t>
      </w:r>
      <w:r>
        <w:rPr>
          <w:rFonts w:ascii="Times New Roman" w:eastAsia="Times New Roman"/>
          <w:w w:val="90"/>
          <w:sz w:val="28"/>
        </w:rPr>
        <w:t>l</w:t>
      </w:r>
      <w:r>
        <w:rPr>
          <w:rFonts w:ascii="Times New Roman" w:eastAsia="Times New Roman"/>
          <w:spacing w:val="17"/>
          <w:w w:val="90"/>
          <w:sz w:val="28"/>
        </w:rPr>
        <w:t> </w:t>
      </w:r>
      <w:r>
        <w:rPr>
          <w:rFonts w:ascii="Times New Roman" w:eastAsia="Times New Roman"/>
          <w:w w:val="90"/>
          <w:sz w:val="28"/>
        </w:rPr>
        <w:t>l</w:t>
      </w:r>
      <w:r>
        <w:rPr>
          <w:rFonts w:ascii="Times New Roman" w:eastAsia="Times New Roman"/>
          <w:spacing w:val="16"/>
          <w:w w:val="90"/>
          <w:sz w:val="28"/>
        </w:rPr>
        <w:t> </w:t>
      </w:r>
      <w:r>
        <w:rPr>
          <w:spacing w:val="21"/>
          <w:w w:val="90"/>
        </w:rPr>
        <w:t>條丶第 </w:t>
      </w:r>
      <w:r>
        <w:rPr>
          <w:rFonts w:ascii="Times New Roman" w:eastAsia="Times New Roman"/>
          <w:w w:val="90"/>
          <w:sz w:val="28"/>
        </w:rPr>
        <w:t>12</w:t>
      </w:r>
      <w:r>
        <w:rPr>
          <w:rFonts w:ascii="Times New Roman" w:eastAsia="Times New Roman"/>
          <w:spacing w:val="7"/>
          <w:w w:val="90"/>
          <w:sz w:val="28"/>
        </w:rPr>
        <w:t> </w:t>
      </w:r>
      <w:r>
        <w:rPr>
          <w:spacing w:val="6"/>
          <w:w w:val="90"/>
        </w:rPr>
        <w:t>條所</w:t>
      </w:r>
      <w:r>
        <w:rPr>
          <w:w w:val="110"/>
        </w:rPr>
        <w:t>列舉者，均為行政處分具有重大瑕疵之情事，並不常見。若人事主管機關</w:t>
      </w:r>
      <w:r>
        <w:rPr>
          <w:spacing w:val="18"/>
        </w:rPr>
        <w:t>於作成該行政處分時</w:t>
      </w:r>
      <w:r>
        <w:rPr>
          <w:spacing w:val="-41"/>
          <w:w w:val="95"/>
        </w:rPr>
        <w:t>， </w:t>
      </w:r>
      <w:r>
        <w:rPr>
          <w:spacing w:val="22"/>
        </w:rPr>
        <w:t>具有該法第 </w:t>
      </w:r>
      <w:r>
        <w:rPr>
          <w:rFonts w:ascii="Times New Roman" w:eastAsia="Times New Roman"/>
          <w:sz w:val="28"/>
        </w:rPr>
        <w:t>l</w:t>
      </w:r>
      <w:r>
        <w:rPr>
          <w:rFonts w:ascii="Times New Roman" w:eastAsia="Times New Roman"/>
          <w:spacing w:val="27"/>
          <w:sz w:val="28"/>
        </w:rPr>
        <w:t> </w:t>
      </w:r>
      <w:r>
        <w:rPr>
          <w:rFonts w:ascii="Times New Roman" w:eastAsia="Times New Roman"/>
          <w:sz w:val="28"/>
        </w:rPr>
        <w:t>l</w:t>
      </w:r>
      <w:r>
        <w:rPr>
          <w:rFonts w:ascii="Times New Roman" w:eastAsia="Times New Roman"/>
          <w:spacing w:val="24"/>
          <w:sz w:val="28"/>
        </w:rPr>
        <w:t> </w:t>
      </w:r>
      <w:r>
        <w:rPr>
          <w:spacing w:val="-18"/>
        </w:rPr>
        <w:t>條 、第 </w:t>
      </w:r>
      <w:r>
        <w:rPr>
          <w:rFonts w:ascii="Times New Roman" w:eastAsia="Times New Roman"/>
          <w:sz w:val="28"/>
        </w:rPr>
        <w:t>12</w:t>
      </w:r>
      <w:r>
        <w:rPr>
          <w:rFonts w:ascii="Times New Roman" w:eastAsia="Times New Roman"/>
          <w:spacing w:val="14"/>
          <w:sz w:val="28"/>
        </w:rPr>
        <w:t> </w:t>
      </w:r>
      <w:r>
        <w:rPr>
          <w:spacing w:val="16"/>
        </w:rPr>
        <w:t>條所列舉者以外之違法情</w:t>
      </w:r>
      <w:r>
        <w:rPr>
          <w:spacing w:val="2"/>
        </w:rPr>
        <w:t>事 </w:t>
      </w:r>
      <w:r>
        <w:rPr>
          <w:spacing w:val="-34"/>
          <w:w w:val="95"/>
        </w:rPr>
        <w:t>， </w:t>
      </w:r>
      <w:r>
        <w:rPr>
          <w:spacing w:val="-4"/>
        </w:rPr>
        <w:t>例如裁量瑕 疵</w:t>
      </w:r>
      <w:r>
        <w:rPr>
          <w:rFonts w:ascii="Times New Roman" w:eastAsia="Times New Roman"/>
          <w:w w:val="95"/>
          <w:sz w:val="15"/>
        </w:rPr>
        <w:t>44</w:t>
      </w:r>
      <w:r>
        <w:rPr>
          <w:rFonts w:ascii="Times New Roman" w:eastAsia="Times New Roman"/>
          <w:spacing w:val="10"/>
          <w:w w:val="95"/>
          <w:sz w:val="15"/>
        </w:rPr>
        <w:t> </w:t>
      </w:r>
      <w:r>
        <w:rPr>
          <w:spacing w:val="-5"/>
        </w:rPr>
        <w:t>時 </w:t>
      </w:r>
      <w:r>
        <w:rPr>
          <w:spacing w:val="-27"/>
          <w:w w:val="95"/>
        </w:rPr>
        <w:t>， </w:t>
      </w:r>
      <w:r>
        <w:rPr>
          <w:spacing w:val="8"/>
        </w:rPr>
        <w:t>未獲任命之競爭者即無向行政法院請求權利保護</w:t>
      </w:r>
      <w:r>
        <w:rPr>
          <w:w w:val="110"/>
        </w:rPr>
        <w:t>之機會。如此，無條件貫徹職務安定原則之結果，不但將導致人民之「無</w:t>
      </w:r>
      <w:r>
        <w:rPr>
          <w:spacing w:val="8"/>
          <w:w w:val="105"/>
        </w:rPr>
        <w:t>缺點裁量靖 求權」</w:t>
      </w:r>
      <w:r>
        <w:rPr>
          <w:rFonts w:ascii="Times New Roman" w:eastAsia="Times New Roman"/>
          <w:w w:val="105"/>
          <w:sz w:val="28"/>
        </w:rPr>
        <w:t>( </w:t>
      </w:r>
      <w:r>
        <w:rPr>
          <w:rFonts w:ascii="Times New Roman" w:eastAsia="Times New Roman"/>
          <w:w w:val="95"/>
          <w:sz w:val="28"/>
        </w:rPr>
        <w:t>Ans </w:t>
      </w:r>
      <w:r>
        <w:rPr>
          <w:rFonts w:ascii="Times New Roman" w:eastAsia="Times New Roman"/>
          <w:w w:val="105"/>
          <w:sz w:val="28"/>
        </w:rPr>
        <w:t>pr uch  auf</w:t>
      </w:r>
      <w:r>
        <w:rPr>
          <w:rFonts w:ascii="Times New Roman" w:eastAsia="Times New Roman"/>
          <w:spacing w:val="74"/>
          <w:w w:val="105"/>
          <w:sz w:val="28"/>
        </w:rPr>
        <w:t> </w:t>
      </w:r>
      <w:r>
        <w:rPr>
          <w:rFonts w:ascii="Times New Roman" w:eastAsia="Times New Roman"/>
          <w:w w:val="105"/>
          <w:sz w:val="28"/>
        </w:rPr>
        <w:t>ermessensfehlerfreie  Entscheidung)</w:t>
      </w:r>
      <w:r>
        <w:rPr>
          <w:rFonts w:ascii="Times New Roman" w:eastAsia="Times New Roman"/>
          <w:spacing w:val="1"/>
          <w:w w:val="105"/>
          <w:sz w:val="28"/>
        </w:rPr>
        <w:t> </w:t>
      </w:r>
      <w:r>
        <w:rPr>
          <w:w w:val="110"/>
        </w:rPr>
        <w:t>落空，亦侵害未獲任命競爭者服公職之憲法上基本權利（憲法第十八條）</w:t>
      </w:r>
    </w:p>
    <w:p>
      <w:pPr>
        <w:spacing w:line="170" w:lineRule="exact" w:before="0"/>
        <w:ind w:left="305" w:right="0" w:firstLine="0"/>
        <w:jc w:val="left"/>
        <w:rPr>
          <w:rFonts w:ascii="Times New Roman"/>
          <w:sz w:val="16"/>
        </w:rPr>
      </w:pPr>
      <w:r>
        <w:rPr/>
        <w:pict>
          <v:shape style="position:absolute;margin-left:81.436562pt;margin-top:8.508389pt;width:16.05pt;height:16.05pt;mso-position-horizontal-relative:page;mso-position-vertical-relative:paragraph;z-index:15809024" type="#_x0000_t202" filled="false" stroked="false">
            <v:textbox inset="0,0,0,0" style="layout-flow:vertical-ideographic">
              <w:txbxContent>
                <w:p>
                  <w:pPr>
                    <w:spacing w:line="156" w:lineRule="auto" w:before="0"/>
                    <w:ind w:left="20" w:right="0" w:firstLine="0"/>
                    <w:jc w:val="left"/>
                    <w:rPr>
                      <w:sz w:val="28"/>
                    </w:rPr>
                  </w:pPr>
                  <w:r>
                    <w:rPr>
                      <w:w w:val="100"/>
                      <w:sz w:val="28"/>
                    </w:rPr>
                    <w:t>。</w:t>
                  </w:r>
                </w:p>
              </w:txbxContent>
            </v:textbox>
            <w10:wrap type="none"/>
          </v:shape>
        </w:pict>
      </w:r>
      <w:r>
        <w:rPr>
          <w:rFonts w:ascii="Times New Roman"/>
          <w:w w:val="95"/>
          <w:sz w:val="16"/>
        </w:rPr>
        <w:t>45</w:t>
      </w:r>
    </w:p>
    <w:p>
      <w:pPr>
        <w:pStyle w:val="BodyText"/>
        <w:spacing w:before="10"/>
        <w:rPr>
          <w:rFonts w:ascii="Times New Roman"/>
          <w:sz w:val="18"/>
        </w:rPr>
      </w:pPr>
    </w:p>
    <w:p>
      <w:pPr>
        <w:pStyle w:val="BodyText"/>
        <w:spacing w:line="326" w:lineRule="auto" w:before="66"/>
        <w:ind w:left="304" w:right="511" w:firstLine="571"/>
      </w:pPr>
      <w:r>
        <w:rPr>
          <w:w w:val="105"/>
        </w:rPr>
        <w:t>最後，就程序法之觀點而言，提超撤銷訴訟者，其訴権之有無，悉依</w:t>
      </w:r>
      <w:r>
        <w:rPr>
          <w:spacing w:val="76"/>
          <w:w w:val="105"/>
        </w:rPr>
        <w:t> </w:t>
      </w:r>
      <w:r>
        <w:rPr>
          <w:w w:val="105"/>
        </w:rPr>
        <w:t>其是否有權利或法律上利益受侵害為判斷標準。此一訴權有無之判斷標準</w:t>
      </w:r>
      <w:r>
        <w:rPr>
          <w:spacing w:val="122"/>
          <w:w w:val="105"/>
        </w:rPr>
        <w:t> </w:t>
      </w:r>
      <w:r>
        <w:rPr>
          <w:w w:val="105"/>
        </w:rPr>
        <w:t>為行政訴訟法上之重要原則，不宜因適用領域之不同而異。如前所述，在</w:t>
      </w:r>
      <w:r>
        <w:rPr>
          <w:spacing w:val="122"/>
          <w:w w:val="105"/>
        </w:rPr>
        <w:t> </w:t>
      </w:r>
      <w:r>
        <w:rPr>
          <w:w w:val="105"/>
        </w:rPr>
        <w:t>公務員法之領域中，無條件貫徹職務安定原則之結果，將造成行政法院於</w:t>
      </w:r>
      <w:r>
        <w:rPr>
          <w:spacing w:val="122"/>
          <w:w w:val="105"/>
        </w:rPr>
        <w:t> </w:t>
      </w:r>
      <w:r>
        <w:rPr>
          <w:w w:val="105"/>
        </w:rPr>
        <w:t>審查訴之合法性時有不同之認定標準。即：如原告（未獲任命之競爭者）</w:t>
      </w:r>
      <w:r>
        <w:rPr>
          <w:spacing w:val="122"/>
          <w:w w:val="105"/>
        </w:rPr>
        <w:t> </w:t>
      </w:r>
      <w:r>
        <w:rPr>
          <w:w w:val="105"/>
        </w:rPr>
        <w:t>係主張人事主管機關任命某乙為系爭職務公務員之行政處分係無效、應撒</w:t>
      </w:r>
      <w:r>
        <w:rPr>
          <w:spacing w:val="122"/>
          <w:w w:val="105"/>
        </w:rPr>
        <w:t> </w:t>
      </w:r>
      <w:r>
        <w:rPr>
          <w:w w:val="105"/>
        </w:rPr>
        <w:t>回或得撤回，其訴即為合法；反之，如原告係主張人事主管機關任命某乙</w:t>
      </w:r>
      <w:r>
        <w:rPr>
          <w:spacing w:val="80"/>
          <w:w w:val="105"/>
        </w:rPr>
        <w:t> </w:t>
      </w:r>
      <w:r>
        <w:rPr/>
        <w:t>為系 爭職務公務員 之行政處分有聯邦公務員 法第 </w:t>
      </w:r>
      <w:r>
        <w:rPr>
          <w:rFonts w:ascii="Times New Roman" w:eastAsia="Times New Roman"/>
          <w:sz w:val="31"/>
        </w:rPr>
        <w:t>11</w:t>
      </w:r>
      <w:r>
        <w:rPr>
          <w:rFonts w:ascii="Times New Roman" w:eastAsia="Times New Roman"/>
          <w:spacing w:val="25"/>
          <w:sz w:val="31"/>
        </w:rPr>
        <w:t> </w:t>
      </w:r>
      <w:r>
        <w:rPr>
          <w:spacing w:val="-10"/>
        </w:rPr>
        <w:t>條、第 </w:t>
      </w:r>
      <w:r>
        <w:rPr>
          <w:rFonts w:ascii="Times New Roman" w:eastAsia="Times New Roman"/>
          <w:sz w:val="28"/>
        </w:rPr>
        <w:t>12</w:t>
      </w:r>
      <w:r>
        <w:rPr>
          <w:rFonts w:ascii="Times New Roman" w:eastAsia="Times New Roman"/>
          <w:spacing w:val="18"/>
          <w:sz w:val="28"/>
        </w:rPr>
        <w:t> </w:t>
      </w:r>
      <w:r>
        <w:rPr>
          <w:spacing w:val="16"/>
        </w:rPr>
        <w:t>條所列舉情</w:t>
      </w:r>
      <w:r>
        <w:rPr>
          <w:w w:val="105"/>
        </w:rPr>
        <w:t>事以外之違法事由時（如：裁量瑕疵），行政法院即應基於職務安定原則</w:t>
      </w:r>
      <w:r>
        <w:rPr>
          <w:spacing w:val="122"/>
          <w:w w:val="105"/>
        </w:rPr>
        <w:t> </w:t>
      </w:r>
      <w:r>
        <w:rPr>
          <w:w w:val="105"/>
        </w:rPr>
        <w:t>駁回其訴。此一結果，勢將割裂行政法院判斷訴權有無之標準，並非妥噹</w:t>
      </w:r>
    </w:p>
    <w:p>
      <w:pPr>
        <w:pStyle w:val="BodyText"/>
        <w:rPr>
          <w:sz w:val="20"/>
        </w:rPr>
      </w:pPr>
    </w:p>
    <w:p>
      <w:pPr>
        <w:pStyle w:val="BodyText"/>
        <w:rPr>
          <w:sz w:val="20"/>
        </w:rPr>
      </w:pPr>
    </w:p>
    <w:p>
      <w:pPr>
        <w:pStyle w:val="BodyText"/>
        <w:spacing w:before="10"/>
        <w:rPr>
          <w:sz w:val="24"/>
        </w:rPr>
      </w:pPr>
      <w:r>
        <w:rPr/>
        <w:pict>
          <v:shape style="position:absolute;margin-left:95.174004pt;margin-top:18.248285pt;width:144.25pt;height:.1pt;mso-position-horizontal-relative:page;mso-position-vertical-relative:paragraph;z-index:-15648768;mso-wrap-distance-left:0;mso-wrap-distance-right:0" coordorigin="1903,365" coordsize="2885,0" path="m1903,365l4788,365e" filled="false" stroked="true" strokeweight=".720821pt" strokecolor="#000000">
            <v:path arrowok="t"/>
            <v:stroke dashstyle="solid"/>
            <w10:wrap type="topAndBottom"/>
          </v:shape>
        </w:pict>
      </w:r>
    </w:p>
    <w:p>
      <w:pPr>
        <w:pStyle w:val="BodyText"/>
        <w:spacing w:before="9"/>
        <w:rPr>
          <w:sz w:val="10"/>
        </w:rPr>
      </w:pPr>
    </w:p>
    <w:p>
      <w:pPr>
        <w:spacing w:line="278" w:lineRule="auto" w:before="77"/>
        <w:ind w:left="506" w:right="504" w:hanging="209"/>
        <w:jc w:val="both"/>
        <w:rPr>
          <w:sz w:val="21"/>
        </w:rPr>
      </w:pPr>
      <w:r>
        <w:rPr>
          <w:rFonts w:ascii="Times New Roman" w:eastAsia="Times New Roman"/>
          <w:w w:val="110"/>
          <w:sz w:val="21"/>
          <w:vertAlign w:val="superscript"/>
        </w:rPr>
        <w:t>43</w:t>
      </w:r>
      <w:r>
        <w:rPr>
          <w:rFonts w:ascii="Times New Roman" w:eastAsia="Times New Roman"/>
          <w:spacing w:val="9"/>
          <w:w w:val="110"/>
          <w:sz w:val="21"/>
          <w:vertAlign w:val="baseline"/>
        </w:rPr>
        <w:t>    </w:t>
      </w:r>
      <w:r>
        <w:rPr>
          <w:w w:val="110"/>
          <w:sz w:val="21"/>
          <w:vertAlign w:val="baseline"/>
        </w:rPr>
        <w:t>此際，如依本文上述見解，人事主管機關對某乙任命之行政處分，同時侵害某甲之權利，為附第三人效力之行政處分，則某甲得就此行政處分提超確認行政處分蕪效</w:t>
      </w:r>
      <w:r>
        <w:rPr>
          <w:spacing w:val="69"/>
          <w:w w:val="110"/>
          <w:sz w:val="21"/>
          <w:vertAlign w:val="baseline"/>
        </w:rPr>
        <w:t> </w:t>
      </w:r>
      <w:r>
        <w:rPr>
          <w:w w:val="105"/>
          <w:sz w:val="21"/>
          <w:vertAlign w:val="baseline"/>
        </w:rPr>
        <w:t>之訴（聯邦公務員法第十一條之情形）及撤銷訴訟（聯邦公務員法第十二條之情形）。</w:t>
      </w:r>
    </w:p>
    <w:p>
      <w:pPr>
        <w:spacing w:line="278" w:lineRule="auto" w:before="1"/>
        <w:ind w:left="501" w:right="552" w:hanging="203"/>
        <w:jc w:val="both"/>
        <w:rPr>
          <w:sz w:val="21"/>
        </w:rPr>
      </w:pPr>
      <w:r>
        <w:rPr>
          <w:rFonts w:ascii="Times New Roman" w:eastAsia="Times New Roman"/>
          <w:w w:val="110"/>
          <w:sz w:val="21"/>
          <w:vertAlign w:val="superscript"/>
        </w:rPr>
        <w:t>44</w:t>
      </w:r>
      <w:r>
        <w:rPr>
          <w:rFonts w:ascii="Times New Roman" w:eastAsia="Times New Roman"/>
          <w:spacing w:val="31"/>
          <w:w w:val="110"/>
          <w:sz w:val="21"/>
          <w:vertAlign w:val="baseline"/>
        </w:rPr>
        <w:t> </w:t>
      </w:r>
      <w:r>
        <w:rPr>
          <w:w w:val="110"/>
          <w:sz w:val="21"/>
          <w:vertAlign w:val="baseline"/>
        </w:rPr>
        <w:t>例如：人事主管機關於作成任命某乙為系爭職務公務員時，違反行政程序法之規定，</w:t>
      </w:r>
      <w:r>
        <w:rPr>
          <w:spacing w:val="-114"/>
          <w:w w:val="110"/>
          <w:sz w:val="21"/>
          <w:vertAlign w:val="baseline"/>
        </w:rPr>
        <w:t> </w:t>
      </w:r>
      <w:r>
        <w:rPr>
          <w:w w:val="110"/>
          <w:sz w:val="21"/>
          <w:vertAlign w:val="baseline"/>
        </w:rPr>
        <w:t>以致完全漏未考慮某甲，即作成該項行政處分。</w:t>
      </w:r>
    </w:p>
    <w:p>
      <w:pPr>
        <w:pStyle w:val="BodyText"/>
        <w:tabs>
          <w:tab w:pos="2062" w:val="left" w:leader="none"/>
          <w:tab w:pos="6356" w:val="left" w:leader="none"/>
          <w:tab w:pos="8839" w:val="left" w:leader="none"/>
        </w:tabs>
        <w:spacing w:line="279" w:lineRule="exact"/>
        <w:ind w:left="298"/>
        <w:rPr>
          <w:rFonts w:ascii="Times New Roman"/>
        </w:rPr>
      </w:pPr>
      <w:r>
        <w:rPr>
          <w:rFonts w:ascii="Times New Roman"/>
          <w:position w:val="8"/>
          <w:sz w:val="13"/>
        </w:rPr>
        <w:t>45  </w:t>
      </w:r>
      <w:r>
        <w:rPr>
          <w:rFonts w:ascii="Times New Roman"/>
          <w:spacing w:val="8"/>
          <w:position w:val="8"/>
          <w:sz w:val="13"/>
        </w:rPr>
        <w:t> </w:t>
      </w:r>
      <w:r>
        <w:rPr>
          <w:rFonts w:ascii="Times New Roman"/>
        </w:rPr>
        <w:t>Von</w:t>
      </w:r>
      <w:r>
        <w:rPr>
          <w:rFonts w:ascii="Times New Roman"/>
          <w:spacing w:val="61"/>
        </w:rPr>
        <w:t> </w:t>
      </w:r>
      <w:r>
        <w:rPr>
          <w:rFonts w:ascii="Times New Roman"/>
        </w:rPr>
        <w:t>Mutius,</w:t>
        <w:tab/>
        <w:t>Konkurrentenklage  </w:t>
      </w:r>
      <w:r>
        <w:rPr>
          <w:rFonts w:ascii="Times New Roman"/>
          <w:spacing w:val="3"/>
        </w:rPr>
        <w:t> </w:t>
      </w:r>
      <w:r>
        <w:rPr>
          <w:rFonts w:ascii="Times New Roman"/>
        </w:rPr>
        <w:t>im</w:t>
      </w:r>
      <w:r>
        <w:rPr>
          <w:rFonts w:ascii="Times New Roman"/>
          <w:spacing w:val="115"/>
        </w:rPr>
        <w:t> </w:t>
      </w:r>
      <w:r>
        <w:rPr>
          <w:rFonts w:ascii="Times New Roman"/>
        </w:rPr>
        <w:t>Beamtenrecht,</w:t>
        <w:tab/>
        <w:t>VerwArch</w:t>
      </w:r>
      <w:r>
        <w:rPr>
          <w:rFonts w:ascii="Times New Roman"/>
          <w:spacing w:val="68"/>
        </w:rPr>
        <w:t> </w:t>
      </w:r>
      <w:r>
        <w:rPr>
          <w:rFonts w:ascii="Times New Roman"/>
        </w:rPr>
        <w:t>69</w:t>
      </w:r>
      <w:r>
        <w:rPr>
          <w:rFonts w:ascii="Times New Roman"/>
          <w:spacing w:val="64"/>
        </w:rPr>
        <w:t> </w:t>
      </w:r>
      <w:r>
        <w:rPr>
          <w:rFonts w:ascii="Times New Roman"/>
        </w:rPr>
        <w:t>(1978),</w:t>
        <w:tab/>
        <w:t>103</w:t>
      </w:r>
    </w:p>
    <w:p>
      <w:pPr>
        <w:pStyle w:val="BodyText"/>
        <w:spacing w:before="15"/>
        <w:ind w:left="518"/>
        <w:rPr>
          <w:rFonts w:ascii="Times New Roman"/>
        </w:rPr>
      </w:pPr>
      <w:r>
        <w:rPr>
          <w:rFonts w:ascii="Times New Roman"/>
          <w:w w:val="105"/>
        </w:rPr>
        <w:t>(109).</w:t>
      </w:r>
    </w:p>
    <w:p>
      <w:pPr>
        <w:spacing w:after="0"/>
        <w:rPr>
          <w:rFonts w:ascii="Times New Roman"/>
        </w:rPr>
        <w:sectPr>
          <w:pgSz w:w="11910" w:h="16840"/>
          <w:pgMar w:header="862" w:footer="1017" w:top="1060" w:bottom="1200" w:left="1120" w:right="1060"/>
        </w:sectPr>
      </w:pPr>
    </w:p>
    <w:p>
      <w:pPr>
        <w:pStyle w:val="BodyText"/>
        <w:spacing w:before="10"/>
        <w:rPr>
          <w:rFonts w:ascii="Times New Roman"/>
          <w:sz w:val="27"/>
        </w:rPr>
      </w:pPr>
    </w:p>
    <w:p>
      <w:pPr>
        <w:spacing w:before="95"/>
        <w:ind w:left="305" w:right="0" w:firstLine="0"/>
        <w:jc w:val="left"/>
        <w:rPr>
          <w:sz w:val="26"/>
        </w:rPr>
      </w:pPr>
      <w:r>
        <w:rPr>
          <w:rFonts w:ascii="Arial" w:eastAsia="Arial"/>
          <w:sz w:val="15"/>
        </w:rPr>
        <w:t>46</w:t>
      </w:r>
      <w:r>
        <w:rPr>
          <w:rFonts w:ascii="Arial" w:eastAsia="Arial"/>
          <w:spacing w:val="29"/>
          <w:sz w:val="15"/>
        </w:rPr>
        <w:t> </w:t>
      </w:r>
      <w:r>
        <w:rPr>
          <w:position w:val="-12"/>
          <w:sz w:val="26"/>
        </w:rPr>
        <w:t>。</w:t>
      </w:r>
    </w:p>
    <w:p>
      <w:pPr>
        <w:pStyle w:val="BodyText"/>
        <w:spacing w:before="210"/>
        <w:ind w:left="777" w:right="549"/>
        <w:jc w:val="center"/>
      </w:pPr>
      <w:r>
        <w:rPr>
          <w:w w:val="120"/>
        </w:rPr>
        <w:t>三預先禁止之訴</w:t>
      </w:r>
    </w:p>
    <w:p>
      <w:pPr>
        <w:pStyle w:val="BodyText"/>
        <w:spacing w:before="10"/>
        <w:rPr>
          <w:sz w:val="21"/>
        </w:rPr>
      </w:pPr>
    </w:p>
    <w:p>
      <w:pPr>
        <w:pStyle w:val="BodyText"/>
        <w:tabs>
          <w:tab w:pos="7443" w:val="left" w:leader="none"/>
        </w:tabs>
        <w:spacing w:line="328" w:lineRule="auto"/>
        <w:ind w:left="304" w:right="513" w:firstLine="561"/>
      </w:pPr>
      <w:r>
        <w:rPr>
          <w:spacing w:val="23"/>
          <w:w w:val="95"/>
        </w:rPr>
        <w:t>如</w:t>
      </w:r>
      <w:r>
        <w:rPr>
          <w:spacing w:val="15"/>
          <w:w w:val="95"/>
        </w:rPr>
        <w:t>前</w:t>
      </w:r>
      <w:r>
        <w:rPr>
          <w:spacing w:val="23"/>
          <w:w w:val="95"/>
        </w:rPr>
        <w:t>所</w:t>
      </w:r>
      <w:r>
        <w:rPr>
          <w:w w:val="95"/>
        </w:rPr>
        <w:t>述</w:t>
      </w:r>
      <w:r>
        <w:rPr>
          <w:spacing w:val="-32"/>
          <w:w w:val="95"/>
        </w:rPr>
        <w:t> </w:t>
      </w:r>
      <w:r>
        <w:rPr>
          <w:w w:val="90"/>
        </w:rPr>
        <w:t>，</w:t>
      </w:r>
      <w:r>
        <w:rPr>
          <w:spacing w:val="-85"/>
          <w:w w:val="90"/>
        </w:rPr>
        <w:t> </w:t>
      </w:r>
      <w:r>
        <w:rPr>
          <w:spacing w:val="28"/>
          <w:w w:val="95"/>
        </w:rPr>
        <w:t>聯</w:t>
      </w:r>
      <w:r>
        <w:rPr>
          <w:spacing w:val="40"/>
          <w:w w:val="95"/>
        </w:rPr>
        <w:t>邦</w:t>
      </w:r>
      <w:r>
        <w:rPr>
          <w:spacing w:val="36"/>
          <w:w w:val="95"/>
        </w:rPr>
        <w:t>憲</w:t>
      </w:r>
      <w:r>
        <w:rPr>
          <w:spacing w:val="23"/>
          <w:w w:val="95"/>
        </w:rPr>
        <w:t>法</w:t>
      </w:r>
      <w:r>
        <w:rPr>
          <w:w w:val="95"/>
        </w:rPr>
        <w:t>法</w:t>
      </w:r>
      <w:r>
        <w:rPr>
          <w:spacing w:val="28"/>
          <w:w w:val="95"/>
        </w:rPr>
        <w:t>院</w:t>
      </w:r>
      <w:r>
        <w:rPr>
          <w:w w:val="95"/>
        </w:rPr>
        <w:t>於</w:t>
      </w:r>
      <w:r>
        <w:rPr>
          <w:spacing w:val="-14"/>
          <w:w w:val="95"/>
        </w:rPr>
        <w:t> </w:t>
      </w:r>
      <w:r>
        <w:rPr>
          <w:rFonts w:ascii="Times New Roman" w:eastAsia="Times New Roman"/>
          <w:w w:val="95"/>
          <w:sz w:val="30"/>
        </w:rPr>
        <w:t>1989</w:t>
      </w:r>
      <w:r>
        <w:rPr>
          <w:rFonts w:ascii="Times New Roman" w:eastAsia="Times New Roman"/>
          <w:spacing w:val="13"/>
          <w:w w:val="95"/>
          <w:sz w:val="30"/>
        </w:rPr>
        <w:t> </w:t>
      </w:r>
      <w:r>
        <w:rPr>
          <w:w w:val="95"/>
          <w:sz w:val="24"/>
        </w:rPr>
        <w:t>年</w:t>
      </w:r>
      <w:r>
        <w:rPr>
          <w:spacing w:val="-10"/>
          <w:w w:val="95"/>
          <w:sz w:val="24"/>
        </w:rPr>
        <w:t> </w:t>
      </w:r>
      <w:r>
        <w:rPr>
          <w:rFonts w:ascii="Times New Roman" w:eastAsia="Times New Roman"/>
          <w:w w:val="95"/>
          <w:sz w:val="30"/>
        </w:rPr>
        <w:t>9</w:t>
      </w:r>
      <w:r>
        <w:rPr>
          <w:rFonts w:ascii="Times New Roman" w:eastAsia="Times New Roman"/>
          <w:spacing w:val="58"/>
          <w:w w:val="95"/>
          <w:sz w:val="30"/>
        </w:rPr>
        <w:t> </w:t>
      </w:r>
      <w:r>
        <w:rPr>
          <w:w w:val="95"/>
        </w:rPr>
        <w:t>月</w:t>
      </w:r>
      <w:r>
        <w:rPr>
          <w:spacing w:val="1"/>
          <w:w w:val="95"/>
        </w:rPr>
        <w:t> </w:t>
      </w:r>
      <w:r>
        <w:rPr>
          <w:rFonts w:ascii="Times New Roman" w:eastAsia="Times New Roman"/>
          <w:w w:val="95"/>
          <w:sz w:val="30"/>
        </w:rPr>
        <w:t>19</w:t>
      </w:r>
      <w:r>
        <w:rPr>
          <w:rFonts w:ascii="Times New Roman" w:eastAsia="Times New Roman"/>
          <w:spacing w:val="37"/>
          <w:w w:val="95"/>
          <w:sz w:val="30"/>
        </w:rPr>
        <w:t> </w:t>
      </w:r>
      <w:r>
        <w:rPr>
          <w:w w:val="95"/>
        </w:rPr>
        <w:t>日之</w:t>
      </w:r>
      <w:r>
        <w:rPr>
          <w:spacing w:val="38"/>
          <w:w w:val="95"/>
        </w:rPr>
        <w:t> </w:t>
      </w:r>
      <w:r>
        <w:rPr>
          <w:spacing w:val="18"/>
          <w:w w:val="95"/>
        </w:rPr>
        <w:t>裁</w:t>
      </w:r>
      <w:r>
        <w:rPr>
          <w:spacing w:val="15"/>
          <w:w w:val="95"/>
        </w:rPr>
        <w:t>定</w:t>
      </w:r>
      <w:r>
        <w:rPr>
          <w:w w:val="95"/>
        </w:rPr>
        <w:t>中</w:t>
      </w:r>
      <w:r>
        <w:rPr>
          <w:spacing w:val="-2"/>
          <w:w w:val="95"/>
        </w:rPr>
        <w:t> </w:t>
      </w:r>
      <w:r>
        <w:rPr>
          <w:w w:val="90"/>
        </w:rPr>
        <w:t>，</w:t>
      </w:r>
      <w:r>
        <w:rPr>
          <w:spacing w:val="-79"/>
          <w:w w:val="90"/>
        </w:rPr>
        <w:t> </w:t>
      </w:r>
      <w:r>
        <w:rPr>
          <w:spacing w:val="26"/>
          <w:w w:val="95"/>
        </w:rPr>
        <w:t>要</w:t>
      </w:r>
      <w:r>
        <w:rPr>
          <w:w w:val="95"/>
        </w:rPr>
        <w:t>求</w:t>
      </w:r>
      <w:r>
        <w:rPr>
          <w:spacing w:val="29"/>
          <w:w w:val="95"/>
        </w:rPr>
        <w:t>職</w:t>
      </w:r>
      <w:r>
        <w:rPr>
          <w:spacing w:val="39"/>
          <w:w w:val="95"/>
        </w:rPr>
        <w:t>務</w:t>
      </w:r>
      <w:r>
        <w:rPr>
          <w:w w:val="95"/>
        </w:rPr>
        <w:t>長</w:t>
      </w:r>
      <w:r>
        <w:rPr>
          <w:spacing w:val="34"/>
        </w:rPr>
        <w:t>官</w:t>
      </w:r>
      <w:r>
        <w:rPr>
          <w:spacing w:val="16"/>
        </w:rPr>
        <w:t>必</w:t>
      </w:r>
      <w:r>
        <w:rPr>
          <w:spacing w:val="23"/>
        </w:rPr>
        <w:t>須</w:t>
      </w:r>
      <w:r>
        <w:rPr/>
        <w:t>在</w:t>
      </w:r>
      <w:r>
        <w:rPr>
          <w:spacing w:val="18"/>
        </w:rPr>
        <w:t>任</w:t>
      </w:r>
      <w:r>
        <w:rPr>
          <w:spacing w:val="16"/>
        </w:rPr>
        <w:t>命</w:t>
      </w:r>
      <w:r>
        <w:rPr/>
        <w:t>競</w:t>
      </w:r>
      <w:r>
        <w:rPr>
          <w:spacing w:val="10"/>
        </w:rPr>
        <w:t>爭</w:t>
      </w:r>
      <w:r>
        <w:rPr>
          <w:spacing w:val="17"/>
        </w:rPr>
        <w:t>者</w:t>
      </w:r>
      <w:r>
        <w:rPr/>
        <w:t>為所</w:t>
      </w:r>
      <w:r>
        <w:rPr>
          <w:spacing w:val="-16"/>
        </w:rPr>
        <w:t> </w:t>
      </w:r>
      <w:r>
        <w:rPr/>
        <w:t>競</w:t>
      </w:r>
      <w:r>
        <w:rPr>
          <w:spacing w:val="17"/>
        </w:rPr>
        <w:t>爭</w:t>
      </w:r>
      <w:r>
        <w:rPr/>
        <w:t>職</w:t>
      </w:r>
      <w:r>
        <w:rPr>
          <w:spacing w:val="10"/>
        </w:rPr>
        <w:t>務</w:t>
      </w:r>
      <w:r>
        <w:rPr/>
        <w:t>公</w:t>
      </w:r>
      <w:r>
        <w:rPr>
          <w:spacing w:val="33"/>
        </w:rPr>
        <w:t>務</w:t>
      </w:r>
      <w:r>
        <w:rPr/>
        <w:t>員</w:t>
      </w:r>
      <w:r>
        <w:rPr>
          <w:spacing w:val="-40"/>
        </w:rPr>
        <w:t> </w:t>
      </w:r>
      <w:r>
        <w:rPr>
          <w:spacing w:val="17"/>
        </w:rPr>
        <w:t>前</w:t>
      </w:r>
      <w:r>
        <w:rPr/>
        <w:t>之合</w:t>
      </w:r>
      <w:r>
        <w:rPr>
          <w:spacing w:val="15"/>
        </w:rPr>
        <w:t>理</w:t>
      </w:r>
      <w:r>
        <w:rPr>
          <w:spacing w:val="26"/>
        </w:rPr>
        <w:t>期</w:t>
      </w:r>
      <w:r>
        <w:rPr/>
        <w:t>間</w:t>
      </w:r>
      <w:r>
        <w:rPr>
          <w:rFonts w:ascii="Times New Roman" w:eastAsia="Times New Roman"/>
          <w:w w:val="90"/>
          <w:sz w:val="15"/>
        </w:rPr>
        <w:t>47</w:t>
      </w:r>
      <w:r>
        <w:rPr>
          <w:rFonts w:ascii="Times New Roman" w:eastAsia="Times New Roman"/>
          <w:spacing w:val="88"/>
          <w:sz w:val="15"/>
        </w:rPr>
        <w:t> </w:t>
      </w:r>
      <w:r>
        <w:rPr>
          <w:rFonts w:ascii="Times New Roman" w:eastAsia="Times New Roman"/>
          <w:sz w:val="15"/>
        </w:rPr>
        <w:t>,</w:t>
        <w:tab/>
      </w:r>
      <w:r>
        <w:rPr>
          <w:spacing w:val="20"/>
          <w:w w:val="105"/>
        </w:rPr>
        <w:t>將</w:t>
      </w:r>
      <w:r>
        <w:rPr>
          <w:w w:val="105"/>
        </w:rPr>
        <w:t>選</w:t>
      </w:r>
      <w:r>
        <w:rPr>
          <w:spacing w:val="14"/>
          <w:w w:val="105"/>
        </w:rPr>
        <w:t>拔</w:t>
      </w:r>
      <w:r>
        <w:rPr>
          <w:spacing w:val="15"/>
          <w:w w:val="105"/>
        </w:rPr>
        <w:t>程</w:t>
      </w:r>
      <w:r>
        <w:rPr>
          <w:spacing w:val="20"/>
          <w:w w:val="105"/>
        </w:rPr>
        <w:t>序</w:t>
      </w:r>
      <w:r>
        <w:rPr>
          <w:w w:val="105"/>
        </w:rPr>
        <w:t>之結果通知競爭落敗之當事人，俾其有足夠之時間作成是否尋求權利救濟之</w:t>
      </w:r>
      <w:r>
        <w:rPr>
          <w:spacing w:val="120"/>
          <w:w w:val="105"/>
        </w:rPr>
        <w:t> </w:t>
      </w:r>
      <w:r>
        <w:rPr>
          <w:w w:val="105"/>
        </w:rPr>
        <w:t>決定。自此之後，德國公務員法上競爭者訴訟之主要戰場，即轉移至「預</w:t>
      </w:r>
      <w:r>
        <w:rPr>
          <w:spacing w:val="118"/>
          <w:w w:val="105"/>
        </w:rPr>
        <w:t> </w:t>
      </w:r>
      <w:r>
        <w:rPr>
          <w:spacing w:val="27"/>
          <w:w w:val="95"/>
        </w:rPr>
        <w:t>先</w:t>
      </w:r>
      <w:r>
        <w:rPr>
          <w:w w:val="95"/>
        </w:rPr>
        <w:t>禁止</w:t>
      </w:r>
      <w:r>
        <w:rPr>
          <w:spacing w:val="16"/>
          <w:w w:val="95"/>
        </w:rPr>
        <w:t> </w:t>
      </w:r>
      <w:r>
        <w:rPr>
          <w:w w:val="95"/>
        </w:rPr>
        <w:t>之</w:t>
      </w:r>
      <w:r>
        <w:rPr>
          <w:spacing w:val="19"/>
          <w:w w:val="95"/>
        </w:rPr>
        <w:t>訴</w:t>
      </w:r>
      <w:r>
        <w:rPr>
          <w:spacing w:val="15"/>
          <w:w w:val="95"/>
        </w:rPr>
        <w:t>」</w:t>
      </w:r>
      <w:r>
        <w:rPr>
          <w:w w:val="95"/>
        </w:rPr>
        <w:t>之訴</w:t>
      </w:r>
      <w:r>
        <w:rPr>
          <w:spacing w:val="28"/>
          <w:w w:val="95"/>
        </w:rPr>
        <w:t>訟</w:t>
      </w:r>
      <w:r>
        <w:rPr>
          <w:spacing w:val="17"/>
          <w:w w:val="95"/>
        </w:rPr>
        <w:t>類</w:t>
      </w:r>
      <w:r>
        <w:rPr>
          <w:spacing w:val="26"/>
          <w:w w:val="95"/>
        </w:rPr>
        <w:t>型</w:t>
      </w:r>
      <w:r>
        <w:rPr>
          <w:w w:val="95"/>
        </w:rPr>
        <w:t>上</w:t>
      </w:r>
      <w:r>
        <w:rPr>
          <w:rFonts w:ascii="Arial" w:eastAsia="Arial"/>
          <w:w w:val="90"/>
          <w:sz w:val="15"/>
        </w:rPr>
        <w:t>48</w:t>
      </w:r>
      <w:r>
        <w:rPr>
          <w:rFonts w:ascii="Arial" w:eastAsia="Arial"/>
          <w:spacing w:val="92"/>
          <w:sz w:val="15"/>
        </w:rPr>
        <w:t> </w:t>
      </w:r>
      <w:r>
        <w:rPr>
          <w:w w:val="90"/>
        </w:rPr>
        <w:t>。職</w:t>
      </w:r>
      <w:r>
        <w:rPr>
          <w:spacing w:val="150"/>
        </w:rPr>
        <w:t> </w:t>
      </w:r>
      <w:r>
        <w:rPr>
          <w:w w:val="90"/>
        </w:rPr>
        <w:t>務</w:t>
      </w:r>
      <w:r>
        <w:rPr>
          <w:spacing w:val="85"/>
          <w:w w:val="90"/>
        </w:rPr>
        <w:t> </w:t>
      </w:r>
      <w:r>
        <w:rPr>
          <w:w w:val="95"/>
        </w:rPr>
        <w:t>競</w:t>
      </w:r>
      <w:r>
        <w:rPr>
          <w:spacing w:val="15"/>
          <w:w w:val="95"/>
        </w:rPr>
        <w:t>爭</w:t>
      </w:r>
      <w:r>
        <w:rPr>
          <w:w w:val="95"/>
        </w:rPr>
        <w:t>者（</w:t>
      </w:r>
      <w:r>
        <w:rPr>
          <w:spacing w:val="-59"/>
          <w:w w:val="95"/>
        </w:rPr>
        <w:t> </w:t>
      </w:r>
      <w:r>
        <w:rPr>
          <w:w w:val="95"/>
        </w:rPr>
        <w:t>某甲</w:t>
      </w:r>
      <w:r>
        <w:rPr>
          <w:spacing w:val="31"/>
          <w:w w:val="95"/>
        </w:rPr>
        <w:t> </w:t>
      </w:r>
      <w:r>
        <w:rPr>
          <w:w w:val="95"/>
        </w:rPr>
        <w:t>）</w:t>
      </w:r>
      <w:r>
        <w:rPr>
          <w:spacing w:val="27"/>
          <w:w w:val="95"/>
        </w:rPr>
        <w:t>在</w:t>
      </w:r>
      <w:r>
        <w:rPr>
          <w:spacing w:val="11"/>
          <w:w w:val="95"/>
        </w:rPr>
        <w:t>得</w:t>
      </w:r>
      <w:r>
        <w:rPr>
          <w:spacing w:val="13"/>
          <w:w w:val="95"/>
        </w:rPr>
        <w:t>知</w:t>
      </w:r>
      <w:r>
        <w:rPr>
          <w:w w:val="95"/>
        </w:rPr>
        <w:t>選</w:t>
      </w:r>
      <w:r>
        <w:rPr>
          <w:spacing w:val="24"/>
          <w:w w:val="95"/>
        </w:rPr>
        <w:t>拔</w:t>
      </w:r>
      <w:r>
        <w:rPr>
          <w:spacing w:val="15"/>
          <w:w w:val="95"/>
        </w:rPr>
        <w:t>程</w:t>
      </w:r>
      <w:r>
        <w:rPr>
          <w:spacing w:val="20"/>
          <w:w w:val="95"/>
        </w:rPr>
        <w:t>序</w:t>
      </w:r>
      <w:r>
        <w:rPr>
          <w:w w:val="95"/>
        </w:rPr>
        <w:t>之結</w:t>
      </w:r>
      <w:r>
        <w:rPr>
          <w:w w:val="105"/>
        </w:rPr>
        <w:t>果後，即提超「預先禁止之訴」，請求行政法院禁止被告機關（人事主管</w:t>
      </w:r>
      <w:r>
        <w:rPr>
          <w:spacing w:val="120"/>
          <w:w w:val="105"/>
        </w:rPr>
        <w:t> </w:t>
      </w:r>
      <w:r>
        <w:rPr>
          <w:w w:val="105"/>
        </w:rPr>
        <w:t>機關）作成任命其他競爭者（某乙）為系爭公職公務員之行政處分。</w:t>
      </w:r>
    </w:p>
    <w:p>
      <w:pPr>
        <w:spacing w:line="324" w:lineRule="auto" w:before="0"/>
        <w:ind w:left="298" w:right="530" w:firstLine="558"/>
        <w:jc w:val="left"/>
        <w:rPr>
          <w:rFonts w:ascii="Arial" w:eastAsia="Arial"/>
          <w:sz w:val="8"/>
        </w:rPr>
      </w:pPr>
      <w:r>
        <w:rPr>
          <w:spacing w:val="25"/>
          <w:w w:val="95"/>
          <w:sz w:val="25"/>
        </w:rPr>
        <w:t>「預先</w:t>
      </w:r>
      <w:r>
        <w:rPr>
          <w:spacing w:val="3"/>
          <w:w w:val="90"/>
          <w:sz w:val="25"/>
        </w:rPr>
        <w:t>禁止 </w:t>
      </w:r>
      <w:r>
        <w:rPr>
          <w:spacing w:val="4"/>
          <w:w w:val="95"/>
          <w:sz w:val="25"/>
        </w:rPr>
        <w:t>之訴」</w:t>
      </w:r>
      <w:r>
        <w:rPr>
          <w:rFonts w:ascii="Times New Roman" w:eastAsia="Times New Roman"/>
          <w:spacing w:val="-1"/>
          <w:w w:val="95"/>
          <w:sz w:val="28"/>
        </w:rPr>
        <w:t>( </w:t>
      </w:r>
      <w:r>
        <w:rPr>
          <w:rFonts w:ascii="Times New Roman" w:eastAsia="Times New Roman"/>
          <w:w w:val="95"/>
          <w:sz w:val="28"/>
        </w:rPr>
        <w:t>vor</w:t>
      </w:r>
      <w:r>
        <w:rPr>
          <w:rFonts w:ascii="Times New Roman" w:eastAsia="Times New Roman"/>
          <w:spacing w:val="19"/>
          <w:w w:val="95"/>
          <w:sz w:val="28"/>
        </w:rPr>
        <w:t> </w:t>
      </w:r>
      <w:r>
        <w:rPr>
          <w:rFonts w:ascii="Times New Roman" w:eastAsia="Times New Roman"/>
          <w:w w:val="95"/>
          <w:sz w:val="28"/>
        </w:rPr>
        <w:t>beugende</w:t>
      </w:r>
      <w:r>
        <w:rPr>
          <w:rFonts w:ascii="Times New Roman" w:eastAsia="Times New Roman"/>
          <w:spacing w:val="152"/>
          <w:sz w:val="28"/>
        </w:rPr>
        <w:t> </w:t>
      </w:r>
      <w:r>
        <w:rPr>
          <w:rFonts w:ascii="Times New Roman" w:eastAsia="Times New Roman"/>
          <w:w w:val="90"/>
          <w:sz w:val="28"/>
        </w:rPr>
        <w:t>Unt</w:t>
      </w:r>
      <w:r>
        <w:rPr>
          <w:rFonts w:ascii="Times New Roman" w:eastAsia="Times New Roman"/>
          <w:spacing w:val="25"/>
          <w:w w:val="90"/>
          <w:sz w:val="28"/>
        </w:rPr>
        <w:t> </w:t>
      </w:r>
      <w:r>
        <w:rPr>
          <w:rFonts w:ascii="Times New Roman" w:eastAsia="Times New Roman"/>
          <w:w w:val="95"/>
          <w:sz w:val="28"/>
        </w:rPr>
        <w:t>e</w:t>
      </w:r>
      <w:r>
        <w:rPr>
          <w:rFonts w:ascii="Times New Roman" w:eastAsia="Times New Roman"/>
          <w:spacing w:val="-22"/>
          <w:w w:val="95"/>
          <w:sz w:val="28"/>
        </w:rPr>
        <w:t> </w:t>
      </w:r>
      <w:r>
        <w:rPr>
          <w:rFonts w:ascii="Times New Roman" w:eastAsia="Times New Roman"/>
          <w:w w:val="95"/>
          <w:sz w:val="28"/>
        </w:rPr>
        <w:t>r</w:t>
      </w:r>
      <w:r>
        <w:rPr>
          <w:rFonts w:ascii="Times New Roman" w:eastAsia="Times New Roman"/>
          <w:spacing w:val="18"/>
          <w:w w:val="95"/>
          <w:sz w:val="28"/>
        </w:rPr>
        <w:t> </w:t>
      </w:r>
      <w:r>
        <w:rPr>
          <w:rFonts w:ascii="Times New Roman" w:eastAsia="Times New Roman"/>
          <w:w w:val="95"/>
          <w:sz w:val="28"/>
        </w:rPr>
        <w:t>l</w:t>
      </w:r>
      <w:r>
        <w:rPr>
          <w:rFonts w:ascii="Times New Roman" w:eastAsia="Times New Roman"/>
          <w:spacing w:val="-16"/>
          <w:w w:val="95"/>
          <w:sz w:val="28"/>
        </w:rPr>
        <w:t> </w:t>
      </w:r>
      <w:r>
        <w:rPr>
          <w:rFonts w:ascii="Times New Roman" w:eastAsia="Times New Roman"/>
          <w:w w:val="95"/>
          <w:sz w:val="28"/>
        </w:rPr>
        <w:t>as</w:t>
      </w:r>
      <w:r>
        <w:rPr>
          <w:rFonts w:ascii="Times New Roman" w:eastAsia="Times New Roman"/>
          <w:spacing w:val="9"/>
          <w:w w:val="95"/>
          <w:sz w:val="28"/>
        </w:rPr>
        <w:t> </w:t>
      </w:r>
      <w:r>
        <w:rPr>
          <w:rFonts w:ascii="Times New Roman" w:eastAsia="Times New Roman"/>
          <w:w w:val="95"/>
          <w:sz w:val="28"/>
        </w:rPr>
        <w:t>s</w:t>
      </w:r>
      <w:r>
        <w:rPr>
          <w:rFonts w:ascii="Times New Roman" w:eastAsia="Times New Roman"/>
          <w:spacing w:val="-10"/>
          <w:w w:val="95"/>
          <w:sz w:val="28"/>
        </w:rPr>
        <w:t> </w:t>
      </w:r>
      <w:r>
        <w:rPr>
          <w:rFonts w:ascii="Times New Roman" w:eastAsia="Times New Roman"/>
          <w:w w:val="95"/>
          <w:sz w:val="28"/>
        </w:rPr>
        <w:t>ungs</w:t>
      </w:r>
      <w:r>
        <w:rPr>
          <w:rFonts w:ascii="Times New Roman" w:eastAsia="Times New Roman"/>
          <w:spacing w:val="10"/>
          <w:w w:val="95"/>
          <w:sz w:val="28"/>
        </w:rPr>
        <w:t> </w:t>
      </w:r>
      <w:r>
        <w:rPr>
          <w:rFonts w:ascii="Times New Roman" w:eastAsia="Times New Roman"/>
          <w:w w:val="95"/>
          <w:sz w:val="28"/>
        </w:rPr>
        <w:t>kl</w:t>
      </w:r>
      <w:r>
        <w:rPr>
          <w:rFonts w:ascii="Times New Roman" w:eastAsia="Times New Roman"/>
          <w:spacing w:val="23"/>
          <w:w w:val="95"/>
          <w:sz w:val="28"/>
        </w:rPr>
        <w:t> </w:t>
      </w:r>
      <w:r>
        <w:rPr>
          <w:rFonts w:ascii="Times New Roman" w:eastAsia="Times New Roman"/>
          <w:w w:val="95"/>
          <w:sz w:val="28"/>
        </w:rPr>
        <w:t>age</w:t>
      </w:r>
      <w:r>
        <w:rPr>
          <w:rFonts w:ascii="Times New Roman" w:eastAsia="Times New Roman"/>
          <w:spacing w:val="-7"/>
          <w:w w:val="95"/>
          <w:sz w:val="28"/>
        </w:rPr>
        <w:t> )</w:t>
      </w:r>
      <w:r>
        <w:rPr>
          <w:rFonts w:ascii="Times New Roman" w:eastAsia="Times New Roman"/>
          <w:spacing w:val="105"/>
          <w:sz w:val="28"/>
        </w:rPr>
        <w:t> </w:t>
      </w:r>
      <w:r>
        <w:rPr>
          <w:spacing w:val="6"/>
          <w:w w:val="95"/>
          <w:sz w:val="25"/>
        </w:rPr>
        <w:t>之性質為－</w:t>
      </w:r>
      <w:r>
        <w:rPr>
          <w:spacing w:val="1"/>
          <w:w w:val="95"/>
          <w:sz w:val="25"/>
        </w:rPr>
        <w:t> </w:t>
      </w:r>
      <w:r>
        <w:rPr>
          <w:spacing w:val="5"/>
          <w:sz w:val="25"/>
        </w:rPr>
        <w:t>般給付之訴</w:t>
      </w:r>
      <w:r>
        <w:rPr>
          <w:rFonts w:ascii="Times New Roman" w:eastAsia="Times New Roman"/>
          <w:w w:val="90"/>
          <w:sz w:val="15"/>
        </w:rPr>
        <w:t>49</w:t>
      </w:r>
      <w:r>
        <w:rPr>
          <w:rFonts w:ascii="Times New Roman" w:eastAsia="Times New Roman"/>
          <w:spacing w:val="66"/>
          <w:sz w:val="15"/>
        </w:rPr>
        <w:t>  </w:t>
      </w:r>
      <w:r>
        <w:rPr>
          <w:spacing w:val="-34"/>
          <w:w w:val="90"/>
          <w:sz w:val="25"/>
        </w:rPr>
        <w:t>， </w:t>
      </w:r>
      <w:r>
        <w:rPr>
          <w:spacing w:val="-1"/>
          <w:sz w:val="25"/>
        </w:rPr>
        <w:t>係原告對於針對未來可能發生之 事實行 為 </w:t>
      </w:r>
      <w:r>
        <w:rPr>
          <w:spacing w:val="-24"/>
          <w:w w:val="90"/>
          <w:sz w:val="25"/>
        </w:rPr>
        <w:t>， </w:t>
      </w:r>
      <w:r>
        <w:rPr>
          <w:spacing w:val="20"/>
          <w:sz w:val="25"/>
        </w:rPr>
        <w:t>或者將來可能</w:t>
      </w:r>
      <w:r>
        <w:rPr>
          <w:w w:val="105"/>
          <w:sz w:val="25"/>
        </w:rPr>
        <w:t>作成之行政處分，對於被告機關所提超，訴請法院預先判命被告機關不得</w:t>
      </w:r>
      <w:r>
        <w:rPr>
          <w:spacing w:val="108"/>
          <w:w w:val="105"/>
          <w:sz w:val="25"/>
        </w:rPr>
        <w:t> </w:t>
      </w:r>
      <w:r>
        <w:rPr>
          <w:spacing w:val="10"/>
          <w:sz w:val="25"/>
        </w:rPr>
        <w:t>做成該事實行 為或行政處分之訴訟</w:t>
      </w:r>
      <w:r>
        <w:rPr>
          <w:rFonts w:ascii="Times New Roman" w:eastAsia="Times New Roman"/>
          <w:w w:val="90"/>
          <w:sz w:val="16"/>
        </w:rPr>
        <w:t>50</w:t>
      </w:r>
      <w:r>
        <w:rPr>
          <w:rFonts w:ascii="Times New Roman" w:eastAsia="Times New Roman"/>
          <w:spacing w:val="52"/>
          <w:sz w:val="16"/>
        </w:rPr>
        <w:t>  </w:t>
      </w:r>
      <w:r>
        <w:rPr>
          <w:spacing w:val="30"/>
          <w:w w:val="90"/>
          <w:sz w:val="25"/>
        </w:rPr>
        <w:t>。 </w:t>
      </w:r>
      <w:r>
        <w:rPr>
          <w:spacing w:val="10"/>
          <w:sz w:val="25"/>
        </w:rPr>
        <w:t>傳統行政訴訟法僅提供人民事後之</w:t>
      </w:r>
      <w:r>
        <w:rPr>
          <w:spacing w:val="14"/>
          <w:sz w:val="25"/>
        </w:rPr>
        <w:t>權利保護 </w:t>
      </w:r>
      <w:r>
        <w:rPr>
          <w:rFonts w:ascii="Times New Roman" w:eastAsia="Times New Roman"/>
          <w:spacing w:val="-3"/>
          <w:sz w:val="28"/>
        </w:rPr>
        <w:t>( </w:t>
      </w:r>
      <w:r>
        <w:rPr>
          <w:rFonts w:ascii="Times New Roman" w:eastAsia="Times New Roman"/>
          <w:sz w:val="28"/>
        </w:rPr>
        <w:t>nacht</w:t>
      </w:r>
      <w:r>
        <w:rPr>
          <w:rFonts w:ascii="Times New Roman" w:eastAsia="Times New Roman"/>
          <w:spacing w:val="15"/>
          <w:sz w:val="28"/>
        </w:rPr>
        <w:t> </w:t>
      </w:r>
      <w:r>
        <w:rPr>
          <w:rFonts w:ascii="Times New Roman" w:eastAsia="Times New Roman"/>
          <w:sz w:val="28"/>
        </w:rPr>
        <w:t>r</w:t>
      </w:r>
      <w:r>
        <w:rPr>
          <w:rFonts w:ascii="Times New Roman" w:eastAsia="Times New Roman"/>
          <w:spacing w:val="-31"/>
          <w:sz w:val="28"/>
        </w:rPr>
        <w:t> </w:t>
      </w:r>
      <w:r>
        <w:rPr>
          <w:rFonts w:ascii="Times New Roman" w:eastAsia="Times New Roman"/>
          <w:sz w:val="28"/>
        </w:rPr>
        <w:t>ag</w:t>
      </w:r>
      <w:r>
        <w:rPr>
          <w:rFonts w:ascii="Times New Roman" w:eastAsia="Times New Roman"/>
          <w:spacing w:val="-13"/>
          <w:sz w:val="28"/>
        </w:rPr>
        <w:t> </w:t>
      </w:r>
      <w:r>
        <w:rPr>
          <w:rFonts w:ascii="Times New Roman" w:eastAsia="Times New Roman"/>
          <w:sz w:val="28"/>
        </w:rPr>
        <w:t>l</w:t>
      </w:r>
      <w:r>
        <w:rPr>
          <w:rFonts w:ascii="Times New Roman" w:eastAsia="Times New Roman"/>
          <w:spacing w:val="-9"/>
          <w:sz w:val="28"/>
        </w:rPr>
        <w:t> </w:t>
      </w:r>
      <w:r>
        <w:rPr>
          <w:rFonts w:ascii="Times New Roman" w:eastAsia="Times New Roman"/>
          <w:sz w:val="28"/>
        </w:rPr>
        <w:t>icher</w:t>
      </w:r>
      <w:r>
        <w:rPr>
          <w:rFonts w:ascii="Times New Roman" w:eastAsia="Times New Roman"/>
          <w:spacing w:val="26"/>
          <w:sz w:val="28"/>
        </w:rPr>
        <w:t> </w:t>
      </w:r>
      <w:r>
        <w:rPr>
          <w:rFonts w:ascii="Times New Roman" w:eastAsia="Times New Roman"/>
          <w:w w:val="90"/>
          <w:sz w:val="28"/>
        </w:rPr>
        <w:t>Rec</w:t>
      </w:r>
      <w:r>
        <w:rPr>
          <w:rFonts w:ascii="Times New Roman" w:eastAsia="Times New Roman"/>
          <w:spacing w:val="59"/>
          <w:w w:val="90"/>
          <w:sz w:val="28"/>
        </w:rPr>
        <w:t> </w:t>
      </w:r>
      <w:r>
        <w:rPr>
          <w:rFonts w:ascii="Times New Roman" w:eastAsia="Times New Roman"/>
          <w:sz w:val="28"/>
        </w:rPr>
        <w:t>ht</w:t>
      </w:r>
      <w:r>
        <w:rPr>
          <w:rFonts w:ascii="Times New Roman" w:eastAsia="Times New Roman"/>
          <w:spacing w:val="6"/>
          <w:sz w:val="28"/>
        </w:rPr>
        <w:t> </w:t>
      </w:r>
      <w:r>
        <w:rPr>
          <w:rFonts w:ascii="Times New Roman" w:eastAsia="Times New Roman"/>
          <w:sz w:val="28"/>
        </w:rPr>
        <w:t>s</w:t>
      </w:r>
      <w:r>
        <w:rPr>
          <w:rFonts w:ascii="Times New Roman" w:eastAsia="Times New Roman"/>
          <w:spacing w:val="-34"/>
          <w:sz w:val="28"/>
        </w:rPr>
        <w:t> </w:t>
      </w:r>
      <w:r>
        <w:rPr>
          <w:rFonts w:ascii="Times New Roman" w:eastAsia="Times New Roman"/>
          <w:sz w:val="28"/>
        </w:rPr>
        <w:t>s</w:t>
      </w:r>
      <w:r>
        <w:rPr>
          <w:rFonts w:ascii="Times New Roman" w:eastAsia="Times New Roman"/>
          <w:spacing w:val="-35"/>
          <w:sz w:val="28"/>
        </w:rPr>
        <w:t> </w:t>
      </w:r>
      <w:r>
        <w:rPr>
          <w:rFonts w:ascii="Times New Roman" w:eastAsia="Times New Roman"/>
          <w:sz w:val="28"/>
        </w:rPr>
        <w:t>chut</w:t>
      </w:r>
      <w:r>
        <w:rPr>
          <w:rFonts w:ascii="Times New Roman" w:eastAsia="Times New Roman"/>
          <w:spacing w:val="39"/>
          <w:sz w:val="28"/>
        </w:rPr>
        <w:t> </w:t>
      </w:r>
      <w:r>
        <w:rPr>
          <w:rFonts w:ascii="Times New Roman" w:eastAsia="Times New Roman"/>
          <w:sz w:val="28"/>
        </w:rPr>
        <w:t>z</w:t>
      </w:r>
      <w:r>
        <w:rPr>
          <w:rFonts w:ascii="Times New Roman" w:eastAsia="Times New Roman"/>
          <w:spacing w:val="4"/>
          <w:sz w:val="28"/>
        </w:rPr>
        <w:t> ) </w:t>
      </w:r>
      <w:r>
        <w:rPr>
          <w:spacing w:val="-31"/>
          <w:w w:val="90"/>
          <w:sz w:val="25"/>
        </w:rPr>
        <w:t>， </w:t>
      </w:r>
      <w:r>
        <w:rPr>
          <w:spacing w:val="11"/>
          <w:sz w:val="25"/>
        </w:rPr>
        <w:t>當事人如欲針對行政機關尚</w:t>
      </w:r>
      <w:r>
        <w:rPr>
          <w:w w:val="105"/>
          <w:sz w:val="25"/>
        </w:rPr>
        <w:t>未做成之事實行為或行政處分請求救濟，需具有「特殊權利保護必要」</w:t>
      </w:r>
      <w:r>
        <w:rPr>
          <w:rFonts w:ascii="Times New Roman" w:eastAsia="Times New Roman"/>
          <w:w w:val="110"/>
          <w:sz w:val="28"/>
        </w:rPr>
        <w:t>(qualifiziertes</w:t>
      </w:r>
      <w:r>
        <w:rPr>
          <w:rFonts w:ascii="Times New Roman" w:eastAsia="Times New Roman"/>
          <w:spacing w:val="56"/>
          <w:w w:val="110"/>
          <w:sz w:val="28"/>
        </w:rPr>
        <w:t> </w:t>
      </w:r>
      <w:r>
        <w:rPr>
          <w:rFonts w:ascii="Times New Roman" w:eastAsia="Times New Roman"/>
          <w:w w:val="90"/>
          <w:sz w:val="28"/>
        </w:rPr>
        <w:t>Rec</w:t>
      </w:r>
      <w:r>
        <w:rPr>
          <w:rFonts w:ascii="Times New Roman" w:eastAsia="Times New Roman"/>
          <w:spacing w:val="62"/>
          <w:w w:val="90"/>
          <w:sz w:val="28"/>
        </w:rPr>
        <w:t> </w:t>
      </w:r>
      <w:r>
        <w:rPr>
          <w:rFonts w:ascii="Times New Roman" w:eastAsia="Times New Roman"/>
          <w:w w:val="105"/>
          <w:sz w:val="28"/>
        </w:rPr>
        <w:t>ht</w:t>
      </w:r>
      <w:r>
        <w:rPr>
          <w:rFonts w:ascii="Times New Roman" w:eastAsia="Times New Roman"/>
          <w:spacing w:val="-3"/>
          <w:w w:val="105"/>
          <w:sz w:val="28"/>
        </w:rPr>
        <w:t> </w:t>
      </w:r>
      <w:r>
        <w:rPr>
          <w:rFonts w:ascii="Times New Roman" w:eastAsia="Times New Roman"/>
          <w:spacing w:val="15"/>
          <w:w w:val="105"/>
          <w:sz w:val="28"/>
        </w:rPr>
        <w:t>ss</w:t>
      </w:r>
      <w:r>
        <w:rPr>
          <w:rFonts w:ascii="Times New Roman" w:eastAsia="Times New Roman"/>
          <w:spacing w:val="-43"/>
          <w:w w:val="105"/>
          <w:sz w:val="28"/>
        </w:rPr>
        <w:t> </w:t>
      </w:r>
      <w:r>
        <w:rPr>
          <w:rFonts w:ascii="Times New Roman" w:eastAsia="Times New Roman"/>
          <w:w w:val="105"/>
          <w:sz w:val="28"/>
        </w:rPr>
        <w:t>chut</w:t>
      </w:r>
      <w:r>
        <w:rPr>
          <w:rFonts w:ascii="Times New Roman" w:eastAsia="Times New Roman"/>
          <w:spacing w:val="14"/>
          <w:w w:val="105"/>
          <w:sz w:val="28"/>
        </w:rPr>
        <w:t> </w:t>
      </w:r>
      <w:r>
        <w:rPr>
          <w:rFonts w:ascii="Times New Roman" w:eastAsia="Times New Roman"/>
          <w:w w:val="105"/>
          <w:sz w:val="28"/>
        </w:rPr>
        <w:t>zbedlir</w:t>
      </w:r>
      <w:r>
        <w:rPr>
          <w:rFonts w:ascii="Times New Roman" w:eastAsia="Times New Roman"/>
          <w:spacing w:val="-3"/>
          <w:w w:val="105"/>
          <w:sz w:val="28"/>
        </w:rPr>
        <w:t> </w:t>
      </w:r>
      <w:r>
        <w:rPr>
          <w:rFonts w:ascii="Times New Roman" w:eastAsia="Times New Roman"/>
          <w:w w:val="90"/>
          <w:sz w:val="28"/>
        </w:rPr>
        <w:t>f</w:t>
      </w:r>
      <w:r>
        <w:rPr>
          <w:rFonts w:ascii="Times New Roman" w:eastAsia="Times New Roman"/>
          <w:spacing w:val="-6"/>
          <w:w w:val="90"/>
          <w:sz w:val="28"/>
        </w:rPr>
        <w:t> </w:t>
      </w:r>
      <w:r>
        <w:rPr>
          <w:rFonts w:ascii="Times New Roman" w:eastAsia="Times New Roman"/>
          <w:w w:val="105"/>
          <w:sz w:val="28"/>
        </w:rPr>
        <w:t>ni</w:t>
      </w:r>
      <w:r>
        <w:rPr>
          <w:rFonts w:ascii="Times New Roman" w:eastAsia="Times New Roman"/>
          <w:spacing w:val="-3"/>
          <w:w w:val="105"/>
          <w:sz w:val="28"/>
        </w:rPr>
        <w:t> </w:t>
      </w:r>
      <w:r>
        <w:rPr>
          <w:rFonts w:ascii="Times New Roman" w:eastAsia="Times New Roman"/>
          <w:w w:val="105"/>
          <w:sz w:val="28"/>
        </w:rPr>
        <w:t>s</w:t>
      </w:r>
      <w:r>
        <w:rPr>
          <w:rFonts w:ascii="Times New Roman" w:eastAsia="Times New Roman"/>
          <w:spacing w:val="13"/>
          <w:w w:val="105"/>
          <w:sz w:val="28"/>
        </w:rPr>
        <w:t> ) </w:t>
      </w:r>
      <w:r>
        <w:rPr>
          <w:spacing w:val="-35"/>
          <w:w w:val="90"/>
          <w:sz w:val="25"/>
        </w:rPr>
        <w:t>， </w:t>
      </w:r>
      <w:r>
        <w:rPr>
          <w:spacing w:val="-14"/>
          <w:w w:val="105"/>
          <w:sz w:val="25"/>
        </w:rPr>
        <w:t>例如： 為防止事實 完結 或</w:t>
      </w:r>
      <w:r>
        <w:rPr>
          <w:spacing w:val="11"/>
          <w:sz w:val="25"/>
        </w:rPr>
        <w:t>不可回復之損害 </w:t>
      </w:r>
      <w:r>
        <w:rPr>
          <w:rFonts w:ascii="Times New Roman" w:eastAsia="Times New Roman"/>
          <w:sz w:val="28"/>
        </w:rPr>
        <w:t>( </w:t>
      </w:r>
      <w:r>
        <w:rPr>
          <w:rFonts w:ascii="Times New Roman" w:eastAsia="Times New Roman"/>
          <w:w w:val="90"/>
          <w:sz w:val="28"/>
        </w:rPr>
        <w:t>Ve r </w:t>
      </w:r>
      <w:r>
        <w:rPr>
          <w:rFonts w:ascii="Times New Roman" w:eastAsia="Times New Roman"/>
          <w:sz w:val="28"/>
        </w:rPr>
        <w:t>hi nde r ung</w:t>
      </w:r>
      <w:r>
        <w:rPr>
          <w:rFonts w:ascii="Times New Roman" w:eastAsia="Times New Roman"/>
          <w:spacing w:val="71"/>
          <w:sz w:val="28"/>
        </w:rPr>
        <w:t> </w:t>
      </w:r>
      <w:r>
        <w:rPr>
          <w:rFonts w:ascii="Times New Roman" w:eastAsia="Times New Roman"/>
          <w:sz w:val="28"/>
        </w:rPr>
        <w:t>vollendeter</w:t>
      </w:r>
      <w:r>
        <w:rPr>
          <w:rFonts w:ascii="Times New Roman" w:eastAsia="Times New Roman"/>
          <w:spacing w:val="71"/>
          <w:sz w:val="28"/>
        </w:rPr>
        <w:t> </w:t>
      </w:r>
      <w:r>
        <w:rPr>
          <w:rFonts w:ascii="Times New Roman" w:eastAsia="Times New Roman"/>
          <w:sz w:val="28"/>
        </w:rPr>
        <w:t>Tatsachen   und</w:t>
      </w:r>
      <w:r>
        <w:rPr>
          <w:rFonts w:ascii="Times New Roman" w:eastAsia="Times New Roman"/>
          <w:spacing w:val="70"/>
          <w:sz w:val="28"/>
        </w:rPr>
        <w:t> </w:t>
      </w:r>
      <w:r>
        <w:rPr>
          <w:rFonts w:ascii="Times New Roman" w:eastAsia="Times New Roman"/>
          <w:sz w:val="28"/>
        </w:rPr>
        <w:t>des</w:t>
      </w:r>
      <w:r>
        <w:rPr>
          <w:rFonts w:ascii="Times New Roman" w:eastAsia="Times New Roman"/>
          <w:spacing w:val="1"/>
          <w:sz w:val="28"/>
        </w:rPr>
        <w:t> </w:t>
      </w:r>
      <w:r>
        <w:rPr>
          <w:rFonts w:ascii="Times New Roman" w:eastAsia="Times New Roman"/>
          <w:w w:val="125"/>
          <w:sz w:val="28"/>
        </w:rPr>
        <w:t>Eintritts</w:t>
      </w:r>
      <w:r>
        <w:rPr>
          <w:rFonts w:ascii="Times New Roman" w:eastAsia="Times New Roman"/>
          <w:spacing w:val="9"/>
          <w:w w:val="125"/>
          <w:sz w:val="28"/>
        </w:rPr>
        <w:t> </w:t>
      </w:r>
      <w:r>
        <w:rPr>
          <w:rFonts w:ascii="Times New Roman" w:eastAsia="Times New Roman"/>
          <w:w w:val="125"/>
          <w:sz w:val="28"/>
        </w:rPr>
        <w:t>irreparabler</w:t>
      </w:r>
      <w:r>
        <w:rPr>
          <w:rFonts w:ascii="Times New Roman" w:eastAsia="Times New Roman"/>
          <w:spacing w:val="75"/>
          <w:w w:val="125"/>
          <w:sz w:val="28"/>
        </w:rPr>
        <w:t> </w:t>
      </w:r>
      <w:r>
        <w:rPr>
          <w:rFonts w:ascii="Times New Roman" w:eastAsia="Times New Roman"/>
          <w:w w:val="105"/>
          <w:sz w:val="28"/>
        </w:rPr>
        <w:t>Schaden</w:t>
      </w:r>
      <w:r>
        <w:rPr>
          <w:rFonts w:ascii="Times New Roman" w:eastAsia="Times New Roman"/>
          <w:spacing w:val="7"/>
          <w:w w:val="105"/>
          <w:sz w:val="28"/>
        </w:rPr>
        <w:t>) </w:t>
      </w:r>
      <w:r>
        <w:rPr>
          <w:spacing w:val="15"/>
          <w:w w:val="105"/>
          <w:sz w:val="25"/>
        </w:rPr>
        <w:t>、避免秩序罰甚至刑罰之制裁效果</w:t>
      </w:r>
      <w:r>
        <w:rPr>
          <w:rFonts w:ascii="Times New Roman" w:eastAsia="Times New Roman"/>
          <w:w w:val="95"/>
          <w:sz w:val="28"/>
        </w:rPr>
        <w:t>(Vermeidung</w:t>
      </w:r>
      <w:r>
        <w:rPr>
          <w:rFonts w:ascii="Times New Roman" w:eastAsia="Times New Roman"/>
          <w:spacing w:val="48"/>
          <w:w w:val="95"/>
          <w:sz w:val="28"/>
        </w:rPr>
        <w:t> </w:t>
      </w:r>
      <w:r>
        <w:rPr>
          <w:rFonts w:ascii="Times New Roman" w:eastAsia="Times New Roman"/>
          <w:w w:val="95"/>
          <w:sz w:val="28"/>
        </w:rPr>
        <w:t>von</w:t>
      </w:r>
      <w:r>
        <w:rPr>
          <w:rFonts w:ascii="Times New Roman" w:eastAsia="Times New Roman"/>
          <w:spacing w:val="23"/>
          <w:w w:val="95"/>
          <w:sz w:val="28"/>
        </w:rPr>
        <w:t> </w:t>
      </w:r>
      <w:r>
        <w:rPr>
          <w:rFonts w:ascii="Times New Roman" w:eastAsia="Times New Roman"/>
          <w:w w:val="95"/>
          <w:sz w:val="28"/>
        </w:rPr>
        <w:t>Sankt</w:t>
      </w:r>
      <w:r>
        <w:rPr>
          <w:rFonts w:ascii="Times New Roman" w:eastAsia="Times New Roman"/>
          <w:spacing w:val="53"/>
          <w:w w:val="95"/>
          <w:sz w:val="28"/>
        </w:rPr>
        <w:t> </w:t>
      </w:r>
      <w:r>
        <w:rPr>
          <w:rFonts w:ascii="Times New Roman" w:eastAsia="Times New Roman"/>
          <w:w w:val="95"/>
          <w:sz w:val="28"/>
        </w:rPr>
        <w:t>i</w:t>
      </w:r>
      <w:r>
        <w:rPr>
          <w:rFonts w:ascii="Times New Roman" w:eastAsia="Times New Roman"/>
          <w:spacing w:val="-24"/>
          <w:w w:val="95"/>
          <w:sz w:val="28"/>
        </w:rPr>
        <w:t> </w:t>
      </w:r>
      <w:r>
        <w:rPr>
          <w:rFonts w:ascii="Times New Roman" w:eastAsia="Times New Roman"/>
          <w:w w:val="95"/>
          <w:sz w:val="28"/>
        </w:rPr>
        <w:t>onen</w:t>
      </w:r>
      <w:r>
        <w:rPr>
          <w:rFonts w:ascii="Times New Roman" w:eastAsia="Times New Roman"/>
          <w:spacing w:val="9"/>
          <w:w w:val="95"/>
          <w:sz w:val="28"/>
        </w:rPr>
        <w:t> ) </w:t>
      </w:r>
      <w:r>
        <w:rPr>
          <w:spacing w:val="32"/>
          <w:w w:val="95"/>
          <w:sz w:val="25"/>
        </w:rPr>
        <w:t>或單一措花之</w:t>
      </w:r>
      <w:r>
        <w:rPr>
          <w:spacing w:val="41"/>
          <w:w w:val="90"/>
          <w:sz w:val="25"/>
        </w:rPr>
        <w:t>多</w:t>
      </w:r>
      <w:r>
        <w:rPr>
          <w:spacing w:val="9"/>
          <w:w w:val="95"/>
          <w:sz w:val="25"/>
        </w:rPr>
        <w:t>次威脅 </w:t>
      </w:r>
      <w:r>
        <w:rPr>
          <w:rFonts w:ascii="Times New Roman" w:eastAsia="Times New Roman"/>
          <w:w w:val="95"/>
          <w:sz w:val="28"/>
        </w:rPr>
        <w:t>( </w:t>
      </w:r>
      <w:r>
        <w:rPr>
          <w:rFonts w:ascii="Times New Roman" w:eastAsia="Times New Roman"/>
          <w:w w:val="90"/>
          <w:sz w:val="28"/>
        </w:rPr>
        <w:t>Vi</w:t>
      </w:r>
      <w:r>
        <w:rPr>
          <w:rFonts w:ascii="Times New Roman" w:eastAsia="Times New Roman"/>
          <w:spacing w:val="1"/>
          <w:w w:val="90"/>
          <w:sz w:val="28"/>
        </w:rPr>
        <w:t> </w:t>
      </w:r>
      <w:r>
        <w:rPr>
          <w:rFonts w:ascii="Times New Roman" w:eastAsia="Times New Roman"/>
          <w:w w:val="90"/>
          <w:sz w:val="28"/>
        </w:rPr>
        <w:t>e</w:t>
      </w:r>
      <w:r>
        <w:rPr>
          <w:rFonts w:ascii="Times New Roman" w:eastAsia="Times New Roman"/>
          <w:spacing w:val="56"/>
          <w:sz w:val="28"/>
        </w:rPr>
        <w:t> </w:t>
      </w:r>
      <w:r>
        <w:rPr>
          <w:rFonts w:ascii="Times New Roman" w:eastAsia="Times New Roman"/>
          <w:w w:val="90"/>
          <w:sz w:val="28"/>
        </w:rPr>
        <w:t>l </w:t>
      </w:r>
      <w:r>
        <w:rPr>
          <w:rFonts w:ascii="Times New Roman" w:eastAsia="Times New Roman"/>
          <w:w w:val="95"/>
          <w:sz w:val="28"/>
        </w:rPr>
        <w:t>zah l</w:t>
      </w:r>
      <w:r>
        <w:rPr>
          <w:rFonts w:ascii="Times New Roman" w:eastAsia="Times New Roman"/>
          <w:spacing w:val="1"/>
          <w:w w:val="95"/>
          <w:sz w:val="28"/>
        </w:rPr>
        <w:t> </w:t>
      </w:r>
      <w:r>
        <w:rPr>
          <w:rFonts w:ascii="Times New Roman" w:eastAsia="Times New Roman"/>
          <w:w w:val="105"/>
          <w:sz w:val="28"/>
        </w:rPr>
        <w:t>drohender</w:t>
      </w:r>
      <w:r>
        <w:rPr>
          <w:rFonts w:ascii="Times New Roman" w:eastAsia="Times New Roman"/>
          <w:spacing w:val="20"/>
          <w:w w:val="105"/>
          <w:sz w:val="28"/>
        </w:rPr>
        <w:t> </w:t>
      </w:r>
      <w:r>
        <w:rPr>
          <w:rFonts w:ascii="Times New Roman" w:eastAsia="Times New Roman"/>
          <w:w w:val="90"/>
          <w:sz w:val="28"/>
        </w:rPr>
        <w:t>E</w:t>
      </w:r>
      <w:r>
        <w:rPr>
          <w:rFonts w:ascii="Times New Roman" w:eastAsia="Times New Roman"/>
          <w:spacing w:val="-39"/>
          <w:w w:val="90"/>
          <w:sz w:val="28"/>
        </w:rPr>
        <w:t> </w:t>
      </w:r>
      <w:r>
        <w:rPr>
          <w:rFonts w:ascii="Times New Roman" w:eastAsia="Times New Roman"/>
          <w:w w:val="90"/>
          <w:sz w:val="28"/>
        </w:rPr>
        <w:t>i</w:t>
      </w:r>
      <w:r>
        <w:rPr>
          <w:rFonts w:ascii="Times New Roman" w:eastAsia="Times New Roman"/>
          <w:spacing w:val="-6"/>
          <w:w w:val="90"/>
          <w:sz w:val="28"/>
        </w:rPr>
        <w:t> </w:t>
      </w:r>
      <w:r>
        <w:rPr>
          <w:rFonts w:ascii="Times New Roman" w:eastAsia="Times New Roman"/>
          <w:w w:val="105"/>
          <w:sz w:val="28"/>
        </w:rPr>
        <w:t>nze1maBnahmen</w:t>
      </w:r>
      <w:r>
        <w:rPr>
          <w:rFonts w:ascii="Times New Roman" w:eastAsia="Times New Roman"/>
          <w:spacing w:val="1"/>
          <w:w w:val="105"/>
          <w:sz w:val="28"/>
        </w:rPr>
        <w:t>) </w:t>
      </w:r>
      <w:r>
        <w:rPr>
          <w:rFonts w:ascii="Times New Roman" w:eastAsia="Times New Roman"/>
          <w:w w:val="105"/>
          <w:sz w:val="15"/>
        </w:rPr>
        <w:t>51</w:t>
      </w:r>
      <w:r>
        <w:rPr>
          <w:rFonts w:ascii="Times New Roman" w:eastAsia="Times New Roman"/>
          <w:spacing w:val="38"/>
          <w:w w:val="105"/>
          <w:sz w:val="15"/>
        </w:rPr>
        <w:t> </w:t>
      </w:r>
      <w:r>
        <w:rPr>
          <w:rFonts w:ascii="Arial" w:eastAsia="Arial"/>
          <w:w w:val="105"/>
          <w:sz w:val="8"/>
        </w:rPr>
        <w:t>0</w:t>
      </w:r>
    </w:p>
    <w:p>
      <w:pPr>
        <w:spacing w:before="6"/>
        <w:ind w:left="865" w:right="0" w:firstLine="0"/>
        <w:jc w:val="left"/>
        <w:rPr>
          <w:sz w:val="25"/>
        </w:rPr>
      </w:pPr>
      <w:r>
        <w:rPr>
          <w:spacing w:val="23"/>
          <w:w w:val="106"/>
          <w:sz w:val="25"/>
        </w:rPr>
        <w:t>如</w:t>
      </w:r>
      <w:r>
        <w:rPr>
          <w:spacing w:val="15"/>
          <w:w w:val="105"/>
          <w:sz w:val="25"/>
        </w:rPr>
        <w:t>前</w:t>
      </w:r>
      <w:r>
        <w:rPr>
          <w:spacing w:val="23"/>
          <w:w w:val="106"/>
          <w:sz w:val="25"/>
        </w:rPr>
        <w:t>所</w:t>
      </w:r>
      <w:r>
        <w:rPr>
          <w:w w:val="108"/>
          <w:sz w:val="25"/>
        </w:rPr>
        <w:t>述</w:t>
      </w:r>
      <w:r>
        <w:rPr>
          <w:spacing w:val="-46"/>
          <w:sz w:val="25"/>
        </w:rPr>
        <w:t> </w:t>
      </w:r>
      <w:r>
        <w:rPr>
          <w:w w:val="62"/>
          <w:sz w:val="25"/>
        </w:rPr>
        <w:t>，依「</w:t>
      </w:r>
      <w:r>
        <w:rPr>
          <w:spacing w:val="5"/>
          <w:sz w:val="25"/>
        </w:rPr>
        <w:t>  </w:t>
      </w:r>
      <w:r>
        <w:rPr>
          <w:w w:val="62"/>
          <w:sz w:val="25"/>
        </w:rPr>
        <w:t>職</w:t>
      </w:r>
      <w:r>
        <w:rPr>
          <w:spacing w:val="-6"/>
          <w:sz w:val="25"/>
        </w:rPr>
        <w:t> </w:t>
      </w:r>
      <w:r>
        <w:rPr>
          <w:w w:val="62"/>
          <w:sz w:val="25"/>
        </w:rPr>
        <w:t>務</w:t>
      </w:r>
      <w:r>
        <w:rPr>
          <w:spacing w:val="8"/>
          <w:sz w:val="25"/>
        </w:rPr>
        <w:t> </w:t>
      </w:r>
      <w:r>
        <w:rPr>
          <w:spacing w:val="19"/>
          <w:w w:val="109"/>
          <w:sz w:val="25"/>
        </w:rPr>
        <w:t>安</w:t>
      </w:r>
      <w:r>
        <w:rPr>
          <w:spacing w:val="-7"/>
          <w:w w:val="106"/>
          <w:sz w:val="25"/>
        </w:rPr>
        <w:t>定」</w:t>
      </w:r>
      <w:r>
        <w:rPr>
          <w:rFonts w:ascii="Times New Roman" w:eastAsia="Times New Roman"/>
          <w:w w:val="106"/>
          <w:sz w:val="28"/>
        </w:rPr>
        <w:t>(</w:t>
      </w:r>
      <w:r>
        <w:rPr>
          <w:rFonts w:ascii="Times New Roman" w:eastAsia="Times New Roman"/>
          <w:spacing w:val="-41"/>
          <w:sz w:val="28"/>
        </w:rPr>
        <w:t> </w:t>
      </w:r>
      <w:r>
        <w:rPr>
          <w:rFonts w:ascii="Times New Roman" w:eastAsia="Times New Roman"/>
          <w:spacing w:val="-206"/>
          <w:w w:val="106"/>
          <w:sz w:val="28"/>
        </w:rPr>
        <w:t>m</w:t>
      </w:r>
      <w:r>
        <w:rPr>
          <w:rFonts w:ascii="Times New Roman" w:eastAsia="Times New Roman"/>
          <w:w w:val="66"/>
          <w:sz w:val="28"/>
        </w:rPr>
        <w:t>A</w:t>
      </w:r>
      <w:r>
        <w:rPr>
          <w:rFonts w:ascii="Times New Roman" w:eastAsia="Times New Roman"/>
          <w:spacing w:val="7"/>
          <w:sz w:val="28"/>
        </w:rPr>
        <w:t>  </w:t>
      </w:r>
      <w:r>
        <w:rPr>
          <w:rFonts w:ascii="Times New Roman" w:eastAsia="Times New Roman"/>
          <w:w w:val="106"/>
          <w:sz w:val="28"/>
        </w:rPr>
        <w:t>t</w:t>
      </w:r>
      <w:r>
        <w:rPr>
          <w:rFonts w:ascii="Times New Roman" w:eastAsia="Times New Roman"/>
          <w:spacing w:val="-21"/>
          <w:sz w:val="28"/>
        </w:rPr>
        <w:t> </w:t>
      </w:r>
      <w:r>
        <w:rPr>
          <w:rFonts w:ascii="Times New Roman" w:eastAsia="Times New Roman"/>
          <w:spacing w:val="15"/>
          <w:w w:val="106"/>
          <w:sz w:val="28"/>
        </w:rPr>
        <w:t>e</w:t>
      </w:r>
      <w:r>
        <w:rPr>
          <w:rFonts w:ascii="Times New Roman" w:eastAsia="Times New Roman"/>
          <w:spacing w:val="33"/>
          <w:w w:val="106"/>
          <w:sz w:val="28"/>
        </w:rPr>
        <w:t>r</w:t>
      </w:r>
      <w:r>
        <w:rPr>
          <w:rFonts w:ascii="Times New Roman" w:eastAsia="Times New Roman"/>
          <w:w w:val="106"/>
          <w:sz w:val="28"/>
        </w:rPr>
        <w:t>s</w:t>
      </w:r>
      <w:r>
        <w:rPr>
          <w:rFonts w:ascii="Times New Roman" w:eastAsia="Times New Roman"/>
          <w:spacing w:val="-31"/>
          <w:sz w:val="28"/>
        </w:rPr>
        <w:t> </w:t>
      </w:r>
      <w:r>
        <w:rPr>
          <w:rFonts w:ascii="Times New Roman" w:eastAsia="Times New Roman"/>
          <w:w w:val="106"/>
          <w:sz w:val="28"/>
        </w:rPr>
        <w:t>t</w:t>
      </w:r>
      <w:r>
        <w:rPr>
          <w:rFonts w:ascii="Times New Roman" w:eastAsia="Times New Roman"/>
          <w:spacing w:val="-30"/>
          <w:sz w:val="28"/>
        </w:rPr>
        <w:t> </w:t>
      </w:r>
      <w:r>
        <w:rPr>
          <w:rFonts w:ascii="Times New Roman" w:eastAsia="Times New Roman"/>
          <w:spacing w:val="18"/>
          <w:w w:val="106"/>
          <w:sz w:val="28"/>
        </w:rPr>
        <w:t>a</w:t>
      </w:r>
      <w:r>
        <w:rPr>
          <w:rFonts w:ascii="Times New Roman" w:eastAsia="Times New Roman"/>
          <w:w w:val="97"/>
          <w:sz w:val="28"/>
        </w:rPr>
        <w:t>bi</w:t>
      </w:r>
      <w:r>
        <w:rPr>
          <w:rFonts w:ascii="Times New Roman" w:eastAsia="Times New Roman"/>
          <w:spacing w:val="21"/>
          <w:sz w:val="28"/>
        </w:rPr>
        <w:t> </w:t>
      </w:r>
      <w:r>
        <w:rPr>
          <w:rFonts w:ascii="Times New Roman" w:eastAsia="Times New Roman"/>
          <w:w w:val="97"/>
          <w:sz w:val="28"/>
        </w:rPr>
        <w:t>l</w:t>
      </w:r>
      <w:r>
        <w:rPr>
          <w:rFonts w:ascii="Times New Roman" w:eastAsia="Times New Roman"/>
          <w:spacing w:val="-11"/>
          <w:sz w:val="28"/>
        </w:rPr>
        <w:t> </w:t>
      </w:r>
      <w:r>
        <w:rPr>
          <w:rFonts w:ascii="Times New Roman" w:eastAsia="Times New Roman"/>
          <w:w w:val="97"/>
          <w:sz w:val="28"/>
        </w:rPr>
        <w:t>i</w:t>
      </w:r>
      <w:r>
        <w:rPr>
          <w:rFonts w:ascii="Times New Roman" w:eastAsia="Times New Roman"/>
          <w:spacing w:val="-11"/>
          <w:sz w:val="28"/>
        </w:rPr>
        <w:t> </w:t>
      </w:r>
      <w:r>
        <w:rPr>
          <w:rFonts w:ascii="Times New Roman" w:eastAsia="Times New Roman"/>
          <w:w w:val="97"/>
          <w:sz w:val="28"/>
        </w:rPr>
        <w:t>t</w:t>
      </w:r>
      <w:r>
        <w:rPr>
          <w:rFonts w:ascii="Times New Roman" w:eastAsia="Times New Roman"/>
          <w:spacing w:val="-23"/>
          <w:sz w:val="28"/>
        </w:rPr>
        <w:t> </w:t>
      </w:r>
      <w:r>
        <w:rPr>
          <w:rFonts w:ascii="Times New Roman" w:eastAsia="Times New Roman"/>
          <w:w w:val="97"/>
          <w:sz w:val="28"/>
        </w:rPr>
        <w:t>a</w:t>
      </w:r>
      <w:r>
        <w:rPr>
          <w:rFonts w:ascii="Times New Roman" w:eastAsia="Times New Roman"/>
          <w:spacing w:val="-35"/>
          <w:sz w:val="28"/>
        </w:rPr>
        <w:t> </w:t>
      </w:r>
      <w:r>
        <w:rPr>
          <w:rFonts w:ascii="Times New Roman" w:eastAsia="Times New Roman"/>
          <w:w w:val="97"/>
          <w:sz w:val="28"/>
        </w:rPr>
        <w:t>t</w:t>
      </w:r>
      <w:r>
        <w:rPr>
          <w:rFonts w:ascii="Times New Roman" w:eastAsia="Times New Roman"/>
          <w:spacing w:val="24"/>
          <w:sz w:val="28"/>
        </w:rPr>
        <w:t> </w:t>
      </w:r>
      <w:r>
        <w:rPr>
          <w:rFonts w:ascii="Times New Roman" w:eastAsia="Times New Roman"/>
          <w:w w:val="97"/>
          <w:sz w:val="28"/>
        </w:rPr>
        <w:t>)</w:t>
      </w:r>
      <w:r>
        <w:rPr>
          <w:rFonts w:ascii="Times New Roman" w:eastAsia="Times New Roman"/>
          <w:spacing w:val="-8"/>
          <w:sz w:val="28"/>
        </w:rPr>
        <w:t>  </w:t>
      </w:r>
      <w:r>
        <w:rPr>
          <w:spacing w:val="35"/>
          <w:w w:val="103"/>
          <w:sz w:val="25"/>
        </w:rPr>
        <w:t>原</w:t>
      </w:r>
      <w:r>
        <w:rPr>
          <w:w w:val="99"/>
          <w:sz w:val="25"/>
        </w:rPr>
        <w:t>則</w:t>
      </w:r>
      <w:r>
        <w:rPr>
          <w:spacing w:val="-22"/>
          <w:sz w:val="25"/>
        </w:rPr>
        <w:t> </w:t>
      </w:r>
      <w:r>
        <w:rPr>
          <w:w w:val="62"/>
          <w:sz w:val="25"/>
        </w:rPr>
        <w:t>，公</w:t>
      </w:r>
      <w:r>
        <w:rPr>
          <w:spacing w:val="31"/>
          <w:sz w:val="25"/>
        </w:rPr>
        <w:t> </w:t>
      </w:r>
      <w:r>
        <w:rPr>
          <w:spacing w:val="36"/>
          <w:w w:val="110"/>
          <w:sz w:val="25"/>
        </w:rPr>
        <w:t>務</w:t>
      </w:r>
      <w:r>
        <w:rPr>
          <w:spacing w:val="43"/>
          <w:w w:val="83"/>
          <w:sz w:val="25"/>
        </w:rPr>
        <w:t>員</w:t>
      </w:r>
      <w:r>
        <w:rPr>
          <w:spacing w:val="14"/>
          <w:w w:val="108"/>
          <w:sz w:val="25"/>
        </w:rPr>
        <w:t>任命</w:t>
      </w:r>
      <w:r>
        <w:rPr>
          <w:w w:val="109"/>
          <w:sz w:val="25"/>
        </w:rPr>
        <w:t>之</w:t>
      </w:r>
    </w:p>
    <w:p>
      <w:pPr>
        <w:pStyle w:val="BodyText"/>
        <w:spacing w:before="117"/>
        <w:ind w:left="298"/>
      </w:pPr>
      <w:r>
        <w:rPr>
          <w:w w:val="110"/>
        </w:rPr>
        <w:t>行政處分一旦作成後，除有無效、應撒回或得撤回之情形外，該項公務員</w:t>
      </w:r>
    </w:p>
    <w:p>
      <w:pPr>
        <w:pStyle w:val="BodyText"/>
        <w:spacing w:before="11"/>
        <w:rPr>
          <w:sz w:val="23"/>
        </w:rPr>
      </w:pPr>
      <w:r>
        <w:rPr/>
        <w:pict>
          <v:shape style="position:absolute;margin-left:95.174004pt;margin-top:17.653791pt;width:144.25pt;height:.1pt;mso-position-horizontal-relative:page;mso-position-vertical-relative:paragraph;z-index:-15647744;mso-wrap-distance-left:0;mso-wrap-distance-right:0" coordorigin="1903,353" coordsize="2885,0" path="m1903,353l4788,353e" filled="false" stroked="true" strokeweight=".720821pt" strokecolor="#000000">
            <v:path arrowok="t"/>
            <v:stroke dashstyle="solid"/>
            <w10:wrap type="topAndBottom"/>
          </v:shape>
        </w:pict>
      </w:r>
    </w:p>
    <w:p>
      <w:pPr>
        <w:pStyle w:val="BodyText"/>
        <w:spacing w:before="4"/>
        <w:rPr>
          <w:sz w:val="8"/>
        </w:rPr>
      </w:pPr>
    </w:p>
    <w:p>
      <w:pPr>
        <w:pStyle w:val="Heading6"/>
        <w:spacing w:line="247" w:lineRule="auto"/>
        <w:ind w:left="507" w:right="524" w:hanging="209"/>
        <w:jc w:val="both"/>
      </w:pPr>
      <w:r>
        <w:rPr>
          <w:position w:val="8"/>
          <w:sz w:val="13"/>
        </w:rPr>
        <w:t>46</w:t>
      </w:r>
      <w:r>
        <w:rPr>
          <w:spacing w:val="6"/>
          <w:position w:val="8"/>
          <w:sz w:val="13"/>
        </w:rPr>
        <w:t> </w:t>
      </w:r>
      <w:r>
        <w:rPr>
          <w:rFonts w:ascii="SimSun" w:eastAsia="SimSun" w:hint="eastAsia"/>
          <w:sz w:val="21"/>
        </w:rPr>
        <w:t>相 同 見 解： </w:t>
      </w:r>
      <w:r>
        <w:rPr/>
        <w:t>Schoch, Vorlauf iger</w:t>
      </w:r>
      <w:r>
        <w:rPr>
          <w:spacing w:val="1"/>
        </w:rPr>
        <w:t> </w:t>
      </w:r>
      <w:r>
        <w:rPr/>
        <w:t>Rechtsschutz</w:t>
      </w:r>
      <w:r>
        <w:rPr>
          <w:spacing w:val="1"/>
        </w:rPr>
        <w:t> </w:t>
      </w:r>
      <w:r>
        <w:rPr/>
        <w:t>und</w:t>
      </w:r>
      <w:r>
        <w:rPr>
          <w:spacing w:val="1"/>
        </w:rPr>
        <w:t> </w:t>
      </w:r>
      <w:r>
        <w:rPr/>
        <w:t>Risikovertei lung</w:t>
      </w:r>
      <w:r>
        <w:rPr>
          <w:spacing w:val="1"/>
        </w:rPr>
        <w:t> </w:t>
      </w:r>
      <w:r>
        <w:rPr/>
        <w:t>im</w:t>
      </w:r>
      <w:r>
        <w:rPr>
          <w:spacing w:val="-62"/>
        </w:rPr>
        <w:t> </w:t>
      </w:r>
      <w:r>
        <w:rPr/>
        <w:t>Verwaltungsrecht</w:t>
      </w:r>
      <w:r>
        <w:rPr>
          <w:spacing w:val="15"/>
        </w:rPr>
        <w:t>, </w:t>
      </w:r>
      <w:r>
        <w:rPr/>
        <w:t>1988,</w:t>
      </w:r>
      <w:r>
        <w:rPr>
          <w:spacing w:val="50"/>
        </w:rPr>
        <w:t> </w:t>
      </w:r>
      <w:r>
        <w:rPr/>
        <w:t>S</w:t>
      </w:r>
      <w:r>
        <w:rPr>
          <w:spacing w:val="26"/>
        </w:rPr>
        <w:t>. </w:t>
      </w:r>
      <w:r>
        <w:rPr/>
        <w:t>692.</w:t>
      </w:r>
    </w:p>
    <w:p>
      <w:pPr>
        <w:spacing w:line="266" w:lineRule="auto" w:before="25"/>
        <w:ind w:left="498" w:right="552" w:hanging="200"/>
        <w:jc w:val="both"/>
        <w:rPr>
          <w:rFonts w:ascii="Times New Roman" w:eastAsia="Times New Roman"/>
          <w:sz w:val="26"/>
        </w:rPr>
      </w:pPr>
      <w:r>
        <w:rPr>
          <w:rFonts w:ascii="Times New Roman" w:eastAsia="Times New Roman"/>
          <w:sz w:val="21"/>
          <w:vertAlign w:val="superscript"/>
        </w:rPr>
        <w:t>47</w:t>
      </w:r>
      <w:r>
        <w:rPr>
          <w:rFonts w:ascii="Times New Roman" w:eastAsia="Times New Roman"/>
          <w:sz w:val="21"/>
          <w:vertAlign w:val="baseline"/>
        </w:rPr>
        <w:t>               </w:t>
      </w:r>
      <w:r>
        <w:rPr>
          <w:sz w:val="21"/>
          <w:vertAlign w:val="baseline"/>
        </w:rPr>
        <w:t>所謂「合理期間」，其長短如何？德國聯邦憲法浣在本裁定中並未明言。惟其後，德國聯邦憲法院在其他裁判中曾表示，職務長官在任命競爭者為所競爭職務公務員之       </w:t>
      </w:r>
      <w:r>
        <w:rPr>
          <w:spacing w:val="71"/>
          <w:sz w:val="21"/>
          <w:vertAlign w:val="baseline"/>
        </w:rPr>
        <w:t> </w:t>
      </w:r>
      <w:r>
        <w:rPr>
          <w:sz w:val="21"/>
          <w:vertAlign w:val="baseline"/>
        </w:rPr>
        <w:t>前二天，將選拔程序之結果通知競爭落敗之當事人，並不足以使其有足夠之時間作       </w:t>
      </w:r>
      <w:r>
        <w:rPr>
          <w:spacing w:val="68"/>
          <w:sz w:val="21"/>
          <w:vertAlign w:val="baseline"/>
        </w:rPr>
        <w:t> </w:t>
      </w:r>
      <w:r>
        <w:rPr>
          <w:w w:val="95"/>
          <w:sz w:val="21"/>
          <w:vertAlign w:val="baseline"/>
        </w:rPr>
        <w:t>成是否尋求權利救濟之決定，不能滿足「合理期間」之要求。</w:t>
      </w:r>
      <w:r>
        <w:rPr>
          <w:rFonts w:ascii="Times New Roman" w:eastAsia="Times New Roman"/>
          <w:w w:val="95"/>
          <w:sz w:val="26"/>
          <w:vertAlign w:val="baseline"/>
        </w:rPr>
        <w:t>Vgl.</w:t>
      </w:r>
      <w:r>
        <w:rPr>
          <w:rFonts w:ascii="Times New Roman" w:eastAsia="Times New Roman"/>
          <w:spacing w:val="1"/>
          <w:w w:val="95"/>
          <w:sz w:val="26"/>
          <w:vertAlign w:val="baseline"/>
        </w:rPr>
        <w:t> </w:t>
      </w:r>
      <w:r>
        <w:rPr>
          <w:rFonts w:ascii="Times New Roman" w:eastAsia="Times New Roman"/>
          <w:w w:val="95"/>
          <w:sz w:val="26"/>
          <w:vertAlign w:val="baseline"/>
        </w:rPr>
        <w:t>BVerfG, NVwZ 2007,</w:t>
      </w:r>
      <w:r>
        <w:rPr>
          <w:rFonts w:ascii="Times New Roman" w:eastAsia="Times New Roman"/>
          <w:spacing w:val="1"/>
          <w:w w:val="95"/>
          <w:sz w:val="26"/>
          <w:vertAlign w:val="baseline"/>
        </w:rPr>
        <w:t> </w:t>
      </w:r>
      <w:hyperlink r:id="rId304">
        <w:r>
          <w:rPr>
            <w:rFonts w:ascii="Times New Roman" w:eastAsia="Times New Roman"/>
            <w:spacing w:val="-1"/>
            <w:sz w:val="26"/>
            <w:vertAlign w:val="baseline"/>
          </w:rPr>
          <w:t>1178;</w:t>
        </w:r>
      </w:hyperlink>
      <w:r>
        <w:rPr>
          <w:rFonts w:ascii="Times New Roman" w:eastAsia="Times New Roman"/>
          <w:spacing w:val="6"/>
          <w:sz w:val="26"/>
          <w:vertAlign w:val="baseline"/>
        </w:rPr>
        <w:t> </w:t>
      </w:r>
      <w:r>
        <w:rPr>
          <w:rFonts w:ascii="Times New Roman" w:eastAsia="Times New Roman"/>
          <w:sz w:val="26"/>
          <w:vertAlign w:val="baseline"/>
        </w:rPr>
        <w:t>Battis</w:t>
      </w:r>
      <w:r>
        <w:rPr>
          <w:rFonts w:ascii="Times New Roman" w:eastAsia="Times New Roman"/>
          <w:spacing w:val="15"/>
          <w:sz w:val="26"/>
          <w:vertAlign w:val="baseline"/>
        </w:rPr>
        <w:t>, </w:t>
      </w:r>
      <w:r>
        <w:rPr>
          <w:rFonts w:ascii="Times New Roman" w:eastAsia="Times New Roman"/>
          <w:sz w:val="26"/>
          <w:vertAlign w:val="baseline"/>
        </w:rPr>
        <w:t>Die</w:t>
      </w:r>
      <w:r>
        <w:rPr>
          <w:rFonts w:ascii="Times New Roman" w:eastAsia="Times New Roman"/>
          <w:spacing w:val="-16"/>
          <w:sz w:val="26"/>
          <w:vertAlign w:val="baseline"/>
        </w:rPr>
        <w:t> </w:t>
      </w:r>
      <w:r>
        <w:rPr>
          <w:rFonts w:ascii="Times New Roman" w:eastAsia="Times New Roman"/>
          <w:sz w:val="26"/>
          <w:vertAlign w:val="baseline"/>
        </w:rPr>
        <w:t>Entwicklung</w:t>
      </w:r>
      <w:r>
        <w:rPr>
          <w:rFonts w:ascii="Times New Roman" w:eastAsia="Times New Roman"/>
          <w:spacing w:val="-5"/>
          <w:sz w:val="26"/>
          <w:vertAlign w:val="baseline"/>
        </w:rPr>
        <w:t> </w:t>
      </w:r>
      <w:r>
        <w:rPr>
          <w:rFonts w:ascii="Times New Roman" w:eastAsia="Times New Roman"/>
          <w:sz w:val="26"/>
          <w:vertAlign w:val="baseline"/>
        </w:rPr>
        <w:t>des</w:t>
      </w:r>
      <w:r>
        <w:rPr>
          <w:rFonts w:ascii="Times New Roman" w:eastAsia="Times New Roman"/>
          <w:spacing w:val="-16"/>
          <w:sz w:val="26"/>
          <w:vertAlign w:val="baseline"/>
        </w:rPr>
        <w:t> </w:t>
      </w:r>
      <w:r>
        <w:rPr>
          <w:rFonts w:ascii="Times New Roman" w:eastAsia="Times New Roman"/>
          <w:sz w:val="26"/>
          <w:vertAlign w:val="baseline"/>
        </w:rPr>
        <w:t>Beamtenrechts</w:t>
      </w:r>
      <w:r>
        <w:rPr>
          <w:rFonts w:ascii="Times New Roman" w:eastAsia="Times New Roman"/>
          <w:spacing w:val="21"/>
          <w:sz w:val="26"/>
          <w:vertAlign w:val="baseline"/>
        </w:rPr>
        <w:t> </w:t>
      </w:r>
      <w:r>
        <w:rPr>
          <w:rFonts w:ascii="Times New Roman" w:eastAsia="Times New Roman"/>
          <w:sz w:val="26"/>
          <w:vertAlign w:val="baseline"/>
        </w:rPr>
        <w:t>im</w:t>
      </w:r>
      <w:r>
        <w:rPr>
          <w:rFonts w:ascii="Times New Roman" w:eastAsia="Times New Roman"/>
          <w:spacing w:val="-7"/>
          <w:sz w:val="26"/>
          <w:vertAlign w:val="baseline"/>
        </w:rPr>
        <w:t> </w:t>
      </w:r>
      <w:r>
        <w:rPr>
          <w:rFonts w:ascii="Times New Roman" w:eastAsia="Times New Roman"/>
          <w:sz w:val="26"/>
          <w:vertAlign w:val="baseline"/>
        </w:rPr>
        <w:t>Jahre</w:t>
      </w:r>
      <w:r>
        <w:rPr>
          <w:rFonts w:ascii="Times New Roman" w:eastAsia="Times New Roman"/>
          <w:spacing w:val="-6"/>
          <w:sz w:val="26"/>
          <w:vertAlign w:val="baseline"/>
        </w:rPr>
        <w:t> </w:t>
      </w:r>
      <w:r>
        <w:rPr>
          <w:rFonts w:ascii="Times New Roman" w:eastAsia="Times New Roman"/>
          <w:sz w:val="26"/>
          <w:vertAlign w:val="baseline"/>
        </w:rPr>
        <w:t>2007,</w:t>
      </w:r>
      <w:r>
        <w:rPr>
          <w:rFonts w:ascii="Times New Roman" w:eastAsia="Times New Roman"/>
          <w:spacing w:val="38"/>
          <w:sz w:val="26"/>
          <w:vertAlign w:val="baseline"/>
        </w:rPr>
        <w:t> </w:t>
      </w:r>
      <w:r>
        <w:rPr>
          <w:rFonts w:ascii="Times New Roman" w:eastAsia="Times New Roman"/>
          <w:sz w:val="26"/>
          <w:vertAlign w:val="baseline"/>
        </w:rPr>
        <w:t>NJW</w:t>
      </w:r>
      <w:r>
        <w:rPr>
          <w:rFonts w:ascii="Times New Roman" w:eastAsia="Times New Roman"/>
          <w:spacing w:val="-4"/>
          <w:sz w:val="26"/>
          <w:vertAlign w:val="baseline"/>
        </w:rPr>
        <w:t> </w:t>
      </w:r>
      <w:r>
        <w:rPr>
          <w:rFonts w:ascii="Times New Roman" w:eastAsia="Times New Roman"/>
          <w:sz w:val="26"/>
          <w:vertAlign w:val="baseline"/>
        </w:rPr>
        <w:t>2008,</w:t>
      </w:r>
      <w:r>
        <w:rPr>
          <w:rFonts w:ascii="Times New Roman" w:eastAsia="Times New Roman"/>
          <w:spacing w:val="35"/>
          <w:sz w:val="26"/>
          <w:vertAlign w:val="baseline"/>
        </w:rPr>
        <w:t> </w:t>
      </w:r>
      <w:r>
        <w:rPr>
          <w:rFonts w:ascii="Times New Roman" w:eastAsia="Times New Roman"/>
          <w:sz w:val="26"/>
          <w:vertAlign w:val="baseline"/>
        </w:rPr>
        <w:t>379.</w:t>
      </w:r>
    </w:p>
    <w:p>
      <w:pPr>
        <w:pStyle w:val="Heading6"/>
        <w:tabs>
          <w:tab w:pos="6920" w:val="left" w:leader="none"/>
        </w:tabs>
        <w:spacing w:line="280" w:lineRule="exact" w:before="0"/>
      </w:pPr>
      <w:r>
        <w:rPr/>
        <w:pict>
          <v:shape style="position:absolute;margin-left:79.995613pt;margin-top:15.203619pt;width:404.55pt;height:45.65pt;mso-position-horizontal-relative:page;mso-position-vertical-relative:paragraph;z-index:158100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48"/>
                    <w:gridCol w:w="3014"/>
                    <w:gridCol w:w="356"/>
                    <w:gridCol w:w="843"/>
                    <w:gridCol w:w="716"/>
                    <w:gridCol w:w="485"/>
                    <w:gridCol w:w="1029"/>
                  </w:tblGrid>
                  <w:tr>
                    <w:trPr>
                      <w:trHeight w:val="300" w:hRule="atLeast"/>
                    </w:trPr>
                    <w:tc>
                      <w:tcPr>
                        <w:tcW w:w="1648" w:type="dxa"/>
                      </w:tcPr>
                      <w:p>
                        <w:pPr>
                          <w:pStyle w:val="TableParagraph"/>
                          <w:spacing w:line="280" w:lineRule="exact"/>
                          <w:ind w:left="50"/>
                          <w:rPr>
                            <w:rFonts w:ascii="Times New Roman"/>
                            <w:sz w:val="26"/>
                          </w:rPr>
                        </w:pPr>
                        <w:r>
                          <w:rPr>
                            <w:rFonts w:ascii="Times New Roman"/>
                            <w:sz w:val="26"/>
                          </w:rPr>
                          <w:t>Wlirtenberger,</w:t>
                        </w:r>
                      </w:p>
                    </w:tc>
                    <w:tc>
                      <w:tcPr>
                        <w:tcW w:w="3014" w:type="dxa"/>
                      </w:tcPr>
                      <w:p>
                        <w:pPr>
                          <w:pStyle w:val="TableParagraph"/>
                          <w:spacing w:line="280" w:lineRule="exact"/>
                          <w:ind w:left="73" w:right="73"/>
                          <w:jc w:val="center"/>
                          <w:rPr>
                            <w:rFonts w:ascii="Times New Roman"/>
                            <w:sz w:val="26"/>
                          </w:rPr>
                        </w:pPr>
                        <w:r>
                          <w:rPr>
                            <w:rFonts w:ascii="Times New Roman"/>
                            <w:sz w:val="26"/>
                          </w:rPr>
                          <w:t>Verwal</w:t>
                        </w:r>
                        <w:r>
                          <w:rPr>
                            <w:rFonts w:ascii="Times New Roman"/>
                            <w:spacing w:val="-4"/>
                            <w:sz w:val="26"/>
                          </w:rPr>
                          <w:t> </w:t>
                        </w:r>
                        <w:r>
                          <w:rPr>
                            <w:rFonts w:ascii="Times New Roman"/>
                            <w:sz w:val="26"/>
                          </w:rPr>
                          <w:t>tungsprozessrecht,</w:t>
                        </w:r>
                      </w:p>
                    </w:tc>
                    <w:tc>
                      <w:tcPr>
                        <w:tcW w:w="356" w:type="dxa"/>
                      </w:tcPr>
                      <w:p>
                        <w:pPr>
                          <w:pStyle w:val="TableParagraph"/>
                          <w:spacing w:line="280" w:lineRule="exact"/>
                          <w:ind w:left="60" w:right="60"/>
                          <w:jc w:val="center"/>
                          <w:rPr>
                            <w:rFonts w:ascii="Times New Roman"/>
                            <w:sz w:val="26"/>
                          </w:rPr>
                        </w:pPr>
                        <w:r>
                          <w:rPr>
                            <w:rFonts w:ascii="Times New Roman"/>
                            <w:sz w:val="26"/>
                          </w:rPr>
                          <w:t>2.</w:t>
                        </w:r>
                      </w:p>
                    </w:tc>
                    <w:tc>
                      <w:tcPr>
                        <w:tcW w:w="843" w:type="dxa"/>
                      </w:tcPr>
                      <w:p>
                        <w:pPr>
                          <w:pStyle w:val="TableParagraph"/>
                          <w:spacing w:line="280" w:lineRule="exact"/>
                          <w:ind w:left="59" w:right="69"/>
                          <w:jc w:val="center"/>
                          <w:rPr>
                            <w:rFonts w:ascii="Times New Roman"/>
                            <w:sz w:val="26"/>
                          </w:rPr>
                        </w:pPr>
                        <w:r>
                          <w:rPr>
                            <w:rFonts w:ascii="Times New Roman"/>
                            <w:w w:val="105"/>
                            <w:sz w:val="26"/>
                          </w:rPr>
                          <w:t>Aufl.,</w:t>
                        </w:r>
                      </w:p>
                    </w:tc>
                    <w:tc>
                      <w:tcPr>
                        <w:tcW w:w="716" w:type="dxa"/>
                      </w:tcPr>
                      <w:p>
                        <w:pPr>
                          <w:pStyle w:val="TableParagraph"/>
                          <w:spacing w:line="280" w:lineRule="exact"/>
                          <w:ind w:left="45" w:right="45"/>
                          <w:jc w:val="center"/>
                          <w:rPr>
                            <w:rFonts w:ascii="Times New Roman"/>
                            <w:sz w:val="26"/>
                          </w:rPr>
                        </w:pPr>
                        <w:r>
                          <w:rPr>
                            <w:rFonts w:ascii="Times New Roman"/>
                            <w:sz w:val="26"/>
                          </w:rPr>
                          <w:t>2006,</w:t>
                        </w:r>
                      </w:p>
                    </w:tc>
                    <w:tc>
                      <w:tcPr>
                        <w:tcW w:w="485" w:type="dxa"/>
                      </w:tcPr>
                      <w:p>
                        <w:pPr>
                          <w:pStyle w:val="TableParagraph"/>
                          <w:spacing w:line="280" w:lineRule="exact"/>
                          <w:ind w:left="53" w:right="52"/>
                          <w:jc w:val="center"/>
                          <w:rPr>
                            <w:rFonts w:ascii="Times New Roman"/>
                            <w:sz w:val="26"/>
                          </w:rPr>
                        </w:pPr>
                        <w:r>
                          <w:rPr>
                            <w:rFonts w:ascii="Times New Roman"/>
                            <w:w w:val="90"/>
                            <w:sz w:val="26"/>
                          </w:rPr>
                          <w:t>Rn.</w:t>
                        </w:r>
                      </w:p>
                    </w:tc>
                    <w:tc>
                      <w:tcPr>
                        <w:tcW w:w="1029" w:type="dxa"/>
                      </w:tcPr>
                      <w:p>
                        <w:pPr>
                          <w:pStyle w:val="TableParagraph"/>
                          <w:spacing w:line="280" w:lineRule="exact"/>
                          <w:ind w:left="91"/>
                          <w:rPr>
                            <w:rFonts w:ascii="Times New Roman"/>
                            <w:sz w:val="26"/>
                          </w:rPr>
                        </w:pPr>
                        <w:r>
                          <w:rPr>
                            <w:rFonts w:ascii="Times New Roman"/>
                            <w:sz w:val="26"/>
                          </w:rPr>
                          <w:t>487.</w:t>
                        </w:r>
                      </w:p>
                    </w:tc>
                  </w:tr>
                  <w:tr>
                    <w:trPr>
                      <w:trHeight w:val="312" w:hRule="atLeast"/>
                    </w:trPr>
                    <w:tc>
                      <w:tcPr>
                        <w:tcW w:w="1648" w:type="dxa"/>
                      </w:tcPr>
                      <w:p>
                        <w:pPr>
                          <w:pStyle w:val="TableParagraph"/>
                          <w:spacing w:line="291" w:lineRule="exact" w:before="1"/>
                          <w:ind w:left="50"/>
                          <w:rPr>
                            <w:rFonts w:ascii="Times New Roman"/>
                            <w:sz w:val="26"/>
                          </w:rPr>
                        </w:pPr>
                        <w:r>
                          <w:rPr>
                            <w:rFonts w:ascii="Times New Roman"/>
                            <w:sz w:val="26"/>
                          </w:rPr>
                          <w:t>Wlirtenberger,</w:t>
                        </w:r>
                      </w:p>
                    </w:tc>
                    <w:tc>
                      <w:tcPr>
                        <w:tcW w:w="3014" w:type="dxa"/>
                      </w:tcPr>
                      <w:p>
                        <w:pPr>
                          <w:pStyle w:val="TableParagraph"/>
                          <w:spacing w:line="291" w:lineRule="exact" w:before="1"/>
                          <w:ind w:left="73" w:right="73"/>
                          <w:jc w:val="center"/>
                          <w:rPr>
                            <w:rFonts w:ascii="Times New Roman"/>
                            <w:sz w:val="26"/>
                          </w:rPr>
                        </w:pPr>
                        <w:r>
                          <w:rPr>
                            <w:rFonts w:ascii="Times New Roman"/>
                            <w:sz w:val="26"/>
                          </w:rPr>
                          <w:t>Verwal</w:t>
                        </w:r>
                        <w:r>
                          <w:rPr>
                            <w:rFonts w:ascii="Times New Roman"/>
                            <w:spacing w:val="-4"/>
                            <w:sz w:val="26"/>
                          </w:rPr>
                          <w:t> </w:t>
                        </w:r>
                        <w:r>
                          <w:rPr>
                            <w:rFonts w:ascii="Times New Roman"/>
                            <w:sz w:val="26"/>
                          </w:rPr>
                          <w:t>tungsprozessrecht,</w:t>
                        </w:r>
                      </w:p>
                    </w:tc>
                    <w:tc>
                      <w:tcPr>
                        <w:tcW w:w="356" w:type="dxa"/>
                      </w:tcPr>
                      <w:p>
                        <w:pPr>
                          <w:pStyle w:val="TableParagraph"/>
                          <w:spacing w:line="291" w:lineRule="exact" w:before="1"/>
                          <w:ind w:left="60" w:right="60"/>
                          <w:jc w:val="center"/>
                          <w:rPr>
                            <w:rFonts w:ascii="Times New Roman"/>
                            <w:sz w:val="26"/>
                          </w:rPr>
                        </w:pPr>
                        <w:r>
                          <w:rPr>
                            <w:rFonts w:ascii="Times New Roman"/>
                            <w:sz w:val="26"/>
                          </w:rPr>
                          <w:t>2.</w:t>
                        </w:r>
                      </w:p>
                    </w:tc>
                    <w:tc>
                      <w:tcPr>
                        <w:tcW w:w="843" w:type="dxa"/>
                      </w:tcPr>
                      <w:p>
                        <w:pPr>
                          <w:pStyle w:val="TableParagraph"/>
                          <w:spacing w:line="291" w:lineRule="exact" w:before="1"/>
                          <w:ind w:left="59" w:right="69"/>
                          <w:jc w:val="center"/>
                          <w:rPr>
                            <w:rFonts w:ascii="Times New Roman"/>
                            <w:sz w:val="26"/>
                          </w:rPr>
                        </w:pPr>
                        <w:r>
                          <w:rPr>
                            <w:rFonts w:ascii="Times New Roman"/>
                            <w:w w:val="105"/>
                            <w:sz w:val="26"/>
                          </w:rPr>
                          <w:t>Aufl.,</w:t>
                        </w:r>
                      </w:p>
                    </w:tc>
                    <w:tc>
                      <w:tcPr>
                        <w:tcW w:w="716" w:type="dxa"/>
                      </w:tcPr>
                      <w:p>
                        <w:pPr>
                          <w:pStyle w:val="TableParagraph"/>
                          <w:spacing w:line="291" w:lineRule="exact" w:before="1"/>
                          <w:ind w:left="45" w:right="45"/>
                          <w:jc w:val="center"/>
                          <w:rPr>
                            <w:rFonts w:ascii="Times New Roman"/>
                            <w:sz w:val="26"/>
                          </w:rPr>
                        </w:pPr>
                        <w:r>
                          <w:rPr>
                            <w:rFonts w:ascii="Times New Roman"/>
                            <w:sz w:val="26"/>
                          </w:rPr>
                          <w:t>2006,</w:t>
                        </w:r>
                      </w:p>
                    </w:tc>
                    <w:tc>
                      <w:tcPr>
                        <w:tcW w:w="485" w:type="dxa"/>
                      </w:tcPr>
                      <w:p>
                        <w:pPr>
                          <w:pStyle w:val="TableParagraph"/>
                          <w:spacing w:line="291" w:lineRule="exact" w:before="1"/>
                          <w:ind w:left="53" w:right="52"/>
                          <w:jc w:val="center"/>
                          <w:rPr>
                            <w:rFonts w:ascii="Times New Roman"/>
                            <w:sz w:val="26"/>
                          </w:rPr>
                        </w:pPr>
                        <w:r>
                          <w:rPr>
                            <w:rFonts w:ascii="Times New Roman"/>
                            <w:w w:val="90"/>
                            <w:sz w:val="26"/>
                          </w:rPr>
                          <w:t>Rn.</w:t>
                        </w:r>
                      </w:p>
                    </w:tc>
                    <w:tc>
                      <w:tcPr>
                        <w:tcW w:w="1029" w:type="dxa"/>
                      </w:tcPr>
                      <w:p>
                        <w:pPr>
                          <w:pStyle w:val="TableParagraph"/>
                          <w:spacing w:line="291" w:lineRule="exact" w:before="1"/>
                          <w:ind w:left="91"/>
                          <w:rPr>
                            <w:rFonts w:ascii="Times New Roman"/>
                            <w:sz w:val="26"/>
                          </w:rPr>
                        </w:pPr>
                        <w:r>
                          <w:rPr>
                            <w:rFonts w:ascii="Times New Roman"/>
                            <w:sz w:val="26"/>
                          </w:rPr>
                          <w:t>486.</w:t>
                        </w:r>
                      </w:p>
                    </w:tc>
                  </w:tr>
                  <w:tr>
                    <w:trPr>
                      <w:trHeight w:val="300" w:hRule="atLeast"/>
                    </w:trPr>
                    <w:tc>
                      <w:tcPr>
                        <w:tcW w:w="1648" w:type="dxa"/>
                      </w:tcPr>
                      <w:p>
                        <w:pPr>
                          <w:pStyle w:val="TableParagraph"/>
                          <w:spacing w:line="279" w:lineRule="exact" w:before="1"/>
                          <w:ind w:left="50"/>
                          <w:rPr>
                            <w:rFonts w:ascii="Times New Roman"/>
                            <w:sz w:val="26"/>
                          </w:rPr>
                        </w:pPr>
                        <w:r>
                          <w:rPr>
                            <w:rFonts w:ascii="Times New Roman"/>
                            <w:sz w:val="26"/>
                          </w:rPr>
                          <w:t>Wlirtenberger,</w:t>
                        </w:r>
                      </w:p>
                    </w:tc>
                    <w:tc>
                      <w:tcPr>
                        <w:tcW w:w="3014" w:type="dxa"/>
                      </w:tcPr>
                      <w:p>
                        <w:pPr>
                          <w:pStyle w:val="TableParagraph"/>
                          <w:spacing w:line="279" w:lineRule="exact" w:before="1"/>
                          <w:ind w:left="73" w:right="73"/>
                          <w:jc w:val="center"/>
                          <w:rPr>
                            <w:rFonts w:ascii="Times New Roman"/>
                            <w:sz w:val="26"/>
                          </w:rPr>
                        </w:pPr>
                        <w:r>
                          <w:rPr>
                            <w:rFonts w:ascii="Times New Roman"/>
                            <w:w w:val="105"/>
                            <w:sz w:val="26"/>
                          </w:rPr>
                          <w:t>Verwaltungsprozessrecht,</w:t>
                        </w:r>
                      </w:p>
                    </w:tc>
                    <w:tc>
                      <w:tcPr>
                        <w:tcW w:w="356" w:type="dxa"/>
                      </w:tcPr>
                      <w:p>
                        <w:pPr>
                          <w:pStyle w:val="TableParagraph"/>
                          <w:spacing w:line="279" w:lineRule="exact" w:before="1"/>
                          <w:ind w:left="60" w:right="60"/>
                          <w:jc w:val="center"/>
                          <w:rPr>
                            <w:rFonts w:ascii="Times New Roman"/>
                            <w:sz w:val="26"/>
                          </w:rPr>
                        </w:pPr>
                        <w:r>
                          <w:rPr>
                            <w:rFonts w:ascii="Times New Roman"/>
                            <w:sz w:val="26"/>
                          </w:rPr>
                          <w:t>2.</w:t>
                        </w:r>
                      </w:p>
                    </w:tc>
                    <w:tc>
                      <w:tcPr>
                        <w:tcW w:w="843" w:type="dxa"/>
                      </w:tcPr>
                      <w:p>
                        <w:pPr>
                          <w:pStyle w:val="TableParagraph"/>
                          <w:spacing w:line="279" w:lineRule="exact" w:before="1"/>
                          <w:ind w:left="65" w:right="69"/>
                          <w:jc w:val="center"/>
                          <w:rPr>
                            <w:rFonts w:ascii="Times New Roman"/>
                            <w:sz w:val="26"/>
                          </w:rPr>
                        </w:pPr>
                        <w:r>
                          <w:rPr>
                            <w:rFonts w:ascii="Times New Roman"/>
                            <w:w w:val="110"/>
                            <w:sz w:val="26"/>
                          </w:rPr>
                          <w:t>Aufl.,</w:t>
                        </w:r>
                      </w:p>
                    </w:tc>
                    <w:tc>
                      <w:tcPr>
                        <w:tcW w:w="716" w:type="dxa"/>
                      </w:tcPr>
                      <w:p>
                        <w:pPr>
                          <w:pStyle w:val="TableParagraph"/>
                          <w:spacing w:line="279" w:lineRule="exact" w:before="1"/>
                          <w:ind w:left="45" w:right="45"/>
                          <w:jc w:val="center"/>
                          <w:rPr>
                            <w:rFonts w:ascii="Times New Roman"/>
                            <w:sz w:val="26"/>
                          </w:rPr>
                        </w:pPr>
                        <w:r>
                          <w:rPr>
                            <w:rFonts w:ascii="Times New Roman"/>
                            <w:sz w:val="26"/>
                          </w:rPr>
                          <w:t>2006,</w:t>
                        </w:r>
                      </w:p>
                    </w:tc>
                    <w:tc>
                      <w:tcPr>
                        <w:tcW w:w="485" w:type="dxa"/>
                      </w:tcPr>
                      <w:p>
                        <w:pPr>
                          <w:pStyle w:val="TableParagraph"/>
                          <w:spacing w:line="279" w:lineRule="exact" w:before="1"/>
                          <w:ind w:left="50" w:right="56"/>
                          <w:jc w:val="center"/>
                          <w:rPr>
                            <w:rFonts w:ascii="Times New Roman"/>
                            <w:sz w:val="26"/>
                          </w:rPr>
                        </w:pPr>
                        <w:r>
                          <w:rPr>
                            <w:rFonts w:ascii="Times New Roman"/>
                            <w:w w:val="90"/>
                            <w:sz w:val="26"/>
                          </w:rPr>
                          <w:t>Rn.</w:t>
                        </w:r>
                      </w:p>
                    </w:tc>
                    <w:tc>
                      <w:tcPr>
                        <w:tcW w:w="1029" w:type="dxa"/>
                      </w:tcPr>
                      <w:p>
                        <w:pPr>
                          <w:pStyle w:val="TableParagraph"/>
                          <w:spacing w:line="279" w:lineRule="exact" w:before="1"/>
                          <w:ind w:left="91"/>
                          <w:rPr>
                            <w:rFonts w:ascii="Times New Roman"/>
                            <w:sz w:val="26"/>
                          </w:rPr>
                        </w:pPr>
                        <w:r>
                          <w:rPr>
                            <w:rFonts w:ascii="Times New Roman"/>
                            <w:w w:val="95"/>
                            <w:sz w:val="26"/>
                          </w:rPr>
                          <w:t>490-493.</w:t>
                        </w:r>
                      </w:p>
                    </w:tc>
                  </w:tr>
                </w:tbl>
                <w:p>
                  <w:pPr>
                    <w:pStyle w:val="BodyText"/>
                  </w:pPr>
                </w:p>
              </w:txbxContent>
            </v:textbox>
            <w10:wrap type="none"/>
          </v:shape>
        </w:pict>
      </w:r>
      <w:r>
        <w:rPr>
          <w:position w:val="8"/>
          <w:sz w:val="13"/>
        </w:rPr>
        <w:t>48  </w:t>
      </w:r>
      <w:r>
        <w:rPr>
          <w:spacing w:val="6"/>
          <w:position w:val="8"/>
          <w:sz w:val="13"/>
        </w:rPr>
        <w:t> </w:t>
      </w:r>
      <w:r>
        <w:rPr/>
        <w:t>Battis,</w:t>
      </w:r>
      <w:r>
        <w:rPr>
          <w:spacing w:val="121"/>
        </w:rPr>
        <w:t> </w:t>
      </w:r>
      <w:r>
        <w:rPr/>
        <w:t>Entwicklung</w:t>
      </w:r>
      <w:r>
        <w:rPr>
          <w:spacing w:val="70"/>
        </w:rPr>
        <w:t> </w:t>
      </w:r>
      <w:r>
        <w:rPr/>
        <w:t>des</w:t>
      </w:r>
      <w:r>
        <w:rPr>
          <w:spacing w:val="54"/>
        </w:rPr>
        <w:t> </w:t>
      </w:r>
      <w:r>
        <w:rPr/>
        <w:t>Beamtenrechts</w:t>
      </w:r>
      <w:r>
        <w:rPr>
          <w:spacing w:val="97"/>
        </w:rPr>
        <w:t> </w:t>
      </w:r>
      <w:r>
        <w:rPr/>
        <w:t>im</w:t>
      </w:r>
      <w:r>
        <w:rPr>
          <w:spacing w:val="67"/>
        </w:rPr>
        <w:t> </w:t>
      </w:r>
      <w:r>
        <w:rPr/>
        <w:t>Jahre</w:t>
      </w:r>
      <w:r>
        <w:rPr>
          <w:spacing w:val="52"/>
        </w:rPr>
        <w:t> </w:t>
      </w:r>
      <w:r>
        <w:rPr/>
        <w:t>1990,</w:t>
        <w:tab/>
      </w:r>
      <w:r>
        <w:rPr>
          <w:w w:val="90"/>
        </w:rPr>
        <w:t>NJW</w:t>
      </w:r>
      <w:r>
        <w:rPr>
          <w:spacing w:val="27"/>
          <w:w w:val="90"/>
        </w:rPr>
        <w:t> </w:t>
      </w:r>
      <w:r>
        <w:rPr>
          <w:w w:val="90"/>
        </w:rPr>
        <w:t>1991,</w:t>
      </w:r>
      <w:r>
        <w:rPr>
          <w:spacing w:val="19"/>
          <w:w w:val="90"/>
        </w:rPr>
        <w:t> </w:t>
      </w:r>
      <w:r>
        <w:rPr>
          <w:w w:val="90"/>
        </w:rPr>
        <w:t>1586.</w:t>
      </w:r>
    </w:p>
    <w:p>
      <w:pPr>
        <w:spacing w:before="50"/>
        <w:ind w:left="298" w:right="0" w:firstLine="0"/>
        <w:jc w:val="left"/>
        <w:rPr>
          <w:rFonts w:ascii="Times New Roman"/>
          <w:sz w:val="13"/>
        </w:rPr>
      </w:pPr>
      <w:r>
        <w:rPr>
          <w:rFonts w:ascii="Times New Roman"/>
          <w:sz w:val="13"/>
        </w:rPr>
        <w:t>49</w:t>
      </w:r>
    </w:p>
    <w:p>
      <w:pPr>
        <w:pStyle w:val="BodyText"/>
        <w:spacing w:before="2"/>
        <w:rPr>
          <w:rFonts w:ascii="Times New Roman"/>
          <w:sz w:val="14"/>
        </w:rPr>
      </w:pPr>
    </w:p>
    <w:p>
      <w:pPr>
        <w:spacing w:before="0"/>
        <w:ind w:left="298" w:right="0" w:firstLine="0"/>
        <w:jc w:val="left"/>
        <w:rPr>
          <w:rFonts w:ascii="Times New Roman"/>
          <w:sz w:val="13"/>
        </w:rPr>
      </w:pPr>
      <w:r>
        <w:rPr>
          <w:rFonts w:ascii="Times New Roman"/>
          <w:sz w:val="13"/>
        </w:rPr>
        <w:t>50</w:t>
      </w:r>
    </w:p>
    <w:p>
      <w:pPr>
        <w:pStyle w:val="BodyText"/>
        <w:spacing w:before="1"/>
        <w:rPr>
          <w:rFonts w:ascii="Times New Roman"/>
          <w:sz w:val="14"/>
        </w:rPr>
      </w:pPr>
    </w:p>
    <w:p>
      <w:pPr>
        <w:spacing w:before="0"/>
        <w:ind w:left="298" w:right="0" w:firstLine="0"/>
        <w:jc w:val="left"/>
        <w:rPr>
          <w:rFonts w:ascii="Times New Roman"/>
          <w:sz w:val="13"/>
        </w:rPr>
      </w:pPr>
      <w:r>
        <w:rPr>
          <w:rFonts w:ascii="Times New Roman"/>
          <w:sz w:val="13"/>
        </w:rPr>
        <w:t>51</w:t>
      </w:r>
    </w:p>
    <w:p>
      <w:pPr>
        <w:spacing w:after="0"/>
        <w:jc w:val="left"/>
        <w:rPr>
          <w:rFonts w:ascii="Times New Roman"/>
          <w:sz w:val="13"/>
        </w:rPr>
        <w:sectPr>
          <w:pgSz w:w="11910" w:h="16840"/>
          <w:pgMar w:header="862" w:footer="1017" w:top="1060" w:bottom="1200" w:left="1120" w:right="1060"/>
        </w:sectPr>
      </w:pPr>
    </w:p>
    <w:p>
      <w:pPr>
        <w:pStyle w:val="BodyText"/>
        <w:rPr>
          <w:rFonts w:ascii="Times New Roman"/>
          <w:sz w:val="20"/>
        </w:rPr>
      </w:pPr>
    </w:p>
    <w:p>
      <w:pPr>
        <w:pStyle w:val="BodyText"/>
        <w:spacing w:line="331" w:lineRule="auto" w:before="206"/>
        <w:ind w:left="308" w:right="523" w:hanging="5"/>
        <w:jc w:val="both"/>
      </w:pPr>
      <w:r>
        <w:rPr>
          <w:w w:val="110"/>
        </w:rPr>
        <w:t>任命之行政處分即告翦定，不得再行變更，即屬上述事實已完結之情形。是以噹事人得提超預先禁止之訴，請求行政法院預先禁止被告機關（人事主管機關）作成任命其他競爭者為系爭公職公務員之行政處分。</w:t>
      </w:r>
    </w:p>
    <w:p>
      <w:pPr>
        <w:pStyle w:val="BodyText"/>
        <w:spacing w:before="87"/>
        <w:ind w:left="837" w:right="549"/>
        <w:jc w:val="center"/>
      </w:pPr>
      <w:r>
        <w:rPr>
          <w:w w:val="115"/>
        </w:rPr>
        <w:t>四人事虞分兢爭者訴訟之噹事人適格</w:t>
      </w:r>
    </w:p>
    <w:p>
      <w:pPr>
        <w:pStyle w:val="BodyText"/>
        <w:spacing w:before="1"/>
        <w:rPr>
          <w:sz w:val="24"/>
        </w:rPr>
      </w:pPr>
    </w:p>
    <w:p>
      <w:pPr>
        <w:pStyle w:val="BodyText"/>
        <w:spacing w:line="328" w:lineRule="auto" w:before="1"/>
        <w:ind w:left="304" w:right="507" w:firstLine="561"/>
        <w:rPr>
          <w:sz w:val="26"/>
        </w:rPr>
      </w:pPr>
      <w:r>
        <w:rPr>
          <w:w w:val="110"/>
        </w:rPr>
        <w:t>如前所逑，德國實務上見解不承認公務員法上消極競爭者訴訟之合法性，公務員法上競爭者訴訟之主要訴訟類型，為「預先禁止之訴」。職務競爭者（某甲）在得知選拔程序之結果後，即提超「預先禁止之訴」，請求行政法院禁止被告機關（人事主管機關）作成任命其他競爭者（某乙）</w:t>
      </w:r>
      <w:r>
        <w:rPr>
          <w:spacing w:val="-135"/>
          <w:w w:val="110"/>
        </w:rPr>
        <w:t> </w:t>
      </w:r>
      <w:r>
        <w:rPr>
          <w:w w:val="110"/>
        </w:rPr>
        <w:t>為系爭公職公務員之行政處分。在此預先禁止之訴中，何人得為適格之噹事人（原告）</w:t>
      </w:r>
      <w:r>
        <w:rPr>
          <w:spacing w:val="-70"/>
          <w:w w:val="110"/>
        </w:rPr>
        <w:t> </w:t>
      </w:r>
      <w:r>
        <w:rPr>
          <w:w w:val="110"/>
          <w:sz w:val="26"/>
        </w:rPr>
        <w:t>？</w:t>
      </w:r>
    </w:p>
    <w:p>
      <w:pPr>
        <w:pStyle w:val="BodyText"/>
        <w:tabs>
          <w:tab w:pos="3790" w:val="left" w:leader="none"/>
        </w:tabs>
        <w:spacing w:line="316" w:lineRule="auto"/>
        <w:ind w:left="298" w:right="514" w:firstLine="571"/>
      </w:pPr>
      <w:r>
        <w:rPr/>
        <w:t>所謂預先禁止之訴，其性質為一般玲付之訴。德國行政法院法上並無   </w:t>
      </w:r>
      <w:r>
        <w:rPr>
          <w:spacing w:val="98"/>
        </w:rPr>
        <w:t> </w:t>
      </w:r>
      <w:r>
        <w:rPr/>
        <w:t>一般</w:t>
      </w:r>
      <w:r>
        <w:rPr>
          <w:spacing w:val="-32"/>
        </w:rPr>
        <w:t> </w:t>
      </w:r>
      <w:r>
        <w:rPr/>
        <w:t>給</w:t>
      </w:r>
      <w:r>
        <w:rPr>
          <w:spacing w:val="16"/>
        </w:rPr>
        <w:t>付</w:t>
      </w:r>
      <w:r>
        <w:rPr/>
        <w:t>之</w:t>
      </w:r>
      <w:r>
        <w:rPr>
          <w:spacing w:val="22"/>
        </w:rPr>
        <w:t>訴</w:t>
      </w:r>
      <w:r>
        <w:rPr/>
        <w:t>之</w:t>
      </w:r>
      <w:r>
        <w:rPr>
          <w:spacing w:val="21"/>
        </w:rPr>
        <w:t>明</w:t>
      </w:r>
      <w:r>
        <w:rPr>
          <w:spacing w:val="14"/>
        </w:rPr>
        <w:t>文</w:t>
      </w:r>
      <w:r>
        <w:rPr>
          <w:spacing w:val="15"/>
        </w:rPr>
        <w:t>規</w:t>
      </w:r>
      <w:r>
        <w:rPr>
          <w:spacing w:val="-51"/>
        </w:rPr>
        <w:t>定</w:t>
      </w:r>
      <w:r>
        <w:rPr>
          <w:rFonts w:ascii="Times New Roman" w:eastAsia="Times New Roman"/>
          <w:w w:val="80"/>
          <w:sz w:val="16"/>
        </w:rPr>
        <w:t>52</w:t>
      </w:r>
      <w:r>
        <w:rPr>
          <w:rFonts w:ascii="Times New Roman" w:eastAsia="Times New Roman"/>
          <w:spacing w:val="69"/>
          <w:sz w:val="16"/>
        </w:rPr>
        <w:t> </w:t>
      </w:r>
      <w:r>
        <w:rPr>
          <w:rFonts w:ascii="Times New Roman" w:eastAsia="Times New Roman"/>
          <w:sz w:val="16"/>
        </w:rPr>
        <w:t>,</w:t>
        <w:tab/>
      </w:r>
      <w:r>
        <w:rPr>
          <w:spacing w:val="43"/>
        </w:rPr>
        <w:t>依</w:t>
      </w:r>
      <w:r>
        <w:rPr>
          <w:spacing w:val="19"/>
        </w:rPr>
        <w:t>學</w:t>
      </w:r>
      <w:r>
        <w:rPr/>
        <w:t>說</w:t>
      </w:r>
      <w:r>
        <w:rPr>
          <w:spacing w:val="26"/>
        </w:rPr>
        <w:t>之</w:t>
      </w:r>
      <w:r>
        <w:rPr/>
        <w:t>見解</w:t>
      </w:r>
      <w:r>
        <w:rPr>
          <w:spacing w:val="27"/>
        </w:rPr>
        <w:t> </w:t>
      </w:r>
      <w:r>
        <w:rPr>
          <w:w w:val="80"/>
        </w:rPr>
        <w:t>，</w:t>
      </w:r>
      <w:r>
        <w:rPr>
          <w:spacing w:val="-52"/>
          <w:w w:val="80"/>
        </w:rPr>
        <w:t> </w:t>
      </w:r>
      <w:r>
        <w:rPr>
          <w:spacing w:val="38"/>
        </w:rPr>
        <w:t>有</w:t>
      </w:r>
      <w:r>
        <w:rPr/>
        <w:t>關</w:t>
      </w:r>
      <w:r>
        <w:rPr>
          <w:spacing w:val="56"/>
        </w:rPr>
        <w:t>預</w:t>
      </w:r>
      <w:r>
        <w:rPr>
          <w:spacing w:val="23"/>
        </w:rPr>
        <w:t>先</w:t>
      </w:r>
      <w:r>
        <w:rPr/>
        <w:t>禁止</w:t>
      </w:r>
      <w:r>
        <w:rPr>
          <w:spacing w:val="-33"/>
        </w:rPr>
        <w:t> </w:t>
      </w:r>
      <w:r>
        <w:rPr/>
        <w:t>之</w:t>
      </w:r>
      <w:r>
        <w:rPr>
          <w:spacing w:val="13"/>
        </w:rPr>
        <w:t>訴</w:t>
      </w:r>
      <w:r>
        <w:rPr>
          <w:spacing w:val="25"/>
        </w:rPr>
        <w:t>原</w:t>
      </w:r>
      <w:r>
        <w:rPr>
          <w:spacing w:val="40"/>
        </w:rPr>
        <w:t>告</w:t>
      </w:r>
      <w:r>
        <w:rPr>
          <w:spacing w:val="37"/>
        </w:rPr>
        <w:t>噹</w:t>
      </w:r>
      <w:r>
        <w:rPr/>
        <w:t>事</w:t>
      </w:r>
      <w:r>
        <w:rPr>
          <w:spacing w:val="13"/>
          <w:w w:val="95"/>
        </w:rPr>
        <w:t>人</w:t>
      </w:r>
      <w:r>
        <w:rPr>
          <w:w w:val="95"/>
        </w:rPr>
        <w:t>適</w:t>
      </w:r>
      <w:r>
        <w:rPr>
          <w:spacing w:val="25"/>
          <w:w w:val="95"/>
        </w:rPr>
        <w:t>格</w:t>
      </w:r>
      <w:r>
        <w:rPr>
          <w:spacing w:val="22"/>
          <w:w w:val="95"/>
        </w:rPr>
        <w:t>與</w:t>
      </w:r>
      <w:r>
        <w:rPr>
          <w:spacing w:val="32"/>
          <w:w w:val="95"/>
        </w:rPr>
        <w:t>否</w:t>
      </w:r>
      <w:r>
        <w:rPr>
          <w:spacing w:val="12"/>
          <w:w w:val="95"/>
        </w:rPr>
        <w:t>之</w:t>
      </w:r>
      <w:r>
        <w:rPr>
          <w:spacing w:val="20"/>
          <w:w w:val="95"/>
        </w:rPr>
        <w:t>判</w:t>
      </w:r>
      <w:r>
        <w:rPr>
          <w:w w:val="95"/>
        </w:rPr>
        <w:t>斷</w:t>
      </w:r>
      <w:r>
        <w:rPr>
          <w:spacing w:val="29"/>
          <w:w w:val="95"/>
        </w:rPr>
        <w:t>標</w:t>
      </w:r>
      <w:r>
        <w:rPr>
          <w:w w:val="95"/>
        </w:rPr>
        <w:t>準</w:t>
      </w:r>
      <w:r>
        <w:rPr>
          <w:spacing w:val="13"/>
          <w:w w:val="95"/>
        </w:rPr>
        <w:t> </w:t>
      </w:r>
      <w:r>
        <w:rPr>
          <w:spacing w:val="17"/>
          <w:w w:val="80"/>
        </w:rPr>
        <w:t>，</w:t>
      </w:r>
      <w:r>
        <w:rPr>
          <w:spacing w:val="31"/>
          <w:w w:val="95"/>
        </w:rPr>
        <w:t>應</w:t>
      </w:r>
      <w:r>
        <w:rPr>
          <w:w w:val="95"/>
        </w:rPr>
        <w:t>類推</w:t>
      </w:r>
      <w:r>
        <w:rPr>
          <w:spacing w:val="-22"/>
          <w:w w:val="95"/>
        </w:rPr>
        <w:t> </w:t>
      </w:r>
      <w:r>
        <w:rPr>
          <w:spacing w:val="30"/>
          <w:w w:val="95"/>
        </w:rPr>
        <w:t>適</w:t>
      </w:r>
      <w:r>
        <w:rPr>
          <w:w w:val="95"/>
        </w:rPr>
        <w:t>用行</w:t>
      </w:r>
      <w:r>
        <w:rPr>
          <w:spacing w:val="41"/>
          <w:w w:val="95"/>
        </w:rPr>
        <w:t> </w:t>
      </w:r>
      <w:r>
        <w:rPr>
          <w:spacing w:val="16"/>
          <w:w w:val="95"/>
        </w:rPr>
        <w:t>政</w:t>
      </w:r>
      <w:r>
        <w:rPr>
          <w:w w:val="95"/>
        </w:rPr>
        <w:t>法</w:t>
      </w:r>
      <w:r>
        <w:rPr>
          <w:spacing w:val="41"/>
          <w:w w:val="95"/>
        </w:rPr>
        <w:t>院</w:t>
      </w:r>
      <w:r>
        <w:rPr>
          <w:spacing w:val="38"/>
          <w:w w:val="95"/>
        </w:rPr>
        <w:t>法</w:t>
      </w:r>
      <w:r>
        <w:rPr>
          <w:w w:val="95"/>
        </w:rPr>
        <w:t>第</w:t>
      </w:r>
      <w:r>
        <w:rPr>
          <w:spacing w:val="50"/>
          <w:w w:val="95"/>
        </w:rPr>
        <w:t> </w:t>
      </w:r>
      <w:r>
        <w:rPr>
          <w:rFonts w:ascii="Times New Roman" w:eastAsia="Times New Roman"/>
          <w:w w:val="95"/>
          <w:sz w:val="30"/>
        </w:rPr>
        <w:t>42</w:t>
      </w:r>
      <w:r>
        <w:rPr>
          <w:rFonts w:ascii="Times New Roman" w:eastAsia="Times New Roman"/>
          <w:spacing w:val="58"/>
          <w:w w:val="95"/>
          <w:sz w:val="30"/>
        </w:rPr>
        <w:t> </w:t>
      </w:r>
      <w:r>
        <w:rPr>
          <w:spacing w:val="36"/>
          <w:w w:val="95"/>
        </w:rPr>
        <w:t>條</w:t>
      </w:r>
      <w:r>
        <w:rPr>
          <w:w w:val="95"/>
        </w:rPr>
        <w:t>第</w:t>
      </w:r>
      <w:r>
        <w:rPr>
          <w:spacing w:val="54"/>
          <w:w w:val="95"/>
        </w:rPr>
        <w:t> </w:t>
      </w:r>
      <w:r>
        <w:rPr>
          <w:rFonts w:ascii="Times New Roman" w:eastAsia="Times New Roman"/>
          <w:w w:val="95"/>
          <w:sz w:val="30"/>
        </w:rPr>
        <w:t>2</w:t>
      </w:r>
      <w:r>
        <w:rPr>
          <w:rFonts w:ascii="Times New Roman" w:eastAsia="Times New Roman"/>
          <w:spacing w:val="55"/>
          <w:w w:val="95"/>
          <w:sz w:val="30"/>
        </w:rPr>
        <w:t> </w:t>
      </w:r>
      <w:r>
        <w:rPr>
          <w:spacing w:val="39"/>
          <w:w w:val="95"/>
        </w:rPr>
        <w:t>項</w:t>
      </w:r>
      <w:r>
        <w:rPr>
          <w:spacing w:val="13"/>
          <w:w w:val="95"/>
        </w:rPr>
        <w:t>之</w:t>
      </w:r>
      <w:r>
        <w:rPr>
          <w:spacing w:val="20"/>
          <w:w w:val="95"/>
        </w:rPr>
        <w:t>規</w:t>
      </w:r>
      <w:r>
        <w:rPr>
          <w:spacing w:val="-51"/>
          <w:w w:val="95"/>
        </w:rPr>
        <w:t>定</w:t>
      </w:r>
      <w:r>
        <w:rPr>
          <w:rFonts w:ascii="Times New Roman" w:eastAsia="Times New Roman"/>
          <w:w w:val="80"/>
          <w:sz w:val="16"/>
        </w:rPr>
        <w:t>53</w:t>
      </w:r>
      <w:r>
        <w:rPr>
          <w:rFonts w:ascii="Times New Roman" w:eastAsia="Times New Roman"/>
          <w:spacing w:val="24"/>
          <w:sz w:val="16"/>
        </w:rPr>
        <w:t>   </w:t>
      </w:r>
      <w:r>
        <w:rPr>
          <w:rFonts w:ascii="Arial" w:eastAsia="Arial"/>
          <w:sz w:val="8"/>
        </w:rPr>
        <w:t>0</w:t>
      </w:r>
      <w:r>
        <w:rPr>
          <w:rFonts w:ascii="Arial" w:eastAsia="Arial"/>
          <w:spacing w:val="1"/>
          <w:sz w:val="8"/>
        </w:rPr>
        <w:t> </w:t>
      </w:r>
      <w:r>
        <w:rPr>
          <w:spacing w:val="16"/>
        </w:rPr>
        <w:t>按</w:t>
      </w:r>
      <w:r>
        <w:rPr>
          <w:spacing w:val="25"/>
        </w:rPr>
        <w:t>德</w:t>
      </w:r>
      <w:r>
        <w:rPr/>
        <w:t>國行</w:t>
      </w:r>
      <w:r>
        <w:rPr>
          <w:spacing w:val="-6"/>
        </w:rPr>
        <w:t> </w:t>
      </w:r>
      <w:r>
        <w:rPr>
          <w:spacing w:val="15"/>
        </w:rPr>
        <w:t>政</w:t>
      </w:r>
      <w:r>
        <w:rPr/>
        <w:t>法</w:t>
      </w:r>
      <w:r>
        <w:rPr>
          <w:spacing w:val="51"/>
        </w:rPr>
        <w:t>院</w:t>
      </w:r>
      <w:r>
        <w:rPr>
          <w:spacing w:val="34"/>
        </w:rPr>
        <w:t>法</w:t>
      </w:r>
      <w:r>
        <w:rPr/>
        <w:t>第</w:t>
      </w:r>
      <w:r>
        <w:rPr>
          <w:spacing w:val="23"/>
        </w:rPr>
        <w:t> </w:t>
      </w:r>
      <w:r>
        <w:rPr>
          <w:rFonts w:ascii="Times New Roman" w:eastAsia="Times New Roman"/>
          <w:sz w:val="30"/>
        </w:rPr>
        <w:t>42</w:t>
      </w:r>
      <w:r>
        <w:rPr>
          <w:rFonts w:ascii="Times New Roman" w:eastAsia="Times New Roman"/>
          <w:spacing w:val="43"/>
          <w:sz w:val="30"/>
        </w:rPr>
        <w:t> </w:t>
      </w:r>
      <w:r>
        <w:rPr>
          <w:spacing w:val="13"/>
        </w:rPr>
        <w:t>條</w:t>
      </w:r>
      <w:r>
        <w:rPr>
          <w:spacing w:val="15"/>
        </w:rPr>
        <w:t>規</w:t>
      </w:r>
      <w:r>
        <w:rPr/>
        <w:t>定：「</w:t>
      </w:r>
      <w:r>
        <w:rPr>
          <w:spacing w:val="-201"/>
        </w:rPr>
        <w:t>（</w:t>
      </w:r>
      <w:r>
        <w:rPr/>
        <w:t>第</w:t>
      </w:r>
      <w:r>
        <w:rPr>
          <w:spacing w:val="30"/>
        </w:rPr>
        <w:t> </w:t>
      </w:r>
      <w:r>
        <w:rPr>
          <w:rFonts w:ascii="Times New Roman" w:eastAsia="Times New Roman"/>
          <w:sz w:val="30"/>
        </w:rPr>
        <w:t>l</w:t>
      </w:r>
      <w:r>
        <w:rPr>
          <w:rFonts w:ascii="Times New Roman" w:eastAsia="Times New Roman"/>
          <w:spacing w:val="26"/>
          <w:sz w:val="30"/>
        </w:rPr>
        <w:t> </w:t>
      </w:r>
      <w:r>
        <w:rPr>
          <w:spacing w:val="50"/>
        </w:rPr>
        <w:t>項</w:t>
      </w:r>
      <w:r>
        <w:rPr/>
        <w:t>）</w:t>
      </w:r>
      <w:r>
        <w:rPr>
          <w:spacing w:val="-78"/>
        </w:rPr>
        <w:t> </w:t>
      </w:r>
      <w:r>
        <w:rPr/>
        <w:t>人</w:t>
      </w:r>
      <w:r>
        <w:rPr>
          <w:spacing w:val="13"/>
        </w:rPr>
        <w:t>民</w:t>
      </w:r>
      <w:r>
        <w:rPr>
          <w:spacing w:val="17"/>
        </w:rPr>
        <w:t>得</w:t>
      </w:r>
      <w:r>
        <w:rPr/>
        <w:t>超</w:t>
      </w:r>
      <w:r>
        <w:rPr>
          <w:spacing w:val="15"/>
        </w:rPr>
        <w:t>訴</w:t>
      </w:r>
      <w:r>
        <w:rPr>
          <w:spacing w:val="22"/>
        </w:rPr>
        <w:t>請</w:t>
      </w:r>
      <w:r>
        <w:rPr/>
        <w:t>求</w:t>
      </w:r>
      <w:r>
        <w:rPr>
          <w:spacing w:val="33"/>
        </w:rPr>
        <w:t>撤</w:t>
      </w:r>
      <w:r>
        <w:rPr/>
        <w:t>銷</w:t>
      </w:r>
      <w:r>
        <w:rPr>
          <w:spacing w:val="20"/>
        </w:rPr>
        <w:t>行</w:t>
      </w:r>
      <w:r>
        <w:rPr/>
        <w:t>政處分</w:t>
      </w:r>
      <w:r>
        <w:rPr>
          <w:spacing w:val="-25"/>
        </w:rPr>
        <w:t> </w:t>
      </w:r>
      <w:r>
        <w:rPr>
          <w:w w:val="80"/>
        </w:rPr>
        <w:t>，</w:t>
      </w:r>
      <w:r>
        <w:rPr>
          <w:spacing w:val="-35"/>
          <w:w w:val="80"/>
        </w:rPr>
        <w:t> </w:t>
      </w:r>
      <w:r>
        <w:rPr/>
        <w:t>或請</w:t>
      </w:r>
      <w:r>
        <w:rPr>
          <w:spacing w:val="-52"/>
        </w:rPr>
        <w:t> </w:t>
      </w:r>
      <w:r>
        <w:rPr/>
        <w:t>求</w:t>
      </w:r>
      <w:r>
        <w:rPr>
          <w:spacing w:val="35"/>
        </w:rPr>
        <w:t>判</w:t>
      </w:r>
      <w:r>
        <w:rPr>
          <w:spacing w:val="21"/>
        </w:rPr>
        <w:t>命</w:t>
      </w:r>
      <w:r>
        <w:rPr>
          <w:spacing w:val="17"/>
        </w:rPr>
        <w:t>作</w:t>
      </w:r>
      <w:r>
        <w:rPr>
          <w:spacing w:val="16"/>
        </w:rPr>
        <w:t>成</w:t>
      </w:r>
      <w:r>
        <w:rPr>
          <w:spacing w:val="26"/>
        </w:rPr>
        <w:t>拒</w:t>
      </w:r>
      <w:r>
        <w:rPr>
          <w:spacing w:val="18"/>
        </w:rPr>
        <w:t>絕</w:t>
      </w:r>
      <w:r>
        <w:rPr>
          <w:spacing w:val="33"/>
        </w:rPr>
        <w:t>或</w:t>
      </w:r>
      <w:r>
        <w:rPr>
          <w:spacing w:val="22"/>
        </w:rPr>
        <w:t>怠</w:t>
      </w:r>
      <w:r>
        <w:rPr/>
        <w:t>為之行</w:t>
      </w:r>
      <w:r>
        <w:rPr>
          <w:spacing w:val="-6"/>
        </w:rPr>
        <w:t> </w:t>
      </w:r>
      <w:r>
        <w:rPr/>
        <w:t>政</w:t>
      </w:r>
      <w:r>
        <w:rPr>
          <w:spacing w:val="27"/>
        </w:rPr>
        <w:t>處</w:t>
      </w:r>
      <w:r>
        <w:rPr/>
        <w:t>分</w:t>
      </w:r>
      <w:r>
        <w:rPr>
          <w:spacing w:val="-44"/>
        </w:rPr>
        <w:t> </w:t>
      </w:r>
      <w:r>
        <w:rPr/>
        <w:t>。</w:t>
      </w:r>
      <w:r>
        <w:rPr>
          <w:spacing w:val="-142"/>
        </w:rPr>
        <w:t>（</w:t>
      </w:r>
      <w:r>
        <w:rPr/>
        <w:t>第</w:t>
      </w:r>
      <w:r>
        <w:rPr>
          <w:spacing w:val="-5"/>
        </w:rPr>
        <w:t> </w:t>
      </w:r>
      <w:r>
        <w:rPr>
          <w:rFonts w:ascii="Times New Roman" w:eastAsia="Times New Roman"/>
          <w:sz w:val="30"/>
        </w:rPr>
        <w:t>2</w:t>
      </w:r>
      <w:r>
        <w:rPr>
          <w:rFonts w:ascii="Times New Roman" w:eastAsia="Times New Roman"/>
          <w:spacing w:val="12"/>
          <w:sz w:val="30"/>
        </w:rPr>
        <w:t> </w:t>
      </w:r>
      <w:r>
        <w:rPr>
          <w:spacing w:val="50"/>
        </w:rPr>
        <w:t>項</w:t>
      </w:r>
      <w:r>
        <w:rPr/>
        <w:t>）</w:t>
      </w:r>
      <w:r>
        <w:rPr>
          <w:spacing w:val="61"/>
        </w:rPr>
        <w:t>除</w:t>
      </w:r>
      <w:r>
        <w:rPr/>
        <w:t>法</w:t>
      </w:r>
      <w:r>
        <w:rPr>
          <w:spacing w:val="47"/>
        </w:rPr>
        <w:t>律</w:t>
      </w:r>
      <w:r>
        <w:rPr>
          <w:spacing w:val="27"/>
        </w:rPr>
        <w:t>別</w:t>
      </w:r>
      <w:r>
        <w:rPr>
          <w:spacing w:val="35"/>
        </w:rPr>
        <w:t>有</w:t>
      </w:r>
      <w:r>
        <w:rPr>
          <w:spacing w:val="15"/>
        </w:rPr>
        <w:t>規</w:t>
      </w:r>
      <w:r>
        <w:rPr/>
        <w:t>定外，前項之訴，須原告主張其権利因行政處分或拒絕或怠為行政處分而受    </w:t>
      </w:r>
      <w:r>
        <w:rPr>
          <w:spacing w:val="8"/>
        </w:rPr>
        <w:t> </w:t>
      </w:r>
      <w:r>
        <w:rPr>
          <w:spacing w:val="36"/>
        </w:rPr>
        <w:t>侵</w:t>
      </w:r>
      <w:r>
        <w:rPr/>
        <w:t>害者</w:t>
      </w:r>
      <w:r>
        <w:rPr>
          <w:spacing w:val="-39"/>
        </w:rPr>
        <w:t> </w:t>
      </w:r>
      <w:r>
        <w:rPr>
          <w:spacing w:val="32"/>
        </w:rPr>
        <w:t>為</w:t>
      </w:r>
      <w:r>
        <w:rPr/>
        <w:t>限</w:t>
      </w:r>
      <w:r>
        <w:rPr>
          <w:spacing w:val="-26"/>
        </w:rPr>
        <w:t> </w:t>
      </w:r>
      <w:r>
        <w:rPr>
          <w:w w:val="80"/>
        </w:rPr>
        <w:t>，</w:t>
      </w:r>
      <w:r>
        <w:rPr>
          <w:spacing w:val="-53"/>
          <w:w w:val="80"/>
        </w:rPr>
        <w:t> </w:t>
      </w:r>
      <w:r>
        <w:rPr/>
        <w:t>始</w:t>
      </w:r>
      <w:r>
        <w:rPr>
          <w:spacing w:val="10"/>
        </w:rPr>
        <w:t>得</w:t>
      </w:r>
      <w:r>
        <w:rPr>
          <w:spacing w:val="12"/>
        </w:rPr>
        <w:t>提超</w:t>
      </w:r>
      <w:r>
        <w:rPr>
          <w:spacing w:val="-53"/>
        </w:rPr>
        <w:t>」</w:t>
      </w:r>
      <w:r>
        <w:rPr>
          <w:rFonts w:ascii="Times New Roman" w:eastAsia="Times New Roman"/>
          <w:w w:val="80"/>
          <w:sz w:val="16"/>
        </w:rPr>
        <w:t>54</w:t>
      </w:r>
      <w:r>
        <w:rPr>
          <w:rFonts w:ascii="Times New Roman" w:eastAsia="Times New Roman"/>
          <w:spacing w:val="52"/>
          <w:sz w:val="16"/>
        </w:rPr>
        <w:t>  </w:t>
      </w:r>
      <w:r>
        <w:rPr>
          <w:w w:val="80"/>
        </w:rPr>
        <w:t>。</w:t>
      </w:r>
      <w:r>
        <w:rPr>
          <w:spacing w:val="-25"/>
          <w:w w:val="80"/>
        </w:rPr>
        <w:t> </w:t>
      </w:r>
      <w:r>
        <w:rPr>
          <w:spacing w:val="35"/>
          <w:w w:val="95"/>
        </w:rPr>
        <w:t>原</w:t>
      </w:r>
      <w:r>
        <w:rPr>
          <w:spacing w:val="16"/>
          <w:w w:val="95"/>
        </w:rPr>
        <w:t>告</w:t>
      </w:r>
      <w:r>
        <w:rPr>
          <w:spacing w:val="27"/>
          <w:w w:val="95"/>
        </w:rPr>
        <w:t>提</w:t>
      </w:r>
      <w:r>
        <w:rPr>
          <w:w w:val="95"/>
        </w:rPr>
        <w:t>超</w:t>
      </w:r>
      <w:r>
        <w:rPr>
          <w:spacing w:val="35"/>
          <w:w w:val="95"/>
        </w:rPr>
        <w:t>預</w:t>
      </w:r>
      <w:r>
        <w:rPr>
          <w:spacing w:val="27"/>
          <w:w w:val="95"/>
        </w:rPr>
        <w:t>先</w:t>
      </w:r>
      <w:r>
        <w:rPr>
          <w:w w:val="95"/>
        </w:rPr>
        <w:t>禁止</w:t>
      </w:r>
      <w:r>
        <w:rPr>
          <w:spacing w:val="21"/>
          <w:w w:val="95"/>
        </w:rPr>
        <w:t> </w:t>
      </w:r>
      <w:r>
        <w:rPr>
          <w:w w:val="95"/>
        </w:rPr>
        <w:t>之訴</w:t>
      </w:r>
      <w:r>
        <w:rPr>
          <w:spacing w:val="19"/>
          <w:w w:val="95"/>
        </w:rPr>
        <w:t> </w:t>
      </w:r>
      <w:r>
        <w:rPr>
          <w:w w:val="80"/>
        </w:rPr>
        <w:t>，</w:t>
      </w:r>
      <w:r>
        <w:rPr>
          <w:spacing w:val="-47"/>
          <w:w w:val="80"/>
        </w:rPr>
        <w:t> </w:t>
      </w:r>
      <w:r>
        <w:rPr>
          <w:spacing w:val="44"/>
          <w:w w:val="95"/>
        </w:rPr>
        <w:t>須</w:t>
      </w:r>
      <w:r>
        <w:rPr>
          <w:w w:val="95"/>
        </w:rPr>
        <w:t>主張</w:t>
      </w:r>
      <w:r>
        <w:rPr>
          <w:spacing w:val="-18"/>
          <w:w w:val="95"/>
        </w:rPr>
        <w:t> </w:t>
      </w:r>
      <w:r>
        <w:rPr>
          <w:w w:val="95"/>
        </w:rPr>
        <w:t>其</w:t>
      </w:r>
      <w:r>
        <w:rPr>
          <w:spacing w:val="37"/>
          <w:w w:val="95"/>
        </w:rPr>
        <w:t>權</w:t>
      </w:r>
      <w:r>
        <w:rPr>
          <w:spacing w:val="22"/>
          <w:w w:val="95"/>
        </w:rPr>
        <w:t>利</w:t>
      </w:r>
      <w:r>
        <w:rPr>
          <w:spacing w:val="31"/>
          <w:w w:val="95"/>
        </w:rPr>
        <w:t>將</w:t>
      </w:r>
      <w:r>
        <w:rPr>
          <w:w w:val="95"/>
        </w:rPr>
        <w:t>因</w:t>
      </w:r>
      <w:r>
        <w:rPr/>
        <w:t>行政機關作成行政處分而受侵害。</w:t>
      </w:r>
    </w:p>
    <w:p>
      <w:pPr>
        <w:spacing w:line="326" w:lineRule="auto" w:before="8"/>
        <w:ind w:left="316" w:right="595" w:firstLine="551"/>
        <w:jc w:val="left"/>
        <w:rPr>
          <w:rFonts w:ascii="Times New Roman" w:eastAsia="Times New Roman"/>
          <w:sz w:val="29"/>
        </w:rPr>
      </w:pPr>
      <w:r>
        <w:rPr>
          <w:spacing w:val="22"/>
          <w:sz w:val="25"/>
        </w:rPr>
        <w:t>依德國學說上通說之見解 </w:t>
      </w:r>
      <w:r>
        <w:rPr>
          <w:spacing w:val="-18"/>
          <w:w w:val="85"/>
          <w:sz w:val="25"/>
        </w:rPr>
        <w:t>， </w:t>
      </w:r>
      <w:r>
        <w:rPr>
          <w:spacing w:val="13"/>
          <w:sz w:val="25"/>
        </w:rPr>
        <w:t>基本法及公務員相關法規</w:t>
      </w:r>
      <w:r>
        <w:rPr>
          <w:rFonts w:ascii="Times New Roman" w:eastAsia="Times New Roman"/>
          <w:w w:val="85"/>
          <w:sz w:val="16"/>
        </w:rPr>
        <w:t>55</w:t>
      </w:r>
      <w:r>
        <w:rPr>
          <w:rFonts w:ascii="Times New Roman" w:eastAsia="Times New Roman"/>
          <w:spacing w:val="54"/>
          <w:sz w:val="16"/>
        </w:rPr>
        <w:t> </w:t>
      </w:r>
      <w:r>
        <w:rPr>
          <w:spacing w:val="5"/>
          <w:sz w:val="25"/>
        </w:rPr>
        <w:t>所規範之競爭</w:t>
      </w:r>
      <w:r>
        <w:rPr>
          <w:spacing w:val="3"/>
          <w:sz w:val="25"/>
        </w:rPr>
        <w:t>關係 </w:t>
      </w:r>
      <w:r>
        <w:rPr>
          <w:spacing w:val="-27"/>
          <w:w w:val="85"/>
          <w:sz w:val="25"/>
        </w:rPr>
        <w:t>， </w:t>
      </w:r>
      <w:r>
        <w:rPr>
          <w:spacing w:val="2"/>
          <w:sz w:val="25"/>
        </w:rPr>
        <w:t>其性 質為「 法律上之競爭關係」</w:t>
      </w:r>
      <w:r>
        <w:rPr>
          <w:rFonts w:ascii="Times New Roman" w:eastAsia="Times New Roman"/>
          <w:spacing w:val="-8"/>
          <w:sz w:val="29"/>
        </w:rPr>
        <w:t>( </w:t>
      </w:r>
      <w:r>
        <w:rPr>
          <w:rFonts w:ascii="Times New Roman" w:eastAsia="Times New Roman"/>
          <w:sz w:val="29"/>
        </w:rPr>
        <w:t>recht</w:t>
      </w:r>
      <w:r>
        <w:rPr>
          <w:rFonts w:ascii="Times New Roman" w:eastAsia="Times New Roman"/>
          <w:spacing w:val="-20"/>
          <w:sz w:val="29"/>
        </w:rPr>
        <w:t> </w:t>
      </w:r>
      <w:r>
        <w:rPr>
          <w:rFonts w:ascii="Times New Roman" w:eastAsia="Times New Roman"/>
          <w:spacing w:val="12"/>
          <w:sz w:val="29"/>
        </w:rPr>
        <w:t>1i</w:t>
      </w:r>
      <w:r>
        <w:rPr>
          <w:rFonts w:ascii="Times New Roman" w:eastAsia="Times New Roman"/>
          <w:spacing w:val="-27"/>
          <w:sz w:val="29"/>
        </w:rPr>
        <w:t> </w:t>
      </w:r>
      <w:r>
        <w:rPr>
          <w:rFonts w:ascii="Times New Roman" w:eastAsia="Times New Roman"/>
          <w:sz w:val="29"/>
        </w:rPr>
        <w:t>ches</w:t>
      </w:r>
    </w:p>
    <w:p>
      <w:pPr>
        <w:spacing w:line="322" w:lineRule="exact" w:before="0"/>
        <w:ind w:left="302" w:right="0" w:firstLine="0"/>
        <w:jc w:val="both"/>
        <w:rPr>
          <w:rFonts w:ascii="Times New Roman" w:eastAsia="Times New Roman"/>
          <w:sz w:val="29"/>
        </w:rPr>
      </w:pPr>
      <w:r>
        <w:rPr>
          <w:rFonts w:ascii="Times New Roman" w:eastAsia="Times New Roman"/>
          <w:sz w:val="29"/>
        </w:rPr>
        <w:t>Konkurr</w:t>
      </w:r>
      <w:r>
        <w:rPr>
          <w:rFonts w:ascii="Times New Roman" w:eastAsia="Times New Roman"/>
          <w:spacing w:val="-18"/>
          <w:sz w:val="29"/>
        </w:rPr>
        <w:t> </w:t>
      </w:r>
      <w:r>
        <w:rPr>
          <w:rFonts w:ascii="Times New Roman" w:eastAsia="Times New Roman"/>
          <w:sz w:val="29"/>
        </w:rPr>
        <w:t>enzv</w:t>
      </w:r>
      <w:r>
        <w:rPr>
          <w:rFonts w:ascii="Times New Roman" w:eastAsia="Times New Roman"/>
          <w:spacing w:val="2"/>
          <w:sz w:val="29"/>
        </w:rPr>
        <w:t> </w:t>
      </w:r>
      <w:r>
        <w:rPr>
          <w:rFonts w:ascii="Times New Roman" w:eastAsia="Times New Roman"/>
          <w:sz w:val="29"/>
        </w:rPr>
        <w:t>er</w:t>
      </w:r>
      <w:r>
        <w:rPr>
          <w:rFonts w:ascii="Times New Roman" w:eastAsia="Times New Roman"/>
          <w:spacing w:val="-29"/>
          <w:sz w:val="29"/>
        </w:rPr>
        <w:t> </w:t>
      </w:r>
      <w:r>
        <w:rPr>
          <w:rFonts w:ascii="Times New Roman" w:eastAsia="Times New Roman"/>
          <w:sz w:val="29"/>
        </w:rPr>
        <w:t>ha</w:t>
      </w:r>
      <w:r>
        <w:rPr>
          <w:rFonts w:ascii="Times New Roman" w:eastAsia="Times New Roman"/>
          <w:spacing w:val="-8"/>
          <w:sz w:val="29"/>
        </w:rPr>
        <w:t> </w:t>
      </w:r>
      <w:r>
        <w:rPr>
          <w:rFonts w:ascii="Times New Roman" w:eastAsia="Times New Roman"/>
          <w:sz w:val="29"/>
        </w:rPr>
        <w:t>l</w:t>
      </w:r>
      <w:r>
        <w:rPr>
          <w:rFonts w:ascii="Times New Roman" w:eastAsia="Times New Roman"/>
          <w:spacing w:val="-26"/>
          <w:sz w:val="29"/>
        </w:rPr>
        <w:t> </w:t>
      </w:r>
      <w:r>
        <w:rPr>
          <w:rFonts w:ascii="Times New Roman" w:eastAsia="Times New Roman"/>
          <w:sz w:val="29"/>
        </w:rPr>
        <w:t>t</w:t>
      </w:r>
      <w:r>
        <w:rPr>
          <w:rFonts w:ascii="Times New Roman" w:eastAsia="Times New Roman"/>
          <w:spacing w:val="-20"/>
          <w:sz w:val="29"/>
        </w:rPr>
        <w:t> </w:t>
      </w:r>
      <w:r>
        <w:rPr>
          <w:rFonts w:ascii="Times New Roman" w:eastAsia="Times New Roman"/>
          <w:sz w:val="29"/>
        </w:rPr>
        <w:t>ni</w:t>
      </w:r>
      <w:r>
        <w:rPr>
          <w:rFonts w:ascii="Times New Roman" w:eastAsia="Times New Roman"/>
          <w:spacing w:val="16"/>
          <w:sz w:val="29"/>
        </w:rPr>
        <w:t> </w:t>
      </w:r>
      <w:r>
        <w:rPr>
          <w:rFonts w:ascii="Times New Roman" w:eastAsia="Times New Roman"/>
          <w:sz w:val="29"/>
        </w:rPr>
        <w:t>s</w:t>
      </w:r>
      <w:r>
        <w:rPr>
          <w:rFonts w:ascii="Times New Roman" w:eastAsia="Times New Roman"/>
          <w:spacing w:val="15"/>
          <w:sz w:val="29"/>
        </w:rPr>
        <w:t> ) </w:t>
      </w:r>
      <w:r>
        <w:rPr>
          <w:spacing w:val="-2"/>
          <w:sz w:val="25"/>
        </w:rPr>
        <w:t>。上述規範對於「 參與競爭者」</w:t>
      </w:r>
      <w:r>
        <w:rPr>
          <w:rFonts w:ascii="Times New Roman" w:eastAsia="Times New Roman"/>
          <w:spacing w:val="-7"/>
          <w:sz w:val="29"/>
        </w:rPr>
        <w:t>( </w:t>
      </w:r>
      <w:r>
        <w:rPr>
          <w:rFonts w:ascii="Times New Roman" w:eastAsia="Times New Roman"/>
          <w:spacing w:val="11"/>
          <w:sz w:val="29"/>
        </w:rPr>
        <w:t>bet</w:t>
      </w:r>
      <w:r>
        <w:rPr>
          <w:rFonts w:ascii="Times New Roman" w:eastAsia="Times New Roman"/>
          <w:spacing w:val="-26"/>
          <w:sz w:val="29"/>
        </w:rPr>
        <w:t> </w:t>
      </w:r>
      <w:r>
        <w:rPr>
          <w:rFonts w:ascii="Times New Roman" w:eastAsia="Times New Roman"/>
          <w:spacing w:val="13"/>
          <w:sz w:val="29"/>
        </w:rPr>
        <w:t>ei</w:t>
      </w:r>
      <w:r>
        <w:rPr>
          <w:rFonts w:ascii="Times New Roman" w:eastAsia="Times New Roman"/>
          <w:spacing w:val="-34"/>
          <w:sz w:val="29"/>
        </w:rPr>
        <w:t> </w:t>
      </w:r>
      <w:r>
        <w:rPr>
          <w:rFonts w:ascii="Times New Roman" w:eastAsia="Times New Roman"/>
          <w:sz w:val="29"/>
        </w:rPr>
        <w:t>1</w:t>
      </w:r>
      <w:r>
        <w:rPr>
          <w:rFonts w:ascii="Times New Roman" w:eastAsia="Times New Roman"/>
          <w:spacing w:val="-39"/>
          <w:sz w:val="29"/>
        </w:rPr>
        <w:t> </w:t>
      </w:r>
      <w:r>
        <w:rPr>
          <w:rFonts w:ascii="Times New Roman" w:eastAsia="Times New Roman"/>
          <w:sz w:val="29"/>
        </w:rPr>
        <w:t>igte</w:t>
      </w:r>
    </w:p>
    <w:p>
      <w:pPr>
        <w:spacing w:before="97"/>
        <w:ind w:left="302" w:right="0" w:firstLine="0"/>
        <w:jc w:val="both"/>
        <w:rPr>
          <w:sz w:val="25"/>
        </w:rPr>
      </w:pPr>
      <w:r>
        <w:rPr>
          <w:rFonts w:ascii="Times New Roman" w:eastAsia="Times New Roman"/>
          <w:w w:val="95"/>
          <w:sz w:val="29"/>
        </w:rPr>
        <w:t>Bewer</w:t>
      </w:r>
      <w:r>
        <w:rPr>
          <w:rFonts w:ascii="Times New Roman" w:eastAsia="Times New Roman"/>
          <w:spacing w:val="-27"/>
          <w:w w:val="95"/>
          <w:sz w:val="29"/>
        </w:rPr>
        <w:t> </w:t>
      </w:r>
      <w:r>
        <w:rPr>
          <w:rFonts w:ascii="Times New Roman" w:eastAsia="Times New Roman"/>
          <w:w w:val="95"/>
          <w:sz w:val="29"/>
        </w:rPr>
        <w:t>ber</w:t>
      </w:r>
      <w:r>
        <w:rPr>
          <w:rFonts w:ascii="Times New Roman" w:eastAsia="Times New Roman"/>
          <w:spacing w:val="31"/>
          <w:w w:val="95"/>
          <w:sz w:val="29"/>
        </w:rPr>
        <w:t> ) </w:t>
      </w:r>
      <w:r>
        <w:rPr>
          <w:spacing w:val="3"/>
          <w:w w:val="95"/>
          <w:sz w:val="25"/>
        </w:rPr>
        <w:t>而言 ， 係屬投予主觀 公權利之「保護規範」</w:t>
      </w:r>
      <w:r>
        <w:rPr>
          <w:rFonts w:ascii="Times New Roman" w:eastAsia="Times New Roman"/>
          <w:spacing w:val="-11"/>
          <w:w w:val="95"/>
          <w:sz w:val="29"/>
        </w:rPr>
        <w:t>( </w:t>
      </w:r>
      <w:r>
        <w:rPr>
          <w:rFonts w:ascii="Times New Roman" w:eastAsia="Times New Roman"/>
          <w:w w:val="95"/>
          <w:sz w:val="29"/>
        </w:rPr>
        <w:t>Schut</w:t>
      </w:r>
      <w:r>
        <w:rPr>
          <w:rFonts w:ascii="Times New Roman" w:eastAsia="Times New Roman"/>
          <w:spacing w:val="5"/>
          <w:w w:val="95"/>
          <w:sz w:val="29"/>
        </w:rPr>
        <w:t> </w:t>
      </w:r>
      <w:r>
        <w:rPr>
          <w:rFonts w:ascii="Times New Roman" w:eastAsia="Times New Roman"/>
          <w:w w:val="95"/>
          <w:sz w:val="29"/>
        </w:rPr>
        <w:t>znormen</w:t>
      </w:r>
      <w:r>
        <w:rPr>
          <w:rFonts w:ascii="Times New Roman" w:eastAsia="Times New Roman"/>
          <w:spacing w:val="11"/>
          <w:w w:val="95"/>
          <w:sz w:val="29"/>
        </w:rPr>
        <w:t> ) </w:t>
      </w:r>
      <w:r>
        <w:rPr>
          <w:w w:val="95"/>
          <w:sz w:val="25"/>
        </w:rPr>
        <w:t>。</w:t>
      </w:r>
    </w:p>
    <w:p>
      <w:pPr>
        <w:pStyle w:val="BodyText"/>
        <w:rPr>
          <w:sz w:val="20"/>
        </w:rPr>
      </w:pPr>
    </w:p>
    <w:p>
      <w:pPr>
        <w:pStyle w:val="BodyText"/>
        <w:rPr>
          <w:sz w:val="20"/>
        </w:rPr>
      </w:pPr>
    </w:p>
    <w:p>
      <w:pPr>
        <w:pStyle w:val="BodyText"/>
        <w:rPr>
          <w:sz w:val="20"/>
        </w:rPr>
      </w:pPr>
    </w:p>
    <w:p>
      <w:pPr>
        <w:pStyle w:val="BodyText"/>
        <w:spacing w:before="2"/>
        <w:rPr>
          <w:sz w:val="12"/>
        </w:rPr>
      </w:pPr>
      <w:r>
        <w:rPr/>
        <w:pict>
          <v:shape style="position:absolute;margin-left:95.174004pt;margin-top:10.186912pt;width:144.25pt;height:.1pt;mso-position-horizontal-relative:page;mso-position-vertical-relative:paragraph;z-index:-15646720;mso-wrap-distance-left:0;mso-wrap-distance-right:0" coordorigin="1903,204" coordsize="2885,0" path="m1903,204l4788,204e" filled="false" stroked="true" strokeweight=".720821pt" strokecolor="#000000">
            <v:path arrowok="t"/>
            <v:stroke dashstyle="solid"/>
            <w10:wrap type="topAndBottom"/>
          </v:shape>
        </w:pict>
      </w:r>
    </w:p>
    <w:p>
      <w:pPr>
        <w:pStyle w:val="BodyText"/>
        <w:spacing w:before="9"/>
        <w:rPr>
          <w:sz w:val="9"/>
        </w:rPr>
      </w:pPr>
    </w:p>
    <w:p>
      <w:pPr>
        <w:spacing w:before="90"/>
        <w:ind w:left="298" w:right="0" w:firstLine="0"/>
        <w:jc w:val="left"/>
        <w:rPr>
          <w:rFonts w:ascii="Times New Roman"/>
          <w:sz w:val="24"/>
        </w:rPr>
      </w:pPr>
      <w:r>
        <w:rPr>
          <w:rFonts w:ascii="Times New Roman"/>
          <w:w w:val="105"/>
          <w:position w:val="8"/>
          <w:sz w:val="13"/>
        </w:rPr>
        <w:t>52  </w:t>
      </w:r>
      <w:r>
        <w:rPr>
          <w:rFonts w:ascii="Times New Roman"/>
          <w:spacing w:val="10"/>
          <w:w w:val="105"/>
          <w:position w:val="8"/>
          <w:sz w:val="13"/>
        </w:rPr>
        <w:t> </w:t>
      </w:r>
      <w:r>
        <w:rPr>
          <w:rFonts w:ascii="Times New Roman"/>
          <w:w w:val="105"/>
          <w:sz w:val="24"/>
        </w:rPr>
        <w:t>Wlirtenberger,  </w:t>
      </w:r>
      <w:r>
        <w:rPr>
          <w:rFonts w:ascii="Times New Roman"/>
          <w:spacing w:val="14"/>
          <w:w w:val="105"/>
          <w:sz w:val="24"/>
        </w:rPr>
        <w:t> </w:t>
      </w:r>
      <w:r>
        <w:rPr>
          <w:rFonts w:ascii="Times New Roman"/>
          <w:w w:val="105"/>
          <w:sz w:val="24"/>
        </w:rPr>
        <w:t>Verwaltungsprozessrecht,  </w:t>
      </w:r>
      <w:r>
        <w:rPr>
          <w:rFonts w:ascii="Times New Roman"/>
          <w:spacing w:val="4"/>
          <w:w w:val="105"/>
          <w:sz w:val="24"/>
        </w:rPr>
        <w:t> </w:t>
      </w:r>
      <w:r>
        <w:rPr>
          <w:rFonts w:ascii="Times New Roman"/>
          <w:w w:val="105"/>
          <w:sz w:val="24"/>
        </w:rPr>
        <w:t>2.  </w:t>
      </w:r>
      <w:r>
        <w:rPr>
          <w:rFonts w:ascii="Times New Roman"/>
          <w:spacing w:val="13"/>
          <w:w w:val="105"/>
          <w:sz w:val="24"/>
        </w:rPr>
        <w:t> </w:t>
      </w:r>
      <w:r>
        <w:rPr>
          <w:rFonts w:ascii="Times New Roman"/>
          <w:w w:val="105"/>
          <w:sz w:val="24"/>
        </w:rPr>
        <w:t>Aufl.,  </w:t>
      </w:r>
      <w:r>
        <w:rPr>
          <w:rFonts w:ascii="Times New Roman"/>
          <w:spacing w:val="28"/>
          <w:w w:val="105"/>
          <w:sz w:val="24"/>
        </w:rPr>
        <w:t> </w:t>
      </w:r>
      <w:r>
        <w:rPr>
          <w:rFonts w:ascii="Times New Roman"/>
          <w:w w:val="105"/>
          <w:sz w:val="24"/>
        </w:rPr>
        <w:t>2006,  </w:t>
      </w:r>
      <w:r>
        <w:rPr>
          <w:rFonts w:ascii="Times New Roman"/>
          <w:spacing w:val="18"/>
          <w:w w:val="105"/>
          <w:sz w:val="24"/>
        </w:rPr>
        <w:t> </w:t>
      </w:r>
      <w:r>
        <w:rPr>
          <w:rFonts w:ascii="Times New Roman"/>
          <w:w w:val="105"/>
          <w:sz w:val="24"/>
        </w:rPr>
        <w:t>Rn.  </w:t>
      </w:r>
      <w:r>
        <w:rPr>
          <w:rFonts w:ascii="Times New Roman"/>
          <w:spacing w:val="19"/>
          <w:w w:val="105"/>
          <w:sz w:val="24"/>
        </w:rPr>
        <w:t> </w:t>
      </w:r>
      <w:r>
        <w:rPr>
          <w:rFonts w:ascii="Times New Roman"/>
          <w:w w:val="105"/>
          <w:sz w:val="24"/>
        </w:rPr>
        <w:t>375.</w:t>
      </w:r>
    </w:p>
    <w:p>
      <w:pPr>
        <w:spacing w:before="36"/>
        <w:ind w:left="298" w:right="0" w:firstLine="0"/>
        <w:jc w:val="left"/>
        <w:rPr>
          <w:rFonts w:ascii="Times New Roman"/>
          <w:sz w:val="24"/>
        </w:rPr>
      </w:pPr>
      <w:r>
        <w:rPr>
          <w:rFonts w:ascii="Times New Roman"/>
          <w:w w:val="105"/>
          <w:position w:val="8"/>
          <w:sz w:val="13"/>
        </w:rPr>
        <w:t>53  </w:t>
      </w:r>
      <w:r>
        <w:rPr>
          <w:rFonts w:ascii="Times New Roman"/>
          <w:spacing w:val="10"/>
          <w:w w:val="105"/>
          <w:position w:val="8"/>
          <w:sz w:val="13"/>
        </w:rPr>
        <w:t> </w:t>
      </w:r>
      <w:r>
        <w:rPr>
          <w:rFonts w:ascii="Times New Roman"/>
          <w:w w:val="105"/>
          <w:sz w:val="24"/>
        </w:rPr>
        <w:t>Wlirtenberger,  </w:t>
      </w:r>
      <w:r>
        <w:rPr>
          <w:rFonts w:ascii="Times New Roman"/>
          <w:spacing w:val="14"/>
          <w:w w:val="105"/>
          <w:sz w:val="24"/>
        </w:rPr>
        <w:t> </w:t>
      </w:r>
      <w:r>
        <w:rPr>
          <w:rFonts w:ascii="Times New Roman"/>
          <w:w w:val="105"/>
          <w:sz w:val="24"/>
        </w:rPr>
        <w:t>Verwaltungsprozessrecht,  </w:t>
      </w:r>
      <w:r>
        <w:rPr>
          <w:rFonts w:ascii="Times New Roman"/>
          <w:spacing w:val="4"/>
          <w:w w:val="105"/>
          <w:sz w:val="24"/>
        </w:rPr>
        <w:t> </w:t>
      </w:r>
      <w:r>
        <w:rPr>
          <w:rFonts w:ascii="Times New Roman"/>
          <w:w w:val="105"/>
          <w:sz w:val="24"/>
        </w:rPr>
        <w:t>2.  </w:t>
      </w:r>
      <w:r>
        <w:rPr>
          <w:rFonts w:ascii="Times New Roman"/>
          <w:spacing w:val="13"/>
          <w:w w:val="105"/>
          <w:sz w:val="24"/>
        </w:rPr>
        <w:t> </w:t>
      </w:r>
      <w:r>
        <w:rPr>
          <w:rFonts w:ascii="Times New Roman"/>
          <w:w w:val="105"/>
          <w:sz w:val="24"/>
        </w:rPr>
        <w:t>Aufl.,  </w:t>
      </w:r>
      <w:r>
        <w:rPr>
          <w:rFonts w:ascii="Times New Roman"/>
          <w:spacing w:val="28"/>
          <w:w w:val="105"/>
          <w:sz w:val="24"/>
        </w:rPr>
        <w:t> </w:t>
      </w:r>
      <w:r>
        <w:rPr>
          <w:rFonts w:ascii="Times New Roman"/>
          <w:w w:val="105"/>
          <w:sz w:val="24"/>
        </w:rPr>
        <w:t>2006,  </w:t>
      </w:r>
      <w:r>
        <w:rPr>
          <w:rFonts w:ascii="Times New Roman"/>
          <w:spacing w:val="18"/>
          <w:w w:val="105"/>
          <w:sz w:val="24"/>
        </w:rPr>
        <w:t> </w:t>
      </w:r>
      <w:r>
        <w:rPr>
          <w:rFonts w:ascii="Times New Roman"/>
          <w:w w:val="105"/>
          <w:sz w:val="24"/>
        </w:rPr>
        <w:t>Rn.  </w:t>
      </w:r>
      <w:r>
        <w:rPr>
          <w:rFonts w:ascii="Times New Roman"/>
          <w:spacing w:val="20"/>
          <w:w w:val="105"/>
          <w:sz w:val="24"/>
        </w:rPr>
        <w:t> </w:t>
      </w:r>
      <w:r>
        <w:rPr>
          <w:rFonts w:ascii="Times New Roman"/>
          <w:w w:val="105"/>
          <w:sz w:val="24"/>
        </w:rPr>
        <w:t>488.</w:t>
      </w:r>
    </w:p>
    <w:p>
      <w:pPr>
        <w:spacing w:line="271" w:lineRule="auto" w:before="37"/>
        <w:ind w:left="494" w:right="568" w:hanging="196"/>
        <w:jc w:val="left"/>
        <w:rPr>
          <w:rFonts w:ascii="Times New Roman" w:hAnsi="Times New Roman"/>
          <w:sz w:val="24"/>
        </w:rPr>
      </w:pPr>
      <w:r>
        <w:rPr>
          <w:rFonts w:ascii="Times New Roman" w:hAnsi="Times New Roman"/>
          <w:w w:val="110"/>
          <w:sz w:val="20"/>
          <w:vertAlign w:val="superscript"/>
        </w:rPr>
        <w:t>54</w:t>
      </w:r>
      <w:r>
        <w:rPr>
          <w:rFonts w:ascii="Times New Roman" w:hAnsi="Times New Roman"/>
          <w:w w:val="110"/>
          <w:sz w:val="20"/>
          <w:vertAlign w:val="baseline"/>
        </w:rPr>
        <w:t> </w:t>
      </w:r>
      <w:r>
        <w:rPr>
          <w:rFonts w:ascii="Arial" w:hAnsi="Arial"/>
          <w:w w:val="110"/>
          <w:sz w:val="20"/>
          <w:vertAlign w:val="baseline"/>
        </w:rPr>
        <w:t>§</w:t>
      </w:r>
      <w:r>
        <w:rPr>
          <w:rFonts w:ascii="Arial" w:hAnsi="Arial"/>
          <w:spacing w:val="1"/>
          <w:w w:val="110"/>
          <w:sz w:val="20"/>
          <w:vertAlign w:val="baseline"/>
        </w:rPr>
        <w:t> </w:t>
      </w:r>
      <w:r>
        <w:rPr>
          <w:rFonts w:ascii="Times New Roman" w:hAnsi="Times New Roman"/>
          <w:w w:val="110"/>
          <w:sz w:val="24"/>
          <w:vertAlign w:val="baseline"/>
        </w:rPr>
        <w:t>42</w:t>
      </w:r>
      <w:r>
        <w:rPr>
          <w:rFonts w:ascii="Times New Roman" w:hAnsi="Times New Roman"/>
          <w:spacing w:val="1"/>
          <w:w w:val="110"/>
          <w:sz w:val="24"/>
          <w:vertAlign w:val="baseline"/>
        </w:rPr>
        <w:t> </w:t>
      </w:r>
      <w:r>
        <w:rPr>
          <w:rFonts w:ascii="Times New Roman" w:hAnsi="Times New Roman"/>
          <w:w w:val="110"/>
          <w:sz w:val="24"/>
          <w:vertAlign w:val="baseline"/>
        </w:rPr>
        <w:t>VwGO:,,(1)</w:t>
      </w:r>
      <w:r>
        <w:rPr>
          <w:rFonts w:ascii="Times New Roman" w:hAnsi="Times New Roman"/>
          <w:spacing w:val="1"/>
          <w:w w:val="110"/>
          <w:sz w:val="24"/>
          <w:vertAlign w:val="baseline"/>
        </w:rPr>
        <w:t> </w:t>
      </w:r>
      <w:r>
        <w:rPr>
          <w:rFonts w:ascii="Times New Roman" w:hAnsi="Times New Roman"/>
          <w:w w:val="110"/>
          <w:sz w:val="24"/>
          <w:vertAlign w:val="baseline"/>
        </w:rPr>
        <w:t>Durch</w:t>
      </w:r>
      <w:r>
        <w:rPr>
          <w:rFonts w:ascii="Times New Roman" w:hAnsi="Times New Roman"/>
          <w:spacing w:val="1"/>
          <w:w w:val="110"/>
          <w:sz w:val="24"/>
          <w:vertAlign w:val="baseline"/>
        </w:rPr>
        <w:t> </w:t>
      </w:r>
      <w:r>
        <w:rPr>
          <w:rFonts w:ascii="Times New Roman" w:hAnsi="Times New Roman"/>
          <w:w w:val="110"/>
          <w:sz w:val="24"/>
          <w:vertAlign w:val="baseline"/>
        </w:rPr>
        <w:t>Klage</w:t>
      </w:r>
      <w:r>
        <w:rPr>
          <w:rFonts w:ascii="Times New Roman" w:hAnsi="Times New Roman"/>
          <w:spacing w:val="1"/>
          <w:w w:val="110"/>
          <w:sz w:val="24"/>
          <w:vertAlign w:val="baseline"/>
        </w:rPr>
        <w:t> </w:t>
      </w:r>
      <w:r>
        <w:rPr>
          <w:rFonts w:ascii="Times New Roman" w:hAnsi="Times New Roman"/>
          <w:w w:val="110"/>
          <w:sz w:val="24"/>
          <w:vertAlign w:val="baseline"/>
        </w:rPr>
        <w:t>kann</w:t>
      </w:r>
      <w:r>
        <w:rPr>
          <w:rFonts w:ascii="Times New Roman" w:hAnsi="Times New Roman"/>
          <w:spacing w:val="1"/>
          <w:w w:val="110"/>
          <w:sz w:val="24"/>
          <w:vertAlign w:val="baseline"/>
        </w:rPr>
        <w:t> </w:t>
      </w:r>
      <w:r>
        <w:rPr>
          <w:rFonts w:ascii="Times New Roman" w:hAnsi="Times New Roman"/>
          <w:w w:val="110"/>
          <w:sz w:val="24"/>
          <w:vertAlign w:val="baseline"/>
        </w:rPr>
        <w:t>die</w:t>
      </w:r>
      <w:r>
        <w:rPr>
          <w:rFonts w:ascii="Times New Roman" w:hAnsi="Times New Roman"/>
          <w:spacing w:val="1"/>
          <w:w w:val="110"/>
          <w:sz w:val="24"/>
          <w:vertAlign w:val="baseline"/>
        </w:rPr>
        <w:t> </w:t>
      </w:r>
      <w:r>
        <w:rPr>
          <w:rFonts w:ascii="Times New Roman" w:hAnsi="Times New Roman"/>
          <w:w w:val="110"/>
          <w:sz w:val="24"/>
          <w:vertAlign w:val="baseline"/>
        </w:rPr>
        <w:t>Aufhebung</w:t>
      </w:r>
      <w:r>
        <w:rPr>
          <w:rFonts w:ascii="Times New Roman" w:hAnsi="Times New Roman"/>
          <w:spacing w:val="1"/>
          <w:w w:val="110"/>
          <w:sz w:val="24"/>
          <w:vertAlign w:val="baseline"/>
        </w:rPr>
        <w:t> </w:t>
      </w:r>
      <w:r>
        <w:rPr>
          <w:rFonts w:ascii="Times New Roman" w:hAnsi="Times New Roman"/>
          <w:w w:val="110"/>
          <w:sz w:val="24"/>
          <w:vertAlign w:val="baseline"/>
        </w:rPr>
        <w:t>eines</w:t>
      </w:r>
      <w:r>
        <w:rPr>
          <w:rFonts w:ascii="Times New Roman" w:hAnsi="Times New Roman"/>
          <w:spacing w:val="1"/>
          <w:w w:val="110"/>
          <w:sz w:val="24"/>
          <w:vertAlign w:val="baseline"/>
        </w:rPr>
        <w:t> </w:t>
      </w:r>
      <w:r>
        <w:rPr>
          <w:rFonts w:ascii="Times New Roman" w:hAnsi="Times New Roman"/>
          <w:w w:val="110"/>
          <w:sz w:val="24"/>
          <w:vertAlign w:val="baseline"/>
        </w:rPr>
        <w:t>Verwaltungsakts</w:t>
      </w:r>
      <w:r>
        <w:rPr>
          <w:rFonts w:ascii="Times New Roman" w:hAnsi="Times New Roman"/>
          <w:spacing w:val="1"/>
          <w:w w:val="110"/>
          <w:sz w:val="24"/>
          <w:vertAlign w:val="baseline"/>
        </w:rPr>
        <w:t> </w:t>
      </w:r>
      <w:r>
        <w:rPr>
          <w:rFonts w:ascii="Times New Roman" w:hAnsi="Times New Roman"/>
          <w:w w:val="110"/>
          <w:sz w:val="24"/>
          <w:vertAlign w:val="baseline"/>
        </w:rPr>
        <w:t>(Anfechtungsklage)</w:t>
      </w:r>
      <w:r>
        <w:rPr>
          <w:rFonts w:ascii="Times New Roman" w:hAnsi="Times New Roman"/>
          <w:spacing w:val="1"/>
          <w:w w:val="110"/>
          <w:sz w:val="24"/>
          <w:vertAlign w:val="baseline"/>
        </w:rPr>
        <w:t> </w:t>
      </w:r>
      <w:r>
        <w:rPr>
          <w:rFonts w:ascii="Times New Roman" w:hAnsi="Times New Roman"/>
          <w:w w:val="110"/>
          <w:sz w:val="24"/>
          <w:vertAlign w:val="baseline"/>
        </w:rPr>
        <w:t>sowie</w:t>
      </w:r>
      <w:r>
        <w:rPr>
          <w:rFonts w:ascii="Times New Roman" w:hAnsi="Times New Roman"/>
          <w:spacing w:val="1"/>
          <w:w w:val="110"/>
          <w:sz w:val="24"/>
          <w:vertAlign w:val="baseline"/>
        </w:rPr>
        <w:t> </w:t>
      </w:r>
      <w:r>
        <w:rPr>
          <w:rFonts w:ascii="Times New Roman" w:hAnsi="Times New Roman"/>
          <w:w w:val="110"/>
          <w:sz w:val="24"/>
          <w:vertAlign w:val="baseline"/>
        </w:rPr>
        <w:t>die</w:t>
      </w:r>
      <w:r>
        <w:rPr>
          <w:rFonts w:ascii="Times New Roman" w:hAnsi="Times New Roman"/>
          <w:spacing w:val="1"/>
          <w:w w:val="110"/>
          <w:sz w:val="24"/>
          <w:vertAlign w:val="baseline"/>
        </w:rPr>
        <w:t> </w:t>
      </w:r>
      <w:r>
        <w:rPr>
          <w:rFonts w:ascii="Times New Roman" w:hAnsi="Times New Roman"/>
          <w:w w:val="110"/>
          <w:sz w:val="24"/>
          <w:vertAlign w:val="baseline"/>
        </w:rPr>
        <w:t>Verurtei lung zum</w:t>
      </w:r>
      <w:r>
        <w:rPr>
          <w:rFonts w:ascii="Times New Roman" w:hAnsi="Times New Roman"/>
          <w:spacing w:val="1"/>
          <w:w w:val="110"/>
          <w:sz w:val="24"/>
          <w:vertAlign w:val="baseline"/>
        </w:rPr>
        <w:t> </w:t>
      </w:r>
      <w:r>
        <w:rPr>
          <w:rFonts w:ascii="Times New Roman" w:hAnsi="Times New Roman"/>
          <w:w w:val="110"/>
          <w:sz w:val="24"/>
          <w:vertAlign w:val="baseline"/>
        </w:rPr>
        <w:t>ErlaB eines abgelehnten</w:t>
      </w:r>
      <w:r>
        <w:rPr>
          <w:rFonts w:ascii="Times New Roman" w:hAnsi="Times New Roman"/>
          <w:spacing w:val="1"/>
          <w:w w:val="110"/>
          <w:sz w:val="24"/>
          <w:vertAlign w:val="baseline"/>
        </w:rPr>
        <w:t> </w:t>
      </w:r>
      <w:r>
        <w:rPr>
          <w:rFonts w:ascii="Times New Roman" w:hAnsi="Times New Roman"/>
          <w:w w:val="110"/>
          <w:sz w:val="24"/>
          <w:vertAlign w:val="baseline"/>
        </w:rPr>
        <w:t>oder</w:t>
      </w:r>
      <w:r>
        <w:rPr>
          <w:rFonts w:ascii="Times New Roman" w:hAnsi="Times New Roman"/>
          <w:spacing w:val="-63"/>
          <w:w w:val="110"/>
          <w:sz w:val="24"/>
          <w:vertAlign w:val="baseline"/>
        </w:rPr>
        <w:t> </w:t>
      </w:r>
      <w:r>
        <w:rPr>
          <w:rFonts w:ascii="Times New Roman" w:hAnsi="Times New Roman"/>
          <w:w w:val="110"/>
          <w:sz w:val="24"/>
          <w:vertAlign w:val="baseline"/>
        </w:rPr>
        <w:t>unterlassenen</w:t>
      </w:r>
      <w:r>
        <w:rPr>
          <w:rFonts w:ascii="Times New Roman" w:hAnsi="Times New Roman"/>
          <w:spacing w:val="1"/>
          <w:w w:val="110"/>
          <w:sz w:val="24"/>
          <w:vertAlign w:val="baseline"/>
        </w:rPr>
        <w:t> </w:t>
      </w:r>
      <w:r>
        <w:rPr>
          <w:rFonts w:ascii="Times New Roman" w:hAnsi="Times New Roman"/>
          <w:w w:val="110"/>
          <w:sz w:val="24"/>
          <w:vertAlign w:val="baseline"/>
        </w:rPr>
        <w:t>Verwaltungsakts</w:t>
      </w:r>
      <w:r>
        <w:rPr>
          <w:rFonts w:ascii="Times New Roman" w:hAnsi="Times New Roman"/>
          <w:spacing w:val="1"/>
          <w:w w:val="110"/>
          <w:sz w:val="24"/>
          <w:vertAlign w:val="baseline"/>
        </w:rPr>
        <w:t> </w:t>
      </w:r>
      <w:r>
        <w:rPr>
          <w:rFonts w:ascii="Times New Roman" w:hAnsi="Times New Roman"/>
          <w:w w:val="110"/>
          <w:sz w:val="24"/>
          <w:vertAlign w:val="baseline"/>
        </w:rPr>
        <w:t>(Verpflichtungsklage)  begehrt</w:t>
      </w:r>
      <w:r>
        <w:rPr>
          <w:rFonts w:ascii="Times New Roman" w:hAnsi="Times New Roman"/>
          <w:spacing w:val="67"/>
          <w:w w:val="110"/>
          <w:sz w:val="24"/>
          <w:vertAlign w:val="baseline"/>
        </w:rPr>
        <w:t> </w:t>
      </w:r>
      <w:r>
        <w:rPr>
          <w:rFonts w:ascii="Times New Roman" w:hAnsi="Times New Roman"/>
          <w:w w:val="110"/>
          <w:sz w:val="24"/>
          <w:vertAlign w:val="baseline"/>
        </w:rPr>
        <w:t>werden.</w:t>
      </w:r>
      <w:r>
        <w:rPr>
          <w:rFonts w:ascii="Times New Roman" w:hAnsi="Times New Roman"/>
          <w:spacing w:val="67"/>
          <w:w w:val="110"/>
          <w:sz w:val="24"/>
          <w:vertAlign w:val="baseline"/>
        </w:rPr>
        <w:t> </w:t>
      </w:r>
      <w:r>
        <w:rPr>
          <w:rFonts w:ascii="Times New Roman" w:hAnsi="Times New Roman"/>
          <w:w w:val="110"/>
          <w:sz w:val="24"/>
          <w:vertAlign w:val="baseline"/>
        </w:rPr>
        <w:t>(2)</w:t>
      </w:r>
      <w:r>
        <w:rPr>
          <w:rFonts w:ascii="Times New Roman" w:hAnsi="Times New Roman"/>
          <w:spacing w:val="1"/>
          <w:w w:val="110"/>
          <w:sz w:val="24"/>
          <w:vertAlign w:val="baseline"/>
        </w:rPr>
        <w:t> </w:t>
      </w:r>
      <w:r>
        <w:rPr>
          <w:rFonts w:ascii="Times New Roman" w:hAnsi="Times New Roman"/>
          <w:w w:val="110"/>
          <w:sz w:val="24"/>
          <w:vertAlign w:val="baseline"/>
        </w:rPr>
        <w:t>Soweit</w:t>
      </w:r>
      <w:r>
        <w:rPr>
          <w:rFonts w:ascii="Times New Roman" w:hAnsi="Times New Roman"/>
          <w:spacing w:val="1"/>
          <w:w w:val="110"/>
          <w:sz w:val="24"/>
          <w:vertAlign w:val="baseline"/>
        </w:rPr>
        <w:t> </w:t>
      </w:r>
      <w:r>
        <w:rPr>
          <w:rFonts w:ascii="Times New Roman" w:hAnsi="Times New Roman"/>
          <w:w w:val="110"/>
          <w:sz w:val="24"/>
          <w:vertAlign w:val="baseline"/>
        </w:rPr>
        <w:t>gesetzlich  nichts  anderes</w:t>
      </w:r>
      <w:r>
        <w:rPr>
          <w:rFonts w:ascii="Times New Roman" w:hAnsi="Times New Roman"/>
          <w:spacing w:val="67"/>
          <w:w w:val="110"/>
          <w:sz w:val="24"/>
          <w:vertAlign w:val="baseline"/>
        </w:rPr>
        <w:t> </w:t>
      </w:r>
      <w:r>
        <w:rPr>
          <w:rFonts w:ascii="Times New Roman" w:hAnsi="Times New Roman"/>
          <w:w w:val="110"/>
          <w:sz w:val="24"/>
          <w:vertAlign w:val="baseline"/>
        </w:rPr>
        <w:t>bestimmt</w:t>
      </w:r>
      <w:r>
        <w:rPr>
          <w:rFonts w:ascii="Times New Roman" w:hAnsi="Times New Roman"/>
          <w:spacing w:val="67"/>
          <w:w w:val="110"/>
          <w:sz w:val="24"/>
          <w:vertAlign w:val="baseline"/>
        </w:rPr>
        <w:t> </w:t>
      </w:r>
      <w:r>
        <w:rPr>
          <w:rFonts w:ascii="Times New Roman" w:hAnsi="Times New Roman"/>
          <w:w w:val="115"/>
          <w:sz w:val="24"/>
          <w:vertAlign w:val="baseline"/>
        </w:rPr>
        <w:t>ist, </w:t>
      </w:r>
      <w:r>
        <w:rPr>
          <w:rFonts w:ascii="Times New Roman" w:hAnsi="Times New Roman"/>
          <w:spacing w:val="1"/>
          <w:w w:val="115"/>
          <w:sz w:val="24"/>
          <w:vertAlign w:val="baseline"/>
        </w:rPr>
        <w:t> </w:t>
      </w:r>
      <w:r>
        <w:rPr>
          <w:rFonts w:ascii="Times New Roman" w:hAnsi="Times New Roman"/>
          <w:w w:val="115"/>
          <w:sz w:val="24"/>
          <w:vertAlign w:val="baseline"/>
        </w:rPr>
        <w:t>ist  die </w:t>
      </w:r>
      <w:r>
        <w:rPr>
          <w:rFonts w:ascii="Times New Roman" w:hAnsi="Times New Roman"/>
          <w:w w:val="110"/>
          <w:sz w:val="24"/>
          <w:vertAlign w:val="baseline"/>
        </w:rPr>
        <w:t>Klage  nur  zulassig,</w:t>
      </w:r>
      <w:r>
        <w:rPr>
          <w:rFonts w:ascii="Times New Roman" w:hAnsi="Times New Roman"/>
          <w:spacing w:val="1"/>
          <w:w w:val="110"/>
          <w:sz w:val="24"/>
          <w:vertAlign w:val="baseline"/>
        </w:rPr>
        <w:t> </w:t>
      </w:r>
      <w:r>
        <w:rPr>
          <w:rFonts w:ascii="Times New Roman" w:hAnsi="Times New Roman"/>
          <w:sz w:val="24"/>
          <w:vertAlign w:val="baseline"/>
        </w:rPr>
        <w:t>wenn</w:t>
      </w:r>
      <w:r>
        <w:rPr>
          <w:rFonts w:ascii="Times New Roman" w:hAnsi="Times New Roman"/>
          <w:spacing w:val="1"/>
          <w:sz w:val="24"/>
          <w:vertAlign w:val="baseline"/>
        </w:rPr>
        <w:t> </w:t>
      </w:r>
      <w:r>
        <w:rPr>
          <w:rFonts w:ascii="Times New Roman" w:hAnsi="Times New Roman"/>
          <w:sz w:val="24"/>
          <w:vertAlign w:val="baseline"/>
        </w:rPr>
        <w:t>der</w:t>
      </w:r>
      <w:r>
        <w:rPr>
          <w:rFonts w:ascii="Times New Roman" w:hAnsi="Times New Roman"/>
          <w:spacing w:val="1"/>
          <w:sz w:val="24"/>
          <w:vertAlign w:val="baseline"/>
        </w:rPr>
        <w:t> </w:t>
      </w:r>
      <w:r>
        <w:rPr>
          <w:rFonts w:ascii="Times New Roman" w:hAnsi="Times New Roman"/>
          <w:sz w:val="24"/>
          <w:vertAlign w:val="baseline"/>
        </w:rPr>
        <w:t>Klager</w:t>
      </w:r>
      <w:r>
        <w:rPr>
          <w:rFonts w:ascii="Times New Roman" w:hAnsi="Times New Roman"/>
          <w:spacing w:val="1"/>
          <w:sz w:val="24"/>
          <w:vertAlign w:val="baseline"/>
        </w:rPr>
        <w:t> </w:t>
      </w:r>
      <w:r>
        <w:rPr>
          <w:rFonts w:ascii="Times New Roman" w:hAnsi="Times New Roman"/>
          <w:sz w:val="24"/>
          <w:vertAlign w:val="baseline"/>
        </w:rPr>
        <w:t>gel tend</w:t>
      </w:r>
      <w:r>
        <w:rPr>
          <w:rFonts w:ascii="Times New Roman" w:hAnsi="Times New Roman"/>
          <w:spacing w:val="1"/>
          <w:sz w:val="24"/>
          <w:vertAlign w:val="baseline"/>
        </w:rPr>
        <w:t> </w:t>
      </w:r>
      <w:r>
        <w:rPr>
          <w:rFonts w:ascii="Times New Roman" w:hAnsi="Times New Roman"/>
          <w:sz w:val="24"/>
          <w:vertAlign w:val="baseline"/>
        </w:rPr>
        <w:t>macht,</w:t>
      </w:r>
      <w:r>
        <w:rPr>
          <w:rFonts w:ascii="Times New Roman" w:hAnsi="Times New Roman"/>
          <w:spacing w:val="1"/>
          <w:sz w:val="24"/>
          <w:vertAlign w:val="baseline"/>
        </w:rPr>
        <w:t> </w:t>
      </w:r>
      <w:r>
        <w:rPr>
          <w:rFonts w:ascii="Times New Roman" w:hAnsi="Times New Roman"/>
          <w:sz w:val="24"/>
          <w:vertAlign w:val="baseline"/>
        </w:rPr>
        <w:t>durch</w:t>
      </w:r>
      <w:r>
        <w:rPr>
          <w:rFonts w:ascii="Times New Roman" w:hAnsi="Times New Roman"/>
          <w:spacing w:val="60"/>
          <w:sz w:val="24"/>
          <w:vertAlign w:val="baseline"/>
        </w:rPr>
        <w:t> </w:t>
      </w:r>
      <w:r>
        <w:rPr>
          <w:rFonts w:ascii="Times New Roman" w:hAnsi="Times New Roman"/>
          <w:sz w:val="24"/>
          <w:vertAlign w:val="baseline"/>
        </w:rPr>
        <w:t>den</w:t>
      </w:r>
      <w:r>
        <w:rPr>
          <w:rFonts w:ascii="Times New Roman" w:hAnsi="Times New Roman"/>
          <w:spacing w:val="60"/>
          <w:sz w:val="24"/>
          <w:vertAlign w:val="baseline"/>
        </w:rPr>
        <w:t> </w:t>
      </w:r>
      <w:r>
        <w:rPr>
          <w:rFonts w:ascii="Times New Roman" w:hAnsi="Times New Roman"/>
          <w:sz w:val="24"/>
          <w:vertAlign w:val="baseline"/>
        </w:rPr>
        <w:t>Verwal tungsakt</w:t>
      </w:r>
      <w:r>
        <w:rPr>
          <w:rFonts w:ascii="Times New Roman" w:hAnsi="Times New Roman"/>
          <w:spacing w:val="60"/>
          <w:sz w:val="24"/>
          <w:vertAlign w:val="baseline"/>
        </w:rPr>
        <w:t> </w:t>
      </w:r>
      <w:r>
        <w:rPr>
          <w:rFonts w:ascii="Times New Roman" w:hAnsi="Times New Roman"/>
          <w:sz w:val="24"/>
          <w:vertAlign w:val="baseline"/>
        </w:rPr>
        <w:t>oder</w:t>
      </w:r>
      <w:r>
        <w:rPr>
          <w:rFonts w:ascii="Times New Roman" w:hAnsi="Times New Roman"/>
          <w:spacing w:val="60"/>
          <w:sz w:val="24"/>
          <w:vertAlign w:val="baseline"/>
        </w:rPr>
        <w:t> </w:t>
      </w:r>
      <w:r>
        <w:rPr>
          <w:rFonts w:ascii="Times New Roman" w:hAnsi="Times New Roman"/>
          <w:sz w:val="24"/>
          <w:vertAlign w:val="baseline"/>
        </w:rPr>
        <w:t>seine</w:t>
      </w:r>
      <w:r>
        <w:rPr>
          <w:rFonts w:ascii="Times New Roman" w:hAnsi="Times New Roman"/>
          <w:spacing w:val="60"/>
          <w:sz w:val="24"/>
          <w:vertAlign w:val="baseline"/>
        </w:rPr>
        <w:t> </w:t>
      </w:r>
      <w:r>
        <w:rPr>
          <w:rFonts w:ascii="Times New Roman" w:hAnsi="Times New Roman"/>
          <w:sz w:val="24"/>
          <w:vertAlign w:val="baseline"/>
        </w:rPr>
        <w:t>Ablehnung</w:t>
      </w:r>
      <w:r>
        <w:rPr>
          <w:rFonts w:ascii="Times New Roman" w:hAnsi="Times New Roman"/>
          <w:spacing w:val="-57"/>
          <w:sz w:val="24"/>
          <w:vertAlign w:val="baseline"/>
        </w:rPr>
        <w:t> </w:t>
      </w:r>
      <w:r>
        <w:rPr>
          <w:rFonts w:ascii="Times New Roman" w:hAnsi="Times New Roman"/>
          <w:w w:val="110"/>
          <w:sz w:val="24"/>
          <w:vertAlign w:val="baseline"/>
        </w:rPr>
        <w:t>oder</w:t>
      </w:r>
      <w:r>
        <w:rPr>
          <w:rFonts w:ascii="Times New Roman" w:hAnsi="Times New Roman"/>
          <w:spacing w:val="14"/>
          <w:w w:val="110"/>
          <w:sz w:val="24"/>
          <w:vertAlign w:val="baseline"/>
        </w:rPr>
        <w:t> </w:t>
      </w:r>
      <w:r>
        <w:rPr>
          <w:rFonts w:ascii="Times New Roman" w:hAnsi="Times New Roman"/>
          <w:w w:val="110"/>
          <w:sz w:val="24"/>
          <w:vertAlign w:val="baseline"/>
        </w:rPr>
        <w:t>Unterlassung</w:t>
      </w:r>
      <w:r>
        <w:rPr>
          <w:rFonts w:ascii="Times New Roman" w:hAnsi="Times New Roman"/>
          <w:spacing w:val="37"/>
          <w:w w:val="110"/>
          <w:sz w:val="24"/>
          <w:vertAlign w:val="baseline"/>
        </w:rPr>
        <w:t> </w:t>
      </w:r>
      <w:r>
        <w:rPr>
          <w:rFonts w:ascii="Times New Roman" w:hAnsi="Times New Roman"/>
          <w:w w:val="110"/>
          <w:sz w:val="24"/>
          <w:vertAlign w:val="baseline"/>
        </w:rPr>
        <w:t>in</w:t>
      </w:r>
      <w:r>
        <w:rPr>
          <w:rFonts w:ascii="Times New Roman" w:hAnsi="Times New Roman"/>
          <w:spacing w:val="2"/>
          <w:w w:val="110"/>
          <w:sz w:val="24"/>
          <w:vertAlign w:val="baseline"/>
        </w:rPr>
        <w:t> </w:t>
      </w:r>
      <w:r>
        <w:rPr>
          <w:rFonts w:ascii="Times New Roman" w:hAnsi="Times New Roman"/>
          <w:w w:val="110"/>
          <w:sz w:val="24"/>
          <w:vertAlign w:val="baseline"/>
        </w:rPr>
        <w:t>seinen</w:t>
      </w:r>
      <w:r>
        <w:rPr>
          <w:rFonts w:ascii="Times New Roman" w:hAnsi="Times New Roman"/>
          <w:spacing w:val="12"/>
          <w:w w:val="110"/>
          <w:sz w:val="24"/>
          <w:vertAlign w:val="baseline"/>
        </w:rPr>
        <w:t> </w:t>
      </w:r>
      <w:r>
        <w:rPr>
          <w:rFonts w:ascii="Times New Roman" w:hAnsi="Times New Roman"/>
          <w:w w:val="110"/>
          <w:sz w:val="24"/>
          <w:vertAlign w:val="baseline"/>
        </w:rPr>
        <w:t>Rechten</w:t>
      </w:r>
      <w:r>
        <w:rPr>
          <w:rFonts w:ascii="Times New Roman" w:hAnsi="Times New Roman"/>
          <w:spacing w:val="17"/>
          <w:w w:val="110"/>
          <w:sz w:val="24"/>
          <w:vertAlign w:val="baseline"/>
        </w:rPr>
        <w:t> </w:t>
      </w:r>
      <w:r>
        <w:rPr>
          <w:rFonts w:ascii="Times New Roman" w:hAnsi="Times New Roman"/>
          <w:w w:val="110"/>
          <w:sz w:val="24"/>
          <w:vertAlign w:val="baseline"/>
        </w:rPr>
        <w:t>verletzt</w:t>
      </w:r>
      <w:r>
        <w:rPr>
          <w:rFonts w:ascii="Times New Roman" w:hAnsi="Times New Roman"/>
          <w:spacing w:val="22"/>
          <w:w w:val="110"/>
          <w:sz w:val="24"/>
          <w:vertAlign w:val="baseline"/>
        </w:rPr>
        <w:t> </w:t>
      </w:r>
      <w:r>
        <w:rPr>
          <w:rFonts w:ascii="Times New Roman" w:hAnsi="Times New Roman"/>
          <w:w w:val="110"/>
          <w:sz w:val="24"/>
          <w:vertAlign w:val="baseline"/>
        </w:rPr>
        <w:t>zu</w:t>
      </w:r>
      <w:r>
        <w:rPr>
          <w:rFonts w:ascii="Times New Roman" w:hAnsi="Times New Roman"/>
          <w:spacing w:val="2"/>
          <w:w w:val="110"/>
          <w:sz w:val="24"/>
          <w:vertAlign w:val="baseline"/>
        </w:rPr>
        <w:t> </w:t>
      </w:r>
      <w:r>
        <w:rPr>
          <w:rFonts w:ascii="Times New Roman" w:hAnsi="Times New Roman"/>
          <w:w w:val="110"/>
          <w:sz w:val="24"/>
          <w:vertAlign w:val="baseline"/>
        </w:rPr>
        <w:t>sein.</w:t>
      </w:r>
      <w:r>
        <w:rPr>
          <w:rFonts w:ascii="Times New Roman" w:hAnsi="Times New Roman"/>
          <w:spacing w:val="3"/>
          <w:w w:val="110"/>
          <w:sz w:val="24"/>
          <w:vertAlign w:val="baseline"/>
        </w:rPr>
        <w:t> </w:t>
      </w:r>
      <w:r>
        <w:rPr>
          <w:rFonts w:ascii="Times New Roman" w:hAnsi="Times New Roman"/>
          <w:w w:val="110"/>
          <w:sz w:val="24"/>
          <w:vertAlign w:val="baseline"/>
        </w:rPr>
        <w:t>".</w:t>
      </w:r>
    </w:p>
    <w:p>
      <w:pPr>
        <w:tabs>
          <w:tab w:pos="4393" w:val="left" w:leader="none"/>
        </w:tabs>
        <w:spacing w:before="3"/>
        <w:ind w:left="298" w:right="0" w:firstLine="0"/>
        <w:jc w:val="left"/>
        <w:rPr>
          <w:rFonts w:ascii="Times New Roman" w:hAnsi="Times New Roman"/>
          <w:sz w:val="24"/>
        </w:rPr>
      </w:pPr>
      <w:r>
        <w:rPr>
          <w:rFonts w:ascii="Times New Roman" w:hAnsi="Times New Roman"/>
          <w:position w:val="8"/>
          <w:sz w:val="13"/>
        </w:rPr>
        <w:t>55</w:t>
      </w:r>
      <w:r>
        <w:rPr>
          <w:rFonts w:ascii="Times New Roman" w:hAnsi="Times New Roman"/>
          <w:spacing w:val="63"/>
          <w:position w:val="8"/>
          <w:sz w:val="13"/>
        </w:rPr>
        <w:t> </w:t>
      </w:r>
      <w:r>
        <w:rPr>
          <w:rFonts w:ascii="Times New Roman" w:hAnsi="Times New Roman"/>
          <w:sz w:val="24"/>
        </w:rPr>
        <w:t>Art.</w:t>
      </w:r>
      <w:r>
        <w:rPr>
          <w:rFonts w:ascii="Times New Roman" w:hAnsi="Times New Roman"/>
          <w:spacing w:val="103"/>
          <w:sz w:val="24"/>
        </w:rPr>
        <w:t> </w:t>
      </w:r>
      <w:r>
        <w:rPr>
          <w:rFonts w:ascii="Times New Roman" w:hAnsi="Times New Roman"/>
          <w:sz w:val="24"/>
        </w:rPr>
        <w:t>33</w:t>
      </w:r>
      <w:r>
        <w:rPr>
          <w:rFonts w:ascii="Times New Roman" w:hAnsi="Times New Roman"/>
          <w:spacing w:val="42"/>
          <w:sz w:val="24"/>
        </w:rPr>
        <w:t> </w:t>
      </w:r>
      <w:r>
        <w:rPr>
          <w:rFonts w:ascii="Times New Roman" w:hAnsi="Times New Roman"/>
          <w:sz w:val="24"/>
        </w:rPr>
        <w:t>Abs.</w:t>
      </w:r>
      <w:r>
        <w:rPr>
          <w:rFonts w:ascii="Times New Roman" w:hAnsi="Times New Roman"/>
          <w:spacing w:val="110"/>
          <w:sz w:val="24"/>
        </w:rPr>
        <w:t> </w:t>
      </w:r>
      <w:r>
        <w:rPr>
          <w:rFonts w:ascii="Times New Roman" w:hAnsi="Times New Roman"/>
          <w:sz w:val="24"/>
        </w:rPr>
        <w:t>2</w:t>
      </w:r>
      <w:r>
        <w:rPr>
          <w:rFonts w:ascii="Times New Roman" w:hAnsi="Times New Roman"/>
          <w:spacing w:val="46"/>
          <w:sz w:val="24"/>
        </w:rPr>
        <w:t> </w:t>
      </w:r>
      <w:r>
        <w:rPr>
          <w:rFonts w:ascii="Times New Roman" w:hAnsi="Times New Roman"/>
          <w:sz w:val="24"/>
        </w:rPr>
        <w:t>GG;</w:t>
      </w:r>
      <w:r>
        <w:rPr>
          <w:rFonts w:ascii="Times New Roman" w:hAnsi="Times New Roman"/>
          <w:spacing w:val="68"/>
          <w:sz w:val="24"/>
        </w:rPr>
        <w:t> </w:t>
      </w:r>
      <w:r>
        <w:rPr>
          <w:rFonts w:ascii="Times New Roman" w:hAnsi="Times New Roman"/>
          <w:sz w:val="22"/>
        </w:rPr>
        <w:t>§</w:t>
      </w:r>
      <w:r>
        <w:rPr>
          <w:rFonts w:ascii="Times New Roman" w:hAnsi="Times New Roman"/>
          <w:spacing w:val="88"/>
          <w:sz w:val="22"/>
        </w:rPr>
        <w:t> </w:t>
      </w:r>
      <w:r>
        <w:rPr>
          <w:rFonts w:ascii="Times New Roman" w:hAnsi="Times New Roman"/>
          <w:sz w:val="24"/>
        </w:rPr>
        <w:t>8Abs.</w:t>
      </w:r>
      <w:r>
        <w:rPr>
          <w:rFonts w:ascii="Times New Roman" w:hAnsi="Times New Roman"/>
          <w:spacing w:val="116"/>
          <w:sz w:val="24"/>
        </w:rPr>
        <w:t> </w:t>
      </w:r>
      <w:r>
        <w:rPr>
          <w:rFonts w:ascii="Times New Roman" w:hAnsi="Times New Roman"/>
          <w:sz w:val="24"/>
        </w:rPr>
        <w:t>IS.</w:t>
        <w:tab/>
      </w:r>
      <w:r>
        <w:rPr>
          <w:rFonts w:ascii="Times New Roman" w:hAnsi="Times New Roman"/>
          <w:w w:val="95"/>
          <w:sz w:val="24"/>
        </w:rPr>
        <w:t>2,</w:t>
      </w:r>
      <w:r>
        <w:rPr>
          <w:rFonts w:ascii="Times New Roman" w:hAnsi="Times New Roman"/>
          <w:spacing w:val="5"/>
          <w:w w:val="95"/>
          <w:sz w:val="24"/>
        </w:rPr>
        <w:t> </w:t>
      </w:r>
      <w:r>
        <w:rPr>
          <w:rFonts w:ascii="Times New Roman" w:hAnsi="Times New Roman"/>
          <w:w w:val="95"/>
          <w:sz w:val="22"/>
        </w:rPr>
        <w:t>§</w:t>
      </w:r>
      <w:r>
        <w:rPr>
          <w:rFonts w:ascii="Times New Roman" w:hAnsi="Times New Roman"/>
          <w:spacing w:val="10"/>
          <w:w w:val="95"/>
          <w:sz w:val="22"/>
        </w:rPr>
        <w:t> </w:t>
      </w:r>
      <w:r>
        <w:rPr>
          <w:rFonts w:ascii="Times New Roman" w:hAnsi="Times New Roman"/>
          <w:w w:val="95"/>
          <w:sz w:val="24"/>
        </w:rPr>
        <w:t>23</w:t>
      </w:r>
      <w:r>
        <w:rPr>
          <w:rFonts w:ascii="Times New Roman" w:hAnsi="Times New Roman"/>
          <w:spacing w:val="27"/>
          <w:w w:val="95"/>
          <w:sz w:val="24"/>
        </w:rPr>
        <w:t> </w:t>
      </w:r>
      <w:r>
        <w:rPr>
          <w:rFonts w:ascii="Times New Roman" w:hAnsi="Times New Roman"/>
          <w:w w:val="95"/>
          <w:sz w:val="24"/>
        </w:rPr>
        <w:t>BBG,</w:t>
      </w:r>
      <w:r>
        <w:rPr>
          <w:rFonts w:ascii="Times New Roman" w:hAnsi="Times New Roman"/>
          <w:spacing w:val="73"/>
          <w:sz w:val="24"/>
        </w:rPr>
        <w:t> </w:t>
      </w:r>
      <w:r>
        <w:rPr>
          <w:rFonts w:ascii="Times New Roman" w:hAnsi="Times New Roman"/>
          <w:w w:val="95"/>
          <w:sz w:val="22"/>
        </w:rPr>
        <w:t>§</w:t>
      </w:r>
      <w:r>
        <w:rPr>
          <w:rFonts w:ascii="Times New Roman" w:hAnsi="Times New Roman"/>
          <w:spacing w:val="72"/>
          <w:sz w:val="22"/>
        </w:rPr>
        <w:t> </w:t>
      </w:r>
      <w:r>
        <w:rPr>
          <w:rFonts w:ascii="Times New Roman" w:hAnsi="Times New Roman"/>
          <w:w w:val="95"/>
          <w:sz w:val="24"/>
        </w:rPr>
        <w:t>7</w:t>
      </w:r>
      <w:r>
        <w:rPr>
          <w:rFonts w:ascii="Times New Roman" w:hAnsi="Times New Roman"/>
          <w:spacing w:val="32"/>
          <w:w w:val="95"/>
          <w:sz w:val="24"/>
        </w:rPr>
        <w:t> </w:t>
      </w:r>
      <w:r>
        <w:rPr>
          <w:rFonts w:ascii="Times New Roman" w:hAnsi="Times New Roman"/>
          <w:w w:val="95"/>
          <w:sz w:val="24"/>
        </w:rPr>
        <w:t>BRRG.</w:t>
      </w:r>
    </w:p>
    <w:p>
      <w:pPr>
        <w:spacing w:after="0"/>
        <w:jc w:val="left"/>
        <w:rPr>
          <w:rFonts w:ascii="Times New Roman" w:hAnsi="Times New Roman"/>
          <w:sz w:val="24"/>
        </w:rPr>
        <w:sectPr>
          <w:pgSz w:w="11910" w:h="16840"/>
          <w:pgMar w:header="862" w:footer="1017" w:top="1060" w:bottom="1200" w:left="1120" w:right="1060"/>
        </w:sectPr>
      </w:pPr>
    </w:p>
    <w:p>
      <w:pPr>
        <w:pStyle w:val="BodyText"/>
        <w:rPr>
          <w:rFonts w:ascii="Times New Roman"/>
          <w:sz w:val="20"/>
        </w:rPr>
      </w:pPr>
    </w:p>
    <w:p>
      <w:pPr>
        <w:spacing w:before="192"/>
        <w:ind w:left="300" w:right="0" w:firstLine="0"/>
        <w:jc w:val="both"/>
        <w:rPr>
          <w:rFonts w:ascii="Arial" w:eastAsia="Arial"/>
          <w:sz w:val="8"/>
        </w:rPr>
      </w:pPr>
      <w:r>
        <w:rPr>
          <w:spacing w:val="12"/>
          <w:sz w:val="25"/>
        </w:rPr>
        <w:t>依據保護規範理論之見解 </w:t>
      </w:r>
      <w:r>
        <w:rPr>
          <w:spacing w:val="-8"/>
          <w:w w:val="80"/>
          <w:sz w:val="25"/>
        </w:rPr>
        <w:t>， </w:t>
      </w:r>
      <w:r>
        <w:rPr>
          <w:spacing w:val="12"/>
          <w:sz w:val="25"/>
        </w:rPr>
        <w:t>其得向法院請求權利救濟</w:t>
      </w:r>
      <w:r>
        <w:rPr>
          <w:rFonts w:ascii="Times New Roman" w:eastAsia="Times New Roman"/>
          <w:w w:val="80"/>
          <w:sz w:val="16"/>
        </w:rPr>
        <w:t>56</w:t>
      </w:r>
      <w:r>
        <w:rPr>
          <w:rFonts w:ascii="Times New Roman" w:eastAsia="Times New Roman"/>
          <w:spacing w:val="38"/>
          <w:sz w:val="16"/>
        </w:rPr>
        <w:t>    </w:t>
      </w:r>
      <w:r>
        <w:rPr>
          <w:rFonts w:ascii="Arial" w:eastAsia="Arial"/>
          <w:sz w:val="8"/>
        </w:rPr>
        <w:t>0</w:t>
      </w:r>
    </w:p>
    <w:p>
      <w:pPr>
        <w:pStyle w:val="BodyText"/>
        <w:spacing w:line="324" w:lineRule="auto" w:before="106"/>
        <w:ind w:left="312" w:right="510" w:firstLine="553"/>
        <w:jc w:val="both"/>
      </w:pPr>
      <w:r>
        <w:rPr>
          <w:spacing w:val="6"/>
          <w:w w:val="95"/>
        </w:rPr>
        <w:t>如前所逑 </w:t>
      </w:r>
      <w:r>
        <w:rPr>
          <w:spacing w:val="17"/>
          <w:w w:val="80"/>
        </w:rPr>
        <w:t>，</w:t>
      </w:r>
      <w:r>
        <w:rPr>
          <w:spacing w:val="16"/>
          <w:w w:val="95"/>
        </w:rPr>
        <w:t>聯邦憲法法院於 </w:t>
      </w:r>
      <w:r>
        <w:rPr>
          <w:rFonts w:ascii="Times New Roman" w:eastAsia="Times New Roman"/>
          <w:w w:val="95"/>
          <w:sz w:val="30"/>
        </w:rPr>
        <w:t>1989</w:t>
      </w:r>
      <w:r>
        <w:rPr>
          <w:rFonts w:ascii="Times New Roman" w:eastAsia="Times New Roman"/>
          <w:spacing w:val="17"/>
          <w:w w:val="95"/>
          <w:sz w:val="30"/>
        </w:rPr>
        <w:t> </w:t>
      </w:r>
      <w:r>
        <w:rPr>
          <w:spacing w:val="-2"/>
          <w:w w:val="95"/>
          <w:sz w:val="24"/>
        </w:rPr>
        <w:t>年 </w:t>
      </w:r>
      <w:r>
        <w:rPr>
          <w:rFonts w:ascii="Times New Roman" w:eastAsia="Times New Roman"/>
          <w:w w:val="95"/>
          <w:sz w:val="30"/>
        </w:rPr>
        <w:t>9</w:t>
      </w:r>
      <w:r>
        <w:rPr>
          <w:rFonts w:ascii="Times New Roman" w:eastAsia="Times New Roman"/>
          <w:spacing w:val="64"/>
          <w:w w:val="95"/>
          <w:sz w:val="30"/>
        </w:rPr>
        <w:t> </w:t>
      </w:r>
      <w:r>
        <w:rPr>
          <w:spacing w:val="4"/>
          <w:w w:val="95"/>
        </w:rPr>
        <w:t>月 </w:t>
      </w:r>
      <w:r>
        <w:rPr>
          <w:rFonts w:ascii="Times New Roman" w:eastAsia="Times New Roman"/>
          <w:w w:val="95"/>
          <w:sz w:val="30"/>
        </w:rPr>
        <w:t>19</w:t>
      </w:r>
      <w:r>
        <w:rPr>
          <w:rFonts w:ascii="Times New Roman" w:eastAsia="Times New Roman"/>
          <w:spacing w:val="43"/>
          <w:w w:val="95"/>
          <w:sz w:val="30"/>
        </w:rPr>
        <w:t> </w:t>
      </w:r>
      <w:r>
        <w:rPr>
          <w:spacing w:val="11"/>
          <w:w w:val="95"/>
        </w:rPr>
        <w:t>日之 裁定中 </w:t>
      </w:r>
      <w:r>
        <w:rPr>
          <w:spacing w:val="-33"/>
          <w:w w:val="80"/>
        </w:rPr>
        <w:t>， </w:t>
      </w:r>
      <w:r>
        <w:rPr>
          <w:spacing w:val="18"/>
          <w:w w:val="95"/>
        </w:rPr>
        <w:t>要求職務長</w:t>
      </w:r>
      <w:r>
        <w:rPr/>
        <w:t>官必須在任命競爭者為所競爭職務公務員前之合理期間，將選拔程序之結    </w:t>
      </w:r>
      <w:r>
        <w:rPr>
          <w:spacing w:val="34"/>
        </w:rPr>
        <w:t> </w:t>
      </w:r>
      <w:r>
        <w:rPr/>
        <w:t>果通知競爭落敗之噹事人，俾其有足夠之時間作成是否尋求權利救濟之決    </w:t>
      </w:r>
      <w:r>
        <w:rPr>
          <w:spacing w:val="46"/>
        </w:rPr>
        <w:t> </w:t>
      </w:r>
      <w:r>
        <w:rPr>
          <w:spacing w:val="-4"/>
          <w:w w:val="95"/>
        </w:rPr>
        <w:t>定 。德國實 務上見解</w:t>
      </w:r>
      <w:r>
        <w:rPr>
          <w:rFonts w:ascii="Times New Roman" w:eastAsia="Times New Roman"/>
          <w:w w:val="80"/>
          <w:sz w:val="16"/>
        </w:rPr>
        <w:t>57</w:t>
      </w:r>
      <w:r>
        <w:rPr>
          <w:rFonts w:ascii="Times New Roman" w:eastAsia="Times New Roman"/>
          <w:spacing w:val="3"/>
          <w:w w:val="80"/>
          <w:sz w:val="16"/>
        </w:rPr>
        <w:t> </w:t>
      </w:r>
      <w:r>
        <w:rPr>
          <w:spacing w:val="43"/>
          <w:w w:val="80"/>
        </w:rPr>
        <w:t>認 </w:t>
      </w:r>
      <w:r>
        <w:rPr>
          <w:spacing w:val="3"/>
          <w:w w:val="95"/>
        </w:rPr>
        <w:t>為 </w:t>
      </w:r>
      <w:r>
        <w:rPr>
          <w:spacing w:val="26"/>
          <w:w w:val="80"/>
        </w:rPr>
        <w:t>，得 提 </w:t>
      </w:r>
      <w:r>
        <w:rPr>
          <w:spacing w:val="4"/>
          <w:w w:val="95"/>
        </w:rPr>
        <w:t>超預先禁止 之訴者 </w:t>
      </w:r>
      <w:r>
        <w:rPr>
          <w:spacing w:val="-22"/>
          <w:w w:val="80"/>
        </w:rPr>
        <w:t>， </w:t>
      </w:r>
      <w:r>
        <w:rPr>
          <w:spacing w:val="1"/>
          <w:w w:val="95"/>
        </w:rPr>
        <w:t>為「 已參與選拔程</w:t>
      </w:r>
    </w:p>
    <w:p>
      <w:pPr>
        <w:spacing w:before="19"/>
        <w:ind w:left="308" w:right="0" w:firstLine="0"/>
        <w:jc w:val="left"/>
        <w:rPr>
          <w:sz w:val="25"/>
        </w:rPr>
      </w:pPr>
      <w:r>
        <w:rPr>
          <w:spacing w:val="45"/>
          <w:w w:val="104"/>
          <w:sz w:val="25"/>
        </w:rPr>
        <w:t>序</w:t>
      </w:r>
      <w:r>
        <w:rPr>
          <w:spacing w:val="41"/>
          <w:w w:val="87"/>
          <w:sz w:val="25"/>
        </w:rPr>
        <w:t>而</w:t>
      </w:r>
      <w:r>
        <w:rPr>
          <w:spacing w:val="7"/>
          <w:w w:val="109"/>
          <w:sz w:val="25"/>
        </w:rPr>
        <w:t>競</w:t>
      </w:r>
      <w:r>
        <w:rPr>
          <w:spacing w:val="34"/>
          <w:w w:val="106"/>
          <w:sz w:val="25"/>
        </w:rPr>
        <w:t>爭</w:t>
      </w:r>
      <w:r>
        <w:rPr>
          <w:spacing w:val="21"/>
          <w:w w:val="100"/>
          <w:sz w:val="25"/>
        </w:rPr>
        <w:t>落敗</w:t>
      </w:r>
      <w:r>
        <w:rPr>
          <w:spacing w:val="15"/>
          <w:w w:val="109"/>
          <w:sz w:val="25"/>
        </w:rPr>
        <w:t>之</w:t>
      </w:r>
      <w:r>
        <w:rPr>
          <w:spacing w:val="-24"/>
          <w:w w:val="108"/>
          <w:sz w:val="25"/>
        </w:rPr>
        <w:t>人」</w:t>
      </w:r>
      <w:r>
        <w:rPr>
          <w:rFonts w:ascii="Times New Roman" w:eastAsia="Times New Roman"/>
          <w:w w:val="108"/>
          <w:sz w:val="28"/>
        </w:rPr>
        <w:t>(</w:t>
      </w:r>
      <w:r>
        <w:rPr>
          <w:rFonts w:ascii="Times New Roman" w:eastAsia="Times New Roman"/>
          <w:spacing w:val="-25"/>
          <w:sz w:val="28"/>
        </w:rPr>
        <w:t> </w:t>
      </w:r>
      <w:r>
        <w:rPr>
          <w:rFonts w:ascii="Times New Roman" w:eastAsia="Times New Roman"/>
          <w:w w:val="100"/>
          <w:sz w:val="28"/>
        </w:rPr>
        <w:t>d</w:t>
      </w:r>
      <w:r>
        <w:rPr>
          <w:rFonts w:ascii="Times New Roman" w:eastAsia="Times New Roman"/>
          <w:spacing w:val="26"/>
          <w:w w:val="100"/>
          <w:sz w:val="28"/>
        </w:rPr>
        <w:t>e</w:t>
      </w:r>
      <w:r>
        <w:rPr>
          <w:rFonts w:ascii="Times New Roman" w:eastAsia="Times New Roman"/>
          <w:w w:val="100"/>
          <w:sz w:val="28"/>
        </w:rPr>
        <w:t>r</w:t>
      </w:r>
      <w:r>
        <w:rPr>
          <w:rFonts w:ascii="Times New Roman" w:eastAsia="Times New Roman"/>
          <w:spacing w:val="-3"/>
          <w:sz w:val="28"/>
        </w:rPr>
        <w:t>  </w:t>
      </w:r>
      <w:r>
        <w:rPr>
          <w:rFonts w:ascii="Times New Roman" w:eastAsia="Times New Roman"/>
          <w:spacing w:val="-1"/>
          <w:w w:val="85"/>
          <w:sz w:val="28"/>
        </w:rPr>
        <w:t>i</w:t>
      </w:r>
      <w:r>
        <w:rPr>
          <w:rFonts w:ascii="Times New Roman" w:eastAsia="Times New Roman"/>
          <w:w w:val="85"/>
          <w:sz w:val="28"/>
        </w:rPr>
        <w:t>m</w:t>
      </w:r>
      <w:r>
        <w:rPr>
          <w:rFonts w:ascii="Times New Roman" w:eastAsia="Times New Roman"/>
          <w:spacing w:val="6"/>
          <w:sz w:val="28"/>
        </w:rPr>
        <w:t> </w:t>
      </w:r>
      <w:r>
        <w:rPr>
          <w:rFonts w:ascii="Times New Roman" w:eastAsia="Times New Roman"/>
          <w:spacing w:val="-1"/>
          <w:w w:val="93"/>
          <w:sz w:val="28"/>
        </w:rPr>
        <w:t>Auswah</w:t>
      </w:r>
      <w:r>
        <w:rPr>
          <w:rFonts w:ascii="Times New Roman" w:eastAsia="Times New Roman"/>
          <w:w w:val="93"/>
          <w:sz w:val="28"/>
        </w:rPr>
        <w:t>l</w:t>
      </w:r>
      <w:r>
        <w:rPr>
          <w:rFonts w:ascii="Times New Roman" w:eastAsia="Times New Roman"/>
          <w:spacing w:val="-17"/>
          <w:sz w:val="28"/>
        </w:rPr>
        <w:t> </w:t>
      </w:r>
      <w:r>
        <w:rPr>
          <w:rFonts w:ascii="Times New Roman" w:eastAsia="Times New Roman"/>
          <w:w w:val="115"/>
          <w:sz w:val="28"/>
        </w:rPr>
        <w:t>verfahren</w:t>
      </w:r>
      <w:r>
        <w:rPr>
          <w:rFonts w:ascii="Times New Roman" w:eastAsia="Times New Roman"/>
          <w:spacing w:val="31"/>
          <w:sz w:val="28"/>
        </w:rPr>
        <w:t> </w:t>
      </w:r>
      <w:r>
        <w:rPr>
          <w:rFonts w:ascii="Times New Roman" w:eastAsia="Times New Roman"/>
          <w:spacing w:val="-1"/>
          <w:w w:val="106"/>
          <w:sz w:val="28"/>
        </w:rPr>
        <w:t>Unte</w:t>
      </w:r>
      <w:r>
        <w:rPr>
          <w:rFonts w:ascii="Times New Roman" w:eastAsia="Times New Roman"/>
          <w:w w:val="106"/>
          <w:sz w:val="28"/>
        </w:rPr>
        <w:t>r</w:t>
      </w:r>
      <w:r>
        <w:rPr>
          <w:rFonts w:ascii="Times New Roman" w:eastAsia="Times New Roman"/>
          <w:spacing w:val="-23"/>
          <w:sz w:val="28"/>
        </w:rPr>
        <w:t> </w:t>
      </w:r>
      <w:r>
        <w:rPr>
          <w:rFonts w:ascii="Times New Roman" w:eastAsia="Times New Roman"/>
          <w:spacing w:val="-1"/>
          <w:w w:val="110"/>
          <w:sz w:val="28"/>
        </w:rPr>
        <w:t>legen</w:t>
      </w:r>
      <w:r>
        <w:rPr>
          <w:rFonts w:ascii="Times New Roman" w:eastAsia="Times New Roman"/>
          <w:w w:val="110"/>
          <w:sz w:val="28"/>
        </w:rPr>
        <w:t>e</w:t>
      </w:r>
      <w:r>
        <w:rPr>
          <w:rFonts w:ascii="Times New Roman" w:eastAsia="Times New Roman"/>
          <w:spacing w:val="14"/>
          <w:sz w:val="28"/>
        </w:rPr>
        <w:t> </w:t>
      </w:r>
      <w:r>
        <w:rPr>
          <w:rFonts w:ascii="Times New Roman" w:eastAsia="Times New Roman"/>
          <w:spacing w:val="-20"/>
          <w:w w:val="76"/>
          <w:sz w:val="28"/>
        </w:rPr>
        <w:t>B</w:t>
      </w:r>
      <w:r>
        <w:rPr>
          <w:rFonts w:ascii="Times New Roman" w:eastAsia="Times New Roman"/>
          <w:spacing w:val="-196"/>
          <w:w w:val="106"/>
          <w:sz w:val="28"/>
        </w:rPr>
        <w:t>w</w:t>
      </w:r>
      <w:r>
        <w:rPr>
          <w:rFonts w:ascii="Times New Roman" w:eastAsia="Times New Roman"/>
          <w:w w:val="76"/>
          <w:sz w:val="28"/>
        </w:rPr>
        <w:t>e</w:t>
      </w:r>
      <w:r>
        <w:rPr>
          <w:rFonts w:ascii="Times New Roman" w:eastAsia="Times New Roman"/>
          <w:spacing w:val="-7"/>
          <w:sz w:val="28"/>
        </w:rPr>
        <w:t>   </w:t>
      </w:r>
      <w:r>
        <w:rPr>
          <w:rFonts w:ascii="Times New Roman" w:eastAsia="Times New Roman"/>
          <w:spacing w:val="20"/>
          <w:w w:val="106"/>
          <w:sz w:val="28"/>
        </w:rPr>
        <w:t>e</w:t>
      </w:r>
      <w:r>
        <w:rPr>
          <w:rFonts w:ascii="Times New Roman" w:eastAsia="Times New Roman"/>
          <w:w w:val="106"/>
          <w:sz w:val="28"/>
        </w:rPr>
        <w:t>r</w:t>
      </w:r>
      <w:r>
        <w:rPr>
          <w:rFonts w:ascii="Times New Roman" w:eastAsia="Times New Roman"/>
          <w:spacing w:val="-32"/>
          <w:sz w:val="28"/>
        </w:rPr>
        <w:t> </w:t>
      </w:r>
      <w:r>
        <w:rPr>
          <w:rFonts w:ascii="Times New Roman" w:eastAsia="Times New Roman"/>
          <w:w w:val="101"/>
          <w:sz w:val="28"/>
        </w:rPr>
        <w:t>b</w:t>
      </w:r>
      <w:r>
        <w:rPr>
          <w:rFonts w:ascii="Times New Roman" w:eastAsia="Times New Roman"/>
          <w:spacing w:val="23"/>
          <w:w w:val="101"/>
          <w:sz w:val="28"/>
        </w:rPr>
        <w:t>e</w:t>
      </w:r>
      <w:r>
        <w:rPr>
          <w:rFonts w:ascii="Times New Roman" w:eastAsia="Times New Roman"/>
          <w:w w:val="101"/>
          <w:sz w:val="28"/>
        </w:rPr>
        <w:t>r</w:t>
      </w:r>
      <w:r>
        <w:rPr>
          <w:rFonts w:ascii="Times New Roman" w:eastAsia="Times New Roman"/>
          <w:spacing w:val="14"/>
          <w:sz w:val="28"/>
        </w:rPr>
        <w:t> </w:t>
      </w:r>
      <w:r>
        <w:rPr>
          <w:rFonts w:ascii="Times New Roman" w:eastAsia="Times New Roman"/>
          <w:w w:val="101"/>
          <w:sz w:val="28"/>
        </w:rPr>
        <w:t>)</w:t>
      </w:r>
      <w:r>
        <w:rPr>
          <w:rFonts w:ascii="Times New Roman" w:eastAsia="Times New Roman"/>
          <w:spacing w:val="5"/>
          <w:sz w:val="28"/>
        </w:rPr>
        <w:t> </w:t>
      </w:r>
      <w:r>
        <w:rPr>
          <w:w w:val="101"/>
          <w:sz w:val="25"/>
        </w:rPr>
        <w:t>。</w:t>
      </w:r>
    </w:p>
    <w:p>
      <w:pPr>
        <w:pStyle w:val="BodyText"/>
        <w:spacing w:line="331" w:lineRule="auto" w:before="112"/>
        <w:ind w:left="311" w:right="518" w:firstLine="2"/>
      </w:pPr>
      <w:r>
        <w:rPr>
          <w:w w:val="110"/>
        </w:rPr>
        <w:t>未參與選拔程序者，其對於即將作成之任命他人為公務員之人事處分並無防禦權或不作為之請求權可資主張。</w:t>
      </w:r>
    </w:p>
    <w:p>
      <w:pPr>
        <w:pStyle w:val="Heading4"/>
        <w:tabs>
          <w:tab w:pos="2759" w:val="left" w:leader="none"/>
        </w:tabs>
        <w:spacing w:before="61"/>
        <w:ind w:left="1334"/>
      </w:pPr>
      <w:bookmarkStart w:name="_bookmark15" w:id="16"/>
      <w:bookmarkEnd w:id="16"/>
      <w:r>
        <w:rPr/>
      </w:r>
      <w:r>
        <w:rPr>
          <w:w w:val="110"/>
        </w:rPr>
        <w:t>第三節</w:t>
        <w:tab/>
        <w:t>人事處分兢爭者訴訟之第三人権利保護</w:t>
      </w:r>
    </w:p>
    <w:p>
      <w:pPr>
        <w:pStyle w:val="BodyText"/>
        <w:spacing w:before="1"/>
        <w:rPr>
          <w:sz w:val="22"/>
        </w:rPr>
      </w:pPr>
    </w:p>
    <w:p>
      <w:pPr>
        <w:pStyle w:val="BodyText"/>
        <w:spacing w:line="331" w:lineRule="auto"/>
        <w:ind w:left="312" w:right="516" w:firstLine="559"/>
      </w:pPr>
      <w:r>
        <w:rPr>
          <w:w w:val="110"/>
        </w:rPr>
        <w:t>公務員法上之競爭訴訟，無論何種訴訟類型，必然涉及噹事人以外第三人之利益。與原告處於競爭地位之第三人，其權利應如何保障？</w:t>
      </w:r>
    </w:p>
    <w:p>
      <w:pPr>
        <w:pStyle w:val="BodyText"/>
        <w:spacing w:line="331" w:lineRule="auto"/>
        <w:ind w:left="302" w:right="515" w:firstLine="563"/>
      </w:pPr>
      <w:r>
        <w:rPr>
          <w:w w:val="110"/>
        </w:rPr>
        <w:t>在公務員法上積極競爭訴訟中，某甲於人事主管機關尚未就該職位之任命作成決定之前，向行政法院提超訴訟，請求判命人事主管機關應任命某甲為該職位之公務員。此時，第三人某乙應如何保障其權利？在公務員法上消極競爭訴訟中，某甲於人事主管機關作成任命某乙為系爭職位之公務員的行政處分之後，向行政法院提超訴訟，請求撒銷人事主管機關任命某乙為該職位公務員之行政處分。此時，第三人某乙又應如何保障其權</w:t>
      </w:r>
      <w:r>
        <w:rPr>
          <w:spacing w:val="1"/>
          <w:w w:val="110"/>
        </w:rPr>
        <w:t> </w:t>
      </w:r>
      <w:r>
        <w:rPr>
          <w:w w:val="110"/>
        </w:rPr>
        <w:t>利？在預先禁止之訴中，某甲於人事主管機關尚未就該職位之任命作成決定之前，向行政法院提超訴訟，請求行政法院預先禁止被告機關作成任命其他競爭者（某乙）為系爭公職公務員之行政處分。此時，第三人某乙應如何保障其權利？</w:t>
      </w:r>
    </w:p>
    <w:p>
      <w:pPr>
        <w:pStyle w:val="BodyText"/>
        <w:spacing w:line="302" w:lineRule="exact"/>
        <w:ind w:left="864"/>
      </w:pPr>
      <w:r>
        <w:rPr>
          <w:w w:val="110"/>
        </w:rPr>
        <w:t>凡第三人就繫屬於他人間之訴訟，為自己有所主張時，必須利用「訴</w:t>
      </w:r>
    </w:p>
    <w:p>
      <w:pPr>
        <w:spacing w:line="324" w:lineRule="auto" w:before="111"/>
        <w:ind w:left="313" w:right="525" w:hanging="12"/>
        <w:jc w:val="left"/>
        <w:rPr>
          <w:rFonts w:ascii="Times New Roman" w:eastAsia="Times New Roman"/>
          <w:sz w:val="28"/>
        </w:rPr>
      </w:pPr>
      <w:r>
        <w:rPr>
          <w:spacing w:val="3"/>
          <w:sz w:val="25"/>
        </w:rPr>
        <w:t>訟參加」</w:t>
      </w:r>
      <w:r>
        <w:rPr>
          <w:rFonts w:ascii="Times New Roman" w:eastAsia="Times New Roman"/>
          <w:spacing w:val="-9"/>
          <w:sz w:val="28"/>
        </w:rPr>
        <w:t>( </w:t>
      </w:r>
      <w:r>
        <w:rPr>
          <w:rFonts w:ascii="Times New Roman" w:eastAsia="Times New Roman"/>
          <w:sz w:val="28"/>
        </w:rPr>
        <w:t>Be</w:t>
      </w:r>
      <w:r>
        <w:rPr>
          <w:rFonts w:ascii="Times New Roman" w:eastAsia="Times New Roman"/>
          <w:spacing w:val="5"/>
          <w:sz w:val="28"/>
        </w:rPr>
        <w:t> </w:t>
      </w:r>
      <w:r>
        <w:rPr>
          <w:rFonts w:ascii="Times New Roman" w:eastAsia="Times New Roman"/>
          <w:sz w:val="28"/>
        </w:rPr>
        <w:t>i</w:t>
      </w:r>
      <w:r>
        <w:rPr>
          <w:rFonts w:ascii="Times New Roman" w:eastAsia="Times New Roman"/>
          <w:spacing w:val="18"/>
          <w:sz w:val="28"/>
        </w:rPr>
        <w:t> </w:t>
      </w:r>
      <w:r>
        <w:rPr>
          <w:rFonts w:ascii="Times New Roman" w:eastAsia="Times New Roman"/>
          <w:sz w:val="28"/>
        </w:rPr>
        <w:t>l</w:t>
      </w:r>
      <w:r>
        <w:rPr>
          <w:rFonts w:ascii="Times New Roman" w:eastAsia="Times New Roman"/>
          <w:spacing w:val="-9"/>
          <w:sz w:val="28"/>
        </w:rPr>
        <w:t> </w:t>
      </w:r>
      <w:r>
        <w:rPr>
          <w:rFonts w:ascii="Times New Roman" w:eastAsia="Times New Roman"/>
          <w:sz w:val="28"/>
        </w:rPr>
        <w:t>a</w:t>
      </w:r>
      <w:r>
        <w:rPr>
          <w:rFonts w:ascii="Times New Roman" w:eastAsia="Times New Roman"/>
          <w:spacing w:val="-20"/>
          <w:sz w:val="28"/>
        </w:rPr>
        <w:t> </w:t>
      </w:r>
      <w:r>
        <w:rPr>
          <w:rFonts w:ascii="Times New Roman" w:eastAsia="Times New Roman"/>
          <w:sz w:val="28"/>
        </w:rPr>
        <w:t>dung</w:t>
      </w:r>
      <w:r>
        <w:rPr>
          <w:rFonts w:ascii="Times New Roman" w:eastAsia="Times New Roman"/>
          <w:spacing w:val="14"/>
          <w:sz w:val="28"/>
        </w:rPr>
        <w:t> ) </w:t>
      </w:r>
      <w:r>
        <w:rPr>
          <w:spacing w:val="5"/>
          <w:sz w:val="25"/>
        </w:rPr>
        <w:t>之制度。訴訟參加者 ， 第三人之權利或法律上利益</w:t>
      </w:r>
      <w:r>
        <w:rPr>
          <w:sz w:val="25"/>
        </w:rPr>
        <w:t>將因訴訟之結果而受損害者，行政法院依磬請或依職権以裁定命該第三      </w:t>
      </w:r>
      <w:r>
        <w:rPr>
          <w:spacing w:val="18"/>
          <w:sz w:val="25"/>
        </w:rPr>
        <w:t> </w:t>
      </w:r>
      <w:r>
        <w:rPr>
          <w:sz w:val="25"/>
        </w:rPr>
        <w:t>人 ， 參與他人間已繫屬訴訟之制度 。依德國行 政法院法第 </w:t>
      </w:r>
      <w:r>
        <w:rPr>
          <w:rFonts w:ascii="Arial" w:eastAsia="Arial"/>
          <w:sz w:val="28"/>
        </w:rPr>
        <w:t>65</w:t>
      </w:r>
      <w:r>
        <w:rPr>
          <w:rFonts w:ascii="Arial" w:eastAsia="Arial"/>
          <w:spacing w:val="43"/>
          <w:sz w:val="28"/>
        </w:rPr>
        <w:t> </w:t>
      </w:r>
      <w:r>
        <w:rPr>
          <w:spacing w:val="7"/>
          <w:sz w:val="25"/>
        </w:rPr>
        <w:t>條以下之規</w:t>
      </w:r>
      <w:r>
        <w:rPr>
          <w:w w:val="106"/>
          <w:sz w:val="25"/>
        </w:rPr>
        <w:t>定</w:t>
      </w:r>
      <w:r>
        <w:rPr>
          <w:spacing w:val="-35"/>
          <w:sz w:val="25"/>
        </w:rPr>
        <w:t> </w:t>
      </w:r>
      <w:r>
        <w:rPr>
          <w:w w:val="62"/>
          <w:sz w:val="25"/>
        </w:rPr>
        <w:t>，</w:t>
      </w:r>
      <w:r>
        <w:rPr>
          <w:spacing w:val="-84"/>
          <w:sz w:val="25"/>
        </w:rPr>
        <w:t> </w:t>
      </w:r>
      <w:r>
        <w:rPr>
          <w:spacing w:val="10"/>
          <w:w w:val="106"/>
          <w:sz w:val="25"/>
        </w:rPr>
        <w:t>訴訟參加</w:t>
      </w:r>
      <w:r>
        <w:rPr>
          <w:spacing w:val="16"/>
          <w:sz w:val="25"/>
        </w:rPr>
        <w:t> </w:t>
      </w:r>
      <w:r>
        <w:rPr>
          <w:rFonts w:ascii="Times New Roman" w:eastAsia="Times New Roman"/>
          <w:w w:val="106"/>
          <w:sz w:val="28"/>
        </w:rPr>
        <w:t>(</w:t>
      </w:r>
      <w:r>
        <w:rPr>
          <w:rFonts w:ascii="Times New Roman" w:eastAsia="Times New Roman"/>
          <w:spacing w:val="-19"/>
          <w:sz w:val="28"/>
        </w:rPr>
        <w:t> </w:t>
      </w:r>
      <w:r>
        <w:rPr>
          <w:rFonts w:ascii="Times New Roman" w:eastAsia="Times New Roman"/>
          <w:spacing w:val="-1"/>
          <w:w w:val="76"/>
          <w:sz w:val="28"/>
        </w:rPr>
        <w:t>B</w:t>
      </w:r>
      <w:r>
        <w:rPr>
          <w:rFonts w:ascii="Times New Roman" w:eastAsia="Times New Roman"/>
          <w:w w:val="76"/>
          <w:sz w:val="28"/>
        </w:rPr>
        <w:t>e</w:t>
      </w:r>
      <w:r>
        <w:rPr>
          <w:rFonts w:ascii="Times New Roman" w:eastAsia="Times New Roman"/>
          <w:spacing w:val="-3"/>
          <w:sz w:val="28"/>
        </w:rPr>
        <w:t> </w:t>
      </w:r>
      <w:r>
        <w:rPr>
          <w:rFonts w:ascii="Times New Roman" w:eastAsia="Times New Roman"/>
          <w:w w:val="76"/>
          <w:sz w:val="28"/>
        </w:rPr>
        <w:t>i</w:t>
      </w:r>
      <w:r>
        <w:rPr>
          <w:rFonts w:ascii="Times New Roman" w:eastAsia="Times New Roman"/>
          <w:spacing w:val="9"/>
          <w:sz w:val="28"/>
        </w:rPr>
        <w:t> </w:t>
      </w:r>
      <w:r>
        <w:rPr>
          <w:rFonts w:ascii="Times New Roman" w:eastAsia="Times New Roman"/>
          <w:w w:val="76"/>
          <w:sz w:val="28"/>
        </w:rPr>
        <w:t>l</w:t>
      </w:r>
      <w:r>
        <w:rPr>
          <w:rFonts w:ascii="Times New Roman" w:eastAsia="Times New Roman"/>
          <w:spacing w:val="-15"/>
          <w:sz w:val="28"/>
        </w:rPr>
        <w:t> </w:t>
      </w:r>
      <w:r>
        <w:rPr>
          <w:rFonts w:ascii="Times New Roman" w:eastAsia="Times New Roman"/>
          <w:w w:val="76"/>
          <w:sz w:val="28"/>
        </w:rPr>
        <w:t>a</w:t>
      </w:r>
      <w:r>
        <w:rPr>
          <w:rFonts w:ascii="Times New Roman" w:eastAsia="Times New Roman"/>
          <w:spacing w:val="-25"/>
          <w:sz w:val="28"/>
        </w:rPr>
        <w:t> </w:t>
      </w:r>
      <w:r>
        <w:rPr>
          <w:rFonts w:ascii="Times New Roman" w:eastAsia="Times New Roman"/>
          <w:w w:val="100"/>
          <w:sz w:val="28"/>
        </w:rPr>
        <w:t>dung</w:t>
      </w:r>
      <w:r>
        <w:rPr>
          <w:rFonts w:ascii="Times New Roman" w:eastAsia="Times New Roman"/>
          <w:spacing w:val="-23"/>
          <w:sz w:val="28"/>
        </w:rPr>
        <w:t> </w:t>
      </w:r>
      <w:r>
        <w:rPr>
          <w:rFonts w:ascii="Times New Roman" w:eastAsia="Times New Roman"/>
          <w:w w:val="108"/>
          <w:sz w:val="28"/>
        </w:rPr>
        <w:t>)</w:t>
      </w:r>
      <w:r>
        <w:rPr>
          <w:rFonts w:ascii="Times New Roman" w:eastAsia="Times New Roman"/>
          <w:spacing w:val="1"/>
          <w:sz w:val="28"/>
        </w:rPr>
        <w:t>  </w:t>
      </w:r>
      <w:r>
        <w:rPr>
          <w:spacing w:val="24"/>
          <w:w w:val="103"/>
          <w:sz w:val="25"/>
        </w:rPr>
        <w:t>可</w:t>
      </w:r>
      <w:r>
        <w:rPr>
          <w:spacing w:val="19"/>
          <w:w w:val="108"/>
          <w:sz w:val="25"/>
        </w:rPr>
        <w:t>分</w:t>
      </w:r>
      <w:r>
        <w:rPr>
          <w:spacing w:val="37"/>
          <w:w w:val="96"/>
          <w:sz w:val="25"/>
        </w:rPr>
        <w:t>為</w:t>
      </w:r>
      <w:r>
        <w:rPr>
          <w:w w:val="97"/>
          <w:sz w:val="25"/>
        </w:rPr>
        <w:t>兩種</w:t>
      </w:r>
      <w:r>
        <w:rPr>
          <w:spacing w:val="25"/>
          <w:sz w:val="25"/>
        </w:rPr>
        <w:t> </w:t>
      </w:r>
      <w:r>
        <w:rPr>
          <w:w w:val="62"/>
          <w:sz w:val="25"/>
        </w:rPr>
        <w:t>，</w:t>
      </w:r>
      <w:r>
        <w:rPr>
          <w:spacing w:val="-77"/>
          <w:sz w:val="25"/>
        </w:rPr>
        <w:t> </w:t>
      </w:r>
      <w:r>
        <w:rPr>
          <w:spacing w:val="20"/>
          <w:w w:val="106"/>
          <w:sz w:val="25"/>
        </w:rPr>
        <w:t>即「</w:t>
      </w:r>
      <w:r>
        <w:rPr>
          <w:spacing w:val="33"/>
          <w:w w:val="92"/>
          <w:sz w:val="25"/>
        </w:rPr>
        <w:t>普</w:t>
      </w:r>
      <w:r>
        <w:rPr>
          <w:spacing w:val="12"/>
          <w:w w:val="110"/>
          <w:sz w:val="25"/>
        </w:rPr>
        <w:t>通</w:t>
      </w:r>
      <w:r>
        <w:rPr>
          <w:spacing w:val="2"/>
          <w:w w:val="108"/>
          <w:sz w:val="25"/>
        </w:rPr>
        <w:t>參加」</w:t>
      </w:r>
      <w:r>
        <w:rPr>
          <w:spacing w:val="-124"/>
          <w:w w:val="108"/>
          <w:sz w:val="25"/>
        </w:rPr>
        <w:t>（</w:t>
      </w:r>
      <w:r>
        <w:rPr>
          <w:rFonts w:ascii="Times New Roman" w:eastAsia="Times New Roman"/>
          <w:w w:val="108"/>
          <w:sz w:val="28"/>
        </w:rPr>
        <w:t>e</w:t>
      </w:r>
      <w:r>
        <w:rPr>
          <w:rFonts w:ascii="Times New Roman" w:eastAsia="Times New Roman"/>
          <w:spacing w:val="-40"/>
          <w:sz w:val="28"/>
        </w:rPr>
        <w:t> </w:t>
      </w:r>
      <w:r>
        <w:rPr>
          <w:rFonts w:ascii="Times New Roman" w:eastAsia="Times New Roman"/>
          <w:w w:val="108"/>
          <w:sz w:val="28"/>
        </w:rPr>
        <w:t>i</w:t>
      </w:r>
      <w:r>
        <w:rPr>
          <w:rFonts w:ascii="Times New Roman" w:eastAsia="Times New Roman"/>
          <w:spacing w:val="-33"/>
          <w:sz w:val="28"/>
        </w:rPr>
        <w:t> </w:t>
      </w:r>
      <w:r>
        <w:rPr>
          <w:rFonts w:ascii="Times New Roman" w:eastAsia="Times New Roman"/>
          <w:w w:val="93"/>
          <w:sz w:val="28"/>
        </w:rPr>
        <w:t>nf</w:t>
      </w:r>
      <w:r>
        <w:rPr>
          <w:rFonts w:ascii="Times New Roman" w:eastAsia="Times New Roman"/>
          <w:spacing w:val="-17"/>
          <w:sz w:val="28"/>
        </w:rPr>
        <w:t> </w:t>
      </w:r>
      <w:r>
        <w:rPr>
          <w:rFonts w:ascii="Times New Roman" w:eastAsia="Times New Roman"/>
          <w:spacing w:val="-1"/>
          <w:w w:val="89"/>
          <w:sz w:val="28"/>
        </w:rPr>
        <w:t>ache</w:t>
      </w:r>
    </w:p>
    <w:p>
      <w:pPr>
        <w:spacing w:before="2"/>
        <w:ind w:left="302" w:right="0" w:firstLine="0"/>
        <w:jc w:val="left"/>
        <w:rPr>
          <w:sz w:val="25"/>
        </w:rPr>
      </w:pPr>
      <w:r>
        <w:rPr>
          <w:rFonts w:ascii="Times New Roman" w:eastAsia="Times New Roman"/>
          <w:w w:val="95"/>
          <w:sz w:val="28"/>
        </w:rPr>
        <w:t>Be</w:t>
      </w:r>
      <w:r>
        <w:rPr>
          <w:rFonts w:ascii="Times New Roman" w:eastAsia="Times New Roman"/>
          <w:spacing w:val="15"/>
          <w:w w:val="95"/>
          <w:sz w:val="28"/>
        </w:rPr>
        <w:t> </w:t>
      </w:r>
      <w:r>
        <w:rPr>
          <w:rFonts w:ascii="Times New Roman" w:eastAsia="Times New Roman"/>
          <w:w w:val="95"/>
          <w:sz w:val="28"/>
        </w:rPr>
        <w:t>i</w:t>
      </w:r>
      <w:r>
        <w:rPr>
          <w:rFonts w:ascii="Times New Roman" w:eastAsia="Times New Roman"/>
          <w:spacing w:val="36"/>
          <w:w w:val="95"/>
          <w:sz w:val="28"/>
        </w:rPr>
        <w:t> </w:t>
      </w:r>
      <w:r>
        <w:rPr>
          <w:rFonts w:ascii="Times New Roman" w:eastAsia="Times New Roman"/>
          <w:w w:val="95"/>
          <w:sz w:val="28"/>
        </w:rPr>
        <w:t>l a</w:t>
      </w:r>
      <w:r>
        <w:rPr>
          <w:rFonts w:ascii="Times New Roman" w:eastAsia="Times New Roman"/>
          <w:spacing w:val="-11"/>
          <w:w w:val="95"/>
          <w:sz w:val="28"/>
        </w:rPr>
        <w:t> </w:t>
      </w:r>
      <w:r>
        <w:rPr>
          <w:rFonts w:ascii="Times New Roman" w:eastAsia="Times New Roman"/>
          <w:w w:val="95"/>
          <w:sz w:val="28"/>
        </w:rPr>
        <w:t>dung</w:t>
      </w:r>
      <w:r>
        <w:rPr>
          <w:rFonts w:ascii="Times New Roman" w:eastAsia="Times New Roman"/>
          <w:spacing w:val="15"/>
          <w:w w:val="95"/>
          <w:sz w:val="28"/>
        </w:rPr>
        <w:t> ) </w:t>
      </w:r>
      <w:r>
        <w:rPr>
          <w:spacing w:val="9"/>
          <w:w w:val="95"/>
          <w:sz w:val="25"/>
        </w:rPr>
        <w:t>與「必要參加」</w:t>
      </w:r>
      <w:r>
        <w:rPr>
          <w:rFonts w:ascii="Times New Roman" w:eastAsia="Times New Roman"/>
          <w:spacing w:val="2"/>
          <w:w w:val="95"/>
          <w:sz w:val="28"/>
        </w:rPr>
        <w:t>( </w:t>
      </w:r>
      <w:r>
        <w:rPr>
          <w:rFonts w:ascii="Times New Roman" w:eastAsia="Times New Roman"/>
          <w:w w:val="95"/>
          <w:sz w:val="28"/>
        </w:rPr>
        <w:t>notw</w:t>
      </w:r>
      <w:r>
        <w:rPr>
          <w:rFonts w:ascii="Times New Roman" w:eastAsia="Times New Roman"/>
          <w:spacing w:val="-22"/>
          <w:w w:val="95"/>
          <w:sz w:val="28"/>
        </w:rPr>
        <w:t> </w:t>
      </w:r>
      <w:r>
        <w:rPr>
          <w:rFonts w:ascii="Times New Roman" w:eastAsia="Times New Roman"/>
          <w:w w:val="95"/>
          <w:sz w:val="28"/>
        </w:rPr>
        <w:t>endi</w:t>
      </w:r>
      <w:r>
        <w:rPr>
          <w:rFonts w:ascii="Times New Roman" w:eastAsia="Times New Roman"/>
          <w:spacing w:val="-28"/>
          <w:w w:val="95"/>
          <w:sz w:val="28"/>
        </w:rPr>
        <w:t> </w:t>
      </w:r>
      <w:r>
        <w:rPr>
          <w:rFonts w:ascii="Times New Roman" w:eastAsia="Times New Roman"/>
          <w:w w:val="95"/>
          <w:sz w:val="28"/>
        </w:rPr>
        <w:t>ge</w:t>
      </w:r>
      <w:r>
        <w:rPr>
          <w:rFonts w:ascii="Times New Roman" w:eastAsia="Times New Roman"/>
          <w:spacing w:val="36"/>
          <w:w w:val="95"/>
          <w:sz w:val="28"/>
        </w:rPr>
        <w:t> </w:t>
      </w:r>
      <w:r>
        <w:rPr>
          <w:rFonts w:ascii="Times New Roman" w:eastAsia="Times New Roman"/>
          <w:w w:val="95"/>
          <w:sz w:val="28"/>
        </w:rPr>
        <w:t>Bei</w:t>
      </w:r>
      <w:r>
        <w:rPr>
          <w:rFonts w:ascii="Times New Roman" w:eastAsia="Times New Roman"/>
          <w:spacing w:val="5"/>
          <w:w w:val="95"/>
          <w:sz w:val="28"/>
        </w:rPr>
        <w:t> </w:t>
      </w:r>
      <w:r>
        <w:rPr>
          <w:rFonts w:ascii="Times New Roman" w:eastAsia="Times New Roman"/>
          <w:w w:val="95"/>
          <w:sz w:val="28"/>
        </w:rPr>
        <w:t>l</w:t>
      </w:r>
      <w:r>
        <w:rPr>
          <w:rFonts w:ascii="Times New Roman" w:eastAsia="Times New Roman"/>
          <w:spacing w:val="-22"/>
          <w:w w:val="95"/>
          <w:sz w:val="28"/>
        </w:rPr>
        <w:t> </w:t>
      </w:r>
      <w:r>
        <w:rPr>
          <w:rFonts w:ascii="Times New Roman" w:eastAsia="Times New Roman"/>
          <w:w w:val="95"/>
          <w:sz w:val="28"/>
        </w:rPr>
        <w:t>adung</w:t>
      </w:r>
      <w:r>
        <w:rPr>
          <w:rFonts w:ascii="Times New Roman" w:eastAsia="Times New Roman"/>
          <w:spacing w:val="12"/>
          <w:w w:val="95"/>
          <w:sz w:val="28"/>
        </w:rPr>
        <w:t> ) </w:t>
      </w:r>
      <w:r>
        <w:rPr>
          <w:spacing w:val="1"/>
          <w:w w:val="95"/>
          <w:sz w:val="25"/>
        </w:rPr>
        <w:t>。普通參加者 ，「訴</w:t>
      </w:r>
    </w:p>
    <w:p>
      <w:pPr>
        <w:pStyle w:val="BodyText"/>
        <w:rPr>
          <w:sz w:val="20"/>
        </w:rPr>
      </w:pPr>
    </w:p>
    <w:p>
      <w:pPr>
        <w:pStyle w:val="BodyText"/>
        <w:spacing w:before="7"/>
        <w:rPr>
          <w:sz w:val="26"/>
        </w:rPr>
      </w:pPr>
      <w:r>
        <w:rPr/>
        <w:pict>
          <v:shape style="position:absolute;margin-left:95.174004pt;margin-top:19.224165pt;width:144.25pt;height:.1pt;mso-position-horizontal-relative:page;mso-position-vertical-relative:paragraph;z-index:-15646208;mso-wrap-distance-left:0;mso-wrap-distance-right:0" coordorigin="1903,384" coordsize="2885,0" path="m1903,384l4788,384e" filled="false" stroked="true" strokeweight=".480547pt" strokecolor="#000000">
            <v:path arrowok="t"/>
            <v:stroke dashstyle="solid"/>
            <w10:wrap type="topAndBottom"/>
          </v:shape>
        </w:pict>
      </w:r>
    </w:p>
    <w:p>
      <w:pPr>
        <w:pStyle w:val="BodyText"/>
        <w:spacing w:before="7"/>
        <w:rPr>
          <w:sz w:val="8"/>
        </w:rPr>
      </w:pPr>
    </w:p>
    <w:p>
      <w:pPr>
        <w:pStyle w:val="Heading6"/>
        <w:spacing w:line="249" w:lineRule="auto"/>
        <w:ind w:left="507" w:right="568" w:hanging="209"/>
      </w:pPr>
      <w:r>
        <w:rPr>
          <w:w w:val="95"/>
          <w:position w:val="8"/>
          <w:sz w:val="13"/>
        </w:rPr>
        <w:t>56</w:t>
      </w:r>
      <w:r>
        <w:rPr>
          <w:spacing w:val="1"/>
          <w:w w:val="95"/>
          <w:position w:val="8"/>
          <w:sz w:val="13"/>
        </w:rPr>
        <w:t> </w:t>
      </w:r>
      <w:r>
        <w:rPr>
          <w:w w:val="95"/>
        </w:rPr>
        <w:t>Bier,</w:t>
      </w:r>
      <w:r>
        <w:rPr>
          <w:spacing w:val="1"/>
          <w:w w:val="95"/>
        </w:rPr>
        <w:t> </w:t>
      </w:r>
      <w:r>
        <w:rPr>
          <w:w w:val="95"/>
        </w:rPr>
        <w:t>in:</w:t>
      </w:r>
      <w:r>
        <w:rPr>
          <w:spacing w:val="1"/>
          <w:w w:val="95"/>
        </w:rPr>
        <w:t> </w:t>
      </w:r>
      <w:r>
        <w:rPr>
          <w:w w:val="95"/>
        </w:rPr>
        <w:t>Schoch/Schmidt-A13mann/Pietzner,</w:t>
      </w:r>
      <w:r>
        <w:rPr>
          <w:spacing w:val="1"/>
          <w:w w:val="95"/>
        </w:rPr>
        <w:t> </w:t>
      </w:r>
      <w:r>
        <w:rPr>
          <w:w w:val="95"/>
        </w:rPr>
        <w:t>VwGO,</w:t>
      </w:r>
      <w:r>
        <w:rPr>
          <w:spacing w:val="1"/>
          <w:w w:val="95"/>
        </w:rPr>
        <w:t> </w:t>
      </w:r>
      <w:r>
        <w:rPr>
          <w:w w:val="95"/>
        </w:rPr>
        <w:t>Stand: September</w:t>
      </w:r>
      <w:r>
        <w:rPr>
          <w:spacing w:val="1"/>
          <w:w w:val="95"/>
        </w:rPr>
        <w:t> </w:t>
      </w:r>
      <w:r>
        <w:rPr>
          <w:w w:val="95"/>
        </w:rPr>
        <w:t>2003,</w:t>
      </w:r>
      <w:r>
        <w:rPr>
          <w:spacing w:val="58"/>
        </w:rPr>
        <w:t> </w:t>
      </w:r>
      <w:r>
        <w:rPr>
          <w:rFonts w:ascii="Arial" w:hAnsi="Arial"/>
          <w:w w:val="95"/>
          <w:sz w:val="20"/>
        </w:rPr>
        <w:t>§</w:t>
      </w:r>
      <w:r>
        <w:rPr>
          <w:rFonts w:ascii="Arial" w:hAnsi="Arial"/>
          <w:spacing w:val="50"/>
          <w:sz w:val="20"/>
        </w:rPr>
        <w:t> </w:t>
      </w:r>
      <w:r>
        <w:rPr>
          <w:w w:val="95"/>
        </w:rPr>
        <w:t>42</w:t>
      </w:r>
      <w:r>
        <w:rPr>
          <w:spacing w:val="-59"/>
          <w:w w:val="95"/>
        </w:rPr>
        <w:t> </w:t>
      </w:r>
      <w:r>
        <w:rPr>
          <w:w w:val="95"/>
        </w:rPr>
        <w:t>Abs.</w:t>
      </w:r>
      <w:r>
        <w:rPr>
          <w:spacing w:val="62"/>
          <w:w w:val="95"/>
        </w:rPr>
        <w:t> </w:t>
      </w:r>
      <w:r>
        <w:rPr>
          <w:w w:val="95"/>
        </w:rPr>
        <w:t>2</w:t>
      </w:r>
      <w:r>
        <w:rPr>
          <w:spacing w:val="56"/>
          <w:w w:val="95"/>
        </w:rPr>
        <w:t> </w:t>
      </w:r>
      <w:r>
        <w:rPr>
          <w:w w:val="95"/>
        </w:rPr>
        <w:t>Rn.</w:t>
      </w:r>
      <w:r>
        <w:rPr>
          <w:spacing w:val="56"/>
          <w:w w:val="95"/>
        </w:rPr>
        <w:t> </w:t>
      </w:r>
      <w:r>
        <w:rPr>
          <w:w w:val="95"/>
        </w:rPr>
        <w:t>325</w:t>
      </w:r>
      <w:r>
        <w:rPr>
          <w:spacing w:val="51"/>
          <w:w w:val="95"/>
        </w:rPr>
        <w:t> </w:t>
      </w:r>
      <w:r>
        <w:rPr>
          <w:w w:val="95"/>
        </w:rPr>
        <w:t>m.</w:t>
      </w:r>
      <w:r>
        <w:rPr>
          <w:spacing w:val="52"/>
          <w:w w:val="95"/>
        </w:rPr>
        <w:t> </w:t>
      </w:r>
      <w:r>
        <w:rPr>
          <w:w w:val="95"/>
        </w:rPr>
        <w:t>w.</w:t>
      </w:r>
      <w:r>
        <w:rPr>
          <w:spacing w:val="60"/>
          <w:w w:val="95"/>
        </w:rPr>
        <w:t> </w:t>
      </w:r>
      <w:r>
        <w:rPr>
          <w:w w:val="95"/>
        </w:rPr>
        <w:t>Nach.</w:t>
      </w:r>
    </w:p>
    <w:p>
      <w:pPr>
        <w:tabs>
          <w:tab w:pos="2829" w:val="left" w:leader="none"/>
          <w:tab w:pos="6679" w:val="left" w:leader="none"/>
        </w:tabs>
        <w:spacing w:before="3"/>
        <w:ind w:left="298" w:right="0" w:firstLine="0"/>
        <w:jc w:val="left"/>
        <w:rPr>
          <w:rFonts w:ascii="Times New Roman"/>
          <w:sz w:val="26"/>
        </w:rPr>
      </w:pPr>
      <w:r>
        <w:rPr>
          <w:rFonts w:ascii="Times New Roman"/>
          <w:position w:val="8"/>
          <w:sz w:val="13"/>
        </w:rPr>
        <w:t>57</w:t>
      </w:r>
      <w:r>
        <w:rPr>
          <w:rFonts w:ascii="Times New Roman"/>
          <w:spacing w:val="42"/>
          <w:position w:val="8"/>
          <w:sz w:val="13"/>
        </w:rPr>
        <w:t> </w:t>
      </w:r>
      <w:r>
        <w:rPr>
          <w:rFonts w:ascii="Times New Roman"/>
          <w:sz w:val="26"/>
        </w:rPr>
        <w:t>Vgl.</w:t>
      </w:r>
      <w:r>
        <w:rPr>
          <w:rFonts w:ascii="Times New Roman"/>
          <w:spacing w:val="63"/>
          <w:sz w:val="26"/>
        </w:rPr>
        <w:t> </w:t>
      </w:r>
      <w:r>
        <w:rPr>
          <w:rFonts w:ascii="Times New Roman"/>
          <w:sz w:val="26"/>
        </w:rPr>
        <w:t>z.</w:t>
      </w:r>
      <w:r>
        <w:rPr>
          <w:rFonts w:ascii="Times New Roman"/>
          <w:spacing w:val="59"/>
          <w:sz w:val="26"/>
        </w:rPr>
        <w:t> </w:t>
      </w:r>
      <w:r>
        <w:rPr>
          <w:rFonts w:ascii="Times New Roman"/>
          <w:w w:val="95"/>
          <w:sz w:val="26"/>
        </w:rPr>
        <w:t>B.</w:t>
      </w:r>
      <w:r>
        <w:rPr>
          <w:rFonts w:ascii="Times New Roman"/>
          <w:spacing w:val="61"/>
          <w:sz w:val="26"/>
        </w:rPr>
        <w:t> </w:t>
      </w:r>
      <w:r>
        <w:rPr>
          <w:rFonts w:ascii="Times New Roman"/>
          <w:sz w:val="26"/>
        </w:rPr>
        <w:t>BVerfG,</w:t>
        <w:tab/>
      </w:r>
      <w:r>
        <w:rPr>
          <w:rFonts w:ascii="Times New Roman"/>
          <w:w w:val="90"/>
          <w:sz w:val="26"/>
        </w:rPr>
        <w:t>NVwZ</w:t>
      </w:r>
      <w:r>
        <w:rPr>
          <w:rFonts w:ascii="Times New Roman"/>
          <w:spacing w:val="43"/>
          <w:w w:val="90"/>
          <w:sz w:val="26"/>
        </w:rPr>
        <w:t> </w:t>
      </w:r>
      <w:r>
        <w:rPr>
          <w:rFonts w:ascii="Times New Roman"/>
          <w:w w:val="90"/>
          <w:sz w:val="26"/>
        </w:rPr>
        <w:t>2007,</w:t>
      </w:r>
      <w:r>
        <w:rPr>
          <w:rFonts w:ascii="Times New Roman"/>
          <w:spacing w:val="63"/>
          <w:sz w:val="26"/>
        </w:rPr>
        <w:t> </w:t>
      </w:r>
      <w:r>
        <w:rPr>
          <w:rFonts w:ascii="Times New Roman"/>
          <w:w w:val="90"/>
          <w:sz w:val="26"/>
        </w:rPr>
        <w:t>1178;</w:t>
      </w:r>
      <w:r>
        <w:rPr>
          <w:rFonts w:ascii="Times New Roman"/>
          <w:spacing w:val="47"/>
          <w:w w:val="90"/>
          <w:sz w:val="26"/>
        </w:rPr>
        <w:t> </w:t>
      </w:r>
      <w:r>
        <w:rPr>
          <w:rFonts w:ascii="Times New Roman"/>
          <w:w w:val="90"/>
          <w:sz w:val="26"/>
        </w:rPr>
        <w:t>OVG</w:t>
      </w:r>
      <w:r>
        <w:rPr>
          <w:rFonts w:ascii="Times New Roman"/>
          <w:spacing w:val="30"/>
          <w:w w:val="90"/>
          <w:sz w:val="26"/>
        </w:rPr>
        <w:t> </w:t>
      </w:r>
      <w:r>
        <w:rPr>
          <w:rFonts w:ascii="Times New Roman"/>
          <w:w w:val="90"/>
          <w:sz w:val="26"/>
        </w:rPr>
        <w:t>Schleswig,</w:t>
        <w:tab/>
        <w:t>NJW</w:t>
      </w:r>
      <w:r>
        <w:rPr>
          <w:rFonts w:ascii="Times New Roman"/>
          <w:spacing w:val="38"/>
          <w:w w:val="90"/>
          <w:sz w:val="26"/>
        </w:rPr>
        <w:t> </w:t>
      </w:r>
      <w:r>
        <w:rPr>
          <w:rFonts w:ascii="Times New Roman"/>
          <w:w w:val="90"/>
          <w:sz w:val="26"/>
        </w:rPr>
        <w:t>2001,</w:t>
      </w:r>
      <w:r>
        <w:rPr>
          <w:rFonts w:ascii="Times New Roman"/>
          <w:spacing w:val="15"/>
          <w:w w:val="90"/>
          <w:sz w:val="26"/>
        </w:rPr>
        <w:t> </w:t>
      </w:r>
      <w:hyperlink r:id="rId305">
        <w:r>
          <w:rPr>
            <w:rFonts w:ascii="Times New Roman"/>
            <w:w w:val="90"/>
            <w:sz w:val="26"/>
          </w:rPr>
          <w:t>3210.</w:t>
        </w:r>
      </w:hyperlink>
    </w:p>
    <w:p>
      <w:pPr>
        <w:spacing w:after="0"/>
        <w:jc w:val="left"/>
        <w:rPr>
          <w:rFonts w:ascii="Times New Roman"/>
          <w:sz w:val="26"/>
        </w:rPr>
        <w:sectPr>
          <w:pgSz w:w="11910" w:h="16840"/>
          <w:pgMar w:header="862" w:footer="1017" w:top="1060" w:bottom="1200" w:left="1120" w:right="1060"/>
        </w:sectPr>
      </w:pPr>
    </w:p>
    <w:p>
      <w:pPr>
        <w:pStyle w:val="BodyText"/>
        <w:rPr>
          <w:rFonts w:ascii="Times New Roman"/>
          <w:sz w:val="20"/>
        </w:rPr>
      </w:pPr>
    </w:p>
    <w:p>
      <w:pPr>
        <w:pStyle w:val="BodyText"/>
        <w:spacing w:line="309" w:lineRule="auto" w:before="206"/>
        <w:ind w:left="313" w:right="530" w:hanging="12"/>
        <w:rPr>
          <w:rFonts w:ascii="Arial" w:eastAsia="Arial"/>
          <w:sz w:val="8"/>
        </w:rPr>
      </w:pPr>
      <w:r>
        <w:rPr/>
        <w:t>訟程序尚未終結或繫屬於上級審者，法院得依職權或依罄請，命法律上利    </w:t>
      </w:r>
      <w:r>
        <w:rPr>
          <w:spacing w:val="19"/>
        </w:rPr>
        <w:t> </w:t>
      </w:r>
      <w:r>
        <w:rPr>
          <w:spacing w:val="24"/>
          <w:w w:val="102"/>
        </w:rPr>
        <w:t>益將</w:t>
      </w:r>
      <w:r>
        <w:rPr>
          <w:spacing w:val="32"/>
          <w:w w:val="98"/>
        </w:rPr>
        <w:t>受</w:t>
      </w:r>
      <w:r>
        <w:rPr>
          <w:spacing w:val="14"/>
          <w:w w:val="106"/>
        </w:rPr>
        <w:t>裁</w:t>
      </w:r>
      <w:r>
        <w:rPr>
          <w:spacing w:val="23"/>
          <w:w w:val="102"/>
        </w:rPr>
        <w:t>判</w:t>
      </w:r>
      <w:r>
        <w:rPr>
          <w:spacing w:val="34"/>
          <w:w w:val="103"/>
        </w:rPr>
        <w:t>影</w:t>
      </w:r>
      <w:r>
        <w:rPr>
          <w:w w:val="97"/>
        </w:rPr>
        <w:t>零之</w:t>
      </w:r>
      <w:r>
        <w:rPr>
          <w:spacing w:val="-43"/>
        </w:rPr>
        <w:t> </w:t>
      </w:r>
      <w:r>
        <w:rPr>
          <w:w w:val="88"/>
        </w:rPr>
        <w:t>第三</w:t>
      </w:r>
      <w:r>
        <w:rPr>
          <w:spacing w:val="-15"/>
        </w:rPr>
        <w:t> </w:t>
      </w:r>
      <w:r>
        <w:rPr>
          <w:spacing w:val="10"/>
          <w:w w:val="106"/>
        </w:rPr>
        <w:t>人</w:t>
      </w:r>
      <w:r>
        <w:rPr>
          <w:spacing w:val="5"/>
          <w:w w:val="108"/>
        </w:rPr>
        <w:t>參加</w:t>
      </w:r>
      <w:r>
        <w:rPr>
          <w:spacing w:val="10"/>
          <w:w w:val="106"/>
        </w:rPr>
        <w:t>訴訟」</w:t>
      </w:r>
      <w:r>
        <w:rPr>
          <w:spacing w:val="-191"/>
          <w:w w:val="106"/>
        </w:rPr>
        <w:t>（</w:t>
      </w:r>
      <w:r>
        <w:rPr>
          <w:spacing w:val="30"/>
          <w:w w:val="108"/>
        </w:rPr>
        <w:t>德</w:t>
      </w:r>
      <w:r>
        <w:rPr>
          <w:w w:val="91"/>
        </w:rPr>
        <w:t>國行</w:t>
      </w:r>
      <w:r>
        <w:rPr>
          <w:spacing w:val="-29"/>
        </w:rPr>
        <w:t> </w:t>
      </w:r>
      <w:r>
        <w:rPr>
          <w:spacing w:val="16"/>
          <w:w w:val="108"/>
        </w:rPr>
        <w:t>政</w:t>
      </w:r>
      <w:r>
        <w:rPr>
          <w:spacing w:val="29"/>
          <w:w w:val="102"/>
        </w:rPr>
        <w:t>法院法</w:t>
      </w:r>
      <w:r>
        <w:rPr>
          <w:w w:val="88"/>
        </w:rPr>
        <w:t>第</w:t>
      </w:r>
      <w:r>
        <w:rPr>
          <w:spacing w:val="-17"/>
        </w:rPr>
        <w:t> </w:t>
      </w:r>
      <w:r>
        <w:rPr>
          <w:rFonts w:ascii="Times New Roman" w:eastAsia="Times New Roman"/>
          <w:w w:val="82"/>
          <w:sz w:val="30"/>
        </w:rPr>
        <w:t>65</w:t>
      </w:r>
      <w:r>
        <w:rPr>
          <w:rFonts w:ascii="Times New Roman" w:eastAsia="Times New Roman"/>
          <w:spacing w:val="19"/>
          <w:sz w:val="30"/>
        </w:rPr>
        <w:t> </w:t>
      </w:r>
      <w:r>
        <w:rPr>
          <w:spacing w:val="31"/>
          <w:w w:val="110"/>
        </w:rPr>
        <w:t>條</w:t>
      </w:r>
      <w:r>
        <w:rPr>
          <w:w w:val="90"/>
        </w:rPr>
        <w:t>第</w:t>
      </w:r>
      <w:r>
        <w:rPr>
          <w:spacing w:val="-4"/>
        </w:rPr>
        <w:t> </w:t>
      </w:r>
      <w:r>
        <w:rPr>
          <w:rFonts w:ascii="Times New Roman" w:eastAsia="Times New Roman"/>
          <w:w w:val="90"/>
          <w:sz w:val="30"/>
        </w:rPr>
        <w:t>l</w:t>
      </w:r>
      <w:r>
        <w:rPr>
          <w:rFonts w:ascii="Times New Roman" w:eastAsia="Times New Roman"/>
          <w:spacing w:val="-18"/>
          <w:sz w:val="30"/>
        </w:rPr>
        <w:t>  </w:t>
      </w:r>
      <w:r>
        <w:rPr>
          <w:w w:val="99"/>
        </w:rPr>
        <w:t>項</w:t>
      </w:r>
      <w:r>
        <w:rPr>
          <w:spacing w:val="-80"/>
        </w:rPr>
        <w:t> </w:t>
      </w:r>
      <w:r>
        <w:rPr>
          <w:spacing w:val="-111"/>
          <w:w w:val="99"/>
        </w:rPr>
        <w:t>）</w:t>
      </w:r>
      <w:r>
        <w:rPr>
          <w:rFonts w:ascii="Times New Roman" w:eastAsia="Times New Roman"/>
          <w:w w:val="49"/>
          <w:sz w:val="16"/>
        </w:rPr>
        <w:t>58</w:t>
      </w:r>
      <w:r>
        <w:rPr>
          <w:rFonts w:ascii="Times New Roman" w:eastAsia="Times New Roman"/>
          <w:spacing w:val="-2"/>
          <w:sz w:val="16"/>
        </w:rPr>
        <w:t>     </w:t>
      </w:r>
      <w:r>
        <w:rPr>
          <w:rFonts w:ascii="Arial" w:eastAsia="Arial"/>
          <w:w w:val="105"/>
          <w:sz w:val="8"/>
        </w:rPr>
        <w:t>0</w:t>
      </w:r>
      <w:r>
        <w:rPr/>
        <w:t>必要參加者，「第三人參與爭訟之法律關係，且裁判對其須合一璀定者，    </w:t>
      </w:r>
      <w:r>
        <w:rPr>
          <w:spacing w:val="25"/>
        </w:rPr>
        <w:t> </w:t>
      </w:r>
      <w:r>
        <w:rPr>
          <w:spacing w:val="15"/>
          <w:w w:val="95"/>
        </w:rPr>
        <w:t>法院應命其參加訴訟」</w:t>
      </w:r>
      <w:r>
        <w:rPr>
          <w:spacing w:val="-119"/>
          <w:w w:val="95"/>
        </w:rPr>
        <w:t>（</w:t>
      </w:r>
      <w:r>
        <w:rPr>
          <w:spacing w:val="15"/>
          <w:w w:val="95"/>
        </w:rPr>
        <w:t>德國行 政法院法第 </w:t>
      </w:r>
      <w:r>
        <w:rPr>
          <w:rFonts w:ascii="Times New Roman" w:eastAsia="Times New Roman"/>
          <w:w w:val="95"/>
          <w:sz w:val="30"/>
        </w:rPr>
        <w:t>65</w:t>
      </w:r>
      <w:r>
        <w:rPr>
          <w:rFonts w:ascii="Times New Roman" w:eastAsia="Times New Roman"/>
          <w:spacing w:val="62"/>
          <w:w w:val="95"/>
          <w:sz w:val="30"/>
        </w:rPr>
        <w:t> </w:t>
      </w:r>
      <w:r>
        <w:rPr>
          <w:spacing w:val="21"/>
          <w:w w:val="95"/>
        </w:rPr>
        <w:t>條第 </w:t>
      </w:r>
      <w:r>
        <w:rPr>
          <w:rFonts w:ascii="Times New Roman" w:eastAsia="Times New Roman"/>
          <w:w w:val="95"/>
          <w:sz w:val="30"/>
        </w:rPr>
        <w:t>2</w:t>
      </w:r>
      <w:r>
        <w:rPr>
          <w:rFonts w:ascii="Times New Roman" w:eastAsia="Times New Roman"/>
          <w:spacing w:val="46"/>
          <w:w w:val="95"/>
          <w:sz w:val="30"/>
        </w:rPr>
        <w:t> </w:t>
      </w:r>
      <w:r>
        <w:rPr>
          <w:spacing w:val="-24"/>
          <w:w w:val="95"/>
        </w:rPr>
        <w:t>項 </w:t>
      </w:r>
      <w:r>
        <w:rPr>
          <w:w w:val="95"/>
        </w:rPr>
        <w:t>）</w:t>
      </w:r>
      <w:r>
        <w:rPr>
          <w:rFonts w:ascii="Times New Roman" w:eastAsia="Times New Roman"/>
          <w:w w:val="95"/>
          <w:sz w:val="16"/>
        </w:rPr>
        <w:t>59</w:t>
      </w:r>
      <w:r>
        <w:rPr>
          <w:rFonts w:ascii="Times New Roman" w:eastAsia="Times New Roman"/>
          <w:spacing w:val="55"/>
          <w:sz w:val="16"/>
        </w:rPr>
        <w:t>  </w:t>
      </w:r>
      <w:r>
        <w:rPr>
          <w:rFonts w:ascii="Arial" w:eastAsia="Arial"/>
          <w:sz w:val="8"/>
        </w:rPr>
        <w:t>0</w:t>
      </w:r>
    </w:p>
    <w:p>
      <w:pPr>
        <w:pStyle w:val="BodyText"/>
        <w:spacing w:before="128"/>
        <w:ind w:left="3221"/>
      </w:pPr>
      <w:r>
        <w:rPr>
          <w:w w:val="115"/>
        </w:rPr>
        <w:t>一消極兢爭訴訟之訴訟參加</w:t>
      </w:r>
    </w:p>
    <w:p>
      <w:pPr>
        <w:pStyle w:val="BodyText"/>
        <w:spacing w:before="9"/>
        <w:rPr>
          <w:sz w:val="23"/>
        </w:rPr>
      </w:pPr>
    </w:p>
    <w:p>
      <w:pPr>
        <w:pStyle w:val="BodyText"/>
        <w:spacing w:line="331" w:lineRule="auto" w:before="1"/>
        <w:ind w:left="310" w:right="521" w:firstLine="555"/>
        <w:jc w:val="both"/>
      </w:pPr>
      <w:r>
        <w:rPr>
          <w:w w:val="110"/>
        </w:rPr>
        <w:t>在公務員法上之消極競爭訴訟中，競爭者（某甲）於人事主管機關作成任命其他競爭者（某乙）為系爭職位之公務員後，向法院提超訴訟，請求撤銷人事主管機關任命其他競爭者為系爭職位之公務員之行政處分。</w:t>
      </w:r>
    </w:p>
    <w:p>
      <w:pPr>
        <w:pStyle w:val="BodyText"/>
        <w:spacing w:line="331" w:lineRule="auto"/>
        <w:ind w:left="306" w:right="516" w:firstLine="565"/>
        <w:jc w:val="both"/>
      </w:pPr>
      <w:r>
        <w:rPr>
          <w:w w:val="110"/>
        </w:rPr>
        <w:t>公務員法上消極競爭訴訟，其訴訟類型屬於撒銷訴訟。某甲既提超撤銷訴訟，噹行政法院以其訴有理由為某甲勝訴之判決時，某乙所取得受任命為系爭職位公務員之授益處分將被撤銷，某乙即受形成判決之效力所及</w:t>
      </w:r>
    </w:p>
    <w:p>
      <w:pPr>
        <w:pStyle w:val="BodyText"/>
        <w:spacing w:line="316" w:lineRule="exact"/>
        <w:ind w:left="415"/>
      </w:pPr>
      <w:r>
        <w:rPr>
          <w:w w:val="105"/>
        </w:rPr>
        <w:t>（噹某甲所提超之撒銷訴訟獲勝訴之判決時）。</w:t>
      </w:r>
    </w:p>
    <w:p>
      <w:pPr>
        <w:spacing w:line="324" w:lineRule="auto" w:before="117"/>
        <w:ind w:left="303" w:right="498" w:firstLine="579"/>
        <w:jc w:val="left"/>
        <w:rPr>
          <w:sz w:val="25"/>
        </w:rPr>
      </w:pPr>
      <w:r>
        <w:rPr>
          <w:w w:val="110"/>
          <w:sz w:val="25"/>
        </w:rPr>
        <w:t>此外，某乙雖非訴訟之原、被告，然其卻為訴訟標的法律關係行政處</w:t>
      </w:r>
      <w:r>
        <w:rPr>
          <w:spacing w:val="10"/>
          <w:sz w:val="25"/>
        </w:rPr>
        <w:t>分之相對人 </w:t>
      </w:r>
      <w:r>
        <w:rPr>
          <w:rFonts w:ascii="Times New Roman" w:hAnsi="Times New Roman" w:eastAsia="Times New Roman"/>
          <w:spacing w:val="-8"/>
          <w:sz w:val="29"/>
        </w:rPr>
        <w:t>( </w:t>
      </w:r>
      <w:r>
        <w:rPr>
          <w:rFonts w:ascii="Times New Roman" w:hAnsi="Times New Roman" w:eastAsia="Times New Roman"/>
          <w:sz w:val="29"/>
        </w:rPr>
        <w:t>Adr</w:t>
      </w:r>
      <w:r>
        <w:rPr>
          <w:rFonts w:ascii="Times New Roman" w:hAnsi="Times New Roman" w:eastAsia="Times New Roman"/>
          <w:spacing w:val="-24"/>
          <w:sz w:val="29"/>
        </w:rPr>
        <w:t> </w:t>
      </w:r>
      <w:r>
        <w:rPr>
          <w:rFonts w:ascii="Times New Roman" w:hAnsi="Times New Roman" w:eastAsia="Times New Roman"/>
          <w:sz w:val="29"/>
        </w:rPr>
        <w:t>es</w:t>
      </w:r>
      <w:r>
        <w:rPr>
          <w:rFonts w:ascii="Times New Roman" w:hAnsi="Times New Roman" w:eastAsia="Times New Roman"/>
          <w:spacing w:val="-21"/>
          <w:sz w:val="29"/>
        </w:rPr>
        <w:t> </w:t>
      </w:r>
      <w:r>
        <w:rPr>
          <w:rFonts w:ascii="Times New Roman" w:hAnsi="Times New Roman" w:eastAsia="Times New Roman"/>
          <w:spacing w:val="15"/>
          <w:sz w:val="29"/>
        </w:rPr>
        <w:t>sat</w:t>
      </w:r>
      <w:r>
        <w:rPr>
          <w:rFonts w:ascii="Times New Roman" w:hAnsi="Times New Roman" w:eastAsia="Times New Roman"/>
          <w:sz w:val="29"/>
        </w:rPr>
        <w:t> ) </w:t>
      </w:r>
      <w:r>
        <w:rPr>
          <w:spacing w:val="1"/>
          <w:sz w:val="25"/>
        </w:rPr>
        <w:t>。撤銷訴訟之結果 ，既 可能直接使某乙 所獲得之</w:t>
      </w:r>
      <w:r>
        <w:rPr>
          <w:w w:val="105"/>
          <w:sz w:val="25"/>
        </w:rPr>
        <w:t>才受益處分（受任命為系爭職位公務員之處分）溯及既往失其效力，因此，</w:t>
      </w:r>
      <w:r>
        <w:rPr>
          <w:spacing w:val="1"/>
          <w:w w:val="105"/>
          <w:sz w:val="25"/>
        </w:rPr>
        <w:t> </w:t>
      </w:r>
      <w:r>
        <w:rPr>
          <w:w w:val="110"/>
          <w:sz w:val="25"/>
        </w:rPr>
        <w:t>此一行政處分相對人之地位，即噹然轉換為該撤銷訴訟判決相對人</w:t>
      </w:r>
      <w:r>
        <w:rPr>
          <w:rFonts w:ascii="Times New Roman" w:hAnsi="Times New Roman" w:eastAsia="Times New Roman"/>
          <w:w w:val="110"/>
          <w:sz w:val="29"/>
        </w:rPr>
        <w:t>(Adressat</w:t>
      </w:r>
      <w:r>
        <w:rPr>
          <w:rFonts w:ascii="Times New Roman" w:hAnsi="Times New Roman" w:eastAsia="Times New Roman"/>
          <w:spacing w:val="55"/>
          <w:w w:val="110"/>
          <w:sz w:val="29"/>
        </w:rPr>
        <w:t> </w:t>
      </w:r>
      <w:r>
        <w:rPr>
          <w:rFonts w:ascii="Times New Roman" w:hAnsi="Times New Roman" w:eastAsia="Times New Roman"/>
          <w:w w:val="110"/>
          <w:sz w:val="29"/>
        </w:rPr>
        <w:t>der</w:t>
      </w:r>
      <w:r>
        <w:rPr>
          <w:rFonts w:ascii="Times New Roman" w:hAnsi="Times New Roman" w:eastAsia="Times New Roman"/>
          <w:spacing w:val="35"/>
          <w:w w:val="110"/>
          <w:sz w:val="29"/>
        </w:rPr>
        <w:t> </w:t>
      </w:r>
      <w:r>
        <w:rPr>
          <w:rFonts w:ascii="Times New Roman" w:hAnsi="Times New Roman" w:eastAsia="Times New Roman"/>
          <w:w w:val="110"/>
          <w:sz w:val="29"/>
        </w:rPr>
        <w:t>gerichtlichen</w:t>
      </w:r>
      <w:r>
        <w:rPr>
          <w:rFonts w:ascii="Times New Roman" w:hAnsi="Times New Roman" w:eastAsia="Times New Roman"/>
          <w:spacing w:val="55"/>
          <w:w w:val="110"/>
          <w:sz w:val="29"/>
        </w:rPr>
        <w:t> </w:t>
      </w:r>
      <w:r>
        <w:rPr>
          <w:rFonts w:ascii="Times New Roman" w:hAnsi="Times New Roman" w:eastAsia="Times New Roman"/>
          <w:w w:val="110"/>
          <w:sz w:val="29"/>
        </w:rPr>
        <w:t>Entscheidung</w:t>
      </w:r>
      <w:r>
        <w:rPr>
          <w:rFonts w:ascii="Times New Roman" w:hAnsi="Times New Roman" w:eastAsia="Times New Roman"/>
          <w:spacing w:val="23"/>
          <w:w w:val="110"/>
          <w:sz w:val="29"/>
        </w:rPr>
        <w:t>) </w:t>
      </w:r>
      <w:r>
        <w:rPr>
          <w:sz w:val="25"/>
        </w:rPr>
        <w:t>之」也亻玘°。</w:t>
      </w:r>
    </w:p>
    <w:p>
      <w:pPr>
        <w:spacing w:line="308" w:lineRule="exact" w:before="0"/>
        <w:ind w:left="874" w:right="0" w:firstLine="0"/>
        <w:jc w:val="left"/>
        <w:rPr>
          <w:sz w:val="25"/>
        </w:rPr>
      </w:pPr>
      <w:r>
        <w:rPr>
          <w:spacing w:val="8"/>
          <w:sz w:val="25"/>
        </w:rPr>
        <w:t>綜合以上所述 ，行 政法院之判決可能直接 </w:t>
      </w:r>
      <w:r>
        <w:rPr>
          <w:rFonts w:ascii="Times New Roman" w:eastAsia="Times New Roman"/>
          <w:spacing w:val="-9"/>
          <w:sz w:val="29"/>
        </w:rPr>
        <w:t>( </w:t>
      </w:r>
      <w:r>
        <w:rPr>
          <w:rFonts w:ascii="Times New Roman" w:eastAsia="Times New Roman"/>
          <w:sz w:val="29"/>
        </w:rPr>
        <w:t>unmi</w:t>
      </w:r>
      <w:r>
        <w:rPr>
          <w:rFonts w:ascii="Times New Roman" w:eastAsia="Times New Roman"/>
          <w:spacing w:val="-30"/>
          <w:sz w:val="29"/>
        </w:rPr>
        <w:t> </w:t>
      </w:r>
      <w:r>
        <w:rPr>
          <w:rFonts w:ascii="Times New Roman" w:eastAsia="Times New Roman"/>
          <w:w w:val="120"/>
          <w:sz w:val="29"/>
        </w:rPr>
        <w:t>ttel</w:t>
      </w:r>
      <w:r>
        <w:rPr>
          <w:rFonts w:ascii="Times New Roman" w:eastAsia="Times New Roman"/>
          <w:spacing w:val="-51"/>
          <w:w w:val="120"/>
          <w:sz w:val="29"/>
        </w:rPr>
        <w:t> </w:t>
      </w:r>
      <w:r>
        <w:rPr>
          <w:rFonts w:ascii="Times New Roman" w:eastAsia="Times New Roman"/>
          <w:spacing w:val="10"/>
          <w:sz w:val="29"/>
        </w:rPr>
        <w:t>bar</w:t>
      </w:r>
      <w:r>
        <w:rPr>
          <w:rFonts w:ascii="Times New Roman" w:eastAsia="Times New Roman"/>
          <w:spacing w:val="5"/>
          <w:sz w:val="29"/>
        </w:rPr>
        <w:t> ) </w:t>
      </w:r>
      <w:r>
        <w:rPr>
          <w:spacing w:val="12"/>
          <w:sz w:val="25"/>
        </w:rPr>
        <w:t>且必然地</w:t>
      </w:r>
    </w:p>
    <w:p>
      <w:pPr>
        <w:tabs>
          <w:tab w:pos="6907" w:val="left" w:leader="none"/>
        </w:tabs>
        <w:spacing w:before="96"/>
        <w:ind w:left="430" w:right="0" w:firstLine="0"/>
        <w:jc w:val="left"/>
        <w:rPr>
          <w:sz w:val="25"/>
        </w:rPr>
      </w:pPr>
      <w:r>
        <w:rPr>
          <w:rFonts w:ascii="Times New Roman" w:eastAsia="Times New Roman"/>
          <w:w w:val="95"/>
          <w:sz w:val="29"/>
        </w:rPr>
        <w:t>(zwangs</w:t>
      </w:r>
      <w:r>
        <w:rPr>
          <w:rFonts w:ascii="Times New Roman" w:eastAsia="Times New Roman"/>
          <w:spacing w:val="-9"/>
          <w:w w:val="95"/>
          <w:sz w:val="29"/>
        </w:rPr>
        <w:t> </w:t>
      </w:r>
      <w:r>
        <w:rPr>
          <w:rFonts w:ascii="Times New Roman" w:eastAsia="Times New Roman"/>
          <w:w w:val="95"/>
          <w:sz w:val="29"/>
        </w:rPr>
        <w:t>lauf</w:t>
      </w:r>
      <w:r>
        <w:rPr>
          <w:rFonts w:ascii="Times New Roman" w:eastAsia="Times New Roman"/>
          <w:spacing w:val="33"/>
          <w:w w:val="95"/>
          <w:sz w:val="29"/>
        </w:rPr>
        <w:t> </w:t>
      </w:r>
      <w:r>
        <w:rPr>
          <w:rFonts w:ascii="Times New Roman" w:eastAsia="Times New Roman"/>
          <w:spacing w:val="11"/>
          <w:w w:val="95"/>
          <w:sz w:val="29"/>
        </w:rPr>
        <w:t>ig</w:t>
      </w:r>
      <w:r>
        <w:rPr>
          <w:rFonts w:ascii="Times New Roman" w:eastAsia="Times New Roman"/>
          <w:spacing w:val="-18"/>
          <w:w w:val="95"/>
          <w:sz w:val="29"/>
        </w:rPr>
        <w:t> </w:t>
      </w:r>
      <w:r>
        <w:rPr>
          <w:rFonts w:ascii="Times New Roman" w:eastAsia="Times New Roman"/>
          <w:w w:val="95"/>
          <w:sz w:val="29"/>
        </w:rPr>
        <w:t>)</w:t>
      </w:r>
      <w:r>
        <w:rPr>
          <w:rFonts w:ascii="Times New Roman" w:eastAsia="Times New Roman"/>
          <w:spacing w:val="91"/>
          <w:sz w:val="29"/>
        </w:rPr>
        <w:t> </w:t>
      </w:r>
      <w:r>
        <w:rPr>
          <w:spacing w:val="21"/>
          <w:w w:val="95"/>
          <w:sz w:val="25"/>
        </w:rPr>
        <w:t>形</w:t>
      </w:r>
      <w:r>
        <w:rPr>
          <w:w w:val="95"/>
          <w:sz w:val="25"/>
        </w:rPr>
        <w:t>成</w:t>
      </w:r>
      <w:r>
        <w:rPr>
          <w:spacing w:val="-16"/>
          <w:w w:val="95"/>
          <w:sz w:val="25"/>
        </w:rPr>
        <w:t> </w:t>
      </w:r>
      <w:r>
        <w:rPr>
          <w:w w:val="95"/>
          <w:sz w:val="25"/>
        </w:rPr>
        <w:t>、變</w:t>
      </w:r>
      <w:r>
        <w:rPr>
          <w:spacing w:val="33"/>
          <w:w w:val="95"/>
          <w:sz w:val="25"/>
        </w:rPr>
        <w:t>更</w:t>
      </w:r>
      <w:r>
        <w:rPr>
          <w:w w:val="95"/>
          <w:sz w:val="25"/>
        </w:rPr>
        <w:t>或者</w:t>
      </w:r>
      <w:r>
        <w:rPr>
          <w:spacing w:val="-30"/>
          <w:w w:val="95"/>
          <w:sz w:val="25"/>
        </w:rPr>
        <w:t> </w:t>
      </w:r>
      <w:r>
        <w:rPr>
          <w:w w:val="95"/>
          <w:sz w:val="25"/>
        </w:rPr>
        <w:t>消滅</w:t>
      </w:r>
      <w:r>
        <w:rPr>
          <w:spacing w:val="-9"/>
          <w:w w:val="95"/>
          <w:sz w:val="25"/>
        </w:rPr>
        <w:t> </w:t>
      </w:r>
      <w:r>
        <w:rPr>
          <w:w w:val="95"/>
          <w:sz w:val="25"/>
        </w:rPr>
        <w:t>某</w:t>
      </w:r>
      <w:r>
        <w:rPr>
          <w:spacing w:val="-53"/>
          <w:w w:val="95"/>
          <w:sz w:val="25"/>
        </w:rPr>
        <w:t> </w:t>
      </w:r>
      <w:r>
        <w:rPr>
          <w:w w:val="95"/>
          <w:sz w:val="25"/>
        </w:rPr>
        <w:t>乙</w:t>
      </w:r>
      <w:r>
        <w:rPr>
          <w:spacing w:val="53"/>
          <w:w w:val="95"/>
          <w:sz w:val="25"/>
        </w:rPr>
        <w:t>之</w:t>
      </w:r>
      <w:r>
        <w:rPr>
          <w:spacing w:val="23"/>
          <w:w w:val="95"/>
          <w:sz w:val="25"/>
        </w:rPr>
        <w:t>権</w:t>
      </w:r>
      <w:r>
        <w:rPr>
          <w:w w:val="95"/>
          <w:sz w:val="25"/>
        </w:rPr>
        <w:t>利</w:t>
      </w:r>
      <w:r>
        <w:rPr>
          <w:rFonts w:ascii="Times New Roman" w:eastAsia="Times New Roman"/>
          <w:w w:val="85"/>
          <w:sz w:val="16"/>
        </w:rPr>
        <w:t>61</w:t>
      </w:r>
      <w:r>
        <w:rPr>
          <w:rFonts w:ascii="Times New Roman" w:eastAsia="Times New Roman"/>
          <w:spacing w:val="56"/>
          <w:sz w:val="16"/>
        </w:rPr>
        <w:t> </w:t>
      </w:r>
      <w:r>
        <w:rPr>
          <w:rFonts w:ascii="Times New Roman" w:eastAsia="Times New Roman"/>
          <w:w w:val="95"/>
          <w:sz w:val="16"/>
        </w:rPr>
        <w:t>,</w:t>
        <w:tab/>
      </w:r>
      <w:r>
        <w:rPr>
          <w:sz w:val="25"/>
        </w:rPr>
        <w:t>故</w:t>
      </w:r>
      <w:r>
        <w:rPr>
          <w:spacing w:val="30"/>
          <w:sz w:val="25"/>
        </w:rPr>
        <w:t>「</w:t>
      </w:r>
      <w:r>
        <w:rPr>
          <w:spacing w:val="13"/>
          <w:sz w:val="25"/>
        </w:rPr>
        <w:t>訴</w:t>
      </w:r>
      <w:r>
        <w:rPr>
          <w:spacing w:val="15"/>
          <w:sz w:val="25"/>
        </w:rPr>
        <w:t>訟</w:t>
      </w:r>
      <w:r>
        <w:rPr>
          <w:spacing w:val="23"/>
          <w:sz w:val="25"/>
        </w:rPr>
        <w:t>標</w:t>
      </w:r>
      <w:r>
        <w:rPr>
          <w:spacing w:val="27"/>
          <w:sz w:val="25"/>
        </w:rPr>
        <w:t>的</w:t>
      </w:r>
      <w:r>
        <w:rPr>
          <w:spacing w:val="22"/>
          <w:sz w:val="25"/>
        </w:rPr>
        <w:t>對</w:t>
      </w:r>
      <w:r>
        <w:rPr>
          <w:sz w:val="25"/>
        </w:rPr>
        <w:t>其</w:t>
      </w:r>
    </w:p>
    <w:p>
      <w:pPr>
        <w:pStyle w:val="BodyText"/>
        <w:spacing w:line="331" w:lineRule="auto" w:before="122"/>
        <w:ind w:left="316" w:right="551" w:firstLine="99"/>
      </w:pPr>
      <w:r>
        <w:rPr>
          <w:w w:val="105"/>
        </w:rPr>
        <w:t>（第三人）及當事人一造必須合一石在定」，某乙為必要訴訟參加人，行政法院應以裁定命該其參加訴訟。</w:t>
      </w:r>
    </w:p>
    <w:p>
      <w:pPr>
        <w:pStyle w:val="BodyText"/>
        <w:rPr>
          <w:sz w:val="20"/>
        </w:rPr>
      </w:pPr>
    </w:p>
    <w:p>
      <w:pPr>
        <w:pStyle w:val="BodyText"/>
        <w:rPr>
          <w:sz w:val="20"/>
        </w:rPr>
      </w:pPr>
    </w:p>
    <w:p>
      <w:pPr>
        <w:pStyle w:val="BodyText"/>
        <w:rPr>
          <w:sz w:val="20"/>
        </w:rPr>
      </w:pPr>
    </w:p>
    <w:p>
      <w:pPr>
        <w:pStyle w:val="BodyText"/>
        <w:spacing w:before="3"/>
        <w:rPr>
          <w:sz w:val="13"/>
        </w:rPr>
      </w:pPr>
      <w:r>
        <w:rPr/>
        <w:pict>
          <v:shape style="position:absolute;margin-left:95.174004pt;margin-top:10.834491pt;width:144.25pt;height:.1pt;mso-position-horizontal-relative:page;mso-position-vertical-relative:paragraph;z-index:-15645696;mso-wrap-distance-left:0;mso-wrap-distance-right:0" coordorigin="1903,217" coordsize="2885,0" path="m1903,217l4788,217e" filled="false" stroked="true" strokeweight=".720821pt" strokecolor="#000000">
            <v:path arrowok="t"/>
            <v:stroke dashstyle="solid"/>
            <w10:wrap type="topAndBottom"/>
          </v:shape>
        </w:pict>
      </w:r>
    </w:p>
    <w:p>
      <w:pPr>
        <w:pStyle w:val="BodyText"/>
        <w:spacing w:before="9"/>
        <w:rPr>
          <w:sz w:val="9"/>
        </w:rPr>
      </w:pPr>
    </w:p>
    <w:p>
      <w:pPr>
        <w:tabs>
          <w:tab w:pos="3998" w:val="left" w:leader="none"/>
        </w:tabs>
        <w:spacing w:line="271" w:lineRule="auto" w:before="90"/>
        <w:ind w:left="503" w:right="568" w:hanging="205"/>
        <w:jc w:val="left"/>
        <w:rPr>
          <w:rFonts w:ascii="Times New Roman" w:hAnsi="Times New Roman"/>
          <w:sz w:val="24"/>
        </w:rPr>
      </w:pPr>
      <w:r>
        <w:rPr>
          <w:rFonts w:ascii="Times New Roman" w:hAnsi="Times New Roman"/>
          <w:w w:val="110"/>
          <w:sz w:val="20"/>
          <w:vertAlign w:val="superscript"/>
        </w:rPr>
        <w:t>58</w:t>
      </w:r>
      <w:r>
        <w:rPr>
          <w:rFonts w:ascii="Times New Roman" w:hAnsi="Times New Roman"/>
          <w:w w:val="110"/>
          <w:sz w:val="20"/>
          <w:vertAlign w:val="baseline"/>
        </w:rPr>
        <w:t> </w:t>
      </w:r>
      <w:r>
        <w:rPr>
          <w:rFonts w:ascii="Arial" w:hAnsi="Arial"/>
          <w:w w:val="115"/>
          <w:sz w:val="20"/>
          <w:vertAlign w:val="baseline"/>
        </w:rPr>
        <w:t>§</w:t>
      </w:r>
      <w:r>
        <w:rPr>
          <w:rFonts w:ascii="Arial" w:hAnsi="Arial"/>
          <w:spacing w:val="1"/>
          <w:w w:val="115"/>
          <w:sz w:val="20"/>
          <w:vertAlign w:val="baseline"/>
        </w:rPr>
        <w:t> </w:t>
      </w:r>
      <w:r>
        <w:rPr>
          <w:rFonts w:ascii="Times New Roman" w:hAnsi="Times New Roman"/>
          <w:w w:val="110"/>
          <w:sz w:val="24"/>
          <w:vertAlign w:val="baseline"/>
        </w:rPr>
        <w:t>65 Abs.</w:t>
      </w:r>
      <w:r>
        <w:rPr>
          <w:rFonts w:ascii="Times New Roman" w:hAnsi="Times New Roman"/>
          <w:spacing w:val="1"/>
          <w:w w:val="110"/>
          <w:sz w:val="24"/>
          <w:vertAlign w:val="baseline"/>
        </w:rPr>
        <w:t> </w:t>
      </w:r>
      <w:r>
        <w:rPr>
          <w:rFonts w:ascii="Times New Roman" w:hAnsi="Times New Roman"/>
          <w:w w:val="115"/>
          <w:sz w:val="24"/>
          <w:vertAlign w:val="baseline"/>
        </w:rPr>
        <w:t>1 </w:t>
      </w:r>
      <w:r>
        <w:rPr>
          <w:rFonts w:ascii="Times New Roman" w:hAnsi="Times New Roman"/>
          <w:w w:val="110"/>
          <w:sz w:val="24"/>
          <w:vertAlign w:val="baseline"/>
        </w:rPr>
        <w:t>VwGO:,,Das</w:t>
      </w:r>
      <w:r>
        <w:rPr>
          <w:rFonts w:ascii="Times New Roman" w:hAnsi="Times New Roman"/>
          <w:spacing w:val="1"/>
          <w:w w:val="110"/>
          <w:sz w:val="24"/>
          <w:vertAlign w:val="baseline"/>
        </w:rPr>
        <w:t> </w:t>
      </w:r>
      <w:r>
        <w:rPr>
          <w:rFonts w:ascii="Times New Roman" w:hAnsi="Times New Roman"/>
          <w:w w:val="115"/>
          <w:sz w:val="24"/>
          <w:vertAlign w:val="baseline"/>
        </w:rPr>
        <w:t>Gericht</w:t>
      </w:r>
      <w:r>
        <w:rPr>
          <w:rFonts w:ascii="Times New Roman" w:hAnsi="Times New Roman"/>
          <w:spacing w:val="1"/>
          <w:w w:val="115"/>
          <w:sz w:val="24"/>
          <w:vertAlign w:val="baseline"/>
        </w:rPr>
        <w:t> </w:t>
      </w:r>
      <w:r>
        <w:rPr>
          <w:rFonts w:ascii="Times New Roman" w:hAnsi="Times New Roman"/>
          <w:w w:val="110"/>
          <w:sz w:val="24"/>
          <w:vertAlign w:val="baseline"/>
        </w:rPr>
        <w:t>kann,</w:t>
      </w:r>
      <w:r>
        <w:rPr>
          <w:rFonts w:ascii="Times New Roman" w:hAnsi="Times New Roman"/>
          <w:spacing w:val="1"/>
          <w:w w:val="110"/>
          <w:sz w:val="24"/>
          <w:vertAlign w:val="baseline"/>
        </w:rPr>
        <w:t> </w:t>
      </w:r>
      <w:r>
        <w:rPr>
          <w:rFonts w:ascii="Times New Roman" w:hAnsi="Times New Roman"/>
          <w:w w:val="115"/>
          <w:sz w:val="24"/>
          <w:vertAlign w:val="baseline"/>
        </w:rPr>
        <w:t>solange das Verfahren</w:t>
      </w:r>
      <w:r>
        <w:rPr>
          <w:rFonts w:ascii="Times New Roman" w:hAnsi="Times New Roman"/>
          <w:spacing w:val="1"/>
          <w:w w:val="115"/>
          <w:sz w:val="24"/>
          <w:vertAlign w:val="baseline"/>
        </w:rPr>
        <w:t> </w:t>
      </w:r>
      <w:r>
        <w:rPr>
          <w:rFonts w:ascii="Times New Roman" w:hAnsi="Times New Roman"/>
          <w:w w:val="110"/>
          <w:sz w:val="24"/>
          <w:vertAlign w:val="baseline"/>
        </w:rPr>
        <w:t>noch</w:t>
      </w:r>
      <w:r>
        <w:rPr>
          <w:rFonts w:ascii="Times New Roman" w:hAnsi="Times New Roman"/>
          <w:spacing w:val="1"/>
          <w:w w:val="110"/>
          <w:sz w:val="24"/>
          <w:vertAlign w:val="baseline"/>
        </w:rPr>
        <w:t> </w:t>
      </w:r>
      <w:r>
        <w:rPr>
          <w:rFonts w:ascii="Times New Roman" w:hAnsi="Times New Roman"/>
          <w:w w:val="115"/>
          <w:sz w:val="24"/>
          <w:vertAlign w:val="baseline"/>
        </w:rPr>
        <w:t>nicht</w:t>
      </w:r>
      <w:r>
        <w:rPr>
          <w:rFonts w:ascii="Times New Roman" w:hAnsi="Times New Roman"/>
          <w:spacing w:val="1"/>
          <w:w w:val="115"/>
          <w:sz w:val="24"/>
          <w:vertAlign w:val="baseline"/>
        </w:rPr>
        <w:t> </w:t>
      </w:r>
      <w:r>
        <w:rPr>
          <w:rFonts w:ascii="Times New Roman" w:hAnsi="Times New Roman"/>
          <w:w w:val="115"/>
          <w:sz w:val="24"/>
          <w:vertAlign w:val="baseline"/>
        </w:rPr>
        <w:t>rechtskraftig</w:t>
      </w:r>
      <w:r>
        <w:rPr>
          <w:rFonts w:ascii="Times New Roman" w:hAnsi="Times New Roman"/>
          <w:spacing w:val="30"/>
          <w:w w:val="115"/>
          <w:sz w:val="24"/>
          <w:vertAlign w:val="baseline"/>
        </w:rPr>
        <w:t> </w:t>
      </w:r>
      <w:r>
        <w:rPr>
          <w:rFonts w:ascii="Times New Roman" w:hAnsi="Times New Roman"/>
          <w:w w:val="115"/>
          <w:sz w:val="24"/>
          <w:vertAlign w:val="baseline"/>
        </w:rPr>
        <w:t>abgeschlossen</w:t>
      </w:r>
      <w:r>
        <w:rPr>
          <w:rFonts w:ascii="Times New Roman" w:hAnsi="Times New Roman"/>
          <w:spacing w:val="41"/>
          <w:w w:val="115"/>
          <w:sz w:val="24"/>
          <w:vertAlign w:val="baseline"/>
        </w:rPr>
        <w:t> </w:t>
      </w:r>
      <w:r>
        <w:rPr>
          <w:rFonts w:ascii="Times New Roman" w:hAnsi="Times New Roman"/>
          <w:w w:val="115"/>
          <w:sz w:val="24"/>
          <w:vertAlign w:val="baseline"/>
        </w:rPr>
        <w:t>oder</w:t>
      </w:r>
      <w:r>
        <w:rPr>
          <w:rFonts w:ascii="Times New Roman" w:hAnsi="Times New Roman"/>
          <w:spacing w:val="56"/>
          <w:w w:val="115"/>
          <w:sz w:val="24"/>
          <w:vertAlign w:val="baseline"/>
        </w:rPr>
        <w:t> </w:t>
      </w:r>
      <w:r>
        <w:rPr>
          <w:rFonts w:ascii="Times New Roman" w:hAnsi="Times New Roman"/>
          <w:w w:val="115"/>
          <w:sz w:val="24"/>
          <w:vertAlign w:val="baseline"/>
        </w:rPr>
        <w:t>in</w:t>
      </w:r>
      <w:r>
        <w:rPr>
          <w:rFonts w:ascii="Times New Roman" w:hAnsi="Times New Roman"/>
          <w:spacing w:val="33"/>
          <w:w w:val="115"/>
          <w:sz w:val="24"/>
          <w:vertAlign w:val="baseline"/>
        </w:rPr>
        <w:t> </w:t>
      </w:r>
      <w:r>
        <w:rPr>
          <w:rFonts w:ascii="Times New Roman" w:hAnsi="Times New Roman"/>
          <w:w w:val="115"/>
          <w:sz w:val="24"/>
          <w:vertAlign w:val="baseline"/>
        </w:rPr>
        <w:t>hoherer</w:t>
      </w:r>
      <w:r>
        <w:rPr>
          <w:rFonts w:ascii="Times New Roman" w:hAnsi="Times New Roman"/>
          <w:spacing w:val="65"/>
          <w:w w:val="115"/>
          <w:sz w:val="24"/>
          <w:vertAlign w:val="baseline"/>
        </w:rPr>
        <w:t> </w:t>
      </w:r>
      <w:r>
        <w:rPr>
          <w:rFonts w:ascii="Times New Roman" w:hAnsi="Times New Roman"/>
          <w:w w:val="115"/>
          <w:sz w:val="24"/>
          <w:vertAlign w:val="baseline"/>
        </w:rPr>
        <w:t>Instanz</w:t>
      </w:r>
      <w:r>
        <w:rPr>
          <w:rFonts w:ascii="Times New Roman" w:hAnsi="Times New Roman"/>
          <w:spacing w:val="33"/>
          <w:w w:val="115"/>
          <w:sz w:val="24"/>
          <w:vertAlign w:val="baseline"/>
        </w:rPr>
        <w:t> </w:t>
      </w:r>
      <w:r>
        <w:rPr>
          <w:rFonts w:ascii="Times New Roman" w:hAnsi="Times New Roman"/>
          <w:w w:val="115"/>
          <w:sz w:val="24"/>
          <w:vertAlign w:val="baseline"/>
        </w:rPr>
        <w:t>anhangig</w:t>
      </w:r>
      <w:r>
        <w:rPr>
          <w:rFonts w:ascii="Times New Roman" w:hAnsi="Times New Roman"/>
          <w:spacing w:val="51"/>
          <w:w w:val="115"/>
          <w:sz w:val="24"/>
          <w:vertAlign w:val="baseline"/>
        </w:rPr>
        <w:t> </w:t>
      </w:r>
      <w:r>
        <w:rPr>
          <w:rFonts w:ascii="Times New Roman" w:hAnsi="Times New Roman"/>
          <w:w w:val="115"/>
          <w:sz w:val="24"/>
          <w:vertAlign w:val="baseline"/>
        </w:rPr>
        <w:t>ist,</w:t>
      </w:r>
      <w:r>
        <w:rPr>
          <w:rFonts w:ascii="Times New Roman" w:hAnsi="Times New Roman"/>
          <w:spacing w:val="5"/>
          <w:w w:val="115"/>
          <w:sz w:val="24"/>
          <w:vertAlign w:val="baseline"/>
        </w:rPr>
        <w:t> </w:t>
      </w:r>
      <w:r>
        <w:rPr>
          <w:rFonts w:ascii="Times New Roman" w:hAnsi="Times New Roman"/>
          <w:w w:val="110"/>
          <w:sz w:val="24"/>
          <w:vertAlign w:val="baseline"/>
        </w:rPr>
        <w:t>von</w:t>
      </w:r>
      <w:r>
        <w:rPr>
          <w:rFonts w:ascii="Times New Roman" w:hAnsi="Times New Roman"/>
          <w:spacing w:val="28"/>
          <w:w w:val="110"/>
          <w:sz w:val="24"/>
          <w:vertAlign w:val="baseline"/>
        </w:rPr>
        <w:t> </w:t>
      </w:r>
      <w:r>
        <w:rPr>
          <w:rFonts w:ascii="Times New Roman" w:hAnsi="Times New Roman"/>
          <w:w w:val="110"/>
          <w:sz w:val="24"/>
          <w:vertAlign w:val="baseline"/>
        </w:rPr>
        <w:t>Amts</w:t>
      </w:r>
      <w:r>
        <w:rPr>
          <w:rFonts w:ascii="Times New Roman" w:hAnsi="Times New Roman"/>
          <w:spacing w:val="-63"/>
          <w:w w:val="110"/>
          <w:sz w:val="24"/>
          <w:vertAlign w:val="baseline"/>
        </w:rPr>
        <w:t> </w:t>
      </w:r>
      <w:r>
        <w:rPr>
          <w:rFonts w:ascii="Times New Roman" w:hAnsi="Times New Roman"/>
          <w:w w:val="110"/>
          <w:sz w:val="24"/>
          <w:vertAlign w:val="baseline"/>
        </w:rPr>
        <w:t>wegen</w:t>
      </w:r>
      <w:r>
        <w:rPr>
          <w:rFonts w:ascii="Times New Roman" w:hAnsi="Times New Roman"/>
          <w:spacing w:val="1"/>
          <w:w w:val="110"/>
          <w:sz w:val="24"/>
          <w:vertAlign w:val="baseline"/>
        </w:rPr>
        <w:t> </w:t>
      </w:r>
      <w:r>
        <w:rPr>
          <w:rFonts w:ascii="Times New Roman" w:hAnsi="Times New Roman"/>
          <w:w w:val="115"/>
          <w:sz w:val="24"/>
          <w:vertAlign w:val="baseline"/>
        </w:rPr>
        <w:t>oder</w:t>
      </w:r>
      <w:r>
        <w:rPr>
          <w:rFonts w:ascii="Times New Roman" w:hAnsi="Times New Roman"/>
          <w:spacing w:val="1"/>
          <w:w w:val="115"/>
          <w:sz w:val="24"/>
          <w:vertAlign w:val="baseline"/>
        </w:rPr>
        <w:t> </w:t>
      </w:r>
      <w:r>
        <w:rPr>
          <w:rFonts w:ascii="Times New Roman" w:hAnsi="Times New Roman"/>
          <w:w w:val="115"/>
          <w:sz w:val="24"/>
          <w:vertAlign w:val="baseline"/>
        </w:rPr>
        <w:t>auf</w:t>
      </w:r>
      <w:r>
        <w:rPr>
          <w:rFonts w:ascii="Times New Roman" w:hAnsi="Times New Roman"/>
          <w:spacing w:val="1"/>
          <w:w w:val="115"/>
          <w:sz w:val="24"/>
          <w:vertAlign w:val="baseline"/>
        </w:rPr>
        <w:t> </w:t>
      </w:r>
      <w:r>
        <w:rPr>
          <w:rFonts w:ascii="Times New Roman" w:hAnsi="Times New Roman"/>
          <w:w w:val="115"/>
          <w:sz w:val="24"/>
          <w:vertAlign w:val="baseline"/>
        </w:rPr>
        <w:t>Antrag</w:t>
      </w:r>
      <w:r>
        <w:rPr>
          <w:rFonts w:ascii="Times New Roman" w:hAnsi="Times New Roman"/>
          <w:spacing w:val="1"/>
          <w:w w:val="115"/>
          <w:sz w:val="24"/>
          <w:vertAlign w:val="baseline"/>
        </w:rPr>
        <w:t> </w:t>
      </w:r>
      <w:r>
        <w:rPr>
          <w:rFonts w:ascii="Times New Roman" w:hAnsi="Times New Roman"/>
          <w:w w:val="115"/>
          <w:sz w:val="24"/>
          <w:vertAlign w:val="baseline"/>
        </w:rPr>
        <w:t>andere,</w:t>
      </w:r>
      <w:r>
        <w:rPr>
          <w:rFonts w:ascii="Times New Roman" w:hAnsi="Times New Roman"/>
          <w:spacing w:val="1"/>
          <w:w w:val="115"/>
          <w:sz w:val="24"/>
          <w:vertAlign w:val="baseline"/>
        </w:rPr>
        <w:t> </w:t>
      </w:r>
      <w:r>
        <w:rPr>
          <w:rFonts w:ascii="Times New Roman" w:hAnsi="Times New Roman"/>
          <w:w w:val="115"/>
          <w:sz w:val="24"/>
          <w:vertAlign w:val="baseline"/>
        </w:rPr>
        <w:t>deren</w:t>
      </w:r>
      <w:r>
        <w:rPr>
          <w:rFonts w:ascii="Times New Roman" w:hAnsi="Times New Roman"/>
          <w:spacing w:val="1"/>
          <w:w w:val="115"/>
          <w:sz w:val="24"/>
          <w:vertAlign w:val="baseline"/>
        </w:rPr>
        <w:t> </w:t>
      </w:r>
      <w:r>
        <w:rPr>
          <w:rFonts w:ascii="Times New Roman" w:hAnsi="Times New Roman"/>
          <w:w w:val="115"/>
          <w:sz w:val="24"/>
          <w:vertAlign w:val="baseline"/>
        </w:rPr>
        <w:t>rechtliche</w:t>
      </w:r>
      <w:r>
        <w:rPr>
          <w:rFonts w:ascii="Times New Roman" w:hAnsi="Times New Roman"/>
          <w:spacing w:val="1"/>
          <w:w w:val="115"/>
          <w:sz w:val="24"/>
          <w:vertAlign w:val="baseline"/>
        </w:rPr>
        <w:t> </w:t>
      </w:r>
      <w:r>
        <w:rPr>
          <w:rFonts w:ascii="Times New Roman" w:hAnsi="Times New Roman"/>
          <w:w w:val="115"/>
          <w:sz w:val="24"/>
          <w:vertAlign w:val="baseline"/>
        </w:rPr>
        <w:t>Interessen</w:t>
      </w:r>
      <w:r>
        <w:rPr>
          <w:rFonts w:ascii="Times New Roman" w:hAnsi="Times New Roman"/>
          <w:spacing w:val="1"/>
          <w:w w:val="115"/>
          <w:sz w:val="24"/>
          <w:vertAlign w:val="baseline"/>
        </w:rPr>
        <w:t> </w:t>
      </w:r>
      <w:r>
        <w:rPr>
          <w:rFonts w:ascii="Times New Roman" w:hAnsi="Times New Roman"/>
          <w:w w:val="115"/>
          <w:sz w:val="24"/>
          <w:vertAlign w:val="baseline"/>
        </w:rPr>
        <w:t>durch</w:t>
      </w:r>
      <w:r>
        <w:rPr>
          <w:rFonts w:ascii="Times New Roman" w:hAnsi="Times New Roman"/>
          <w:spacing w:val="1"/>
          <w:w w:val="115"/>
          <w:sz w:val="24"/>
          <w:vertAlign w:val="baseline"/>
        </w:rPr>
        <w:t> </w:t>
      </w:r>
      <w:r>
        <w:rPr>
          <w:rFonts w:ascii="Times New Roman" w:hAnsi="Times New Roman"/>
          <w:w w:val="115"/>
          <w:sz w:val="24"/>
          <w:vertAlign w:val="baseline"/>
        </w:rPr>
        <w:t>die</w:t>
      </w:r>
      <w:r>
        <w:rPr>
          <w:rFonts w:ascii="Times New Roman" w:hAnsi="Times New Roman"/>
          <w:spacing w:val="1"/>
          <w:w w:val="115"/>
          <w:sz w:val="24"/>
          <w:vertAlign w:val="baseline"/>
        </w:rPr>
        <w:t> </w:t>
      </w:r>
      <w:r>
        <w:rPr>
          <w:rFonts w:ascii="Times New Roman" w:hAnsi="Times New Roman"/>
          <w:spacing w:val="-1"/>
          <w:w w:val="115"/>
          <w:sz w:val="24"/>
          <w:vertAlign w:val="baseline"/>
        </w:rPr>
        <w:t>Entscheidung</w:t>
      </w:r>
      <w:r>
        <w:rPr>
          <w:rFonts w:ascii="Times New Roman" w:hAnsi="Times New Roman"/>
          <w:spacing w:val="25"/>
          <w:w w:val="115"/>
          <w:sz w:val="24"/>
          <w:vertAlign w:val="baseline"/>
        </w:rPr>
        <w:t> </w:t>
      </w:r>
      <w:r>
        <w:rPr>
          <w:rFonts w:ascii="Times New Roman" w:hAnsi="Times New Roman"/>
          <w:spacing w:val="-1"/>
          <w:w w:val="115"/>
          <w:sz w:val="24"/>
          <w:vertAlign w:val="baseline"/>
        </w:rPr>
        <w:t>berlihrt</w:t>
      </w:r>
      <w:r>
        <w:rPr>
          <w:rFonts w:ascii="Times New Roman" w:hAnsi="Times New Roman"/>
          <w:spacing w:val="25"/>
          <w:w w:val="115"/>
          <w:sz w:val="24"/>
          <w:vertAlign w:val="baseline"/>
        </w:rPr>
        <w:t> </w:t>
      </w:r>
      <w:r>
        <w:rPr>
          <w:rFonts w:ascii="Times New Roman" w:hAnsi="Times New Roman"/>
          <w:w w:val="110"/>
          <w:sz w:val="24"/>
          <w:vertAlign w:val="baseline"/>
        </w:rPr>
        <w:t>werden,</w:t>
        <w:tab/>
      </w:r>
      <w:r>
        <w:rPr>
          <w:rFonts w:ascii="Times New Roman" w:hAnsi="Times New Roman"/>
          <w:w w:val="115"/>
          <w:sz w:val="24"/>
          <w:vertAlign w:val="baseline"/>
        </w:rPr>
        <w:t>beiladen</w:t>
      </w:r>
      <w:r>
        <w:rPr>
          <w:rFonts w:ascii="Times New Roman" w:hAnsi="Times New Roman"/>
          <w:spacing w:val="12"/>
          <w:w w:val="115"/>
          <w:sz w:val="24"/>
          <w:vertAlign w:val="baseline"/>
        </w:rPr>
        <w:t> </w:t>
      </w:r>
      <w:r>
        <w:rPr>
          <w:rFonts w:ascii="Times New Roman" w:hAnsi="Times New Roman"/>
          <w:w w:val="115"/>
          <w:sz w:val="24"/>
          <w:vertAlign w:val="baseline"/>
        </w:rPr>
        <w:t>".</w:t>
      </w:r>
    </w:p>
    <w:p>
      <w:pPr>
        <w:spacing w:line="271" w:lineRule="auto" w:before="2"/>
        <w:ind w:left="507" w:right="537" w:hanging="209"/>
        <w:jc w:val="both"/>
        <w:rPr>
          <w:rFonts w:ascii="Times New Roman" w:hAnsi="Times New Roman"/>
          <w:sz w:val="24"/>
        </w:rPr>
      </w:pPr>
      <w:r>
        <w:rPr>
          <w:rFonts w:ascii="Times New Roman" w:hAnsi="Times New Roman"/>
          <w:w w:val="110"/>
          <w:sz w:val="20"/>
          <w:vertAlign w:val="superscript"/>
        </w:rPr>
        <w:t>59</w:t>
      </w:r>
      <w:r>
        <w:rPr>
          <w:rFonts w:ascii="Times New Roman" w:hAnsi="Times New Roman"/>
          <w:spacing w:val="1"/>
          <w:w w:val="110"/>
          <w:sz w:val="20"/>
          <w:vertAlign w:val="baseline"/>
        </w:rPr>
        <w:t> </w:t>
      </w:r>
      <w:r>
        <w:rPr>
          <w:rFonts w:ascii="Arial" w:hAnsi="Arial"/>
          <w:w w:val="110"/>
          <w:sz w:val="20"/>
          <w:vertAlign w:val="baseline"/>
        </w:rPr>
        <w:t>§</w:t>
      </w:r>
      <w:r>
        <w:rPr>
          <w:rFonts w:ascii="Arial" w:hAnsi="Arial"/>
          <w:spacing w:val="1"/>
          <w:w w:val="110"/>
          <w:sz w:val="20"/>
          <w:vertAlign w:val="baseline"/>
        </w:rPr>
        <w:t> </w:t>
      </w:r>
      <w:r>
        <w:rPr>
          <w:rFonts w:ascii="Times New Roman" w:hAnsi="Times New Roman"/>
          <w:w w:val="110"/>
          <w:sz w:val="24"/>
          <w:vertAlign w:val="baseline"/>
        </w:rPr>
        <w:t>65</w:t>
      </w:r>
      <w:r>
        <w:rPr>
          <w:rFonts w:ascii="Times New Roman" w:hAnsi="Times New Roman"/>
          <w:spacing w:val="1"/>
          <w:w w:val="110"/>
          <w:sz w:val="24"/>
          <w:vertAlign w:val="baseline"/>
        </w:rPr>
        <w:t> </w:t>
      </w:r>
      <w:r>
        <w:rPr>
          <w:rFonts w:ascii="Times New Roman" w:hAnsi="Times New Roman"/>
          <w:w w:val="110"/>
          <w:sz w:val="24"/>
          <w:vertAlign w:val="baseline"/>
        </w:rPr>
        <w:t>Abs.</w:t>
      </w:r>
      <w:r>
        <w:rPr>
          <w:rFonts w:ascii="Times New Roman" w:hAnsi="Times New Roman"/>
          <w:spacing w:val="67"/>
          <w:w w:val="110"/>
          <w:sz w:val="24"/>
          <w:vertAlign w:val="baseline"/>
        </w:rPr>
        <w:t> </w:t>
      </w:r>
      <w:r>
        <w:rPr>
          <w:rFonts w:ascii="Times New Roman" w:hAnsi="Times New Roman"/>
          <w:w w:val="110"/>
          <w:sz w:val="24"/>
          <w:vertAlign w:val="baseline"/>
        </w:rPr>
        <w:t>2  </w:t>
      </w:r>
      <w:r>
        <w:rPr>
          <w:rFonts w:ascii="Times New Roman" w:hAnsi="Times New Roman"/>
          <w:w w:val="105"/>
          <w:sz w:val="24"/>
          <w:vertAlign w:val="baseline"/>
        </w:rPr>
        <w:t>VwGO:,,Sind  </w:t>
      </w:r>
      <w:r>
        <w:rPr>
          <w:rFonts w:ascii="Times New Roman" w:hAnsi="Times New Roman"/>
          <w:w w:val="110"/>
          <w:sz w:val="24"/>
          <w:vertAlign w:val="baseline"/>
        </w:rPr>
        <w:t>an  dem  </w:t>
      </w:r>
      <w:r>
        <w:rPr>
          <w:rFonts w:ascii="Times New Roman" w:hAnsi="Times New Roman"/>
          <w:w w:val="115"/>
          <w:sz w:val="24"/>
          <w:vertAlign w:val="baseline"/>
        </w:rPr>
        <w:t>streitigen  </w:t>
      </w:r>
      <w:r>
        <w:rPr>
          <w:rFonts w:ascii="Times New Roman" w:hAnsi="Times New Roman"/>
          <w:w w:val="110"/>
          <w:sz w:val="24"/>
          <w:vertAlign w:val="baseline"/>
        </w:rPr>
        <w:t>Rechtsverhaltnis Dritte  derart</w:t>
      </w:r>
      <w:r>
        <w:rPr>
          <w:rFonts w:ascii="Times New Roman" w:hAnsi="Times New Roman"/>
          <w:spacing w:val="1"/>
          <w:w w:val="110"/>
          <w:sz w:val="24"/>
          <w:vertAlign w:val="baseline"/>
        </w:rPr>
        <w:t> </w:t>
      </w:r>
      <w:r>
        <w:rPr>
          <w:rFonts w:ascii="Times New Roman" w:hAnsi="Times New Roman"/>
          <w:w w:val="105"/>
          <w:sz w:val="24"/>
          <w:vertAlign w:val="baseline"/>
        </w:rPr>
        <w:t>betei </w:t>
      </w:r>
      <w:r>
        <w:rPr>
          <w:rFonts w:ascii="Arial" w:hAnsi="Arial"/>
          <w:w w:val="105"/>
          <w:sz w:val="24"/>
          <w:vertAlign w:val="baseline"/>
        </w:rPr>
        <w:t>1</w:t>
      </w:r>
      <w:r>
        <w:rPr>
          <w:rFonts w:ascii="Times New Roman" w:hAnsi="Times New Roman"/>
          <w:w w:val="105"/>
          <w:sz w:val="24"/>
          <w:vertAlign w:val="baseline"/>
        </w:rPr>
        <w:t>igt,</w:t>
      </w:r>
      <w:r>
        <w:rPr>
          <w:rFonts w:ascii="Times New Roman" w:hAnsi="Times New Roman"/>
          <w:spacing w:val="1"/>
          <w:w w:val="105"/>
          <w:sz w:val="24"/>
          <w:vertAlign w:val="baseline"/>
        </w:rPr>
        <w:t> </w:t>
      </w:r>
      <w:r>
        <w:rPr>
          <w:rFonts w:ascii="Times New Roman" w:hAnsi="Times New Roman"/>
          <w:w w:val="105"/>
          <w:sz w:val="24"/>
          <w:vertAlign w:val="baseline"/>
        </w:rPr>
        <w:t>da13 die</w:t>
      </w:r>
      <w:r>
        <w:rPr>
          <w:rFonts w:ascii="Times New Roman" w:hAnsi="Times New Roman"/>
          <w:spacing w:val="1"/>
          <w:w w:val="105"/>
          <w:sz w:val="24"/>
          <w:vertAlign w:val="baseline"/>
        </w:rPr>
        <w:t> </w:t>
      </w:r>
      <w:r>
        <w:rPr>
          <w:rFonts w:ascii="Times New Roman" w:hAnsi="Times New Roman"/>
          <w:w w:val="105"/>
          <w:sz w:val="24"/>
          <w:vertAlign w:val="baseline"/>
        </w:rPr>
        <w:t>Entscheidung auch ihnen gegenliber nur einhei tl ich ergehen</w:t>
      </w:r>
      <w:r>
        <w:rPr>
          <w:rFonts w:ascii="Times New Roman" w:hAnsi="Times New Roman"/>
          <w:spacing w:val="1"/>
          <w:w w:val="105"/>
          <w:sz w:val="24"/>
          <w:vertAlign w:val="baseline"/>
        </w:rPr>
        <w:t> </w:t>
      </w:r>
      <w:r>
        <w:rPr>
          <w:rFonts w:ascii="Times New Roman" w:hAnsi="Times New Roman"/>
          <w:w w:val="110"/>
          <w:sz w:val="24"/>
          <w:vertAlign w:val="baseline"/>
        </w:rPr>
        <w:t>kann,</w:t>
      </w:r>
      <w:r>
        <w:rPr>
          <w:rFonts w:ascii="Times New Roman" w:hAnsi="Times New Roman"/>
          <w:spacing w:val="57"/>
          <w:w w:val="110"/>
          <w:sz w:val="24"/>
          <w:vertAlign w:val="baseline"/>
        </w:rPr>
        <w:t> </w:t>
      </w:r>
      <w:r>
        <w:rPr>
          <w:rFonts w:ascii="Times New Roman" w:hAnsi="Times New Roman"/>
          <w:w w:val="110"/>
          <w:sz w:val="24"/>
          <w:vertAlign w:val="baseline"/>
        </w:rPr>
        <w:t>so</w:t>
      </w:r>
      <w:r>
        <w:rPr>
          <w:rFonts w:ascii="Times New Roman" w:hAnsi="Times New Roman"/>
          <w:spacing w:val="15"/>
          <w:w w:val="110"/>
          <w:sz w:val="24"/>
          <w:vertAlign w:val="baseline"/>
        </w:rPr>
        <w:t> </w:t>
      </w:r>
      <w:r>
        <w:rPr>
          <w:rFonts w:ascii="Times New Roman" w:hAnsi="Times New Roman"/>
          <w:w w:val="110"/>
          <w:sz w:val="24"/>
          <w:vertAlign w:val="baseline"/>
        </w:rPr>
        <w:t>sind</w:t>
      </w:r>
      <w:r>
        <w:rPr>
          <w:rFonts w:ascii="Times New Roman" w:hAnsi="Times New Roman"/>
          <w:spacing w:val="63"/>
          <w:w w:val="110"/>
          <w:sz w:val="24"/>
          <w:vertAlign w:val="baseline"/>
        </w:rPr>
        <w:t> </w:t>
      </w:r>
      <w:r>
        <w:rPr>
          <w:rFonts w:ascii="Times New Roman" w:hAnsi="Times New Roman"/>
          <w:w w:val="110"/>
          <w:sz w:val="24"/>
          <w:vertAlign w:val="baseline"/>
        </w:rPr>
        <w:t>sie</w:t>
      </w:r>
      <w:r>
        <w:rPr>
          <w:rFonts w:ascii="Times New Roman" w:hAnsi="Times New Roman"/>
          <w:spacing w:val="34"/>
          <w:w w:val="110"/>
          <w:sz w:val="24"/>
          <w:vertAlign w:val="baseline"/>
        </w:rPr>
        <w:t> </w:t>
      </w:r>
      <w:r>
        <w:rPr>
          <w:rFonts w:ascii="Times New Roman" w:hAnsi="Times New Roman"/>
          <w:w w:val="110"/>
          <w:sz w:val="24"/>
          <w:vertAlign w:val="baseline"/>
        </w:rPr>
        <w:t>beizuladen</w:t>
      </w:r>
      <w:r>
        <w:rPr>
          <w:rFonts w:ascii="Times New Roman" w:hAnsi="Times New Roman"/>
          <w:spacing w:val="21"/>
          <w:w w:val="110"/>
          <w:sz w:val="24"/>
          <w:vertAlign w:val="baseline"/>
        </w:rPr>
        <w:t> </w:t>
      </w:r>
      <w:r>
        <w:rPr>
          <w:rFonts w:ascii="Times New Roman" w:hAnsi="Times New Roman"/>
          <w:w w:val="110"/>
          <w:sz w:val="24"/>
          <w:vertAlign w:val="baseline"/>
        </w:rPr>
        <w:t>".</w:t>
      </w:r>
    </w:p>
    <w:p>
      <w:pPr>
        <w:spacing w:line="281" w:lineRule="exact" w:before="0"/>
        <w:ind w:left="298" w:right="0" w:firstLine="0"/>
        <w:jc w:val="both"/>
        <w:rPr>
          <w:rFonts w:ascii="Times New Roman" w:hAnsi="Times New Roman"/>
          <w:sz w:val="26"/>
        </w:rPr>
      </w:pPr>
      <w:r>
        <w:rPr>
          <w:rFonts w:ascii="Times New Roman" w:hAnsi="Times New Roman"/>
          <w:position w:val="8"/>
          <w:sz w:val="13"/>
        </w:rPr>
        <w:t>60</w:t>
      </w:r>
      <w:r>
        <w:rPr>
          <w:rFonts w:ascii="Times New Roman" w:hAnsi="Times New Roman"/>
          <w:spacing w:val="12"/>
          <w:position w:val="8"/>
          <w:sz w:val="13"/>
        </w:rPr>
        <w:t> </w:t>
      </w:r>
      <w:r>
        <w:rPr>
          <w:rFonts w:ascii="Times New Roman" w:hAnsi="Times New Roman"/>
          <w:sz w:val="24"/>
        </w:rPr>
        <w:t>Bier,</w:t>
      </w:r>
      <w:r>
        <w:rPr>
          <w:rFonts w:ascii="Times New Roman" w:hAnsi="Times New Roman"/>
          <w:spacing w:val="48"/>
          <w:sz w:val="24"/>
        </w:rPr>
        <w:t> </w:t>
      </w:r>
      <w:r>
        <w:rPr>
          <w:rFonts w:ascii="Times New Roman" w:hAnsi="Times New Roman"/>
          <w:sz w:val="24"/>
        </w:rPr>
        <w:t>in:</w:t>
      </w:r>
      <w:r>
        <w:rPr>
          <w:rFonts w:ascii="Times New Roman" w:hAnsi="Times New Roman"/>
          <w:spacing w:val="54"/>
          <w:sz w:val="24"/>
        </w:rPr>
        <w:t> </w:t>
      </w:r>
      <w:r>
        <w:rPr>
          <w:rFonts w:ascii="Times New Roman" w:hAnsi="Times New Roman"/>
          <w:sz w:val="24"/>
        </w:rPr>
        <w:t>Schoch/Schmidt-A13mann/Pietzner,</w:t>
      </w:r>
      <w:r>
        <w:rPr>
          <w:rFonts w:ascii="Times New Roman" w:hAnsi="Times New Roman"/>
          <w:spacing w:val="65"/>
          <w:sz w:val="24"/>
        </w:rPr>
        <w:t> </w:t>
      </w:r>
      <w:r>
        <w:rPr>
          <w:rFonts w:ascii="Times New Roman" w:hAnsi="Times New Roman"/>
          <w:sz w:val="24"/>
        </w:rPr>
        <w:t>VwGO,</w:t>
      </w:r>
      <w:r>
        <w:rPr>
          <w:rFonts w:ascii="Times New Roman" w:hAnsi="Times New Roman"/>
          <w:spacing w:val="87"/>
          <w:sz w:val="24"/>
        </w:rPr>
        <w:t> </w:t>
      </w:r>
      <w:r>
        <w:rPr>
          <w:rFonts w:ascii="Times New Roman" w:hAnsi="Times New Roman"/>
          <w:sz w:val="24"/>
        </w:rPr>
        <w:t>Stand:</w:t>
      </w:r>
      <w:r>
        <w:rPr>
          <w:rFonts w:ascii="Times New Roman" w:hAnsi="Times New Roman"/>
          <w:spacing w:val="39"/>
          <w:sz w:val="24"/>
        </w:rPr>
        <w:t> </w:t>
      </w:r>
      <w:r>
        <w:rPr>
          <w:rFonts w:ascii="Times New Roman" w:hAnsi="Times New Roman"/>
          <w:sz w:val="24"/>
        </w:rPr>
        <w:t>September</w:t>
      </w:r>
      <w:r>
        <w:rPr>
          <w:rFonts w:ascii="Times New Roman" w:hAnsi="Times New Roman"/>
          <w:spacing w:val="55"/>
          <w:sz w:val="24"/>
        </w:rPr>
        <w:t> </w:t>
      </w:r>
      <w:r>
        <w:rPr>
          <w:rFonts w:ascii="Times New Roman" w:hAnsi="Times New Roman"/>
          <w:sz w:val="26"/>
        </w:rPr>
        <w:t>2003,</w:t>
      </w:r>
      <w:r>
        <w:rPr>
          <w:rFonts w:ascii="Times New Roman" w:hAnsi="Times New Roman"/>
          <w:spacing w:val="78"/>
          <w:sz w:val="26"/>
        </w:rPr>
        <w:t> </w:t>
      </w:r>
      <w:r>
        <w:rPr>
          <w:rFonts w:ascii="Arial" w:hAnsi="Arial"/>
          <w:sz w:val="20"/>
        </w:rPr>
        <w:t>§</w:t>
      </w:r>
      <w:r>
        <w:rPr>
          <w:rFonts w:ascii="Arial" w:hAnsi="Arial"/>
          <w:spacing w:val="50"/>
          <w:sz w:val="20"/>
        </w:rPr>
        <w:t> </w:t>
      </w:r>
      <w:r>
        <w:rPr>
          <w:rFonts w:ascii="Times New Roman" w:hAnsi="Times New Roman"/>
          <w:sz w:val="26"/>
        </w:rPr>
        <w:t>65</w:t>
      </w:r>
    </w:p>
    <w:p>
      <w:pPr>
        <w:spacing w:before="32"/>
        <w:ind w:left="505" w:right="0" w:firstLine="0"/>
        <w:jc w:val="both"/>
        <w:rPr>
          <w:rFonts w:ascii="Times New Roman"/>
          <w:sz w:val="24"/>
        </w:rPr>
      </w:pPr>
      <w:r>
        <w:rPr>
          <w:rFonts w:ascii="Times New Roman"/>
          <w:sz w:val="24"/>
        </w:rPr>
        <w:t>Rn.</w:t>
      </w:r>
      <w:r>
        <w:rPr>
          <w:rFonts w:ascii="Times New Roman"/>
          <w:spacing w:val="43"/>
          <w:sz w:val="24"/>
        </w:rPr>
        <w:t> </w:t>
      </w:r>
      <w:r>
        <w:rPr>
          <w:rFonts w:ascii="Times New Roman"/>
          <w:sz w:val="24"/>
        </w:rPr>
        <w:t>19.</w:t>
      </w:r>
    </w:p>
    <w:p>
      <w:pPr>
        <w:spacing w:before="18"/>
        <w:ind w:left="298" w:right="0" w:firstLine="0"/>
        <w:jc w:val="both"/>
        <w:rPr>
          <w:rFonts w:ascii="Times New Roman"/>
          <w:sz w:val="26"/>
        </w:rPr>
      </w:pPr>
      <w:r>
        <w:rPr>
          <w:rFonts w:ascii="Times New Roman"/>
          <w:position w:val="8"/>
          <w:sz w:val="13"/>
        </w:rPr>
        <w:t>61</w:t>
      </w:r>
      <w:r>
        <w:rPr>
          <w:rFonts w:ascii="Times New Roman"/>
          <w:spacing w:val="58"/>
          <w:position w:val="8"/>
          <w:sz w:val="13"/>
        </w:rPr>
        <w:t> </w:t>
      </w:r>
      <w:r>
        <w:rPr>
          <w:rFonts w:ascii="Times New Roman"/>
          <w:sz w:val="24"/>
        </w:rPr>
        <w:t>Wlirtenberger,</w:t>
      </w:r>
      <w:r>
        <w:rPr>
          <w:rFonts w:ascii="Times New Roman"/>
          <w:spacing w:val="102"/>
          <w:sz w:val="24"/>
        </w:rPr>
        <w:t> </w:t>
      </w:r>
      <w:r>
        <w:rPr>
          <w:rFonts w:ascii="Times New Roman"/>
          <w:sz w:val="24"/>
        </w:rPr>
        <w:t>Verwal</w:t>
      </w:r>
      <w:r>
        <w:rPr>
          <w:rFonts w:ascii="Times New Roman"/>
          <w:spacing w:val="-8"/>
          <w:sz w:val="24"/>
        </w:rPr>
        <w:t> </w:t>
      </w:r>
      <w:r>
        <w:rPr>
          <w:rFonts w:ascii="Times New Roman"/>
          <w:sz w:val="24"/>
        </w:rPr>
        <w:t>tungsprozessrecht,  </w:t>
      </w:r>
      <w:r>
        <w:rPr>
          <w:rFonts w:ascii="Times New Roman"/>
          <w:spacing w:val="44"/>
          <w:sz w:val="24"/>
        </w:rPr>
        <w:t> </w:t>
      </w:r>
      <w:r>
        <w:rPr>
          <w:rFonts w:ascii="Times New Roman"/>
          <w:sz w:val="26"/>
        </w:rPr>
        <w:t>2.  </w:t>
      </w:r>
      <w:r>
        <w:rPr>
          <w:rFonts w:ascii="Times New Roman"/>
          <w:spacing w:val="23"/>
          <w:sz w:val="26"/>
        </w:rPr>
        <w:t> </w:t>
      </w:r>
      <w:r>
        <w:rPr>
          <w:rFonts w:ascii="Times New Roman"/>
          <w:sz w:val="24"/>
        </w:rPr>
        <w:t>Aufl.,  </w:t>
      </w:r>
      <w:r>
        <w:rPr>
          <w:rFonts w:ascii="Times New Roman"/>
          <w:spacing w:val="57"/>
          <w:sz w:val="24"/>
        </w:rPr>
        <w:t> </w:t>
      </w:r>
      <w:r>
        <w:rPr>
          <w:rFonts w:ascii="Times New Roman"/>
          <w:sz w:val="26"/>
        </w:rPr>
        <w:t>2006,  </w:t>
      </w:r>
      <w:r>
        <w:rPr>
          <w:rFonts w:ascii="Times New Roman"/>
          <w:spacing w:val="33"/>
          <w:sz w:val="26"/>
        </w:rPr>
        <w:t> </w:t>
      </w:r>
      <w:r>
        <w:rPr>
          <w:rFonts w:ascii="Times New Roman"/>
          <w:sz w:val="24"/>
        </w:rPr>
        <w:t>Rn.  </w:t>
      </w:r>
      <w:r>
        <w:rPr>
          <w:rFonts w:ascii="Times New Roman"/>
          <w:spacing w:val="46"/>
          <w:sz w:val="24"/>
        </w:rPr>
        <w:t> </w:t>
      </w:r>
      <w:r>
        <w:rPr>
          <w:rFonts w:ascii="Times New Roman"/>
          <w:sz w:val="26"/>
        </w:rPr>
        <w:t>226.</w:t>
      </w:r>
    </w:p>
    <w:p>
      <w:pPr>
        <w:spacing w:after="0"/>
        <w:jc w:val="both"/>
        <w:rPr>
          <w:rFonts w:ascii="Times New Roman"/>
          <w:sz w:val="26"/>
        </w:rPr>
        <w:sectPr>
          <w:pgSz w:w="11910" w:h="16840"/>
          <w:pgMar w:header="862" w:footer="1017" w:top="1060" w:bottom="1200" w:left="1120" w:right="1060"/>
        </w:sectPr>
      </w:pPr>
    </w:p>
    <w:p>
      <w:pPr>
        <w:pStyle w:val="BodyText"/>
        <w:rPr>
          <w:rFonts w:ascii="Times New Roman"/>
          <w:sz w:val="20"/>
        </w:rPr>
      </w:pPr>
    </w:p>
    <w:p>
      <w:pPr>
        <w:pStyle w:val="BodyText"/>
        <w:spacing w:before="9"/>
        <w:rPr>
          <w:rFonts w:ascii="Times New Roman"/>
          <w:sz w:val="19"/>
        </w:rPr>
      </w:pPr>
    </w:p>
    <w:p>
      <w:pPr>
        <w:pStyle w:val="BodyText"/>
        <w:spacing w:before="65"/>
        <w:ind w:left="760" w:right="549"/>
        <w:jc w:val="center"/>
      </w:pPr>
      <w:r>
        <w:rPr>
          <w:w w:val="115"/>
        </w:rPr>
        <w:t>二積極兢爭訴訟之訴訟參加</w:t>
      </w:r>
    </w:p>
    <w:p>
      <w:pPr>
        <w:pStyle w:val="BodyText"/>
        <w:spacing w:before="7"/>
        <w:rPr>
          <w:sz w:val="24"/>
        </w:rPr>
      </w:pPr>
    </w:p>
    <w:p>
      <w:pPr>
        <w:pStyle w:val="BodyText"/>
        <w:spacing w:line="331" w:lineRule="auto"/>
        <w:ind w:left="308" w:right="493" w:firstLine="568"/>
      </w:pPr>
      <w:r>
        <w:rPr>
          <w:w w:val="110"/>
        </w:rPr>
        <w:t>公務員法上積極競爭訴訟者，競爭者（某甲）於人事主管機關作成任</w:t>
      </w:r>
      <w:r>
        <w:rPr>
          <w:w w:val="105"/>
        </w:rPr>
        <w:t>命其他競爭者（例如：某乙）為系爭職位公務員之前，即向法院提超訴訟，</w:t>
      </w:r>
      <w:r>
        <w:rPr>
          <w:spacing w:val="1"/>
          <w:w w:val="105"/>
        </w:rPr>
        <w:t> </w:t>
      </w:r>
      <w:r>
        <w:rPr>
          <w:w w:val="110"/>
        </w:rPr>
        <w:t>請求判命人事主管機關作成任命其（某甲）為系爭職位公務員之投益處</w:t>
      </w:r>
      <w:r>
        <w:rPr>
          <w:spacing w:val="1"/>
          <w:w w:val="110"/>
        </w:rPr>
        <w:t> </w:t>
      </w:r>
      <w:r>
        <w:rPr>
          <w:w w:val="110"/>
        </w:rPr>
        <w:t>分。此際，某乙（第三人）得否參加訴訟？其為何種訴訟參加人？</w:t>
      </w:r>
    </w:p>
    <w:p>
      <w:pPr>
        <w:pStyle w:val="BodyText"/>
        <w:tabs>
          <w:tab w:pos="8857" w:val="left" w:leader="none"/>
        </w:tabs>
        <w:spacing w:line="326" w:lineRule="auto"/>
        <w:ind w:left="303" w:right="490" w:firstLine="568"/>
        <w:rPr>
          <w:rFonts w:ascii="Times New Roman" w:eastAsia="Times New Roman"/>
          <w:sz w:val="29"/>
        </w:rPr>
      </w:pPr>
      <w:r>
        <w:rPr>
          <w:w w:val="105"/>
        </w:rPr>
        <w:t>公務員法上積極競爭訴訟，其訴訟類型屬於課予義務訴訟，並非撒銷</w:t>
      </w:r>
      <w:r>
        <w:rPr>
          <w:spacing w:val="101"/>
          <w:w w:val="105"/>
        </w:rPr>
        <w:t> </w:t>
      </w:r>
      <w:r>
        <w:rPr>
          <w:w w:val="105"/>
        </w:rPr>
        <w:t>訴訟。原告提超撒銷訴訟時，如獲勝訴判決，該判決具有形成效力，判決 </w:t>
      </w:r>
      <w:r>
        <w:rPr>
          <w:spacing w:val="13"/>
          <w:w w:val="105"/>
        </w:rPr>
        <w:t> </w:t>
      </w:r>
      <w:r>
        <w:rPr>
          <w:w w:val="105"/>
        </w:rPr>
        <w:t>效力及於第三人。故如撤銷訴訟之第三人其權利或法律上利益將直接且必 </w:t>
      </w:r>
      <w:r>
        <w:rPr>
          <w:spacing w:val="13"/>
          <w:w w:val="105"/>
        </w:rPr>
        <w:t> </w:t>
      </w:r>
      <w:r>
        <w:rPr>
          <w:w w:val="105"/>
        </w:rPr>
        <w:t>然地因行政法院之判決而形成、變更或消滅時，其為必要訴訟參加人，並 </w:t>
      </w:r>
      <w:r>
        <w:rPr>
          <w:spacing w:val="25"/>
          <w:w w:val="105"/>
        </w:rPr>
        <w:t> </w:t>
      </w:r>
      <w:r>
        <w:rPr/>
        <w:t>無</w:t>
      </w:r>
      <w:r>
        <w:rPr>
          <w:spacing w:val="37"/>
        </w:rPr>
        <w:t>疑</w:t>
      </w:r>
      <w:r>
        <w:rPr/>
        <w:t>問</w:t>
      </w:r>
      <w:r>
        <w:rPr>
          <w:spacing w:val="-29"/>
        </w:rPr>
        <w:t> </w:t>
      </w:r>
      <w:r>
        <w:rPr/>
        <w:t>。惟課</w:t>
      </w:r>
      <w:r>
        <w:rPr>
          <w:spacing w:val="-62"/>
        </w:rPr>
        <w:t> </w:t>
      </w:r>
      <w:r>
        <w:rPr>
          <w:spacing w:val="35"/>
        </w:rPr>
        <w:t>予</w:t>
      </w:r>
      <w:r>
        <w:rPr/>
        <w:t>義務</w:t>
      </w:r>
      <w:r>
        <w:rPr>
          <w:spacing w:val="-51"/>
        </w:rPr>
        <w:t> </w:t>
      </w:r>
      <w:r>
        <w:rPr>
          <w:spacing w:val="13"/>
        </w:rPr>
        <w:t>訴</w:t>
      </w:r>
      <w:r>
        <w:rPr>
          <w:spacing w:val="22"/>
        </w:rPr>
        <w:t>訟</w:t>
      </w:r>
      <w:r>
        <w:rPr>
          <w:spacing w:val="12"/>
        </w:rPr>
        <w:t>之</w:t>
      </w:r>
      <w:r>
        <w:rPr>
          <w:spacing w:val="35"/>
        </w:rPr>
        <w:t>性</w:t>
      </w:r>
      <w:r>
        <w:rPr>
          <w:spacing w:val="30"/>
        </w:rPr>
        <w:t>質</w:t>
      </w:r>
      <w:r>
        <w:rPr>
          <w:spacing w:val="13"/>
        </w:rPr>
        <w:t>並</w:t>
      </w:r>
      <w:r>
        <w:rPr/>
        <w:t>非</w:t>
      </w:r>
      <w:r>
        <w:rPr>
          <w:spacing w:val="37"/>
        </w:rPr>
        <w:t>形</w:t>
      </w:r>
      <w:r>
        <w:rPr>
          <w:spacing w:val="19"/>
        </w:rPr>
        <w:t>成</w:t>
      </w:r>
      <w:r>
        <w:rPr>
          <w:spacing w:val="13"/>
        </w:rPr>
        <w:t>訴</w:t>
      </w:r>
      <w:r>
        <w:rPr/>
        <w:t>訟</w:t>
      </w:r>
      <w:r>
        <w:rPr>
          <w:spacing w:val="-16"/>
        </w:rPr>
        <w:t> </w:t>
      </w:r>
      <w:r>
        <w:rPr>
          <w:w w:val="90"/>
        </w:rPr>
        <w:t>，</w:t>
      </w:r>
      <w:r>
        <w:rPr>
          <w:spacing w:val="-42"/>
          <w:w w:val="90"/>
        </w:rPr>
        <w:t> </w:t>
      </w:r>
      <w:r>
        <w:rPr>
          <w:spacing w:val="38"/>
        </w:rPr>
        <w:t>而</w:t>
      </w:r>
      <w:r>
        <w:rPr>
          <w:spacing w:val="10"/>
        </w:rPr>
        <w:t>是</w:t>
      </w:r>
      <w:r>
        <w:rPr>
          <w:spacing w:val="18"/>
        </w:rPr>
        <w:t>特</w:t>
      </w:r>
      <w:r>
        <w:rPr>
          <w:spacing w:val="26"/>
        </w:rPr>
        <w:t>別</w:t>
      </w:r>
      <w:r>
        <w:rPr/>
        <w:t>給</w:t>
      </w:r>
      <w:r>
        <w:rPr>
          <w:spacing w:val="12"/>
        </w:rPr>
        <w:t>付</w:t>
      </w:r>
      <w:r>
        <w:rPr/>
        <w:t>訴訟</w:t>
      </w:r>
      <w:r>
        <w:rPr>
          <w:rFonts w:ascii="Times New Roman" w:eastAsia="Times New Roman"/>
          <w:w w:val="90"/>
          <w:sz w:val="15"/>
        </w:rPr>
        <w:t>62</w:t>
      </w:r>
      <w:r>
        <w:rPr>
          <w:rFonts w:ascii="Times New Roman" w:eastAsia="Times New Roman"/>
          <w:spacing w:val="51"/>
          <w:sz w:val="15"/>
        </w:rPr>
        <w:t> </w:t>
      </w:r>
      <w:r>
        <w:rPr>
          <w:rFonts w:ascii="Times New Roman" w:eastAsia="Times New Roman"/>
          <w:sz w:val="15"/>
        </w:rPr>
        <w:t>,</w:t>
        <w:tab/>
      </w:r>
      <w:r>
        <w:rPr>
          <w:w w:val="105"/>
        </w:rPr>
        <w:t>其勝訴判決並無真正之形成效力，即不直接發生権利變動之效果，僅被告機 </w:t>
      </w:r>
      <w:r>
        <w:rPr>
          <w:spacing w:val="13"/>
          <w:w w:val="105"/>
        </w:rPr>
        <w:t> </w:t>
      </w:r>
      <w:r>
        <w:rPr>
          <w:w w:val="105"/>
        </w:rPr>
        <w:t>關負有作成某行政處分之義務而已。如此，在課予義務訴訟中是否亦有必 </w:t>
      </w:r>
      <w:r>
        <w:rPr>
          <w:spacing w:val="13"/>
          <w:w w:val="105"/>
        </w:rPr>
        <w:t> </w:t>
      </w:r>
      <w:r>
        <w:rPr>
          <w:w w:val="105"/>
        </w:rPr>
        <w:t>要訴訟參加制度之適用，即有疑問。學說上以為，被告機關既因課予義務 </w:t>
      </w:r>
      <w:r>
        <w:rPr>
          <w:spacing w:val="13"/>
          <w:w w:val="105"/>
        </w:rPr>
        <w:t> </w:t>
      </w:r>
      <w:r>
        <w:rPr>
          <w:w w:val="105"/>
        </w:rPr>
        <w:t>判決而負有對第三人作成行政處分之義務，則課予義務判決之「直接效力 </w:t>
      </w:r>
      <w:r>
        <w:rPr>
          <w:spacing w:val="17"/>
          <w:w w:val="105"/>
        </w:rPr>
        <w:t> </w:t>
      </w:r>
      <w:r>
        <w:rPr>
          <w:spacing w:val="21"/>
          <w:w w:val="95"/>
        </w:rPr>
        <w:t>之</w:t>
      </w:r>
      <w:r>
        <w:rPr>
          <w:w w:val="95"/>
        </w:rPr>
        <w:t>欠</w:t>
      </w:r>
      <w:r>
        <w:rPr>
          <w:spacing w:val="43"/>
          <w:w w:val="95"/>
        </w:rPr>
        <w:t>缺</w:t>
      </w:r>
      <w:r>
        <w:rPr>
          <w:w w:val="95"/>
        </w:rPr>
        <w:t>」</w:t>
      </w:r>
      <w:r>
        <w:rPr>
          <w:rFonts w:ascii="Times New Roman" w:eastAsia="Times New Roman"/>
          <w:w w:val="95"/>
          <w:sz w:val="29"/>
        </w:rPr>
        <w:t>(</w:t>
      </w:r>
      <w:r>
        <w:rPr>
          <w:rFonts w:ascii="Times New Roman" w:eastAsia="Times New Roman"/>
          <w:spacing w:val="15"/>
          <w:w w:val="95"/>
          <w:sz w:val="29"/>
        </w:rPr>
        <w:t> </w:t>
      </w:r>
      <w:r>
        <w:rPr>
          <w:rFonts w:ascii="Times New Roman" w:eastAsia="Times New Roman"/>
          <w:w w:val="95"/>
          <w:sz w:val="29"/>
        </w:rPr>
        <w:t>Unmi</w:t>
      </w:r>
      <w:r>
        <w:rPr>
          <w:rFonts w:ascii="Times New Roman" w:eastAsia="Times New Roman"/>
          <w:spacing w:val="-13"/>
          <w:w w:val="95"/>
          <w:sz w:val="29"/>
        </w:rPr>
        <w:t> </w:t>
      </w:r>
      <w:r>
        <w:rPr>
          <w:rFonts w:ascii="Times New Roman" w:eastAsia="Times New Roman"/>
          <w:w w:val="95"/>
          <w:sz w:val="29"/>
        </w:rPr>
        <w:t>t</w:t>
      </w:r>
      <w:r>
        <w:rPr>
          <w:rFonts w:ascii="Times New Roman" w:eastAsia="Times New Roman"/>
          <w:spacing w:val="-4"/>
          <w:w w:val="95"/>
          <w:sz w:val="29"/>
        </w:rPr>
        <w:t> </w:t>
      </w:r>
      <w:r>
        <w:rPr>
          <w:rFonts w:ascii="Times New Roman" w:eastAsia="Times New Roman"/>
          <w:w w:val="95"/>
          <w:sz w:val="29"/>
        </w:rPr>
        <w:t>t</w:t>
      </w:r>
      <w:r>
        <w:rPr>
          <w:rFonts w:ascii="Times New Roman" w:eastAsia="Times New Roman"/>
          <w:spacing w:val="-19"/>
          <w:w w:val="95"/>
          <w:sz w:val="29"/>
        </w:rPr>
        <w:t> </w:t>
      </w:r>
      <w:r>
        <w:rPr>
          <w:rFonts w:ascii="Times New Roman" w:eastAsia="Times New Roman"/>
          <w:spacing w:val="15"/>
          <w:w w:val="95"/>
          <w:sz w:val="29"/>
        </w:rPr>
        <w:t>elbar</w:t>
      </w:r>
      <w:r>
        <w:rPr>
          <w:rFonts w:ascii="Times New Roman" w:eastAsia="Times New Roman"/>
          <w:spacing w:val="-11"/>
          <w:w w:val="95"/>
          <w:sz w:val="29"/>
        </w:rPr>
        <w:t> </w:t>
      </w:r>
      <w:r>
        <w:rPr>
          <w:rFonts w:ascii="Times New Roman" w:eastAsia="Times New Roman"/>
          <w:w w:val="95"/>
          <w:sz w:val="29"/>
        </w:rPr>
        <w:t>ke</w:t>
      </w:r>
      <w:r>
        <w:rPr>
          <w:rFonts w:ascii="Times New Roman" w:eastAsia="Times New Roman"/>
          <w:spacing w:val="3"/>
          <w:w w:val="95"/>
          <w:sz w:val="29"/>
        </w:rPr>
        <w:t> </w:t>
      </w:r>
      <w:r>
        <w:rPr>
          <w:rFonts w:ascii="Times New Roman" w:eastAsia="Times New Roman"/>
          <w:w w:val="95"/>
          <w:sz w:val="29"/>
        </w:rPr>
        <w:t>i</w:t>
      </w:r>
      <w:r>
        <w:rPr>
          <w:rFonts w:ascii="Times New Roman" w:eastAsia="Times New Roman"/>
          <w:spacing w:val="-21"/>
          <w:w w:val="95"/>
          <w:sz w:val="29"/>
        </w:rPr>
        <w:t> </w:t>
      </w:r>
      <w:r>
        <w:rPr>
          <w:rFonts w:ascii="Times New Roman" w:eastAsia="Times New Roman"/>
          <w:w w:val="95"/>
          <w:sz w:val="29"/>
        </w:rPr>
        <w:t>t</w:t>
      </w:r>
      <w:r>
        <w:rPr>
          <w:rFonts w:ascii="Times New Roman" w:eastAsia="Times New Roman"/>
          <w:spacing w:val="-17"/>
          <w:w w:val="95"/>
          <w:sz w:val="29"/>
        </w:rPr>
        <w:t> </w:t>
      </w:r>
      <w:r>
        <w:rPr>
          <w:rFonts w:ascii="Times New Roman" w:eastAsia="Times New Roman"/>
          <w:w w:val="95"/>
          <w:sz w:val="29"/>
        </w:rPr>
        <w:t>sde</w:t>
      </w:r>
      <w:r>
        <w:rPr>
          <w:rFonts w:ascii="Times New Roman" w:eastAsia="Times New Roman"/>
          <w:spacing w:val="-15"/>
          <w:w w:val="95"/>
          <w:sz w:val="29"/>
        </w:rPr>
        <w:t> </w:t>
      </w:r>
      <w:r>
        <w:rPr>
          <w:rFonts w:ascii="Times New Roman" w:eastAsia="Times New Roman"/>
          <w:w w:val="95"/>
          <w:sz w:val="29"/>
        </w:rPr>
        <w:t>f</w:t>
      </w:r>
      <w:r>
        <w:rPr>
          <w:rFonts w:ascii="Times New Roman" w:eastAsia="Times New Roman"/>
          <w:spacing w:val="18"/>
          <w:w w:val="95"/>
          <w:sz w:val="29"/>
        </w:rPr>
        <w:t> </w:t>
      </w:r>
      <w:r>
        <w:rPr>
          <w:rFonts w:ascii="Times New Roman" w:eastAsia="Times New Roman"/>
          <w:w w:val="95"/>
          <w:sz w:val="29"/>
        </w:rPr>
        <w:t>i</w:t>
      </w:r>
      <w:r>
        <w:rPr>
          <w:rFonts w:ascii="Times New Roman" w:eastAsia="Times New Roman"/>
          <w:spacing w:val="-6"/>
          <w:w w:val="95"/>
          <w:sz w:val="29"/>
        </w:rPr>
        <w:t> </w:t>
      </w:r>
      <w:r>
        <w:rPr>
          <w:rFonts w:ascii="Times New Roman" w:eastAsia="Times New Roman"/>
          <w:spacing w:val="23"/>
          <w:w w:val="95"/>
          <w:sz w:val="29"/>
        </w:rPr>
        <w:t>zit</w:t>
      </w:r>
      <w:r>
        <w:rPr>
          <w:rFonts w:ascii="Times New Roman" w:eastAsia="Times New Roman"/>
          <w:spacing w:val="42"/>
          <w:w w:val="95"/>
          <w:sz w:val="29"/>
        </w:rPr>
        <w:t> </w:t>
      </w:r>
      <w:r>
        <w:rPr>
          <w:rFonts w:ascii="Times New Roman" w:eastAsia="Times New Roman"/>
          <w:w w:val="95"/>
          <w:sz w:val="29"/>
        </w:rPr>
        <w:t>)</w:t>
      </w:r>
      <w:r>
        <w:rPr>
          <w:rFonts w:ascii="Times New Roman" w:eastAsia="Times New Roman"/>
          <w:spacing w:val="12"/>
          <w:w w:val="95"/>
          <w:sz w:val="29"/>
        </w:rPr>
        <w:t> </w:t>
      </w:r>
      <w:r>
        <w:rPr>
          <w:spacing w:val="19"/>
          <w:w w:val="95"/>
        </w:rPr>
        <w:t>可籍</w:t>
      </w:r>
      <w:r>
        <w:rPr>
          <w:spacing w:val="12"/>
          <w:w w:val="95"/>
        </w:rPr>
        <w:t>由</w:t>
      </w:r>
      <w:r>
        <w:rPr>
          <w:spacing w:val="19"/>
          <w:w w:val="95"/>
        </w:rPr>
        <w:t>被告</w:t>
      </w:r>
      <w:r>
        <w:rPr>
          <w:w w:val="95"/>
        </w:rPr>
        <w:t>之</w:t>
      </w:r>
      <w:r>
        <w:rPr>
          <w:spacing w:val="26"/>
          <w:w w:val="95"/>
        </w:rPr>
        <w:t>作</w:t>
      </w:r>
      <w:r>
        <w:rPr>
          <w:spacing w:val="42"/>
          <w:w w:val="95"/>
        </w:rPr>
        <w:t>為</w:t>
      </w:r>
      <w:r>
        <w:rPr>
          <w:w w:val="95"/>
        </w:rPr>
        <w:t>義務</w:t>
      </w:r>
      <w:r>
        <w:rPr>
          <w:spacing w:val="-21"/>
          <w:w w:val="95"/>
        </w:rPr>
        <w:t> </w:t>
      </w:r>
      <w:r>
        <w:rPr>
          <w:spacing w:val="46"/>
          <w:w w:val="95"/>
        </w:rPr>
        <w:t>獲</w:t>
      </w:r>
      <w:r>
        <w:rPr>
          <w:spacing w:val="52"/>
          <w:w w:val="95"/>
        </w:rPr>
        <w:t>得</w:t>
      </w:r>
      <w:r>
        <w:rPr>
          <w:w w:val="95"/>
        </w:rPr>
        <w:t>填補</w:t>
      </w:r>
      <w:r>
        <w:rPr>
          <w:spacing w:val="33"/>
          <w:w w:val="95"/>
        </w:rPr>
        <w:t> </w:t>
      </w:r>
      <w:r>
        <w:rPr>
          <w:w w:val="90"/>
        </w:rPr>
        <w:t>，</w:t>
      </w:r>
      <w:r>
        <w:rPr>
          <w:spacing w:val="-110"/>
          <w:w w:val="90"/>
        </w:rPr>
        <w:t> </w:t>
      </w:r>
      <w:r>
        <w:rPr>
          <w:spacing w:val="18"/>
          <w:w w:val="95"/>
        </w:rPr>
        <w:t>可</w:t>
      </w:r>
      <w:r>
        <w:rPr>
          <w:w w:val="95"/>
        </w:rPr>
        <w:t>說</w:t>
      </w:r>
      <w:r>
        <w:rPr>
          <w:spacing w:val="14"/>
          <w:w w:val="95"/>
        </w:rPr>
        <w:t>課</w:t>
      </w:r>
      <w:r>
        <w:rPr>
          <w:spacing w:val="35"/>
          <w:w w:val="95"/>
        </w:rPr>
        <w:t>予</w:t>
      </w:r>
      <w:r>
        <w:rPr>
          <w:spacing w:val="27"/>
          <w:w w:val="95"/>
        </w:rPr>
        <w:t>義</w:t>
      </w:r>
      <w:r>
        <w:rPr>
          <w:spacing w:val="17"/>
          <w:w w:val="95"/>
        </w:rPr>
        <w:t>務</w:t>
      </w:r>
      <w:r>
        <w:rPr>
          <w:spacing w:val="29"/>
          <w:w w:val="95"/>
        </w:rPr>
        <w:t>判</w:t>
      </w:r>
      <w:r>
        <w:rPr>
          <w:spacing w:val="22"/>
          <w:w w:val="95"/>
        </w:rPr>
        <w:t>決</w:t>
      </w:r>
      <w:r>
        <w:rPr>
          <w:spacing w:val="12"/>
          <w:w w:val="95"/>
        </w:rPr>
        <w:t>具</w:t>
      </w:r>
      <w:r>
        <w:rPr>
          <w:w w:val="95"/>
        </w:rPr>
        <w:t>有</w:t>
      </w:r>
      <w:r>
        <w:rPr>
          <w:spacing w:val="29"/>
          <w:w w:val="95"/>
        </w:rPr>
        <w:t>「</w:t>
      </w:r>
      <w:r>
        <w:rPr>
          <w:w w:val="95"/>
        </w:rPr>
        <w:t>類</w:t>
      </w:r>
      <w:r>
        <w:rPr>
          <w:spacing w:val="44"/>
          <w:w w:val="95"/>
        </w:rPr>
        <w:t>似</w:t>
      </w:r>
      <w:r>
        <w:rPr>
          <w:w w:val="95"/>
        </w:rPr>
        <w:t>之</w:t>
      </w:r>
      <w:r>
        <w:rPr>
          <w:spacing w:val="21"/>
          <w:w w:val="95"/>
        </w:rPr>
        <w:t>形</w:t>
      </w:r>
      <w:r>
        <w:rPr>
          <w:spacing w:val="14"/>
          <w:w w:val="95"/>
        </w:rPr>
        <w:t>成</w:t>
      </w:r>
      <w:r>
        <w:rPr>
          <w:spacing w:val="30"/>
          <w:w w:val="95"/>
        </w:rPr>
        <w:t>效</w:t>
      </w:r>
      <w:r>
        <w:rPr>
          <w:spacing w:val="38"/>
          <w:w w:val="95"/>
        </w:rPr>
        <w:t>力</w:t>
      </w:r>
      <w:r>
        <w:rPr>
          <w:w w:val="95"/>
        </w:rPr>
        <w:t>」</w:t>
      </w:r>
      <w:r>
        <w:rPr>
          <w:rFonts w:ascii="Times New Roman" w:eastAsia="Times New Roman"/>
          <w:w w:val="95"/>
          <w:sz w:val="29"/>
        </w:rPr>
        <w:t>(</w:t>
      </w:r>
      <w:r>
        <w:rPr>
          <w:rFonts w:ascii="Times New Roman" w:eastAsia="Times New Roman"/>
          <w:spacing w:val="14"/>
          <w:w w:val="95"/>
          <w:sz w:val="29"/>
        </w:rPr>
        <w:t> </w:t>
      </w:r>
      <w:r>
        <w:rPr>
          <w:rFonts w:ascii="Times New Roman" w:eastAsia="Times New Roman"/>
          <w:w w:val="95"/>
          <w:sz w:val="29"/>
        </w:rPr>
        <w:t>Quas</w:t>
      </w:r>
      <w:r>
        <w:rPr>
          <w:rFonts w:ascii="Times New Roman" w:eastAsia="Times New Roman"/>
          <w:spacing w:val="27"/>
          <w:w w:val="95"/>
          <w:sz w:val="29"/>
        </w:rPr>
        <w:t> </w:t>
      </w:r>
      <w:r>
        <w:rPr>
          <w:rFonts w:ascii="Times New Roman" w:eastAsia="Times New Roman"/>
          <w:spacing w:val="12"/>
          <w:w w:val="95"/>
          <w:sz w:val="29"/>
        </w:rPr>
        <w:t>i-</w:t>
      </w:r>
      <w:r>
        <w:rPr>
          <w:rFonts w:ascii="Times New Roman" w:eastAsia="Times New Roman"/>
          <w:spacing w:val="-5"/>
          <w:w w:val="95"/>
          <w:sz w:val="29"/>
        </w:rPr>
        <w:t> </w:t>
      </w:r>
      <w:r>
        <w:rPr>
          <w:rFonts w:ascii="Times New Roman" w:eastAsia="Times New Roman"/>
          <w:w w:val="95"/>
          <w:sz w:val="29"/>
        </w:rPr>
        <w:t>Ges</w:t>
      </w:r>
      <w:r>
        <w:rPr>
          <w:rFonts w:ascii="Times New Roman" w:eastAsia="Times New Roman"/>
          <w:spacing w:val="-4"/>
          <w:w w:val="95"/>
          <w:sz w:val="29"/>
        </w:rPr>
        <w:t> </w:t>
      </w:r>
      <w:r>
        <w:rPr>
          <w:rFonts w:ascii="Times New Roman" w:eastAsia="Times New Roman"/>
          <w:spacing w:val="22"/>
          <w:w w:val="95"/>
          <w:sz w:val="29"/>
        </w:rPr>
        <w:t>tal</w:t>
      </w:r>
      <w:r>
        <w:rPr>
          <w:rFonts w:ascii="Times New Roman" w:eastAsia="Times New Roman"/>
          <w:spacing w:val="11"/>
          <w:w w:val="95"/>
          <w:sz w:val="29"/>
        </w:rPr>
        <w:t> </w:t>
      </w:r>
      <w:r>
        <w:rPr>
          <w:rFonts w:ascii="Times New Roman" w:eastAsia="Times New Roman"/>
          <w:w w:val="95"/>
          <w:sz w:val="29"/>
        </w:rPr>
        <w:t>t</w:t>
      </w:r>
      <w:r>
        <w:rPr>
          <w:rFonts w:ascii="Times New Roman" w:eastAsia="Times New Roman"/>
          <w:spacing w:val="23"/>
          <w:w w:val="95"/>
          <w:sz w:val="29"/>
        </w:rPr>
        <w:t> </w:t>
      </w:r>
      <w:r>
        <w:rPr>
          <w:rFonts w:ascii="Times New Roman" w:eastAsia="Times New Roman"/>
          <w:w w:val="95"/>
          <w:sz w:val="29"/>
        </w:rPr>
        <w:t>ungswi</w:t>
      </w:r>
      <w:r>
        <w:rPr>
          <w:rFonts w:ascii="Times New Roman" w:eastAsia="Times New Roman"/>
          <w:spacing w:val="21"/>
          <w:w w:val="95"/>
          <w:sz w:val="29"/>
        </w:rPr>
        <w:t> </w:t>
      </w:r>
      <w:r>
        <w:rPr>
          <w:rFonts w:ascii="Times New Roman" w:eastAsia="Times New Roman"/>
          <w:w w:val="95"/>
          <w:sz w:val="29"/>
        </w:rPr>
        <w:t>r</w:t>
      </w:r>
      <w:r>
        <w:rPr>
          <w:rFonts w:ascii="Times New Roman" w:eastAsia="Times New Roman"/>
          <w:spacing w:val="11"/>
          <w:w w:val="95"/>
          <w:sz w:val="29"/>
        </w:rPr>
        <w:t> </w:t>
      </w:r>
      <w:r>
        <w:rPr>
          <w:rFonts w:ascii="Times New Roman" w:eastAsia="Times New Roman"/>
          <w:w w:val="95"/>
          <w:sz w:val="29"/>
        </w:rPr>
        <w:t>kung</w:t>
      </w:r>
      <w:r>
        <w:rPr>
          <w:rFonts w:ascii="Times New Roman" w:eastAsia="Times New Roman"/>
          <w:spacing w:val="8"/>
          <w:w w:val="95"/>
          <w:sz w:val="29"/>
        </w:rPr>
        <w:t> </w:t>
      </w:r>
      <w:r>
        <w:rPr>
          <w:rFonts w:ascii="Times New Roman" w:eastAsia="Times New Roman"/>
          <w:w w:val="95"/>
          <w:sz w:val="29"/>
        </w:rPr>
        <w:t>)</w:t>
      </w:r>
    </w:p>
    <w:p>
      <w:pPr>
        <w:pStyle w:val="BodyText"/>
        <w:spacing w:line="336" w:lineRule="auto"/>
        <w:ind w:left="320" w:right="610" w:hanging="57"/>
      </w:pPr>
      <w:r>
        <w:rPr>
          <w:rFonts w:ascii="Arial" w:eastAsia="Arial"/>
          <w:w w:val="80"/>
          <w:sz w:val="15"/>
        </w:rPr>
        <w:t>63</w:t>
      </w:r>
      <w:r>
        <w:rPr>
          <w:rFonts w:ascii="Arial" w:eastAsia="Arial"/>
          <w:spacing w:val="30"/>
          <w:w w:val="80"/>
          <w:sz w:val="15"/>
        </w:rPr>
        <w:t> </w:t>
      </w:r>
      <w:r>
        <w:rPr>
          <w:w w:val="80"/>
        </w:rPr>
        <w:t>。 </w:t>
      </w:r>
      <w:r>
        <w:rPr>
          <w:spacing w:val="9"/>
        </w:rPr>
        <w:t>因此 </w:t>
      </w:r>
      <w:r>
        <w:rPr>
          <w:spacing w:val="-32"/>
          <w:w w:val="80"/>
        </w:rPr>
        <w:t>， </w:t>
      </w:r>
      <w:r>
        <w:rPr>
          <w:spacing w:val="16"/>
        </w:rPr>
        <w:t>德國學說及實務上之見解 </w:t>
      </w:r>
      <w:r>
        <w:rPr>
          <w:spacing w:val="-28"/>
          <w:w w:val="80"/>
        </w:rPr>
        <w:t>， </w:t>
      </w:r>
      <w:r>
        <w:rPr>
          <w:spacing w:val="12"/>
        </w:rPr>
        <w:t>晚近亦傾向承認在課予義務訴訟中</w:t>
      </w:r>
      <w:r>
        <w:rPr/>
        <w:t>亦有必要訴訟參加制度之適用。</w:t>
      </w:r>
    </w:p>
    <w:p>
      <w:pPr>
        <w:pStyle w:val="BodyText"/>
        <w:spacing w:line="331" w:lineRule="auto"/>
        <w:ind w:left="301" w:right="521" w:firstLine="564"/>
        <w:jc w:val="both"/>
      </w:pPr>
      <w:r>
        <w:rPr>
          <w:w w:val="110"/>
        </w:rPr>
        <w:t>在公務員法上積極競爭訴訟中，競爭者（某甲）於人事主管機關作成任命其他競爭者（例如：某乙）為系爭職位公務員之前，即向法院提超訴訟，請求判命人事主管機關作成任命其（某甲）為系爭職位公務員之投益處分。在此訴訟程序中，為訴訟標的法律關係行政處分之相對人為原告某甲（請求判命人事主管機關作成任命某甲為系爭職位公務員之授益處</w:t>
      </w:r>
    </w:p>
    <w:p>
      <w:pPr>
        <w:pStyle w:val="BodyText"/>
        <w:spacing w:line="331" w:lineRule="auto"/>
        <w:ind w:left="298" w:right="517" w:firstLine="20"/>
        <w:jc w:val="both"/>
      </w:pPr>
      <w:r>
        <w:rPr>
          <w:w w:val="110"/>
        </w:rPr>
        <w:t>分），並非該第三人某乙。某乙（第三人）之權利或法律上利益既不致因行政法院之判決而直接且必然地形成、變更或消滅，其與行政法院之判決間，即欠缺必要之緊密關連性，故某乙並非該訴訟程序中之必要訴訟參加</w:t>
      </w:r>
    </w:p>
    <w:p>
      <w:pPr>
        <w:pStyle w:val="BodyText"/>
        <w:rPr>
          <w:sz w:val="20"/>
        </w:rPr>
      </w:pPr>
    </w:p>
    <w:p>
      <w:pPr>
        <w:pStyle w:val="BodyText"/>
        <w:spacing w:before="3"/>
      </w:pPr>
      <w:r>
        <w:rPr/>
        <w:pict>
          <v:shape style="position:absolute;margin-left:95.174004pt;margin-top:18.373226pt;width:144.25pt;height:.1pt;mso-position-horizontal-relative:page;mso-position-vertical-relative:paragraph;z-index:-15645184;mso-wrap-distance-left:0;mso-wrap-distance-right:0" coordorigin="1903,367" coordsize="2885,0" path="m1903,367l4788,367e" filled="false" stroked="true" strokeweight=".480547pt" strokecolor="#000000">
            <v:path arrowok="t"/>
            <v:stroke dashstyle="solid"/>
            <w10:wrap type="topAndBottom"/>
          </v:shape>
        </w:pict>
      </w:r>
    </w:p>
    <w:p>
      <w:pPr>
        <w:pStyle w:val="BodyText"/>
        <w:spacing w:before="1"/>
        <w:rPr>
          <w:sz w:val="11"/>
        </w:rPr>
      </w:pPr>
    </w:p>
    <w:p>
      <w:pPr>
        <w:spacing w:line="278" w:lineRule="auto" w:before="75"/>
        <w:ind w:left="508" w:right="554" w:hanging="210"/>
        <w:jc w:val="left"/>
        <w:rPr>
          <w:sz w:val="21"/>
        </w:rPr>
      </w:pPr>
      <w:r>
        <w:rPr>
          <w:rFonts w:ascii="Times New Roman" w:eastAsia="Times New Roman"/>
          <w:w w:val="110"/>
          <w:sz w:val="21"/>
          <w:vertAlign w:val="superscript"/>
        </w:rPr>
        <w:t>62</w:t>
      </w:r>
      <w:r>
        <w:rPr>
          <w:rFonts w:ascii="Times New Roman" w:eastAsia="Times New Roman"/>
          <w:spacing w:val="15"/>
          <w:w w:val="110"/>
          <w:sz w:val="21"/>
          <w:vertAlign w:val="baseline"/>
        </w:rPr>
        <w:t>   </w:t>
      </w:r>
      <w:r>
        <w:rPr>
          <w:w w:val="110"/>
          <w:sz w:val="21"/>
          <w:vertAlign w:val="baseline"/>
        </w:rPr>
        <w:t>課予義務訴訟與一般給付訴訟之區別，在於前者限於以行政處分作為訴訟之請求標的，後者則限於以作成行政處分以外之請求為訴訟之標的。</w:t>
      </w:r>
    </w:p>
    <w:p>
      <w:pPr>
        <w:spacing w:line="254" w:lineRule="auto" w:before="1"/>
        <w:ind w:left="511" w:right="550" w:hanging="213"/>
        <w:jc w:val="left"/>
        <w:rPr>
          <w:sz w:val="21"/>
        </w:rPr>
      </w:pPr>
      <w:r>
        <w:rPr>
          <w:rFonts w:ascii="Times New Roman" w:eastAsia="Times New Roman"/>
          <w:sz w:val="21"/>
          <w:vertAlign w:val="superscript"/>
        </w:rPr>
        <w:t>63</w:t>
      </w:r>
      <w:r>
        <w:rPr>
          <w:rFonts w:ascii="Times New Roman" w:eastAsia="Times New Roman"/>
          <w:spacing w:val="2"/>
          <w:sz w:val="21"/>
          <w:vertAlign w:val="baseline"/>
        </w:rPr>
        <w:t>                  </w:t>
      </w:r>
      <w:r>
        <w:rPr>
          <w:sz w:val="21"/>
          <w:vertAlign w:val="baseline"/>
        </w:rPr>
        <w:t>有關必要訴訟參加在課予義務訴訟中之適用，詳閱：劉建宏，課予義務訴訟與訴訟</w:t>
      </w:r>
      <w:r>
        <w:rPr>
          <w:w w:val="90"/>
          <w:sz w:val="21"/>
          <w:vertAlign w:val="baseline"/>
        </w:rPr>
        <w:t>參</w:t>
      </w:r>
      <w:r>
        <w:rPr>
          <w:spacing w:val="-6"/>
          <w:w w:val="90"/>
          <w:sz w:val="21"/>
          <w:vertAlign w:val="baseline"/>
        </w:rPr>
        <w:t>加 ， 法學講座 ， 第</w:t>
      </w:r>
      <w:r>
        <w:rPr>
          <w:rFonts w:ascii="Times New Roman" w:eastAsia="Times New Roman"/>
          <w:w w:val="90"/>
          <w:sz w:val="26"/>
          <w:vertAlign w:val="baseline"/>
        </w:rPr>
        <w:t>4</w:t>
      </w:r>
      <w:r>
        <w:rPr>
          <w:spacing w:val="-7"/>
          <w:w w:val="90"/>
          <w:sz w:val="21"/>
          <w:vertAlign w:val="baseline"/>
        </w:rPr>
        <w:t>期 ， 頁</w:t>
      </w:r>
      <w:r>
        <w:rPr>
          <w:rFonts w:ascii="Times New Roman" w:eastAsia="Times New Roman"/>
          <w:w w:val="90"/>
          <w:sz w:val="26"/>
          <w:vertAlign w:val="baseline"/>
        </w:rPr>
        <w:t>113</w:t>
      </w:r>
      <w:r>
        <w:rPr>
          <w:spacing w:val="-6"/>
          <w:w w:val="90"/>
          <w:sz w:val="21"/>
          <w:vertAlign w:val="baseline"/>
        </w:rPr>
        <w:t>以下 ， </w:t>
      </w:r>
      <w:r>
        <w:rPr>
          <w:rFonts w:ascii="Times New Roman" w:eastAsia="Times New Roman"/>
          <w:w w:val="90"/>
          <w:sz w:val="26"/>
          <w:vertAlign w:val="baseline"/>
        </w:rPr>
        <w:t>2002</w:t>
      </w:r>
      <w:r>
        <w:rPr>
          <w:rFonts w:ascii="Times New Roman" w:eastAsia="Times New Roman"/>
          <w:spacing w:val="-3"/>
          <w:w w:val="90"/>
          <w:sz w:val="26"/>
          <w:vertAlign w:val="baseline"/>
        </w:rPr>
        <w:t> </w:t>
      </w:r>
      <w:r>
        <w:rPr>
          <w:w w:val="90"/>
          <w:sz w:val="21"/>
          <w:vertAlign w:val="baseline"/>
        </w:rPr>
        <w:t>年</w:t>
      </w:r>
      <w:r>
        <w:rPr>
          <w:rFonts w:ascii="Times New Roman" w:eastAsia="Times New Roman"/>
          <w:spacing w:val="20"/>
          <w:w w:val="90"/>
          <w:sz w:val="26"/>
          <w:vertAlign w:val="baseline"/>
        </w:rPr>
        <w:t>4</w:t>
      </w:r>
      <w:r>
        <w:rPr>
          <w:w w:val="90"/>
          <w:sz w:val="21"/>
          <w:vertAlign w:val="baseline"/>
        </w:rPr>
        <w:t>月 。</w:t>
      </w:r>
    </w:p>
    <w:p>
      <w:pPr>
        <w:spacing w:after="0" w:line="254" w:lineRule="auto"/>
        <w:jc w:val="left"/>
        <w:rPr>
          <w:sz w:val="21"/>
        </w:rPr>
        <w:sectPr>
          <w:pgSz w:w="11910" w:h="16840"/>
          <w:pgMar w:header="862" w:footer="1017" w:top="1060" w:bottom="1200" w:left="1120" w:right="1060"/>
        </w:sectPr>
      </w:pPr>
    </w:p>
    <w:p>
      <w:pPr>
        <w:pStyle w:val="BodyText"/>
        <w:spacing w:before="1"/>
        <w:rPr>
          <w:sz w:val="24"/>
        </w:rPr>
      </w:pPr>
    </w:p>
    <w:p>
      <w:pPr>
        <w:pStyle w:val="BodyText"/>
        <w:spacing w:line="326" w:lineRule="auto" w:before="88"/>
        <w:ind w:left="306" w:right="537" w:firstLine="13"/>
      </w:pPr>
      <w:r>
        <w:rPr>
          <w:w w:val="95"/>
        </w:rPr>
        <w:t>人</w:t>
      </w:r>
      <w:r>
        <w:rPr>
          <w:rFonts w:ascii="Times New Roman" w:eastAsia="Times New Roman"/>
          <w:w w:val="80"/>
          <w:sz w:val="15"/>
        </w:rPr>
        <w:t>64</w:t>
      </w:r>
      <w:r>
        <w:rPr>
          <w:rFonts w:ascii="Times New Roman" w:eastAsia="Times New Roman"/>
          <w:spacing w:val="25"/>
          <w:w w:val="80"/>
          <w:sz w:val="15"/>
        </w:rPr>
        <w:t> </w:t>
      </w:r>
      <w:r>
        <w:rPr>
          <w:spacing w:val="-23"/>
          <w:w w:val="80"/>
        </w:rPr>
        <w:t>。 </w:t>
      </w:r>
      <w:r>
        <w:rPr>
          <w:spacing w:val="12"/>
          <w:w w:val="95"/>
        </w:rPr>
        <w:t>惟其仍得依德國行 政法院法第 </w:t>
      </w:r>
      <w:r>
        <w:rPr>
          <w:rFonts w:ascii="Times New Roman" w:eastAsia="Times New Roman"/>
          <w:w w:val="95"/>
          <w:sz w:val="30"/>
        </w:rPr>
        <w:t>65</w:t>
      </w:r>
      <w:r>
        <w:rPr>
          <w:rFonts w:ascii="Times New Roman" w:eastAsia="Times New Roman"/>
          <w:spacing w:val="52"/>
          <w:w w:val="95"/>
          <w:sz w:val="30"/>
        </w:rPr>
        <w:t> </w:t>
      </w:r>
      <w:r>
        <w:rPr>
          <w:spacing w:val="23"/>
          <w:w w:val="95"/>
        </w:rPr>
        <w:t>條第 </w:t>
      </w:r>
      <w:r>
        <w:rPr>
          <w:rFonts w:ascii="Times New Roman" w:eastAsia="Times New Roman"/>
          <w:w w:val="95"/>
          <w:sz w:val="30"/>
        </w:rPr>
        <w:t>l</w:t>
      </w:r>
      <w:r>
        <w:rPr>
          <w:rFonts w:ascii="Times New Roman" w:eastAsia="Times New Roman"/>
          <w:spacing w:val="10"/>
          <w:w w:val="95"/>
          <w:sz w:val="30"/>
        </w:rPr>
        <w:t> </w:t>
      </w:r>
      <w:r>
        <w:rPr>
          <w:spacing w:val="3"/>
          <w:w w:val="95"/>
        </w:rPr>
        <w:t>項之規定 </w:t>
      </w:r>
      <w:r>
        <w:rPr>
          <w:spacing w:val="28"/>
          <w:w w:val="80"/>
        </w:rPr>
        <w:t>，罄 </w:t>
      </w:r>
      <w:r>
        <w:rPr>
          <w:spacing w:val="13"/>
          <w:w w:val="95"/>
        </w:rPr>
        <w:t>請法院裁定允</w:t>
      </w:r>
      <w:r>
        <w:rPr/>
        <w:t>許其參加。</w:t>
      </w:r>
    </w:p>
    <w:p>
      <w:pPr>
        <w:pStyle w:val="Heading4"/>
        <w:tabs>
          <w:tab w:pos="2918" w:val="left" w:leader="none"/>
        </w:tabs>
        <w:spacing w:before="59"/>
        <w:ind w:left="1492"/>
      </w:pPr>
      <w:bookmarkStart w:name="_bookmark16" w:id="17"/>
      <w:bookmarkEnd w:id="17"/>
      <w:r>
        <w:rPr/>
      </w:r>
      <w:r>
        <w:rPr>
          <w:w w:val="110"/>
          <w:sz w:val="31"/>
        </w:rPr>
        <w:t>第四節</w:t>
        <w:tab/>
      </w:r>
      <w:r>
        <w:rPr>
          <w:w w:val="110"/>
        </w:rPr>
        <w:t>人事處分兢爭者訴訟之暫時権利保護</w:t>
      </w:r>
    </w:p>
    <w:p>
      <w:pPr>
        <w:pStyle w:val="BodyText"/>
        <w:spacing w:before="4"/>
        <w:rPr>
          <w:sz w:val="21"/>
        </w:rPr>
      </w:pPr>
    </w:p>
    <w:p>
      <w:pPr>
        <w:pStyle w:val="BodyText"/>
        <w:spacing w:line="324" w:lineRule="auto"/>
        <w:ind w:left="305" w:right="507" w:firstLine="570"/>
      </w:pPr>
      <w:r>
        <w:rPr>
          <w:w w:val="105"/>
        </w:rPr>
        <w:t>近年來，行政訴訟程序中，暫時權利保護制度日趨重要。此種現象，</w:t>
      </w:r>
      <w:r>
        <w:rPr>
          <w:spacing w:val="69"/>
          <w:w w:val="105"/>
        </w:rPr>
        <w:t> </w:t>
      </w:r>
      <w:r>
        <w:rPr>
          <w:spacing w:val="1"/>
        </w:rPr>
        <w:t>肇因於 行政訴訟程序之遲滯 。自 </w:t>
      </w:r>
      <w:r>
        <w:rPr>
          <w:rFonts w:ascii="Times New Roman" w:eastAsia="Times New Roman"/>
          <w:sz w:val="30"/>
        </w:rPr>
        <w:t>1980</w:t>
      </w:r>
      <w:r>
        <w:rPr>
          <w:rFonts w:ascii="Times New Roman" w:eastAsia="Times New Roman"/>
          <w:spacing w:val="20"/>
          <w:sz w:val="30"/>
        </w:rPr>
        <w:t> </w:t>
      </w:r>
      <w:r>
        <w:rPr>
          <w:spacing w:val="-2"/>
        </w:rPr>
        <w:t>年以降 </w:t>
      </w:r>
      <w:r>
        <w:rPr>
          <w:spacing w:val="-34"/>
          <w:w w:val="80"/>
        </w:rPr>
        <w:t>， </w:t>
      </w:r>
      <w:r>
        <w:rPr>
          <w:spacing w:val="-1"/>
        </w:rPr>
        <w:t>德國行 政訴訟之案件 即快</w:t>
      </w:r>
      <w:r>
        <w:rPr>
          <w:spacing w:val="-24"/>
        </w:rPr>
        <w:t>速增加 。因 此 </w:t>
      </w:r>
      <w:r>
        <w:rPr>
          <w:spacing w:val="25"/>
          <w:w w:val="80"/>
        </w:rPr>
        <w:t>，每 </w:t>
      </w:r>
      <w:r>
        <w:rPr>
          <w:spacing w:val="7"/>
        </w:rPr>
        <w:t>一案件 之平均審理時程 </w:t>
      </w:r>
      <w:r>
        <w:rPr>
          <w:spacing w:val="-30"/>
          <w:w w:val="80"/>
        </w:rPr>
        <w:t>， </w:t>
      </w:r>
      <w:r>
        <w:rPr>
          <w:spacing w:val="16"/>
        </w:rPr>
        <w:t>往往遷延達數年之久</w:t>
      </w:r>
      <w:r>
        <w:rPr>
          <w:rFonts w:ascii="Times New Roman" w:eastAsia="Times New Roman"/>
          <w:w w:val="80"/>
          <w:sz w:val="15"/>
        </w:rPr>
        <w:t>65</w:t>
      </w:r>
      <w:r>
        <w:rPr>
          <w:rFonts w:ascii="Times New Roman" w:eastAsia="Times New Roman"/>
          <w:spacing w:val="23"/>
          <w:sz w:val="15"/>
        </w:rPr>
        <w:t>   </w:t>
      </w:r>
      <w:r>
        <w:rPr>
          <w:spacing w:val="-10"/>
          <w:w w:val="80"/>
        </w:rPr>
        <w:t>。 </w:t>
      </w:r>
      <w:r>
        <w:rPr>
          <w:spacing w:val="8"/>
          <w:w w:val="90"/>
        </w:rPr>
        <w:t>由於</w:t>
      </w:r>
      <w:r>
        <w:rPr>
          <w:w w:val="105"/>
        </w:rPr>
        <w:t>主程序之審理費時過長，噹事人往往轉而以暫時権利保護程序作為其權利</w:t>
      </w:r>
      <w:r>
        <w:rPr>
          <w:spacing w:val="125"/>
          <w:w w:val="105"/>
        </w:rPr>
        <w:t> </w:t>
      </w:r>
      <w:r>
        <w:rPr>
          <w:w w:val="105"/>
        </w:rPr>
        <w:t>救濟之手段。尤其是某些時間因素極為重要，亟需快速審理之案件，噹事</w:t>
      </w:r>
      <w:r>
        <w:rPr>
          <w:spacing w:val="125"/>
          <w:w w:val="105"/>
        </w:rPr>
        <w:t> </w:t>
      </w:r>
      <w:r>
        <w:rPr>
          <w:w w:val="105"/>
        </w:rPr>
        <w:t>人更有以暫時権利保護程序代替主程序作為解決紛爭手段之傾向。</w:t>
      </w:r>
    </w:p>
    <w:p>
      <w:pPr>
        <w:pStyle w:val="BodyText"/>
        <w:spacing w:line="331" w:lineRule="auto" w:before="10"/>
        <w:ind w:left="301" w:right="515" w:firstLine="564"/>
      </w:pPr>
      <w:r>
        <w:rPr>
          <w:w w:val="110"/>
        </w:rPr>
        <w:t>在公務員法上競爭訴訟中，尤其消極競爭訴訟，由於依照實務之見</w:t>
      </w:r>
      <w:r>
        <w:rPr>
          <w:spacing w:val="1"/>
          <w:w w:val="110"/>
        </w:rPr>
        <w:t> </w:t>
      </w:r>
      <w:r>
        <w:rPr>
          <w:w w:val="110"/>
        </w:rPr>
        <w:t>解，人事主管機關作成任命其他競爭者（某乙）為系爭公職公務員之行政處分後，未獲任命之職位競爭者（某甲）所受之侵益處分即已了結，因此競爭者（某甲）不得再行提超撒銷訴訟，噹事人實質上已無任何救濟之方法。因此，如何在人事主管機關作成任命其他競爭者（某乙）為系爭公職公務員行政處分之前，利用暫時權利保護程序防止爭訟事件了結，即成為公務員法上（消極）競爭訴訟中最重要之課題。因此，公務員法上競爭訴訟之暫時権利保護程序間題，亦為本研究重點之一。</w:t>
      </w:r>
    </w:p>
    <w:p>
      <w:pPr>
        <w:pStyle w:val="BodyText"/>
        <w:spacing w:before="82"/>
        <w:ind w:left="1314"/>
      </w:pPr>
      <w:r>
        <w:rPr>
          <w:w w:val="110"/>
        </w:rPr>
        <w:t>人事主管機關任命其他兢爭者為系爭公職公務員以前之暫時椎利</w:t>
      </w:r>
    </w:p>
    <w:p>
      <w:pPr>
        <w:pStyle w:val="BodyText"/>
        <w:spacing w:before="4"/>
        <w:rPr>
          <w:sz w:val="31"/>
        </w:rPr>
      </w:pPr>
    </w:p>
    <w:p>
      <w:pPr>
        <w:pStyle w:val="BodyText"/>
        <w:ind w:left="1266" w:right="549"/>
        <w:jc w:val="center"/>
      </w:pPr>
      <w:r>
        <w:rPr>
          <w:w w:val="110"/>
        </w:rPr>
        <w:t>保護程序</w:t>
      </w:r>
    </w:p>
    <w:p>
      <w:pPr>
        <w:pStyle w:val="BodyText"/>
        <w:spacing w:before="9"/>
        <w:rPr>
          <w:sz w:val="23"/>
        </w:rPr>
      </w:pPr>
    </w:p>
    <w:p>
      <w:pPr>
        <w:pStyle w:val="BodyText"/>
        <w:ind w:left="882"/>
      </w:pPr>
      <w:r>
        <w:rPr>
          <w:w w:val="110"/>
        </w:rPr>
        <w:t>人事主管機關作成任命其他競爭者（某乙）為系爭公職公務員行政處</w:t>
      </w:r>
    </w:p>
    <w:p>
      <w:pPr>
        <w:pStyle w:val="BodyText"/>
        <w:spacing w:before="8"/>
        <w:rPr>
          <w:sz w:val="24"/>
        </w:rPr>
      </w:pPr>
      <w:r>
        <w:rPr/>
        <w:pict>
          <v:shape style="position:absolute;margin-left:95.174004pt;margin-top:18.148508pt;width:144.25pt;height:.1pt;mso-position-horizontal-relative:page;mso-position-vertical-relative:paragraph;z-index:-15644672;mso-wrap-distance-left:0;mso-wrap-distance-right:0" coordorigin="1903,363" coordsize="2885,0" path="m1903,363l4788,363e" filled="false" stroked="true" strokeweight=".720821pt" strokecolor="#000000">
            <v:path arrowok="t"/>
            <v:stroke dashstyle="solid"/>
            <w10:wrap type="topAndBottom"/>
          </v:shape>
        </w:pict>
      </w:r>
    </w:p>
    <w:p>
      <w:pPr>
        <w:pStyle w:val="BodyText"/>
        <w:spacing w:before="11"/>
        <w:rPr>
          <w:sz w:val="10"/>
        </w:rPr>
      </w:pPr>
    </w:p>
    <w:p>
      <w:pPr>
        <w:spacing w:line="268" w:lineRule="auto" w:before="75"/>
        <w:ind w:left="501" w:right="504" w:hanging="203"/>
        <w:jc w:val="left"/>
        <w:rPr>
          <w:sz w:val="21"/>
        </w:rPr>
      </w:pPr>
      <w:r>
        <w:rPr>
          <w:rFonts w:ascii="Times New Roman" w:eastAsia="Times New Roman"/>
          <w:w w:val="110"/>
          <w:sz w:val="21"/>
          <w:vertAlign w:val="superscript"/>
        </w:rPr>
        <w:t>64</w:t>
      </w:r>
      <w:r>
        <w:rPr>
          <w:rFonts w:ascii="Times New Roman" w:eastAsia="Times New Roman"/>
          <w:spacing w:val="10"/>
          <w:w w:val="110"/>
          <w:sz w:val="21"/>
          <w:vertAlign w:val="baseline"/>
        </w:rPr>
        <w:t>    </w:t>
      </w:r>
      <w:r>
        <w:rPr>
          <w:w w:val="110"/>
          <w:sz w:val="21"/>
          <w:vertAlign w:val="baseline"/>
        </w:rPr>
        <w:t>德國公務員法上積極競爭訴訟，其訴訟之性質，為「請求對自己授益之課予義務訴訟」。至於德國實務上及學說上所承認之課予義務訴訟中必要訴訟參加案例類型，則</w:t>
      </w:r>
      <w:r>
        <w:rPr>
          <w:spacing w:val="10"/>
          <w:sz w:val="21"/>
          <w:vertAlign w:val="baseline"/>
        </w:rPr>
        <w:t>為 所 謂 「 對 第 三 人 不 利 益 之 課 予 義 務 訴 訟 」</w:t>
      </w:r>
      <w:r>
        <w:rPr>
          <w:sz w:val="21"/>
          <w:vertAlign w:val="baseline"/>
        </w:rPr>
        <w:t>（ </w:t>
      </w:r>
      <w:r>
        <w:rPr>
          <w:rFonts w:ascii="Times New Roman" w:eastAsia="Times New Roman"/>
          <w:sz w:val="25"/>
          <w:vertAlign w:val="baseline"/>
        </w:rPr>
        <w:t>dr i tt belas t ende</w:t>
      </w:r>
      <w:r>
        <w:rPr>
          <w:rFonts w:ascii="Times New Roman" w:eastAsia="Times New Roman"/>
          <w:spacing w:val="-60"/>
          <w:sz w:val="25"/>
          <w:vertAlign w:val="baseline"/>
        </w:rPr>
        <w:t> </w:t>
      </w:r>
      <w:r>
        <w:rPr>
          <w:rFonts w:ascii="Times New Roman" w:eastAsia="Times New Roman"/>
          <w:w w:val="110"/>
          <w:sz w:val="25"/>
          <w:vertAlign w:val="baseline"/>
        </w:rPr>
        <w:t>Verpfl</w:t>
      </w:r>
      <w:r>
        <w:rPr>
          <w:rFonts w:ascii="Times New Roman" w:eastAsia="Times New Roman"/>
          <w:spacing w:val="23"/>
          <w:w w:val="110"/>
          <w:sz w:val="25"/>
          <w:vertAlign w:val="baseline"/>
        </w:rPr>
        <w:t>  </w:t>
      </w:r>
      <w:r>
        <w:rPr>
          <w:rFonts w:ascii="Times New Roman" w:eastAsia="Times New Roman"/>
          <w:w w:val="110"/>
          <w:sz w:val="25"/>
          <w:vertAlign w:val="baseline"/>
        </w:rPr>
        <w:t>ichtungsklage</w:t>
      </w:r>
      <w:r>
        <w:rPr>
          <w:rFonts w:ascii="Times New Roman" w:eastAsia="Times New Roman"/>
          <w:spacing w:val="30"/>
          <w:w w:val="110"/>
          <w:sz w:val="25"/>
          <w:vertAlign w:val="baseline"/>
        </w:rPr>
        <w:t>) </w:t>
      </w:r>
      <w:r>
        <w:rPr>
          <w:w w:val="110"/>
          <w:sz w:val="21"/>
          <w:vertAlign w:val="baseline"/>
        </w:rPr>
        <w:t>;即原告提超課予義務訴訟，請求行政法院作成對第三人不利益之行政處分。在此訴訟程序中，為訴訟標的法律關係行政處分之相對人為該第</w:t>
      </w:r>
      <w:r>
        <w:rPr>
          <w:spacing w:val="63"/>
          <w:w w:val="110"/>
          <w:sz w:val="21"/>
          <w:vertAlign w:val="baseline"/>
        </w:rPr>
        <w:t> </w:t>
      </w:r>
      <w:r>
        <w:rPr>
          <w:w w:val="110"/>
          <w:sz w:val="21"/>
          <w:vertAlign w:val="baseline"/>
        </w:rPr>
        <w:t>三人，故仍符合「第三人之權益直接受判決效力影零」之要件。與公務員法上積極</w:t>
      </w:r>
      <w:r>
        <w:rPr>
          <w:spacing w:val="63"/>
          <w:w w:val="110"/>
          <w:sz w:val="21"/>
          <w:vertAlign w:val="baseline"/>
        </w:rPr>
        <w:t> </w:t>
      </w:r>
      <w:r>
        <w:rPr>
          <w:w w:val="110"/>
          <w:sz w:val="21"/>
          <w:vertAlign w:val="baseline"/>
        </w:rPr>
        <w:t>競爭訴訟中，為訴訟標的法律關係行政處分之相對人為原告本身不同。有關「對第</w:t>
      </w:r>
      <w:r>
        <w:rPr>
          <w:spacing w:val="63"/>
          <w:w w:val="110"/>
          <w:sz w:val="21"/>
          <w:vertAlign w:val="baseline"/>
        </w:rPr>
        <w:t> </w:t>
      </w:r>
      <w:r>
        <w:rPr>
          <w:w w:val="110"/>
          <w:sz w:val="21"/>
          <w:vertAlign w:val="baseline"/>
        </w:rPr>
        <w:t>三人不利益之課予義務訴訟」作為必要訴訟參加之案例類型，詳閱劉建宏，課予義</w:t>
      </w:r>
      <w:r>
        <w:rPr>
          <w:spacing w:val="95"/>
          <w:w w:val="110"/>
          <w:sz w:val="21"/>
          <w:vertAlign w:val="baseline"/>
        </w:rPr>
        <w:t> </w:t>
      </w:r>
      <w:r>
        <w:rPr>
          <w:spacing w:val="-3"/>
          <w:w w:val="95"/>
          <w:sz w:val="21"/>
          <w:vertAlign w:val="baseline"/>
        </w:rPr>
        <w:t>務訴訟與訴訟參加 ， 法學講座 ， 第</w:t>
      </w:r>
      <w:r>
        <w:rPr>
          <w:rFonts w:ascii="Times New Roman" w:eastAsia="Times New Roman"/>
          <w:w w:val="95"/>
          <w:sz w:val="26"/>
          <w:vertAlign w:val="baseline"/>
        </w:rPr>
        <w:t>4</w:t>
      </w:r>
      <w:r>
        <w:rPr>
          <w:spacing w:val="-8"/>
          <w:w w:val="95"/>
          <w:sz w:val="21"/>
          <w:vertAlign w:val="baseline"/>
        </w:rPr>
        <w:t>期 ， 頁</w:t>
      </w:r>
      <w:r>
        <w:rPr>
          <w:rFonts w:ascii="Times New Roman" w:eastAsia="Times New Roman"/>
          <w:w w:val="95"/>
          <w:sz w:val="26"/>
          <w:vertAlign w:val="baseline"/>
        </w:rPr>
        <w:t>113</w:t>
      </w:r>
      <w:r>
        <w:rPr>
          <w:spacing w:val="-8"/>
          <w:w w:val="95"/>
          <w:sz w:val="21"/>
          <w:vertAlign w:val="baseline"/>
        </w:rPr>
        <w:t>以下 ， </w:t>
      </w:r>
      <w:r>
        <w:rPr>
          <w:rFonts w:ascii="Times New Roman" w:eastAsia="Times New Roman"/>
          <w:w w:val="95"/>
          <w:sz w:val="25"/>
          <w:vertAlign w:val="baseline"/>
        </w:rPr>
        <w:t>2002</w:t>
      </w:r>
      <w:r>
        <w:rPr>
          <w:rFonts w:ascii="Times New Roman" w:eastAsia="Times New Roman"/>
          <w:spacing w:val="-7"/>
          <w:w w:val="95"/>
          <w:sz w:val="25"/>
          <w:vertAlign w:val="baseline"/>
        </w:rPr>
        <w:t> </w:t>
      </w:r>
      <w:r>
        <w:rPr>
          <w:w w:val="95"/>
          <w:sz w:val="21"/>
          <w:vertAlign w:val="baseline"/>
        </w:rPr>
        <w:t>年</w:t>
      </w:r>
      <w:r>
        <w:rPr>
          <w:rFonts w:ascii="Times New Roman" w:eastAsia="Times New Roman"/>
          <w:spacing w:val="20"/>
          <w:w w:val="95"/>
          <w:sz w:val="26"/>
          <w:vertAlign w:val="baseline"/>
        </w:rPr>
        <w:t>4</w:t>
      </w:r>
      <w:r>
        <w:rPr>
          <w:spacing w:val="-2"/>
          <w:w w:val="95"/>
          <w:sz w:val="21"/>
          <w:vertAlign w:val="baseline"/>
        </w:rPr>
        <w:t>月 。</w:t>
      </w:r>
    </w:p>
    <w:p>
      <w:pPr>
        <w:spacing w:line="264" w:lineRule="auto" w:before="11"/>
        <w:ind w:left="507" w:right="529" w:hanging="209"/>
        <w:jc w:val="both"/>
        <w:rPr>
          <w:rFonts w:ascii="Times New Roman" w:eastAsia="Times New Roman"/>
          <w:sz w:val="25"/>
        </w:rPr>
      </w:pPr>
      <w:r>
        <w:rPr>
          <w:rFonts w:ascii="Times New Roman" w:eastAsia="Times New Roman"/>
          <w:w w:val="110"/>
          <w:sz w:val="21"/>
          <w:vertAlign w:val="superscript"/>
        </w:rPr>
        <w:t>65</w:t>
      </w:r>
      <w:r>
        <w:rPr>
          <w:rFonts w:ascii="Times New Roman" w:eastAsia="Times New Roman"/>
          <w:spacing w:val="3"/>
          <w:w w:val="110"/>
          <w:sz w:val="21"/>
          <w:vertAlign w:val="baseline"/>
        </w:rPr>
        <w:t>    </w:t>
      </w:r>
      <w:r>
        <w:rPr>
          <w:w w:val="110"/>
          <w:sz w:val="21"/>
          <w:vertAlign w:val="baseline"/>
        </w:rPr>
        <w:t>德國行政訴訟之案件，在一審行政法院，往往即需耗時一至二年；若至三審判決確</w:t>
      </w:r>
      <w:r>
        <w:rPr>
          <w:w w:val="95"/>
          <w:sz w:val="21"/>
          <w:vertAlign w:val="baseline"/>
        </w:rPr>
        <w:t>定 ， 經 常 需 費 時 六 年 時 間 。 參 閱 </w:t>
      </w:r>
      <w:r>
        <w:rPr>
          <w:rFonts w:ascii="Times New Roman" w:eastAsia="Times New Roman"/>
          <w:w w:val="95"/>
          <w:sz w:val="25"/>
          <w:vertAlign w:val="baseline"/>
        </w:rPr>
        <w:t>Br lih </w:t>
      </w:r>
      <w:r>
        <w:rPr>
          <w:rFonts w:ascii="Times New Roman" w:eastAsia="Times New Roman"/>
          <w:spacing w:val="10"/>
          <w:w w:val="95"/>
          <w:sz w:val="25"/>
          <w:vertAlign w:val="baseline"/>
        </w:rPr>
        <w:t>l, </w:t>
      </w:r>
      <w:r>
        <w:rPr>
          <w:rFonts w:ascii="Times New Roman" w:eastAsia="Times New Roman"/>
          <w:w w:val="95"/>
          <w:sz w:val="25"/>
          <w:vertAlign w:val="baseline"/>
        </w:rPr>
        <w:t>Vorlauf iger</w:t>
      </w:r>
      <w:r>
        <w:rPr>
          <w:rFonts w:ascii="Times New Roman" w:eastAsia="Times New Roman"/>
          <w:spacing w:val="1"/>
          <w:w w:val="95"/>
          <w:sz w:val="25"/>
          <w:vertAlign w:val="baseline"/>
        </w:rPr>
        <w:t> </w:t>
      </w:r>
      <w:r>
        <w:rPr>
          <w:rFonts w:ascii="Times New Roman" w:eastAsia="Times New Roman"/>
          <w:w w:val="95"/>
          <w:sz w:val="25"/>
          <w:vertAlign w:val="baseline"/>
        </w:rPr>
        <w:t>Rechtsschutz</w:t>
      </w:r>
      <w:r>
        <w:rPr>
          <w:rFonts w:ascii="Times New Roman" w:eastAsia="Times New Roman"/>
          <w:spacing w:val="1"/>
          <w:w w:val="95"/>
          <w:sz w:val="25"/>
          <w:vertAlign w:val="baseline"/>
        </w:rPr>
        <w:t> </w:t>
      </w:r>
      <w:r>
        <w:rPr>
          <w:rFonts w:ascii="Times New Roman" w:eastAsia="Times New Roman"/>
          <w:w w:val="95"/>
          <w:sz w:val="25"/>
          <w:vertAlign w:val="baseline"/>
        </w:rPr>
        <w:t>im</w:t>
      </w:r>
      <w:r>
        <w:rPr>
          <w:rFonts w:ascii="Times New Roman" w:eastAsia="Times New Roman"/>
          <w:spacing w:val="1"/>
          <w:w w:val="95"/>
          <w:sz w:val="25"/>
          <w:vertAlign w:val="baseline"/>
        </w:rPr>
        <w:t> </w:t>
      </w:r>
      <w:r>
        <w:rPr>
          <w:rFonts w:ascii="Times New Roman" w:eastAsia="Times New Roman"/>
          <w:w w:val="110"/>
          <w:sz w:val="25"/>
          <w:vertAlign w:val="baseline"/>
        </w:rPr>
        <w:t>Verwaltungsstreitverfahren</w:t>
      </w:r>
      <w:r>
        <w:rPr>
          <w:rFonts w:ascii="Times New Roman" w:eastAsia="Times New Roman"/>
          <w:spacing w:val="19"/>
          <w:w w:val="110"/>
          <w:sz w:val="25"/>
          <w:vertAlign w:val="baseline"/>
        </w:rPr>
        <w:t>, </w:t>
      </w:r>
      <w:r>
        <w:rPr>
          <w:rFonts w:ascii="Times New Roman" w:eastAsia="Times New Roman"/>
          <w:w w:val="110"/>
          <w:sz w:val="25"/>
          <w:vertAlign w:val="baseline"/>
        </w:rPr>
        <w:t>JuS</w:t>
      </w:r>
      <w:r>
        <w:rPr>
          <w:rFonts w:ascii="Times New Roman" w:eastAsia="Times New Roman"/>
          <w:spacing w:val="36"/>
          <w:w w:val="110"/>
          <w:sz w:val="25"/>
          <w:vertAlign w:val="baseline"/>
        </w:rPr>
        <w:t> </w:t>
      </w:r>
      <w:r>
        <w:rPr>
          <w:rFonts w:ascii="Times New Roman" w:eastAsia="Times New Roman"/>
          <w:w w:val="110"/>
          <w:sz w:val="25"/>
          <w:vertAlign w:val="baseline"/>
        </w:rPr>
        <w:t>1995,</w:t>
      </w:r>
      <w:r>
        <w:rPr>
          <w:rFonts w:ascii="Times New Roman" w:eastAsia="Times New Roman"/>
          <w:spacing w:val="52"/>
          <w:w w:val="110"/>
          <w:sz w:val="25"/>
          <w:vertAlign w:val="baseline"/>
        </w:rPr>
        <w:t> </w:t>
      </w:r>
      <w:r>
        <w:rPr>
          <w:rFonts w:ascii="Times New Roman" w:eastAsia="Times New Roman"/>
          <w:w w:val="110"/>
          <w:sz w:val="25"/>
          <w:vertAlign w:val="baseline"/>
        </w:rPr>
        <w:t>627.</w:t>
      </w:r>
    </w:p>
    <w:p>
      <w:pPr>
        <w:spacing w:after="0" w:line="264" w:lineRule="auto"/>
        <w:jc w:val="both"/>
        <w:rPr>
          <w:rFonts w:ascii="Times New Roman" w:eastAsia="Times New Roman"/>
          <w:sz w:val="25"/>
        </w:rPr>
        <w:sectPr>
          <w:pgSz w:w="11910" w:h="16840"/>
          <w:pgMar w:header="862" w:footer="1017" w:top="1060" w:bottom="1200" w:left="1120" w:right="1060"/>
        </w:sectPr>
      </w:pPr>
    </w:p>
    <w:p>
      <w:pPr>
        <w:pStyle w:val="BodyText"/>
        <w:rPr>
          <w:rFonts w:ascii="Times New Roman"/>
          <w:sz w:val="20"/>
        </w:rPr>
      </w:pPr>
    </w:p>
    <w:p>
      <w:pPr>
        <w:pStyle w:val="BodyText"/>
        <w:spacing w:line="328" w:lineRule="auto" w:before="206"/>
        <w:ind w:left="313" w:right="517"/>
      </w:pPr>
      <w:r>
        <w:rPr>
          <w:w w:val="110"/>
        </w:rPr>
        <w:t>分之前，競爭者（某甲）如何利用暫時權利保護程序保障其權益，又可分逑如下：</w:t>
      </w:r>
    </w:p>
    <w:p>
      <w:pPr>
        <w:pStyle w:val="BodyText"/>
        <w:spacing w:before="98"/>
        <w:ind w:right="223"/>
        <w:jc w:val="center"/>
      </w:pPr>
      <w:r>
        <w:rPr>
          <w:rFonts w:ascii="Times New Roman" w:eastAsia="Times New Roman"/>
          <w:b/>
          <w:spacing w:val="22"/>
          <w:w w:val="115"/>
          <w:position w:val="-2"/>
          <w:sz w:val="28"/>
        </w:rPr>
        <w:t>(</w:t>
      </w:r>
      <w:r>
        <w:rPr>
          <w:w w:val="115"/>
        </w:rPr>
        <w:t>一</w:t>
      </w:r>
      <w:r>
        <w:rPr>
          <w:rFonts w:ascii="Times New Roman" w:eastAsia="Times New Roman"/>
          <w:b/>
          <w:spacing w:val="-65"/>
          <w:w w:val="115"/>
          <w:position w:val="-2"/>
          <w:sz w:val="28"/>
        </w:rPr>
        <w:t>)</w:t>
      </w:r>
      <w:r>
        <w:rPr>
          <w:w w:val="115"/>
        </w:rPr>
        <w:t>課予義務訴訟作為主訴訟程序</w:t>
      </w:r>
    </w:p>
    <w:p>
      <w:pPr>
        <w:pStyle w:val="BodyText"/>
        <w:spacing w:before="2"/>
        <w:rPr>
          <w:sz w:val="22"/>
        </w:rPr>
      </w:pPr>
    </w:p>
    <w:p>
      <w:pPr>
        <w:pStyle w:val="BodyText"/>
        <w:spacing w:line="326" w:lineRule="auto"/>
        <w:ind w:left="298" w:right="500" w:firstLine="565"/>
        <w:jc w:val="both"/>
      </w:pPr>
      <w:r>
        <w:rPr>
          <w:w w:val="110"/>
        </w:rPr>
        <w:t>職務競爭者（某甲）如已向行政法院提超課予義務訴訟，請求判命人事主管機關任命其為系爭職位之公務員，為防止人事主管機關（被告）於行政法院裁判前，作成任命其他競爭者（某乙）為系爭公職公務員之行政</w:t>
      </w:r>
      <w:r>
        <w:rPr>
          <w:spacing w:val="3"/>
          <w:w w:val="95"/>
        </w:rPr>
        <w:t>處分 ，得 依 行 政法院法第 </w:t>
      </w:r>
      <w:r>
        <w:rPr>
          <w:rFonts w:ascii="Times New Roman" w:eastAsia="Times New Roman"/>
          <w:w w:val="95"/>
          <w:sz w:val="28"/>
        </w:rPr>
        <w:t>123</w:t>
      </w:r>
      <w:r>
        <w:rPr>
          <w:rFonts w:ascii="Times New Roman" w:eastAsia="Times New Roman"/>
          <w:spacing w:val="-3"/>
          <w:w w:val="95"/>
          <w:sz w:val="28"/>
        </w:rPr>
        <w:t> </w:t>
      </w:r>
      <w:r>
        <w:rPr>
          <w:spacing w:val="12"/>
          <w:w w:val="95"/>
        </w:rPr>
        <w:t>條第 </w:t>
      </w:r>
      <w:r>
        <w:rPr>
          <w:rFonts w:ascii="Times New Roman" w:eastAsia="Times New Roman"/>
          <w:w w:val="95"/>
          <w:sz w:val="28"/>
        </w:rPr>
        <w:t>l</w:t>
      </w:r>
      <w:r>
        <w:rPr>
          <w:rFonts w:ascii="Times New Roman" w:eastAsia="Times New Roman"/>
          <w:spacing w:val="64"/>
          <w:w w:val="95"/>
          <w:sz w:val="28"/>
        </w:rPr>
        <w:t> </w:t>
      </w:r>
      <w:r>
        <w:rPr>
          <w:spacing w:val="-8"/>
          <w:w w:val="95"/>
        </w:rPr>
        <w:t>項規定 ， 磬請假處分 ， 請求行政法院</w:t>
      </w:r>
      <w:r>
        <w:rPr>
          <w:w w:val="110"/>
        </w:rPr>
        <w:t>禁止被告機關（人事主管機關）作成任命其他競爭者（某乙）為系爭公職公務員之行政處分。</w:t>
      </w:r>
    </w:p>
    <w:p>
      <w:pPr>
        <w:pStyle w:val="BodyText"/>
        <w:spacing w:before="114"/>
        <w:ind w:right="221"/>
        <w:jc w:val="center"/>
      </w:pPr>
      <w:r>
        <w:rPr>
          <w:rFonts w:ascii="Times New Roman" w:eastAsia="Times New Roman"/>
          <w:b/>
          <w:spacing w:val="10"/>
          <w:w w:val="115"/>
          <w:position w:val="-2"/>
          <w:sz w:val="28"/>
        </w:rPr>
        <w:t>(</w:t>
      </w:r>
      <w:r>
        <w:rPr>
          <w:w w:val="115"/>
        </w:rPr>
        <w:t>二</w:t>
      </w:r>
      <w:r>
        <w:rPr>
          <w:rFonts w:ascii="Times New Roman" w:eastAsia="Times New Roman"/>
          <w:b/>
          <w:spacing w:val="-77"/>
          <w:w w:val="115"/>
          <w:position w:val="-2"/>
          <w:sz w:val="28"/>
        </w:rPr>
        <w:t>)</w:t>
      </w:r>
      <w:r>
        <w:rPr>
          <w:w w:val="115"/>
        </w:rPr>
        <w:t>預先禁止訴訟之暫時椎利保護程序</w:t>
      </w:r>
    </w:p>
    <w:p>
      <w:pPr>
        <w:pStyle w:val="BodyText"/>
        <w:spacing w:before="2"/>
        <w:rPr>
          <w:sz w:val="22"/>
        </w:rPr>
      </w:pPr>
    </w:p>
    <w:p>
      <w:pPr>
        <w:pStyle w:val="BodyText"/>
        <w:spacing w:line="326" w:lineRule="auto"/>
        <w:ind w:left="302" w:right="493" w:firstLine="563"/>
      </w:pPr>
      <w:r>
        <w:rPr>
          <w:w w:val="105"/>
        </w:rPr>
        <w:t>如職務競爭者（某甲）並未向行政法院提超課予義務訴訟，主程序既</w:t>
      </w:r>
      <w:r>
        <w:rPr>
          <w:spacing w:val="104"/>
          <w:w w:val="105"/>
        </w:rPr>
        <w:t> </w:t>
      </w:r>
      <w:r>
        <w:rPr>
          <w:w w:val="105"/>
        </w:rPr>
        <w:t>不存在，自無從逕行依暫時權利保護程序請求保障其権益。且人事主管機 </w:t>
      </w:r>
      <w:r>
        <w:rPr>
          <w:spacing w:val="11"/>
          <w:w w:val="105"/>
        </w:rPr>
        <w:t> </w:t>
      </w:r>
      <w:r>
        <w:rPr>
          <w:w w:val="105"/>
        </w:rPr>
        <w:t>關亦尚未作成任命其他競爭者（例如某乙）為系爭公職公務員之行政處   </w:t>
      </w:r>
      <w:r>
        <w:rPr>
          <w:spacing w:val="11"/>
          <w:w w:val="105"/>
        </w:rPr>
        <w:t> </w:t>
      </w:r>
      <w:r>
        <w:rPr>
          <w:w w:val="105"/>
        </w:rPr>
        <w:t>分，故亦無從提超撒銷訴訟。此際，應由職務競爭者（某甲）先行提超「預</w:t>
      </w:r>
      <w:r>
        <w:rPr>
          <w:spacing w:val="1"/>
          <w:w w:val="105"/>
        </w:rPr>
        <w:t> </w:t>
      </w:r>
      <w:r>
        <w:rPr>
          <w:spacing w:val="8"/>
          <w:w w:val="95"/>
        </w:rPr>
        <w:t>先禁止 訴訟」</w:t>
      </w:r>
      <w:r>
        <w:rPr>
          <w:rFonts w:ascii="Times New Roman" w:eastAsia="Times New Roman"/>
          <w:spacing w:val="2"/>
          <w:w w:val="95"/>
          <w:sz w:val="29"/>
        </w:rPr>
        <w:t>( </w:t>
      </w:r>
      <w:r>
        <w:rPr>
          <w:rFonts w:ascii="Times New Roman" w:eastAsia="Times New Roman"/>
          <w:w w:val="95"/>
          <w:sz w:val="29"/>
        </w:rPr>
        <w:t>vor</w:t>
      </w:r>
      <w:r>
        <w:rPr>
          <w:rFonts w:ascii="Times New Roman" w:eastAsia="Times New Roman"/>
          <w:spacing w:val="35"/>
          <w:w w:val="95"/>
          <w:sz w:val="29"/>
        </w:rPr>
        <w:t> </w:t>
      </w:r>
      <w:r>
        <w:rPr>
          <w:rFonts w:ascii="Times New Roman" w:eastAsia="Times New Roman"/>
          <w:w w:val="95"/>
          <w:sz w:val="29"/>
        </w:rPr>
        <w:t>beugende</w:t>
      </w:r>
      <w:r>
        <w:rPr>
          <w:rFonts w:ascii="Times New Roman" w:eastAsia="Times New Roman"/>
          <w:spacing w:val="101"/>
          <w:sz w:val="29"/>
        </w:rPr>
        <w:t> </w:t>
      </w:r>
      <w:r>
        <w:rPr>
          <w:rFonts w:ascii="Times New Roman" w:eastAsia="Times New Roman"/>
          <w:w w:val="95"/>
          <w:sz w:val="29"/>
        </w:rPr>
        <w:t>Unter</w:t>
      </w:r>
      <w:r>
        <w:rPr>
          <w:rFonts w:ascii="Times New Roman" w:eastAsia="Times New Roman"/>
          <w:spacing w:val="5"/>
          <w:w w:val="95"/>
          <w:sz w:val="29"/>
        </w:rPr>
        <w:t> </w:t>
      </w:r>
      <w:r>
        <w:rPr>
          <w:rFonts w:ascii="Times New Roman" w:eastAsia="Times New Roman"/>
          <w:w w:val="95"/>
          <w:sz w:val="29"/>
        </w:rPr>
        <w:t>lassungs</w:t>
      </w:r>
      <w:r>
        <w:rPr>
          <w:rFonts w:ascii="Times New Roman" w:eastAsia="Times New Roman"/>
          <w:spacing w:val="31"/>
          <w:w w:val="95"/>
          <w:sz w:val="29"/>
        </w:rPr>
        <w:t> </w:t>
      </w:r>
      <w:r>
        <w:rPr>
          <w:rFonts w:ascii="Times New Roman" w:eastAsia="Times New Roman"/>
          <w:w w:val="95"/>
          <w:sz w:val="29"/>
        </w:rPr>
        <w:t>k</w:t>
      </w:r>
      <w:r>
        <w:rPr>
          <w:rFonts w:ascii="Times New Roman" w:eastAsia="Times New Roman"/>
          <w:spacing w:val="-18"/>
          <w:w w:val="95"/>
          <w:sz w:val="29"/>
        </w:rPr>
        <w:t> </w:t>
      </w:r>
      <w:r>
        <w:rPr>
          <w:rFonts w:ascii="Times New Roman" w:eastAsia="Times New Roman"/>
          <w:w w:val="95"/>
          <w:sz w:val="29"/>
        </w:rPr>
        <w:t>lage</w:t>
      </w:r>
      <w:r>
        <w:rPr>
          <w:rFonts w:ascii="Times New Roman" w:eastAsia="Times New Roman"/>
          <w:spacing w:val="13"/>
          <w:w w:val="95"/>
          <w:sz w:val="29"/>
        </w:rPr>
        <w:t> ) </w:t>
      </w:r>
      <w:r>
        <w:rPr>
          <w:spacing w:val="-24"/>
          <w:w w:val="85"/>
        </w:rPr>
        <w:t>， </w:t>
      </w:r>
      <w:r>
        <w:rPr>
          <w:spacing w:val="17"/>
          <w:w w:val="95"/>
        </w:rPr>
        <w:t>請求行政法院預先禁</w:t>
      </w:r>
      <w:r>
        <w:rPr>
          <w:w w:val="105"/>
        </w:rPr>
        <w:t>止被告機關（人事主管機關）作成任命其他競爭者（某乙）為系爭公職公</w:t>
      </w:r>
      <w:r>
        <w:rPr>
          <w:spacing w:val="131"/>
          <w:w w:val="105"/>
        </w:rPr>
        <w:t> </w:t>
      </w:r>
      <w:r>
        <w:rPr>
          <w:spacing w:val="8"/>
          <w:w w:val="95"/>
        </w:rPr>
        <w:t>務員之行 政處分</w:t>
      </w:r>
      <w:r>
        <w:rPr>
          <w:rFonts w:ascii="Times New Roman" w:eastAsia="Times New Roman"/>
          <w:w w:val="85"/>
          <w:sz w:val="16"/>
        </w:rPr>
        <w:t>66</w:t>
      </w:r>
      <w:r>
        <w:rPr>
          <w:rFonts w:ascii="Times New Roman" w:eastAsia="Times New Roman"/>
          <w:spacing w:val="51"/>
          <w:sz w:val="16"/>
        </w:rPr>
        <w:t>  </w:t>
      </w:r>
      <w:r>
        <w:rPr>
          <w:spacing w:val="3"/>
          <w:w w:val="85"/>
        </w:rPr>
        <w:t>。 </w:t>
      </w:r>
      <w:r>
        <w:rPr>
          <w:spacing w:val="11"/>
          <w:w w:val="95"/>
        </w:rPr>
        <w:t>再依行政法院法第 </w:t>
      </w:r>
      <w:r>
        <w:rPr>
          <w:rFonts w:ascii="Times New Roman" w:eastAsia="Times New Roman"/>
          <w:w w:val="95"/>
          <w:sz w:val="28"/>
        </w:rPr>
        <w:t>123</w:t>
      </w:r>
      <w:r>
        <w:rPr>
          <w:rFonts w:ascii="Times New Roman" w:eastAsia="Times New Roman"/>
          <w:spacing w:val="12"/>
          <w:w w:val="95"/>
          <w:sz w:val="28"/>
        </w:rPr>
        <w:t> </w:t>
      </w:r>
      <w:r>
        <w:rPr>
          <w:spacing w:val="22"/>
          <w:w w:val="95"/>
        </w:rPr>
        <w:t>條第 </w:t>
      </w:r>
      <w:r>
        <w:rPr>
          <w:rFonts w:ascii="Times New Roman" w:eastAsia="Times New Roman"/>
          <w:w w:val="95"/>
          <w:sz w:val="28"/>
        </w:rPr>
        <w:t>l</w:t>
      </w:r>
      <w:r>
        <w:rPr>
          <w:rFonts w:ascii="Times New Roman" w:eastAsia="Times New Roman"/>
          <w:spacing w:val="30"/>
          <w:w w:val="95"/>
          <w:sz w:val="28"/>
        </w:rPr>
        <w:t> </w:t>
      </w:r>
      <w:r>
        <w:rPr>
          <w:spacing w:val="13"/>
          <w:w w:val="95"/>
        </w:rPr>
        <w:t>項規定 </w:t>
      </w:r>
      <w:r>
        <w:rPr>
          <w:spacing w:val="-20"/>
          <w:w w:val="85"/>
        </w:rPr>
        <w:t>， </w:t>
      </w:r>
      <w:r>
        <w:rPr>
          <w:spacing w:val="9"/>
          <w:w w:val="95"/>
        </w:rPr>
        <w:t>磬請假處分 </w:t>
      </w:r>
      <w:r>
        <w:rPr>
          <w:w w:val="85"/>
        </w:rPr>
        <w:t>，</w:t>
      </w:r>
      <w:r>
        <w:rPr>
          <w:spacing w:val="1"/>
          <w:w w:val="85"/>
        </w:rPr>
        <w:t> </w:t>
      </w:r>
      <w:r>
        <w:rPr>
          <w:w w:val="105"/>
        </w:rPr>
        <w:t>請求行政法院禁止被告機關（人事主管機關）作成任命其他競爭者（某乙）</w:t>
      </w:r>
      <w:r>
        <w:rPr>
          <w:spacing w:val="1"/>
          <w:w w:val="105"/>
        </w:rPr>
        <w:t> </w:t>
      </w:r>
      <w:r>
        <w:rPr>
          <w:w w:val="105"/>
        </w:rPr>
        <w:t>為系爭公職公務員之行政處分。</w:t>
      </w:r>
    </w:p>
    <w:p>
      <w:pPr>
        <w:pStyle w:val="BodyText"/>
        <w:spacing w:line="331" w:lineRule="auto" w:before="6"/>
        <w:ind w:left="306" w:right="492" w:firstLine="588"/>
        <w:jc w:val="both"/>
      </w:pPr>
      <w:r>
        <w:rPr>
          <w:w w:val="110"/>
        </w:rPr>
        <w:t>乍看之下，以上所提及之兩種程序，其內容似乎相同。然而，職務競爭者（某甲）所提起之預先禁止訴訟，其性質為主訴訟程序；至於之後假處分之磬請，其性質為暫時權利保護程序。預先禁止訴訟（主程序）之目的，在於終局璀定被告機關不得作成任命某乙為系爭公職公務員之行政處分；然而為恐主程序之審理遷延過久，被告機關於訴訟程序進行中作成任命某乙為系爭公職公務員之行政處分，致其權利受損，故仍有依暫時權利保護程序罄請假處分之必要。</w:t>
      </w:r>
    </w:p>
    <w:p>
      <w:pPr>
        <w:pStyle w:val="BodyText"/>
        <w:rPr>
          <w:sz w:val="20"/>
        </w:rPr>
      </w:pPr>
    </w:p>
    <w:p>
      <w:pPr>
        <w:pStyle w:val="BodyText"/>
        <w:rPr>
          <w:sz w:val="20"/>
        </w:rPr>
      </w:pPr>
    </w:p>
    <w:p>
      <w:pPr>
        <w:pStyle w:val="BodyText"/>
        <w:rPr>
          <w:sz w:val="20"/>
        </w:rPr>
      </w:pPr>
    </w:p>
    <w:p>
      <w:pPr>
        <w:pStyle w:val="BodyText"/>
        <w:spacing w:before="11"/>
        <w:rPr>
          <w:sz w:val="13"/>
        </w:rPr>
      </w:pPr>
      <w:r>
        <w:rPr/>
        <w:pict>
          <v:shape style="position:absolute;margin-left:95.174004pt;margin-top:11.121685pt;width:144.25pt;height:.1pt;mso-position-horizontal-relative:page;mso-position-vertical-relative:paragraph;z-index:-15644160;mso-wrap-distance-left:0;mso-wrap-distance-right:0" coordorigin="1903,222" coordsize="2885,0" path="m1903,222l4788,222e" filled="false" stroked="true" strokeweight=".480547pt" strokecolor="#000000">
            <v:path arrowok="t"/>
            <v:stroke dashstyle="solid"/>
            <w10:wrap type="topAndBottom"/>
          </v:shape>
        </w:pict>
      </w:r>
    </w:p>
    <w:p>
      <w:pPr>
        <w:pStyle w:val="BodyText"/>
        <w:spacing w:before="3"/>
        <w:rPr>
          <w:sz w:val="9"/>
        </w:rPr>
      </w:pPr>
    </w:p>
    <w:p>
      <w:pPr>
        <w:pStyle w:val="BodyText"/>
        <w:spacing w:before="90"/>
        <w:ind w:left="298"/>
        <w:rPr>
          <w:rFonts w:ascii="Times New Roman"/>
        </w:rPr>
      </w:pPr>
      <w:r>
        <w:rPr>
          <w:rFonts w:ascii="Times New Roman"/>
          <w:position w:val="8"/>
          <w:sz w:val="13"/>
        </w:rPr>
        <w:t>66</w:t>
      </w:r>
      <w:r>
        <w:rPr>
          <w:rFonts w:ascii="Times New Roman"/>
          <w:spacing w:val="52"/>
          <w:position w:val="8"/>
          <w:sz w:val="13"/>
        </w:rPr>
        <w:t> </w:t>
      </w:r>
      <w:r>
        <w:rPr>
          <w:rFonts w:ascii="Times New Roman"/>
        </w:rPr>
        <w:t>Schoch,</w:t>
      </w:r>
      <w:r>
        <w:rPr>
          <w:rFonts w:ascii="Times New Roman"/>
          <w:spacing w:val="75"/>
        </w:rPr>
        <w:t> </w:t>
      </w:r>
      <w:r>
        <w:rPr>
          <w:rFonts w:ascii="Times New Roman"/>
        </w:rPr>
        <w:t>Vorlauf</w:t>
      </w:r>
      <w:r>
        <w:rPr>
          <w:rFonts w:ascii="Times New Roman"/>
          <w:spacing w:val="28"/>
        </w:rPr>
        <w:t> </w:t>
      </w:r>
      <w:r>
        <w:rPr>
          <w:rFonts w:ascii="Times New Roman"/>
        </w:rPr>
        <w:t>iger</w:t>
      </w:r>
      <w:r>
        <w:rPr>
          <w:rFonts w:ascii="Times New Roman"/>
          <w:spacing w:val="54"/>
        </w:rPr>
        <w:t> </w:t>
      </w:r>
      <w:r>
        <w:rPr>
          <w:rFonts w:ascii="Times New Roman"/>
        </w:rPr>
        <w:t>Rechtsschutz</w:t>
      </w:r>
      <w:r>
        <w:rPr>
          <w:rFonts w:ascii="Times New Roman"/>
          <w:spacing w:val="83"/>
        </w:rPr>
        <w:t> </w:t>
      </w:r>
      <w:r>
        <w:rPr>
          <w:rFonts w:ascii="Times New Roman"/>
        </w:rPr>
        <w:t>und</w:t>
      </w:r>
      <w:r>
        <w:rPr>
          <w:rFonts w:ascii="Times New Roman"/>
          <w:spacing w:val="53"/>
        </w:rPr>
        <w:t> </w:t>
      </w:r>
      <w:r>
        <w:rPr>
          <w:rFonts w:ascii="Times New Roman"/>
        </w:rPr>
        <w:t>Risikovertei</w:t>
      </w:r>
      <w:r>
        <w:rPr>
          <w:rFonts w:ascii="Times New Roman"/>
          <w:spacing w:val="25"/>
        </w:rPr>
        <w:t> </w:t>
      </w:r>
      <w:r>
        <w:rPr>
          <w:rFonts w:ascii="Times New Roman"/>
        </w:rPr>
        <w:t>lung</w:t>
      </w:r>
      <w:r>
        <w:rPr>
          <w:rFonts w:ascii="Times New Roman"/>
          <w:spacing w:val="66"/>
        </w:rPr>
        <w:t> </w:t>
      </w:r>
      <w:r>
        <w:rPr>
          <w:rFonts w:ascii="Times New Roman"/>
        </w:rPr>
        <w:t>im</w:t>
      </w:r>
      <w:r>
        <w:rPr>
          <w:rFonts w:ascii="Times New Roman"/>
          <w:spacing w:val="47"/>
        </w:rPr>
        <w:t> </w:t>
      </w:r>
      <w:r>
        <w:rPr>
          <w:rFonts w:ascii="Times New Roman"/>
        </w:rPr>
        <w:t>Verwal</w:t>
      </w:r>
      <w:r>
        <w:rPr>
          <w:rFonts w:ascii="Times New Roman"/>
          <w:spacing w:val="3"/>
        </w:rPr>
        <w:t> </w:t>
      </w:r>
      <w:r>
        <w:rPr>
          <w:rFonts w:ascii="Times New Roman"/>
        </w:rPr>
        <w:t>tungsrecht,</w:t>
      </w:r>
    </w:p>
    <w:p>
      <w:pPr>
        <w:pStyle w:val="Heading6"/>
        <w:spacing w:before="15"/>
        <w:ind w:left="498"/>
      </w:pPr>
      <w:r>
        <w:rPr/>
        <w:t>1988,</w:t>
      </w:r>
      <w:r>
        <w:rPr>
          <w:spacing w:val="22"/>
        </w:rPr>
        <w:t> </w:t>
      </w:r>
      <w:r>
        <w:rPr/>
        <w:t>S.</w:t>
      </w:r>
      <w:r>
        <w:rPr>
          <w:spacing w:val="22"/>
        </w:rPr>
        <w:t> </w:t>
      </w:r>
      <w:r>
        <w:rPr/>
        <w:t>696.</w:t>
      </w:r>
    </w:p>
    <w:p>
      <w:pPr>
        <w:spacing w:after="0"/>
        <w:sectPr>
          <w:pgSz w:w="11910" w:h="16840"/>
          <w:pgMar w:header="862" w:footer="1017" w:top="1060" w:bottom="1200" w:left="1120" w:right="1060"/>
        </w:sectPr>
      </w:pPr>
    </w:p>
    <w:p>
      <w:pPr>
        <w:pStyle w:val="BodyText"/>
        <w:rPr>
          <w:rFonts w:ascii="Times New Roman"/>
          <w:sz w:val="20"/>
        </w:rPr>
      </w:pPr>
    </w:p>
    <w:p>
      <w:pPr>
        <w:pStyle w:val="BodyText"/>
        <w:spacing w:before="2"/>
        <w:rPr>
          <w:rFonts w:ascii="Times New Roman"/>
          <w:sz w:val="20"/>
        </w:rPr>
      </w:pPr>
    </w:p>
    <w:p>
      <w:pPr>
        <w:pStyle w:val="BodyText"/>
        <w:spacing w:before="65"/>
        <w:ind w:left="827"/>
      </w:pPr>
      <w:r>
        <w:rPr>
          <w:w w:val="115"/>
        </w:rPr>
        <w:t>二人事主管機關任命其他兢爭者為系爭公職公務員以後之暫時椎利</w:t>
      </w:r>
    </w:p>
    <w:p>
      <w:pPr>
        <w:pStyle w:val="BodyText"/>
        <w:spacing w:before="4"/>
        <w:rPr>
          <w:sz w:val="31"/>
        </w:rPr>
      </w:pPr>
    </w:p>
    <w:p>
      <w:pPr>
        <w:pStyle w:val="BodyText"/>
        <w:ind w:left="1266" w:right="549"/>
        <w:jc w:val="center"/>
      </w:pPr>
      <w:r>
        <w:rPr>
          <w:w w:val="110"/>
        </w:rPr>
        <w:t>保護程序</w:t>
      </w:r>
    </w:p>
    <w:p>
      <w:pPr>
        <w:pStyle w:val="BodyText"/>
        <w:spacing w:before="10"/>
      </w:pPr>
    </w:p>
    <w:p>
      <w:pPr>
        <w:pStyle w:val="BodyText"/>
        <w:spacing w:before="65"/>
        <w:ind w:right="307"/>
        <w:jc w:val="center"/>
      </w:pPr>
      <w:r>
        <w:rPr>
          <w:rFonts w:ascii="Times New Roman" w:eastAsia="Times New Roman"/>
          <w:b/>
          <w:spacing w:val="20"/>
          <w:w w:val="110"/>
          <w:position w:val="-3"/>
          <w:sz w:val="28"/>
        </w:rPr>
        <w:t>(</w:t>
      </w:r>
      <w:r>
        <w:rPr>
          <w:w w:val="110"/>
        </w:rPr>
        <w:t>一</w:t>
      </w:r>
      <w:r>
        <w:rPr>
          <w:rFonts w:ascii="Times New Roman" w:eastAsia="Times New Roman"/>
          <w:b/>
          <w:spacing w:val="-71"/>
          <w:w w:val="110"/>
          <w:position w:val="-3"/>
          <w:sz w:val="28"/>
        </w:rPr>
        <w:t>)</w:t>
      </w:r>
      <w:r>
        <w:rPr>
          <w:w w:val="110"/>
        </w:rPr>
        <w:t>行政訴訟之延緩效力</w:t>
      </w:r>
    </w:p>
    <w:p>
      <w:pPr>
        <w:pStyle w:val="BodyText"/>
        <w:spacing w:before="7"/>
        <w:rPr>
          <w:sz w:val="22"/>
        </w:rPr>
      </w:pPr>
    </w:p>
    <w:p>
      <w:pPr>
        <w:pStyle w:val="BodyText"/>
        <w:spacing w:line="324" w:lineRule="auto"/>
        <w:ind w:left="305" w:right="510" w:firstLine="577"/>
      </w:pPr>
      <w:r>
        <w:rPr>
          <w:w w:val="110"/>
        </w:rPr>
        <w:t>人事主管機關任命其他競爭者為系爭公職公務員後，職務競爭者（某甲）為保障其権益，在主程序中，自非提超撤銷訴訟，請求行政法院撤銷人事主管機關任命其他競爭者（某乙）為系爭公職公務員之行政處分不</w:t>
      </w:r>
      <w:r>
        <w:rPr>
          <w:spacing w:val="1"/>
          <w:w w:val="110"/>
        </w:rPr>
        <w:t> </w:t>
      </w:r>
      <w:r>
        <w:rPr>
          <w:w w:val="110"/>
        </w:rPr>
        <w:t>可。至於其暫時權利保護程序，由於人事主管機關已任命其他競爭者（某乙）為系爭公職公務員，已有行政處分存在，因此，所涉及者，為行政法</w:t>
      </w:r>
      <w:r>
        <w:rPr>
          <w:spacing w:val="6"/>
        </w:rPr>
        <w:t>院法第 </w:t>
      </w:r>
      <w:r>
        <w:rPr>
          <w:rFonts w:ascii="Times New Roman" w:eastAsia="Times New Roman"/>
          <w:sz w:val="30"/>
        </w:rPr>
        <w:t>80</w:t>
      </w:r>
      <w:r>
        <w:rPr>
          <w:rFonts w:ascii="Times New Roman" w:eastAsia="Times New Roman"/>
          <w:spacing w:val="12"/>
          <w:sz w:val="30"/>
        </w:rPr>
        <w:t> </w:t>
      </w:r>
      <w:r>
        <w:rPr/>
        <w:t>條行政訴訟中行 政處分是否停 止執行之問題 。</w:t>
      </w:r>
    </w:p>
    <w:p>
      <w:pPr>
        <w:pStyle w:val="BodyText"/>
        <w:spacing w:line="319" w:lineRule="auto" w:before="5"/>
        <w:ind w:left="299" w:right="525" w:firstLine="578"/>
      </w:pPr>
      <w:r>
        <w:rPr/>
        <w:t>我國行政訴訟法關於行政處分是否因提超行政訴訟而停止執行之問     </w:t>
      </w:r>
      <w:r>
        <w:rPr>
          <w:spacing w:val="79"/>
        </w:rPr>
        <w:t> </w:t>
      </w:r>
      <w:r>
        <w:rPr>
          <w:spacing w:val="-15"/>
        </w:rPr>
        <w:t>題 </w:t>
      </w:r>
      <w:r>
        <w:rPr>
          <w:spacing w:val="-35"/>
          <w:w w:val="90"/>
        </w:rPr>
        <w:t>， </w:t>
      </w:r>
      <w:r>
        <w:rPr>
          <w:spacing w:val="-2"/>
        </w:rPr>
        <w:t>係採「不停 止執行 」之原則 </w:t>
      </w:r>
      <w:r>
        <w:rPr>
          <w:spacing w:val="-37"/>
          <w:w w:val="90"/>
        </w:rPr>
        <w:t>， </w:t>
      </w:r>
      <w:r>
        <w:rPr>
          <w:spacing w:val="5"/>
        </w:rPr>
        <w:t>與德國行 政法院法第 </w:t>
      </w:r>
      <w:r>
        <w:rPr>
          <w:rFonts w:ascii="Times New Roman" w:eastAsia="Times New Roman"/>
          <w:sz w:val="30"/>
        </w:rPr>
        <w:t>80</w:t>
      </w:r>
      <w:r>
        <w:rPr>
          <w:rFonts w:ascii="Times New Roman" w:eastAsia="Times New Roman"/>
          <w:spacing w:val="16"/>
          <w:sz w:val="30"/>
        </w:rPr>
        <w:t> </w:t>
      </w:r>
      <w:r>
        <w:rPr>
          <w:spacing w:val="10"/>
        </w:rPr>
        <w:t>條係採「停止</w:t>
      </w:r>
      <w:r>
        <w:rPr>
          <w:spacing w:val="11"/>
          <w:w w:val="95"/>
        </w:rPr>
        <w:t>執行」之原則不同 。依德國行 政法院法第 </w:t>
      </w:r>
      <w:r>
        <w:rPr>
          <w:rFonts w:ascii="Times New Roman" w:eastAsia="Times New Roman"/>
          <w:w w:val="95"/>
          <w:sz w:val="30"/>
        </w:rPr>
        <w:t>80</w:t>
      </w:r>
      <w:r>
        <w:rPr>
          <w:rFonts w:ascii="Times New Roman" w:eastAsia="Times New Roman"/>
          <w:spacing w:val="40"/>
          <w:w w:val="95"/>
          <w:sz w:val="30"/>
        </w:rPr>
        <w:t> </w:t>
      </w:r>
      <w:r>
        <w:rPr>
          <w:spacing w:val="24"/>
          <w:w w:val="95"/>
        </w:rPr>
        <w:t>條第 </w:t>
      </w:r>
      <w:r>
        <w:rPr>
          <w:rFonts w:ascii="Times New Roman" w:eastAsia="Times New Roman"/>
          <w:w w:val="95"/>
          <w:sz w:val="30"/>
        </w:rPr>
        <w:t>l</w:t>
      </w:r>
      <w:r>
        <w:rPr>
          <w:rFonts w:ascii="Times New Roman" w:eastAsia="Times New Roman"/>
          <w:spacing w:val="21"/>
          <w:w w:val="95"/>
          <w:sz w:val="30"/>
        </w:rPr>
        <w:t> </w:t>
      </w:r>
      <w:r>
        <w:rPr>
          <w:spacing w:val="13"/>
          <w:w w:val="95"/>
        </w:rPr>
        <w:t>項規定 </w:t>
      </w:r>
      <w:r>
        <w:rPr>
          <w:w w:val="90"/>
        </w:rPr>
        <w:t>，提</w:t>
      </w:r>
      <w:r>
        <w:rPr>
          <w:spacing w:val="105"/>
        </w:rPr>
        <w:t> </w:t>
      </w:r>
      <w:r>
        <w:rPr>
          <w:spacing w:val="6"/>
          <w:w w:val="95"/>
        </w:rPr>
        <w:t>超訴願及</w:t>
      </w:r>
      <w:r>
        <w:rPr>
          <w:spacing w:val="12"/>
        </w:rPr>
        <w:t>撤銷訴訟有延緩行政處分執行之效力</w:t>
      </w:r>
      <w:r>
        <w:rPr/>
        <w:t>（</w:t>
      </w:r>
      <w:r>
        <w:rPr>
          <w:spacing w:val="-5"/>
        </w:rPr>
        <w:t> 即「延緩效力」； </w:t>
      </w:r>
      <w:r>
        <w:rPr>
          <w:rFonts w:ascii="Times New Roman" w:eastAsia="Times New Roman"/>
          <w:sz w:val="27"/>
        </w:rPr>
        <w:t>auf</w:t>
      </w:r>
      <w:r>
        <w:rPr>
          <w:rFonts w:ascii="Times New Roman" w:eastAsia="Times New Roman"/>
          <w:spacing w:val="67"/>
          <w:sz w:val="27"/>
        </w:rPr>
        <w:t> </w:t>
      </w:r>
      <w:r>
        <w:rPr>
          <w:rFonts w:ascii="Times New Roman" w:eastAsia="Times New Roman"/>
          <w:sz w:val="27"/>
        </w:rPr>
        <w:t>s </w:t>
      </w:r>
      <w:r>
        <w:rPr>
          <w:rFonts w:ascii="Times New Roman" w:eastAsia="Times New Roman"/>
          <w:spacing w:val="19"/>
          <w:sz w:val="27"/>
        </w:rPr>
        <w:t>chi </w:t>
      </w:r>
      <w:r>
        <w:rPr>
          <w:rFonts w:ascii="Times New Roman" w:eastAsia="Times New Roman"/>
          <w:sz w:val="27"/>
        </w:rPr>
        <w:t>ebende</w:t>
      </w:r>
      <w:r>
        <w:rPr>
          <w:rFonts w:ascii="Times New Roman" w:eastAsia="Times New Roman"/>
          <w:spacing w:val="1"/>
          <w:sz w:val="27"/>
        </w:rPr>
        <w:t> </w:t>
      </w:r>
      <w:r>
        <w:rPr>
          <w:rFonts w:ascii="Times New Roman" w:eastAsia="Times New Roman"/>
          <w:w w:val="90"/>
          <w:sz w:val="27"/>
        </w:rPr>
        <w:t>Wi</w:t>
      </w:r>
      <w:r>
        <w:rPr>
          <w:rFonts w:ascii="Times New Roman" w:eastAsia="Times New Roman"/>
          <w:spacing w:val="34"/>
          <w:w w:val="90"/>
          <w:sz w:val="27"/>
        </w:rPr>
        <w:t> </w:t>
      </w:r>
      <w:r>
        <w:rPr>
          <w:rFonts w:ascii="Times New Roman" w:eastAsia="Times New Roman"/>
          <w:w w:val="90"/>
          <w:sz w:val="27"/>
        </w:rPr>
        <w:t>r</w:t>
      </w:r>
      <w:r>
        <w:rPr>
          <w:rFonts w:ascii="Times New Roman" w:eastAsia="Times New Roman"/>
          <w:spacing w:val="52"/>
          <w:w w:val="90"/>
          <w:sz w:val="27"/>
        </w:rPr>
        <w:t> </w:t>
      </w:r>
      <w:r>
        <w:rPr>
          <w:rFonts w:ascii="Times New Roman" w:eastAsia="Times New Roman"/>
          <w:w w:val="95"/>
          <w:sz w:val="27"/>
        </w:rPr>
        <w:t>kung</w:t>
      </w:r>
      <w:r>
        <w:rPr>
          <w:rFonts w:ascii="Times New Roman" w:eastAsia="Times New Roman"/>
          <w:spacing w:val="24"/>
          <w:w w:val="95"/>
          <w:sz w:val="27"/>
        </w:rPr>
        <w:t> ) </w:t>
      </w:r>
      <w:r>
        <w:rPr>
          <w:spacing w:val="11"/>
          <w:w w:val="95"/>
        </w:rPr>
        <w:t>。該條第 </w:t>
      </w:r>
      <w:r>
        <w:rPr>
          <w:rFonts w:ascii="Times New Roman" w:eastAsia="Times New Roman"/>
          <w:w w:val="95"/>
          <w:sz w:val="27"/>
        </w:rPr>
        <w:t>2</w:t>
      </w:r>
      <w:r>
        <w:rPr>
          <w:rFonts w:ascii="Times New Roman" w:eastAsia="Times New Roman"/>
          <w:spacing w:val="45"/>
          <w:w w:val="95"/>
          <w:sz w:val="27"/>
        </w:rPr>
        <w:t> </w:t>
      </w:r>
      <w:r>
        <w:rPr>
          <w:spacing w:val="13"/>
          <w:w w:val="95"/>
        </w:rPr>
        <w:t>項則規定得不停 止執行之例外情形 </w:t>
      </w:r>
      <w:r>
        <w:rPr>
          <w:spacing w:val="-40"/>
          <w:w w:val="90"/>
        </w:rPr>
        <w:t>， </w:t>
      </w:r>
      <w:r>
        <w:rPr>
          <w:spacing w:val="6"/>
          <w:w w:val="95"/>
        </w:rPr>
        <w:t>如：公法上之租</w:t>
      </w:r>
      <w:r>
        <w:rPr/>
        <w:t>稅及規費、警察執行官之不具延後效力之命令及措花、其他聯邦或各邦之    </w:t>
      </w:r>
      <w:r>
        <w:rPr>
          <w:spacing w:val="32"/>
        </w:rPr>
        <w:t> </w:t>
      </w:r>
      <w:r>
        <w:rPr/>
        <w:t>特別規定及即時強制等處分。</w:t>
      </w:r>
    </w:p>
    <w:p>
      <w:pPr>
        <w:spacing w:after="0" w:line="319" w:lineRule="auto"/>
        <w:sectPr>
          <w:headerReference w:type="default" r:id="rId306"/>
          <w:footerReference w:type="default" r:id="rId307"/>
          <w:pgSz w:w="11910" w:h="16840"/>
          <w:pgMar w:header="862" w:footer="1196" w:top="1060" w:bottom="1380" w:left="1120" w:right="1060"/>
        </w:sectPr>
      </w:pPr>
    </w:p>
    <w:p>
      <w:pPr>
        <w:spacing w:before="118"/>
        <w:ind w:left="0" w:right="0" w:firstLine="0"/>
        <w:jc w:val="right"/>
        <w:rPr>
          <w:rFonts w:ascii="Times New Roman" w:hAnsi="Times New Roman" w:eastAsia="Times New Roman"/>
          <w:b/>
          <w:sz w:val="28"/>
        </w:rPr>
      </w:pPr>
      <w:r>
        <w:rPr>
          <w:rFonts w:ascii="Times New Roman" w:hAnsi="Times New Roman" w:eastAsia="Times New Roman"/>
          <w:b/>
          <w:spacing w:val="13"/>
          <w:w w:val="100"/>
          <w:position w:val="-1"/>
          <w:sz w:val="28"/>
        </w:rPr>
        <w:t>(</w:t>
      </w:r>
      <w:r>
        <w:rPr>
          <w:w w:val="103"/>
          <w:sz w:val="25"/>
        </w:rPr>
        <w:t>二</w:t>
      </w:r>
      <w:r>
        <w:rPr>
          <w:spacing w:val="-249"/>
          <w:w w:val="103"/>
          <w:sz w:val="25"/>
        </w:rPr>
        <w:t>·</w:t>
      </w:r>
      <w:r>
        <w:rPr>
          <w:rFonts w:ascii="Times New Roman" w:hAnsi="Times New Roman" w:eastAsia="Times New Roman"/>
          <w:b/>
          <w:w w:val="100"/>
          <w:position w:val="-1"/>
          <w:sz w:val="28"/>
        </w:rPr>
        <w:t>)</w:t>
      </w:r>
    </w:p>
    <w:p>
      <w:pPr>
        <w:pStyle w:val="BodyText"/>
        <w:spacing w:before="118"/>
        <w:ind w:left="115"/>
      </w:pPr>
      <w:r>
        <w:rPr/>
        <w:br w:type="column"/>
      </w:r>
      <w:r>
        <w:rPr/>
        <w:t>延緩效力之內容</w:t>
      </w:r>
    </w:p>
    <w:p>
      <w:pPr>
        <w:spacing w:after="0"/>
        <w:sectPr>
          <w:type w:val="continuous"/>
          <w:pgSz w:w="11910" w:h="16840"/>
          <w:pgMar w:top="1020" w:bottom="280" w:left="1120" w:right="1060"/>
          <w:cols w:num="2" w:equalWidth="0">
            <w:col w:w="3986" w:space="40"/>
            <w:col w:w="5704"/>
          </w:cols>
        </w:sectPr>
      </w:pPr>
    </w:p>
    <w:p>
      <w:pPr>
        <w:pStyle w:val="BodyText"/>
        <w:spacing w:before="7"/>
        <w:rPr>
          <w:sz w:val="17"/>
        </w:rPr>
      </w:pPr>
    </w:p>
    <w:p>
      <w:pPr>
        <w:pStyle w:val="BodyText"/>
        <w:spacing w:line="324" w:lineRule="auto" w:before="65"/>
        <w:ind w:left="301" w:right="509" w:firstLine="576"/>
      </w:pPr>
      <w:r>
        <w:rPr>
          <w:w w:val="105"/>
        </w:rPr>
        <w:t>其次，行政法院認為具備法定要件而裁定停止行政處分之執行時，該</w:t>
      </w:r>
      <w:r>
        <w:rPr>
          <w:spacing w:val="73"/>
          <w:w w:val="105"/>
        </w:rPr>
        <w:t> </w:t>
      </w:r>
      <w:r>
        <w:rPr>
          <w:spacing w:val="12"/>
        </w:rPr>
        <w:t>停止執行裁定之具體效力如何 </w:t>
      </w:r>
      <w:r>
        <w:rPr>
          <w:spacing w:val="-21"/>
          <w:w w:val="80"/>
        </w:rPr>
        <w:t>， </w:t>
      </w:r>
      <w:r>
        <w:rPr>
          <w:spacing w:val="-7"/>
        </w:rPr>
        <w:t>亦有爭 議</w:t>
      </w:r>
      <w:r>
        <w:rPr>
          <w:rFonts w:ascii="Times New Roman" w:eastAsia="Times New Roman"/>
          <w:w w:val="80"/>
          <w:sz w:val="16"/>
        </w:rPr>
        <w:t>67</w:t>
      </w:r>
      <w:r>
        <w:rPr>
          <w:rFonts w:ascii="Times New Roman" w:eastAsia="Times New Roman"/>
          <w:spacing w:val="51"/>
          <w:sz w:val="16"/>
        </w:rPr>
        <w:t>  </w:t>
      </w:r>
      <w:r>
        <w:rPr>
          <w:w w:val="80"/>
        </w:rPr>
        <w:t>。</w:t>
      </w:r>
    </w:p>
    <w:p>
      <w:pPr>
        <w:pStyle w:val="ListParagraph"/>
        <w:numPr>
          <w:ilvl w:val="1"/>
          <w:numId w:val="2"/>
        </w:numPr>
        <w:tabs>
          <w:tab w:pos="1149" w:val="left" w:leader="none"/>
        </w:tabs>
        <w:spacing w:line="240" w:lineRule="auto" w:before="90" w:after="0"/>
        <w:ind w:left="1148" w:right="0" w:hanging="372"/>
        <w:jc w:val="left"/>
        <w:rPr>
          <w:rFonts w:ascii="Times New Roman" w:eastAsia="Times New Roman"/>
          <w:sz w:val="30"/>
        </w:rPr>
      </w:pPr>
      <w:r>
        <w:rPr>
          <w:spacing w:val="15"/>
          <w:w w:val="95"/>
          <w:sz w:val="25"/>
        </w:rPr>
        <w:t>執行暐礙說 </w:t>
      </w:r>
      <w:r>
        <w:rPr>
          <w:rFonts w:ascii="Times New Roman" w:eastAsia="Times New Roman"/>
          <w:spacing w:val="-2"/>
          <w:w w:val="95"/>
          <w:sz w:val="27"/>
        </w:rPr>
        <w:t>( </w:t>
      </w:r>
      <w:r>
        <w:rPr>
          <w:rFonts w:ascii="Times New Roman" w:eastAsia="Times New Roman"/>
          <w:w w:val="95"/>
          <w:sz w:val="27"/>
        </w:rPr>
        <w:t>Vo</w:t>
      </w:r>
      <w:r>
        <w:rPr>
          <w:rFonts w:ascii="Times New Roman" w:eastAsia="Times New Roman"/>
          <w:spacing w:val="5"/>
          <w:w w:val="95"/>
          <w:sz w:val="27"/>
        </w:rPr>
        <w:t> </w:t>
      </w:r>
      <w:r>
        <w:rPr>
          <w:rFonts w:ascii="Times New Roman" w:eastAsia="Times New Roman"/>
          <w:w w:val="95"/>
          <w:sz w:val="27"/>
        </w:rPr>
        <w:t>l</w:t>
      </w:r>
      <w:r>
        <w:rPr>
          <w:rFonts w:ascii="Times New Roman" w:eastAsia="Times New Roman"/>
          <w:spacing w:val="34"/>
          <w:w w:val="95"/>
          <w:sz w:val="27"/>
        </w:rPr>
        <w:t> </w:t>
      </w:r>
      <w:r>
        <w:rPr>
          <w:rFonts w:ascii="Times New Roman" w:eastAsia="Times New Roman"/>
          <w:w w:val="95"/>
          <w:sz w:val="27"/>
        </w:rPr>
        <w:t>l z</w:t>
      </w:r>
      <w:r>
        <w:rPr>
          <w:rFonts w:ascii="Times New Roman" w:eastAsia="Times New Roman"/>
          <w:spacing w:val="16"/>
          <w:w w:val="95"/>
          <w:sz w:val="27"/>
        </w:rPr>
        <w:t> </w:t>
      </w:r>
      <w:r>
        <w:rPr>
          <w:rFonts w:ascii="Times New Roman" w:eastAsia="Times New Roman"/>
          <w:w w:val="95"/>
          <w:sz w:val="27"/>
        </w:rPr>
        <w:t>i</w:t>
      </w:r>
      <w:r>
        <w:rPr>
          <w:rFonts w:ascii="Times New Roman" w:eastAsia="Times New Roman"/>
          <w:spacing w:val="5"/>
          <w:w w:val="95"/>
          <w:sz w:val="27"/>
        </w:rPr>
        <w:t> </w:t>
      </w:r>
      <w:r>
        <w:rPr>
          <w:rFonts w:ascii="Times New Roman" w:eastAsia="Times New Roman"/>
          <w:w w:val="95"/>
          <w:sz w:val="27"/>
        </w:rPr>
        <w:t>e</w:t>
      </w:r>
      <w:r>
        <w:rPr>
          <w:rFonts w:ascii="Times New Roman" w:eastAsia="Times New Roman"/>
          <w:spacing w:val="-9"/>
          <w:w w:val="95"/>
          <w:sz w:val="27"/>
        </w:rPr>
        <w:t> </w:t>
      </w:r>
      <w:r>
        <w:rPr>
          <w:rFonts w:ascii="Times New Roman" w:eastAsia="Times New Roman"/>
          <w:w w:val="95"/>
          <w:sz w:val="27"/>
        </w:rPr>
        <w:t>hbar</w:t>
      </w:r>
      <w:r>
        <w:rPr>
          <w:rFonts w:ascii="Times New Roman" w:eastAsia="Times New Roman"/>
          <w:spacing w:val="-15"/>
          <w:w w:val="95"/>
          <w:sz w:val="27"/>
        </w:rPr>
        <w:t> </w:t>
      </w:r>
      <w:r>
        <w:rPr>
          <w:rFonts w:ascii="Times New Roman" w:eastAsia="Times New Roman"/>
          <w:w w:val="95"/>
          <w:sz w:val="27"/>
        </w:rPr>
        <w:t>ke</w:t>
      </w:r>
      <w:r>
        <w:rPr>
          <w:rFonts w:ascii="Times New Roman" w:eastAsia="Times New Roman"/>
          <w:spacing w:val="-8"/>
          <w:w w:val="95"/>
          <w:sz w:val="27"/>
        </w:rPr>
        <w:t> </w:t>
      </w:r>
      <w:r>
        <w:rPr>
          <w:rFonts w:ascii="Times New Roman" w:eastAsia="Times New Roman"/>
          <w:w w:val="95"/>
          <w:sz w:val="27"/>
        </w:rPr>
        <w:t>i</w:t>
      </w:r>
      <w:r>
        <w:rPr>
          <w:rFonts w:ascii="Times New Roman" w:eastAsia="Times New Roman"/>
          <w:spacing w:val="-3"/>
          <w:w w:val="95"/>
          <w:sz w:val="27"/>
        </w:rPr>
        <w:t> </w:t>
      </w:r>
      <w:r>
        <w:rPr>
          <w:rFonts w:ascii="Times New Roman" w:eastAsia="Times New Roman"/>
          <w:w w:val="95"/>
          <w:sz w:val="27"/>
        </w:rPr>
        <w:t>t</w:t>
      </w:r>
      <w:r>
        <w:rPr>
          <w:rFonts w:ascii="Times New Roman" w:eastAsia="Times New Roman"/>
          <w:spacing w:val="-10"/>
          <w:w w:val="95"/>
          <w:sz w:val="27"/>
        </w:rPr>
        <w:t> </w:t>
      </w:r>
      <w:r>
        <w:rPr>
          <w:rFonts w:ascii="Times New Roman" w:eastAsia="Times New Roman"/>
          <w:w w:val="95"/>
          <w:sz w:val="27"/>
        </w:rPr>
        <w:t>s</w:t>
      </w:r>
      <w:r>
        <w:rPr>
          <w:rFonts w:ascii="Times New Roman" w:eastAsia="Times New Roman"/>
          <w:spacing w:val="-8"/>
          <w:w w:val="95"/>
          <w:sz w:val="27"/>
        </w:rPr>
        <w:t> </w:t>
      </w:r>
      <w:r>
        <w:rPr>
          <w:rFonts w:ascii="Times New Roman" w:eastAsia="Times New Roman"/>
          <w:w w:val="95"/>
          <w:sz w:val="27"/>
        </w:rPr>
        <w:t>t</w:t>
      </w:r>
      <w:r>
        <w:rPr>
          <w:rFonts w:ascii="Times New Roman" w:eastAsia="Times New Roman"/>
          <w:spacing w:val="-2"/>
          <w:w w:val="95"/>
          <w:sz w:val="27"/>
        </w:rPr>
        <w:t> </w:t>
      </w:r>
      <w:r>
        <w:rPr>
          <w:rFonts w:ascii="Times New Roman" w:eastAsia="Times New Roman"/>
          <w:w w:val="95"/>
          <w:sz w:val="27"/>
        </w:rPr>
        <w:t>heor</w:t>
      </w:r>
      <w:r>
        <w:rPr>
          <w:rFonts w:ascii="Times New Roman" w:eastAsia="Times New Roman"/>
          <w:spacing w:val="28"/>
          <w:w w:val="95"/>
          <w:sz w:val="27"/>
        </w:rPr>
        <w:t> </w:t>
      </w:r>
      <w:r>
        <w:rPr>
          <w:rFonts w:ascii="Times New Roman" w:eastAsia="Times New Roman"/>
          <w:w w:val="95"/>
          <w:sz w:val="27"/>
        </w:rPr>
        <w:t>i</w:t>
      </w:r>
      <w:r>
        <w:rPr>
          <w:rFonts w:ascii="Times New Roman" w:eastAsia="Times New Roman"/>
          <w:spacing w:val="-26"/>
          <w:w w:val="95"/>
          <w:sz w:val="27"/>
        </w:rPr>
        <w:t> </w:t>
      </w:r>
      <w:r>
        <w:rPr>
          <w:rFonts w:ascii="Times New Roman" w:eastAsia="Times New Roman"/>
          <w:w w:val="95"/>
          <w:sz w:val="27"/>
        </w:rPr>
        <w:t>e</w:t>
      </w:r>
      <w:r>
        <w:rPr>
          <w:rFonts w:ascii="Times New Roman" w:eastAsia="Times New Roman"/>
          <w:spacing w:val="1"/>
          <w:w w:val="95"/>
          <w:sz w:val="27"/>
        </w:rPr>
        <w:t> )</w:t>
      </w:r>
    </w:p>
    <w:p>
      <w:pPr>
        <w:pStyle w:val="BodyText"/>
        <w:spacing w:before="1"/>
        <w:rPr>
          <w:rFonts w:ascii="Times New Roman"/>
          <w:sz w:val="26"/>
        </w:rPr>
      </w:pPr>
    </w:p>
    <w:p>
      <w:pPr>
        <w:pStyle w:val="BodyText"/>
        <w:spacing w:line="328" w:lineRule="auto"/>
        <w:ind w:left="307" w:right="500" w:firstLine="579"/>
      </w:pPr>
      <w:r>
        <w:rPr>
          <w:w w:val="110"/>
        </w:rPr>
        <w:t>主張執行障礙說者，認為所謂延緩效力，其具體內容係指行政處分之</w:t>
      </w:r>
      <w:r>
        <w:rPr>
          <w:spacing w:val="5"/>
        </w:rPr>
        <w:t>執行障礙 </w:t>
      </w:r>
      <w:r>
        <w:rPr>
          <w:rFonts w:ascii="Times New Roman" w:eastAsia="Times New Roman"/>
          <w:spacing w:val="-6"/>
          <w:sz w:val="27"/>
        </w:rPr>
        <w:t>( </w:t>
      </w:r>
      <w:r>
        <w:rPr>
          <w:rFonts w:ascii="Times New Roman" w:eastAsia="Times New Roman"/>
          <w:sz w:val="27"/>
        </w:rPr>
        <w:t>Vo11zugs</w:t>
      </w:r>
      <w:r>
        <w:rPr>
          <w:rFonts w:ascii="Times New Roman" w:eastAsia="Times New Roman"/>
          <w:spacing w:val="-17"/>
          <w:sz w:val="27"/>
        </w:rPr>
        <w:t> </w:t>
      </w:r>
      <w:r>
        <w:rPr>
          <w:rFonts w:ascii="Times New Roman" w:eastAsia="Times New Roman"/>
          <w:sz w:val="27"/>
        </w:rPr>
        <w:t>hemmung</w:t>
      </w:r>
      <w:r>
        <w:rPr>
          <w:rFonts w:ascii="Times New Roman" w:eastAsia="Times New Roman"/>
          <w:spacing w:val="12"/>
          <w:sz w:val="27"/>
        </w:rPr>
        <w:t> ) </w:t>
      </w:r>
      <w:r>
        <w:rPr>
          <w:spacing w:val="-8"/>
        </w:rPr>
        <w:t>而言 。換言之 ， 噹行 政法院認為法定要件</w:t>
      </w:r>
      <w:r>
        <w:rPr>
          <w:w w:val="110"/>
        </w:rPr>
        <w:t>具備，賦予行政訴訟程序延緩效力時，對於系爭行政處分本身之效力並無影響（行政處分仍有完全之效力），僅阻斷一切執行該行政處分之措施。</w:t>
      </w:r>
    </w:p>
    <w:p>
      <w:pPr>
        <w:pStyle w:val="BodyText"/>
        <w:spacing w:before="1"/>
        <w:ind w:left="887"/>
      </w:pPr>
      <w:r>
        <w:rPr>
          <w:w w:val="110"/>
        </w:rPr>
        <w:t>主張執行障礙說者，其主要之依據，係相關法條之文義解釋。蓋德國</w:t>
      </w:r>
    </w:p>
    <w:p>
      <w:pPr>
        <w:pStyle w:val="BodyText"/>
        <w:rPr>
          <w:sz w:val="20"/>
        </w:rPr>
      </w:pPr>
    </w:p>
    <w:p>
      <w:pPr>
        <w:pStyle w:val="BodyText"/>
        <w:rPr>
          <w:sz w:val="20"/>
        </w:rPr>
      </w:pPr>
    </w:p>
    <w:p>
      <w:pPr>
        <w:pStyle w:val="BodyText"/>
        <w:spacing w:before="3"/>
        <w:rPr>
          <w:sz w:val="28"/>
        </w:rPr>
      </w:pPr>
    </w:p>
    <w:p>
      <w:pPr>
        <w:tabs>
          <w:tab w:pos="692" w:val="left" w:leader="none"/>
        </w:tabs>
        <w:spacing w:line="271" w:lineRule="auto" w:before="91"/>
        <w:ind w:left="507" w:right="620" w:hanging="209"/>
        <w:jc w:val="left"/>
        <w:rPr>
          <w:rFonts w:ascii="Arial" w:eastAsia="Arial"/>
          <w:sz w:val="24"/>
        </w:rPr>
      </w:pPr>
      <w:r>
        <w:rPr>
          <w:rFonts w:ascii="Times New Roman" w:eastAsia="Times New Roman"/>
          <w:w w:val="105"/>
          <w:position w:val="7"/>
          <w:sz w:val="13"/>
        </w:rPr>
        <w:t>67</w:t>
        <w:tab/>
        <w:tab/>
      </w:r>
      <w:r>
        <w:rPr>
          <w:spacing w:val="-1"/>
          <w:w w:val="95"/>
          <w:sz w:val="21"/>
        </w:rPr>
        <w:t>有 關 提 超 行 政 訴 訟 所 生 延 緩 效 力 效 果 之 爭 議 ， 參 閱 </w:t>
      </w:r>
      <w:r>
        <w:rPr>
          <w:rFonts w:ascii="Times New Roman" w:eastAsia="Times New Roman"/>
          <w:w w:val="95"/>
          <w:sz w:val="24"/>
        </w:rPr>
        <w:t>Wur</w:t>
      </w:r>
      <w:r>
        <w:rPr>
          <w:rFonts w:ascii="Times New Roman" w:eastAsia="Times New Roman"/>
          <w:spacing w:val="4"/>
          <w:w w:val="95"/>
          <w:sz w:val="24"/>
        </w:rPr>
        <w:t> </w:t>
      </w:r>
      <w:r>
        <w:rPr>
          <w:rFonts w:ascii="Times New Roman" w:eastAsia="Times New Roman"/>
          <w:w w:val="95"/>
          <w:sz w:val="24"/>
        </w:rPr>
        <w:t>t</w:t>
      </w:r>
      <w:r>
        <w:rPr>
          <w:rFonts w:ascii="Times New Roman" w:eastAsia="Times New Roman"/>
          <w:spacing w:val="-9"/>
          <w:w w:val="95"/>
          <w:sz w:val="24"/>
        </w:rPr>
        <w:t> </w:t>
      </w:r>
      <w:r>
        <w:rPr>
          <w:rFonts w:ascii="Times New Roman" w:eastAsia="Times New Roman"/>
          <w:w w:val="95"/>
          <w:sz w:val="24"/>
        </w:rPr>
        <w:t>enber</w:t>
      </w:r>
      <w:r>
        <w:rPr>
          <w:rFonts w:ascii="Times New Roman" w:eastAsia="Times New Roman"/>
          <w:spacing w:val="42"/>
          <w:w w:val="95"/>
          <w:sz w:val="24"/>
        </w:rPr>
        <w:t> </w:t>
      </w:r>
      <w:r>
        <w:rPr>
          <w:rFonts w:ascii="Times New Roman" w:eastAsia="Times New Roman"/>
          <w:w w:val="95"/>
          <w:sz w:val="24"/>
        </w:rPr>
        <w:t>ger,</w:t>
      </w:r>
      <w:r>
        <w:rPr>
          <w:rFonts w:ascii="Times New Roman" w:eastAsia="Times New Roman"/>
          <w:spacing w:val="-54"/>
          <w:w w:val="95"/>
          <w:sz w:val="24"/>
        </w:rPr>
        <w:t> </w:t>
      </w:r>
      <w:r>
        <w:rPr>
          <w:rFonts w:ascii="Times New Roman" w:eastAsia="Times New Roman"/>
          <w:w w:val="105"/>
          <w:sz w:val="24"/>
        </w:rPr>
        <w:t>Verwal</w:t>
      </w:r>
      <w:r>
        <w:rPr>
          <w:rFonts w:ascii="Times New Roman" w:eastAsia="Times New Roman"/>
          <w:spacing w:val="-12"/>
          <w:w w:val="105"/>
          <w:sz w:val="24"/>
        </w:rPr>
        <w:t> </w:t>
      </w:r>
      <w:r>
        <w:rPr>
          <w:rFonts w:ascii="Times New Roman" w:eastAsia="Times New Roman"/>
          <w:w w:val="105"/>
          <w:sz w:val="24"/>
        </w:rPr>
        <w:t>tungsprozessrecht</w:t>
      </w:r>
      <w:r>
        <w:rPr>
          <w:rFonts w:ascii="Times New Roman" w:eastAsia="Times New Roman"/>
          <w:spacing w:val="29"/>
          <w:w w:val="105"/>
          <w:sz w:val="24"/>
        </w:rPr>
        <w:t>, </w:t>
      </w:r>
      <w:r>
        <w:rPr>
          <w:rFonts w:ascii="Times New Roman" w:eastAsia="Times New Roman"/>
          <w:w w:val="105"/>
          <w:sz w:val="24"/>
        </w:rPr>
        <w:t>2.</w:t>
      </w:r>
      <w:r>
        <w:rPr>
          <w:rFonts w:ascii="Times New Roman" w:eastAsia="Times New Roman"/>
          <w:spacing w:val="59"/>
          <w:w w:val="105"/>
          <w:sz w:val="24"/>
        </w:rPr>
        <w:t> </w:t>
      </w:r>
      <w:r>
        <w:rPr>
          <w:rFonts w:ascii="Times New Roman" w:eastAsia="Times New Roman"/>
          <w:w w:val="105"/>
          <w:sz w:val="24"/>
        </w:rPr>
        <w:t>Aufl.</w:t>
      </w:r>
      <w:r>
        <w:rPr>
          <w:rFonts w:ascii="Times New Roman" w:eastAsia="Times New Roman"/>
          <w:spacing w:val="2"/>
          <w:w w:val="105"/>
          <w:sz w:val="24"/>
        </w:rPr>
        <w:t>, </w:t>
      </w:r>
      <w:r>
        <w:rPr>
          <w:rFonts w:ascii="Times New Roman" w:eastAsia="Times New Roman"/>
          <w:w w:val="105"/>
          <w:sz w:val="24"/>
        </w:rPr>
        <w:t>2006,</w:t>
      </w:r>
      <w:r>
        <w:rPr>
          <w:rFonts w:ascii="Times New Roman" w:eastAsia="Times New Roman"/>
          <w:spacing w:val="6"/>
          <w:w w:val="105"/>
          <w:sz w:val="24"/>
        </w:rPr>
        <w:t> </w:t>
      </w:r>
      <w:r>
        <w:rPr>
          <w:rFonts w:ascii="Times New Roman" w:eastAsia="Times New Roman"/>
          <w:w w:val="105"/>
          <w:sz w:val="24"/>
        </w:rPr>
        <w:t>Rn</w:t>
      </w:r>
      <w:r>
        <w:rPr>
          <w:rFonts w:ascii="Times New Roman" w:eastAsia="Times New Roman"/>
          <w:spacing w:val="29"/>
          <w:w w:val="105"/>
          <w:sz w:val="24"/>
        </w:rPr>
        <w:t>. </w:t>
      </w:r>
      <w:r>
        <w:rPr>
          <w:rFonts w:ascii="Times New Roman" w:eastAsia="Times New Roman"/>
          <w:w w:val="105"/>
          <w:sz w:val="24"/>
        </w:rPr>
        <w:t>507</w:t>
      </w:r>
      <w:r>
        <w:rPr>
          <w:rFonts w:ascii="Times New Roman" w:eastAsia="Times New Roman"/>
          <w:spacing w:val="19"/>
          <w:w w:val="105"/>
          <w:sz w:val="24"/>
        </w:rPr>
        <w:t> </w:t>
      </w:r>
      <w:r>
        <w:rPr>
          <w:rFonts w:ascii="Arial" w:eastAsia="Arial"/>
          <w:w w:val="105"/>
          <w:sz w:val="24"/>
        </w:rPr>
        <w:t>ff.</w:t>
      </w:r>
    </w:p>
    <w:p>
      <w:pPr>
        <w:spacing w:after="0" w:line="271" w:lineRule="auto"/>
        <w:jc w:val="left"/>
        <w:rPr>
          <w:rFonts w:ascii="Arial" w:eastAsia="Arial"/>
          <w:sz w:val="24"/>
        </w:rPr>
        <w:sectPr>
          <w:type w:val="continuous"/>
          <w:pgSz w:w="11910" w:h="16840"/>
          <w:pgMar w:top="1020" w:bottom="280" w:left="1120" w:right="1060"/>
        </w:sectPr>
      </w:pPr>
    </w:p>
    <w:p>
      <w:pPr>
        <w:pStyle w:val="BodyText"/>
        <w:spacing w:before="7"/>
        <w:rPr>
          <w:rFonts w:ascii="Arial"/>
          <w:sz w:val="29"/>
        </w:rPr>
      </w:pPr>
    </w:p>
    <w:p>
      <w:pPr>
        <w:tabs>
          <w:tab w:pos="3529" w:val="left" w:leader="none"/>
          <w:tab w:pos="4217" w:val="left" w:leader="none"/>
          <w:tab w:pos="7011" w:val="left" w:leader="none"/>
          <w:tab w:pos="8508" w:val="left" w:leader="none"/>
        </w:tabs>
        <w:spacing w:line="324" w:lineRule="auto" w:before="89"/>
        <w:ind w:left="308" w:right="527" w:hanging="10"/>
        <w:jc w:val="left"/>
        <w:rPr>
          <w:sz w:val="25"/>
        </w:rPr>
      </w:pPr>
      <w:r>
        <w:rPr>
          <w:sz w:val="25"/>
        </w:rPr>
        <w:t>行政法院法第八十條第二項第一句第四款(§</w:t>
      </w:r>
      <w:r>
        <w:rPr>
          <w:spacing w:val="122"/>
          <w:sz w:val="25"/>
        </w:rPr>
        <w:t> </w:t>
      </w:r>
      <w:r>
        <w:rPr>
          <w:rFonts w:ascii="Times New Roman" w:hAnsi="Times New Roman" w:eastAsia="Times New Roman"/>
          <w:sz w:val="28"/>
        </w:rPr>
        <w:t>80       </w:t>
      </w:r>
      <w:r>
        <w:rPr>
          <w:rFonts w:ascii="Times New Roman" w:hAnsi="Times New Roman" w:eastAsia="Times New Roman"/>
          <w:spacing w:val="13"/>
          <w:sz w:val="28"/>
        </w:rPr>
        <w:t> </w:t>
      </w:r>
      <w:r>
        <w:rPr>
          <w:rFonts w:ascii="Times New Roman" w:hAnsi="Times New Roman" w:eastAsia="Times New Roman"/>
          <w:sz w:val="28"/>
        </w:rPr>
        <w:t>Abs.</w:t>
        <w:tab/>
        <w:t>2</w:t>
      </w:r>
      <w:r>
        <w:rPr>
          <w:rFonts w:ascii="Times New Roman" w:hAnsi="Times New Roman" w:eastAsia="Times New Roman"/>
          <w:spacing w:val="46"/>
          <w:sz w:val="28"/>
        </w:rPr>
        <w:t> </w:t>
      </w:r>
      <w:r>
        <w:rPr>
          <w:rFonts w:ascii="Times New Roman" w:hAnsi="Times New Roman" w:eastAsia="Times New Roman"/>
          <w:sz w:val="28"/>
        </w:rPr>
        <w:t>S.</w:t>
      </w:r>
      <w:r>
        <w:rPr>
          <w:rFonts w:ascii="Times New Roman" w:hAnsi="Times New Roman" w:eastAsia="Times New Roman"/>
          <w:spacing w:val="109"/>
          <w:sz w:val="28"/>
        </w:rPr>
        <w:t> </w:t>
      </w:r>
      <w:r>
        <w:rPr>
          <w:rFonts w:ascii="Times New Roman" w:hAnsi="Times New Roman" w:eastAsia="Times New Roman"/>
          <w:sz w:val="28"/>
        </w:rPr>
        <w:t>1</w:t>
      </w:r>
      <w:r>
        <w:rPr>
          <w:rFonts w:ascii="Times New Roman" w:hAnsi="Times New Roman" w:eastAsia="Times New Roman"/>
          <w:spacing w:val="62"/>
          <w:sz w:val="28"/>
        </w:rPr>
        <w:t> </w:t>
      </w:r>
      <w:r>
        <w:rPr>
          <w:rFonts w:ascii="Times New Roman" w:hAnsi="Times New Roman" w:eastAsia="Times New Roman"/>
          <w:sz w:val="28"/>
        </w:rPr>
        <w:t>Nr.</w:t>
        <w:tab/>
      </w:r>
      <w:r>
        <w:rPr>
          <w:rFonts w:ascii="Times New Roman" w:hAnsi="Times New Roman" w:eastAsia="Times New Roman"/>
          <w:spacing w:val="-4"/>
          <w:sz w:val="28"/>
        </w:rPr>
        <w:t>4</w:t>
      </w:r>
      <w:r>
        <w:rPr>
          <w:rFonts w:ascii="Times New Roman" w:hAnsi="Times New Roman" w:eastAsia="Times New Roman"/>
          <w:spacing w:val="-25"/>
          <w:sz w:val="28"/>
        </w:rPr>
        <w:t> </w:t>
      </w:r>
      <w:r>
        <w:rPr>
          <w:rFonts w:ascii="Times New Roman" w:hAnsi="Times New Roman" w:eastAsia="Times New Roman"/>
          <w:spacing w:val="-4"/>
          <w:sz w:val="28"/>
        </w:rPr>
        <w:t>)</w:t>
      </w:r>
      <w:r>
        <w:rPr>
          <w:rFonts w:ascii="Times New Roman" w:hAnsi="Times New Roman" w:eastAsia="Times New Roman"/>
          <w:spacing w:val="20"/>
          <w:sz w:val="28"/>
        </w:rPr>
        <w:t> </w:t>
      </w:r>
      <w:r>
        <w:rPr>
          <w:spacing w:val="-4"/>
          <w:sz w:val="25"/>
        </w:rPr>
        <w:t>及</w:t>
      </w:r>
      <w:r>
        <w:rPr>
          <w:w w:val="90"/>
          <w:sz w:val="25"/>
        </w:rPr>
        <w:t>同條</w:t>
      </w:r>
      <w:r>
        <w:rPr>
          <w:spacing w:val="-16"/>
          <w:w w:val="90"/>
          <w:sz w:val="25"/>
        </w:rPr>
        <w:t> </w:t>
      </w:r>
      <w:r>
        <w:rPr>
          <w:spacing w:val="35"/>
          <w:w w:val="90"/>
          <w:sz w:val="25"/>
        </w:rPr>
        <w:t>第</w:t>
      </w:r>
      <w:r>
        <w:rPr>
          <w:w w:val="90"/>
          <w:sz w:val="25"/>
        </w:rPr>
        <w:t>四</w:t>
      </w:r>
      <w:r>
        <w:rPr>
          <w:spacing w:val="60"/>
          <w:w w:val="90"/>
          <w:sz w:val="25"/>
        </w:rPr>
        <w:t>項</w:t>
      </w:r>
      <w:r>
        <w:rPr>
          <w:w w:val="90"/>
          <w:sz w:val="25"/>
        </w:rPr>
        <w:t>第一</w:t>
      </w:r>
      <w:r>
        <w:rPr>
          <w:spacing w:val="25"/>
          <w:w w:val="90"/>
          <w:sz w:val="25"/>
        </w:rPr>
        <w:t> </w:t>
      </w:r>
      <w:r>
        <w:rPr>
          <w:w w:val="90"/>
          <w:sz w:val="25"/>
        </w:rPr>
        <w:t>句</w:t>
      </w:r>
      <w:r>
        <w:rPr>
          <w:spacing w:val="67"/>
          <w:w w:val="90"/>
          <w:sz w:val="25"/>
        </w:rPr>
        <w:t> </w:t>
      </w:r>
      <w:r>
        <w:rPr>
          <w:rFonts w:ascii="Times New Roman" w:hAnsi="Times New Roman" w:eastAsia="Times New Roman"/>
          <w:w w:val="90"/>
          <w:sz w:val="28"/>
        </w:rPr>
        <w:t>(</w:t>
      </w:r>
      <w:r>
        <w:rPr>
          <w:rFonts w:ascii="Times New Roman" w:hAnsi="Times New Roman" w:eastAsia="Times New Roman"/>
          <w:spacing w:val="15"/>
          <w:w w:val="90"/>
          <w:sz w:val="28"/>
        </w:rPr>
        <w:t> </w:t>
      </w:r>
      <w:r>
        <w:rPr>
          <w:rFonts w:ascii="Times New Roman" w:hAnsi="Times New Roman" w:eastAsia="Times New Roman"/>
          <w:spacing w:val="10"/>
          <w:w w:val="90"/>
          <w:sz w:val="28"/>
        </w:rPr>
        <w:t>Abs.</w:t>
        <w:tab/>
      </w:r>
      <w:r>
        <w:rPr>
          <w:rFonts w:ascii="Times New Roman" w:hAnsi="Times New Roman" w:eastAsia="Times New Roman"/>
          <w:sz w:val="28"/>
        </w:rPr>
        <w:t>4</w:t>
      </w:r>
      <w:r>
        <w:rPr>
          <w:rFonts w:ascii="Times New Roman" w:hAnsi="Times New Roman" w:eastAsia="Times New Roman"/>
          <w:spacing w:val="56"/>
          <w:sz w:val="28"/>
        </w:rPr>
        <w:t> </w:t>
      </w:r>
      <w:r>
        <w:rPr>
          <w:rFonts w:ascii="Times New Roman" w:hAnsi="Times New Roman" w:eastAsia="Times New Roman"/>
          <w:sz w:val="28"/>
        </w:rPr>
        <w:t>S.</w:t>
        <w:tab/>
      </w:r>
      <w:r>
        <w:rPr>
          <w:rFonts w:ascii="Times New Roman" w:hAnsi="Times New Roman" w:eastAsia="Times New Roman"/>
          <w:w w:val="95"/>
          <w:sz w:val="28"/>
        </w:rPr>
        <w:t>1</w:t>
      </w:r>
      <w:r>
        <w:rPr>
          <w:rFonts w:ascii="Times New Roman" w:hAnsi="Times New Roman" w:eastAsia="Times New Roman"/>
          <w:spacing w:val="-12"/>
          <w:w w:val="95"/>
          <w:sz w:val="28"/>
        </w:rPr>
        <w:t> </w:t>
      </w:r>
      <w:r>
        <w:rPr>
          <w:rFonts w:ascii="Times New Roman" w:hAnsi="Times New Roman" w:eastAsia="Times New Roman"/>
          <w:w w:val="95"/>
          <w:sz w:val="28"/>
        </w:rPr>
        <w:t>)</w:t>
      </w:r>
      <w:r>
        <w:rPr>
          <w:rFonts w:ascii="Times New Roman" w:hAnsi="Times New Roman" w:eastAsia="Times New Roman"/>
          <w:spacing w:val="36"/>
          <w:w w:val="95"/>
          <w:sz w:val="28"/>
        </w:rPr>
        <w:t> </w:t>
      </w:r>
      <w:r>
        <w:rPr>
          <w:spacing w:val="13"/>
          <w:w w:val="95"/>
          <w:sz w:val="25"/>
        </w:rPr>
        <w:t>均</w:t>
      </w:r>
      <w:r>
        <w:rPr>
          <w:spacing w:val="41"/>
          <w:w w:val="95"/>
          <w:sz w:val="25"/>
        </w:rPr>
        <w:t>使</w:t>
      </w:r>
      <w:r>
        <w:rPr>
          <w:w w:val="95"/>
          <w:sz w:val="25"/>
        </w:rPr>
        <w:t>用「</w:t>
      </w:r>
      <w:r>
        <w:rPr>
          <w:spacing w:val="7"/>
          <w:w w:val="95"/>
          <w:sz w:val="25"/>
        </w:rPr>
        <w:t> </w:t>
      </w:r>
      <w:r>
        <w:rPr>
          <w:w w:val="95"/>
          <w:sz w:val="25"/>
        </w:rPr>
        <w:t>執行</w:t>
      </w:r>
      <w:r>
        <w:rPr>
          <w:spacing w:val="29"/>
          <w:w w:val="95"/>
          <w:sz w:val="25"/>
        </w:rPr>
        <w:t> </w:t>
      </w:r>
      <w:r>
        <w:rPr>
          <w:spacing w:val="41"/>
          <w:w w:val="95"/>
          <w:sz w:val="25"/>
        </w:rPr>
        <w:t>」</w:t>
      </w:r>
      <w:r>
        <w:rPr>
          <w:rFonts w:ascii="Times New Roman" w:hAnsi="Times New Roman" w:eastAsia="Times New Roman"/>
          <w:w w:val="95"/>
          <w:sz w:val="28"/>
        </w:rPr>
        <w:t>(</w:t>
      </w:r>
      <w:r>
        <w:rPr>
          <w:rFonts w:ascii="Times New Roman" w:hAnsi="Times New Roman" w:eastAsia="Times New Roman"/>
          <w:spacing w:val="18"/>
          <w:w w:val="95"/>
          <w:sz w:val="28"/>
        </w:rPr>
        <w:t> </w:t>
      </w:r>
      <w:r>
        <w:rPr>
          <w:rFonts w:ascii="Times New Roman" w:hAnsi="Times New Roman" w:eastAsia="Times New Roman"/>
          <w:w w:val="95"/>
          <w:sz w:val="28"/>
        </w:rPr>
        <w:t>Vol</w:t>
      </w:r>
      <w:r>
        <w:rPr>
          <w:rFonts w:ascii="Times New Roman" w:hAnsi="Times New Roman" w:eastAsia="Times New Roman"/>
          <w:spacing w:val="9"/>
          <w:w w:val="95"/>
          <w:sz w:val="28"/>
        </w:rPr>
        <w:t> </w:t>
      </w:r>
      <w:r>
        <w:rPr>
          <w:rFonts w:ascii="Times New Roman" w:hAnsi="Times New Roman" w:eastAsia="Times New Roman"/>
          <w:spacing w:val="21"/>
          <w:w w:val="95"/>
          <w:sz w:val="28"/>
        </w:rPr>
        <w:t>lzi</w:t>
      </w:r>
      <w:r>
        <w:rPr>
          <w:rFonts w:ascii="Times New Roman" w:hAnsi="Times New Roman" w:eastAsia="Times New Roman"/>
          <w:spacing w:val="-31"/>
          <w:w w:val="95"/>
          <w:sz w:val="28"/>
        </w:rPr>
        <w:t> </w:t>
      </w:r>
      <w:r>
        <w:rPr>
          <w:rFonts w:ascii="Times New Roman" w:hAnsi="Times New Roman" w:eastAsia="Times New Roman"/>
          <w:w w:val="95"/>
          <w:sz w:val="28"/>
        </w:rPr>
        <w:t>ehung)</w:t>
      </w:r>
      <w:r>
        <w:rPr>
          <w:rFonts w:ascii="Times New Roman" w:hAnsi="Times New Roman" w:eastAsia="Times New Roman"/>
          <w:spacing w:val="104"/>
          <w:sz w:val="28"/>
        </w:rPr>
        <w:t> </w:t>
      </w:r>
      <w:r>
        <w:rPr>
          <w:spacing w:val="15"/>
          <w:w w:val="95"/>
          <w:sz w:val="25"/>
        </w:rPr>
        <w:t>之</w:t>
      </w:r>
      <w:r>
        <w:rPr>
          <w:w w:val="95"/>
          <w:sz w:val="25"/>
        </w:rPr>
        <w:t>文</w:t>
      </w:r>
      <w:r>
        <w:rPr>
          <w:spacing w:val="-5"/>
          <w:w w:val="75"/>
          <w:sz w:val="25"/>
        </w:rPr>
        <w:t>字</w:t>
      </w:r>
      <w:r>
        <w:rPr>
          <w:rFonts w:ascii="Times New Roman" w:hAnsi="Times New Roman" w:eastAsia="Times New Roman"/>
          <w:spacing w:val="-5"/>
          <w:w w:val="75"/>
          <w:sz w:val="16"/>
        </w:rPr>
        <w:t>68</w:t>
      </w:r>
      <w:r>
        <w:rPr>
          <w:rFonts w:ascii="Times New Roman" w:hAnsi="Times New Roman" w:eastAsia="Times New Roman"/>
          <w:spacing w:val="21"/>
          <w:sz w:val="16"/>
        </w:rPr>
        <w:t>  </w:t>
      </w:r>
      <w:r>
        <w:rPr>
          <w:rFonts w:ascii="Times New Roman" w:hAnsi="Times New Roman" w:eastAsia="Times New Roman"/>
          <w:spacing w:val="21"/>
          <w:sz w:val="16"/>
        </w:rPr>
        <w:t> </w:t>
      </w:r>
      <w:r>
        <w:rPr>
          <w:w w:val="85"/>
          <w:sz w:val="25"/>
        </w:rPr>
        <w:t>。</w:t>
      </w:r>
      <w:r>
        <w:rPr>
          <w:spacing w:val="18"/>
          <w:w w:val="85"/>
          <w:sz w:val="25"/>
        </w:rPr>
        <w:t> </w:t>
      </w:r>
      <w:r>
        <w:rPr>
          <w:w w:val="95"/>
          <w:sz w:val="25"/>
        </w:rPr>
        <w:t>故</w:t>
      </w:r>
      <w:r>
        <w:rPr>
          <w:spacing w:val="43"/>
          <w:w w:val="95"/>
          <w:sz w:val="25"/>
        </w:rPr>
        <w:t>認</w:t>
      </w:r>
      <w:r>
        <w:rPr>
          <w:w w:val="95"/>
          <w:sz w:val="25"/>
        </w:rPr>
        <w:t>為所</w:t>
      </w:r>
      <w:r>
        <w:rPr>
          <w:spacing w:val="-28"/>
          <w:w w:val="95"/>
          <w:sz w:val="25"/>
        </w:rPr>
        <w:t> </w:t>
      </w:r>
      <w:r>
        <w:rPr>
          <w:spacing w:val="23"/>
          <w:w w:val="95"/>
          <w:sz w:val="25"/>
        </w:rPr>
        <w:t>謂</w:t>
      </w:r>
      <w:r>
        <w:rPr>
          <w:spacing w:val="33"/>
          <w:w w:val="95"/>
          <w:sz w:val="25"/>
        </w:rPr>
        <w:t>延</w:t>
      </w:r>
      <w:r>
        <w:rPr>
          <w:w w:val="95"/>
          <w:sz w:val="25"/>
        </w:rPr>
        <w:t>緩</w:t>
      </w:r>
      <w:r>
        <w:rPr>
          <w:spacing w:val="30"/>
          <w:w w:val="95"/>
          <w:sz w:val="25"/>
        </w:rPr>
        <w:t>效</w:t>
      </w:r>
      <w:r>
        <w:rPr>
          <w:w w:val="95"/>
          <w:sz w:val="25"/>
        </w:rPr>
        <w:t>力</w:t>
      </w:r>
      <w:r>
        <w:rPr>
          <w:spacing w:val="41"/>
          <w:w w:val="95"/>
          <w:sz w:val="25"/>
        </w:rPr>
        <w:t> </w:t>
      </w:r>
      <w:r>
        <w:rPr>
          <w:w w:val="85"/>
          <w:sz w:val="25"/>
        </w:rPr>
        <w:t>，</w:t>
      </w:r>
      <w:r>
        <w:rPr>
          <w:spacing w:val="-37"/>
          <w:w w:val="85"/>
          <w:sz w:val="25"/>
        </w:rPr>
        <w:t> </w:t>
      </w:r>
      <w:r>
        <w:rPr>
          <w:w w:val="95"/>
          <w:sz w:val="25"/>
        </w:rPr>
        <w:t>自</w:t>
      </w:r>
      <w:r>
        <w:rPr>
          <w:spacing w:val="-45"/>
          <w:w w:val="95"/>
          <w:sz w:val="25"/>
        </w:rPr>
        <w:t> </w:t>
      </w:r>
      <w:r>
        <w:rPr>
          <w:w w:val="95"/>
          <w:sz w:val="25"/>
        </w:rPr>
        <w:t>係拉行</w:t>
      </w:r>
      <w:r>
        <w:rPr>
          <w:spacing w:val="-16"/>
          <w:w w:val="95"/>
          <w:sz w:val="25"/>
        </w:rPr>
        <w:t> </w:t>
      </w:r>
      <w:r>
        <w:rPr>
          <w:w w:val="95"/>
          <w:sz w:val="25"/>
        </w:rPr>
        <w:t>政</w:t>
      </w:r>
      <w:r>
        <w:rPr>
          <w:spacing w:val="27"/>
          <w:w w:val="95"/>
          <w:sz w:val="25"/>
        </w:rPr>
        <w:t>處</w:t>
      </w:r>
      <w:r>
        <w:rPr>
          <w:w w:val="95"/>
          <w:sz w:val="25"/>
        </w:rPr>
        <w:t>分</w:t>
      </w:r>
      <w:r>
        <w:rPr>
          <w:spacing w:val="30"/>
          <w:w w:val="95"/>
          <w:sz w:val="25"/>
        </w:rPr>
        <w:t>之</w:t>
      </w:r>
      <w:r>
        <w:rPr>
          <w:w w:val="95"/>
          <w:sz w:val="25"/>
        </w:rPr>
        <w:t>執</w:t>
      </w:r>
      <w:r>
        <w:rPr>
          <w:spacing w:val="38"/>
          <w:w w:val="95"/>
          <w:sz w:val="25"/>
        </w:rPr>
        <w:t>行</w:t>
      </w:r>
      <w:r>
        <w:rPr>
          <w:w w:val="95"/>
          <w:sz w:val="25"/>
        </w:rPr>
        <w:t>障</w:t>
      </w:r>
      <w:r>
        <w:rPr>
          <w:spacing w:val="53"/>
          <w:w w:val="95"/>
          <w:sz w:val="25"/>
        </w:rPr>
        <w:t>礙</w:t>
      </w:r>
      <w:r>
        <w:rPr>
          <w:spacing w:val="36"/>
          <w:w w:val="95"/>
          <w:sz w:val="25"/>
        </w:rPr>
        <w:t>而</w:t>
      </w:r>
      <w:r>
        <w:rPr>
          <w:w w:val="95"/>
          <w:sz w:val="25"/>
        </w:rPr>
        <w:t>言</w:t>
      </w:r>
      <w:r>
        <w:rPr>
          <w:spacing w:val="20"/>
          <w:w w:val="95"/>
          <w:sz w:val="25"/>
        </w:rPr>
        <w:t> </w:t>
      </w:r>
      <w:r>
        <w:rPr>
          <w:w w:val="85"/>
          <w:sz w:val="25"/>
        </w:rPr>
        <w:t>，</w:t>
      </w:r>
      <w:r>
        <w:rPr>
          <w:spacing w:val="-44"/>
          <w:w w:val="85"/>
          <w:sz w:val="25"/>
        </w:rPr>
        <w:t> </w:t>
      </w:r>
      <w:r>
        <w:rPr>
          <w:spacing w:val="31"/>
          <w:w w:val="95"/>
          <w:sz w:val="25"/>
        </w:rPr>
        <w:t>不</w:t>
      </w:r>
      <w:r>
        <w:rPr>
          <w:w w:val="95"/>
          <w:sz w:val="25"/>
        </w:rPr>
        <w:t>及</w:t>
      </w:r>
      <w:r>
        <w:rPr>
          <w:spacing w:val="41"/>
          <w:w w:val="95"/>
          <w:sz w:val="25"/>
        </w:rPr>
        <w:t>於</w:t>
      </w:r>
      <w:r>
        <w:rPr>
          <w:w w:val="95"/>
          <w:sz w:val="25"/>
        </w:rPr>
        <w:t>系</w:t>
      </w:r>
      <w:r>
        <w:rPr>
          <w:sz w:val="25"/>
        </w:rPr>
        <w:t>爭行政處分本身之效力。</w:t>
      </w:r>
    </w:p>
    <w:p>
      <w:pPr>
        <w:pStyle w:val="ListParagraph"/>
        <w:numPr>
          <w:ilvl w:val="1"/>
          <w:numId w:val="2"/>
        </w:numPr>
        <w:tabs>
          <w:tab w:pos="1143" w:val="left" w:leader="none"/>
        </w:tabs>
        <w:spacing w:line="240" w:lineRule="auto" w:before="106" w:after="0"/>
        <w:ind w:left="1142" w:right="0" w:hanging="351"/>
        <w:jc w:val="left"/>
        <w:rPr>
          <w:rFonts w:ascii="Times New Roman" w:eastAsia="Times New Roman"/>
          <w:sz w:val="28"/>
        </w:rPr>
      </w:pPr>
      <w:r>
        <w:rPr>
          <w:spacing w:val="3"/>
          <w:w w:val="95"/>
          <w:sz w:val="25"/>
        </w:rPr>
        <w:t>效 力曄礙說 </w:t>
      </w:r>
      <w:r>
        <w:rPr>
          <w:rFonts w:ascii="Times New Roman" w:eastAsia="Times New Roman"/>
          <w:spacing w:val="-9"/>
          <w:w w:val="95"/>
          <w:sz w:val="28"/>
        </w:rPr>
        <w:t>( </w:t>
      </w:r>
      <w:r>
        <w:rPr>
          <w:rFonts w:ascii="Times New Roman" w:eastAsia="Times New Roman"/>
          <w:w w:val="85"/>
          <w:sz w:val="28"/>
        </w:rPr>
        <w:t>Wi</w:t>
      </w:r>
      <w:r>
        <w:rPr>
          <w:rFonts w:ascii="Times New Roman" w:eastAsia="Times New Roman"/>
          <w:spacing w:val="45"/>
          <w:w w:val="85"/>
          <w:sz w:val="28"/>
        </w:rPr>
        <w:t> </w:t>
      </w:r>
      <w:r>
        <w:rPr>
          <w:rFonts w:ascii="Times New Roman" w:eastAsia="Times New Roman"/>
          <w:w w:val="85"/>
          <w:sz w:val="28"/>
        </w:rPr>
        <w:t>r</w:t>
      </w:r>
      <w:r>
        <w:rPr>
          <w:rFonts w:ascii="Times New Roman" w:eastAsia="Times New Roman"/>
          <w:spacing w:val="29"/>
          <w:w w:val="85"/>
          <w:sz w:val="28"/>
        </w:rPr>
        <w:t> </w:t>
      </w:r>
      <w:r>
        <w:rPr>
          <w:rFonts w:ascii="Times New Roman" w:eastAsia="Times New Roman"/>
          <w:w w:val="95"/>
          <w:sz w:val="28"/>
        </w:rPr>
        <w:t>ks</w:t>
      </w:r>
      <w:r>
        <w:rPr>
          <w:rFonts w:ascii="Times New Roman" w:eastAsia="Times New Roman"/>
          <w:spacing w:val="-33"/>
          <w:w w:val="95"/>
          <w:sz w:val="28"/>
        </w:rPr>
        <w:t> </w:t>
      </w:r>
      <w:r>
        <w:rPr>
          <w:rFonts w:ascii="Times New Roman" w:eastAsia="Times New Roman"/>
          <w:w w:val="95"/>
          <w:sz w:val="28"/>
        </w:rPr>
        <w:t>amke</w:t>
      </w:r>
      <w:r>
        <w:rPr>
          <w:rFonts w:ascii="Times New Roman" w:eastAsia="Times New Roman"/>
          <w:spacing w:val="-16"/>
          <w:w w:val="95"/>
          <w:sz w:val="28"/>
        </w:rPr>
        <w:t> </w:t>
      </w:r>
      <w:r>
        <w:rPr>
          <w:rFonts w:ascii="Times New Roman" w:eastAsia="Times New Roman"/>
          <w:w w:val="95"/>
          <w:sz w:val="28"/>
        </w:rPr>
        <w:t>i</w:t>
      </w:r>
      <w:r>
        <w:rPr>
          <w:rFonts w:ascii="Times New Roman" w:eastAsia="Times New Roman"/>
          <w:spacing w:val="-11"/>
          <w:w w:val="95"/>
          <w:sz w:val="28"/>
        </w:rPr>
        <w:t> </w:t>
      </w:r>
      <w:r>
        <w:rPr>
          <w:rFonts w:ascii="Times New Roman" w:eastAsia="Times New Roman"/>
          <w:w w:val="95"/>
          <w:sz w:val="28"/>
        </w:rPr>
        <w:t>t</w:t>
      </w:r>
      <w:r>
        <w:rPr>
          <w:rFonts w:ascii="Times New Roman" w:eastAsia="Times New Roman"/>
          <w:spacing w:val="-17"/>
          <w:w w:val="95"/>
          <w:sz w:val="28"/>
        </w:rPr>
        <w:t> </w:t>
      </w:r>
      <w:r>
        <w:rPr>
          <w:rFonts w:ascii="Times New Roman" w:eastAsia="Times New Roman"/>
          <w:w w:val="95"/>
          <w:sz w:val="28"/>
        </w:rPr>
        <w:t>s</w:t>
      </w:r>
      <w:r>
        <w:rPr>
          <w:rFonts w:ascii="Times New Roman" w:eastAsia="Times New Roman"/>
          <w:spacing w:val="-16"/>
          <w:w w:val="95"/>
          <w:sz w:val="28"/>
        </w:rPr>
        <w:t> </w:t>
      </w:r>
      <w:r>
        <w:rPr>
          <w:rFonts w:ascii="Times New Roman" w:eastAsia="Times New Roman"/>
          <w:w w:val="95"/>
          <w:sz w:val="28"/>
        </w:rPr>
        <w:t>t</w:t>
      </w:r>
      <w:r>
        <w:rPr>
          <w:rFonts w:ascii="Times New Roman" w:eastAsia="Times New Roman"/>
          <w:spacing w:val="-15"/>
          <w:w w:val="95"/>
          <w:sz w:val="28"/>
        </w:rPr>
        <w:t> </w:t>
      </w:r>
      <w:r>
        <w:rPr>
          <w:rFonts w:ascii="Times New Roman" w:eastAsia="Times New Roman"/>
          <w:w w:val="95"/>
          <w:sz w:val="28"/>
        </w:rPr>
        <w:t>heor</w:t>
      </w:r>
      <w:r>
        <w:rPr>
          <w:rFonts w:ascii="Times New Roman" w:eastAsia="Times New Roman"/>
          <w:spacing w:val="4"/>
          <w:w w:val="95"/>
          <w:sz w:val="28"/>
        </w:rPr>
        <w:t> </w:t>
      </w:r>
      <w:r>
        <w:rPr>
          <w:rFonts w:ascii="Times New Roman" w:eastAsia="Times New Roman"/>
          <w:spacing w:val="14"/>
          <w:w w:val="95"/>
          <w:sz w:val="28"/>
        </w:rPr>
        <w:t>ie</w:t>
      </w:r>
      <w:r>
        <w:rPr>
          <w:rFonts w:ascii="Times New Roman" w:eastAsia="Times New Roman"/>
          <w:spacing w:val="-8"/>
          <w:w w:val="95"/>
          <w:sz w:val="28"/>
        </w:rPr>
        <w:t> )</w:t>
      </w:r>
    </w:p>
    <w:p>
      <w:pPr>
        <w:pStyle w:val="BodyText"/>
        <w:spacing w:before="7"/>
        <w:rPr>
          <w:rFonts w:ascii="Times New Roman"/>
        </w:rPr>
      </w:pPr>
    </w:p>
    <w:p>
      <w:pPr>
        <w:pStyle w:val="BodyText"/>
        <w:spacing w:line="331" w:lineRule="auto"/>
        <w:ind w:left="303" w:right="509" w:firstLine="574"/>
        <w:jc w:val="both"/>
      </w:pPr>
      <w:r>
        <w:rPr>
          <w:w w:val="110"/>
        </w:rPr>
        <w:t>學說上之多數見解，則採效力障礙說；此說認為：行政訴訟之延緩效力，其效果不僅構成行政處分之執行障礙，阻斷一切執行該行政處分之措施，更影響該行政處分本身之效力。依此說之見解，該行政處分在延緩效力被除去之前，應視為尚未發生效力；無論官署、行政處分之相對人或第三人均應受此效力拘束，不得主張該行政處分所投予之權利。必須等到延緩效力被除去之後，該行政處分才真正發生效力。</w:t>
      </w:r>
    </w:p>
    <w:p>
      <w:pPr>
        <w:tabs>
          <w:tab w:pos="1421" w:val="left" w:leader="none"/>
        </w:tabs>
        <w:spacing w:before="42"/>
        <w:ind w:left="0" w:right="212" w:firstLine="0"/>
        <w:jc w:val="center"/>
        <w:rPr>
          <w:sz w:val="28"/>
        </w:rPr>
      </w:pPr>
      <w:bookmarkStart w:name="_bookmark17" w:id="18"/>
      <w:bookmarkEnd w:id="18"/>
      <w:r>
        <w:rPr/>
      </w:r>
      <w:r>
        <w:rPr>
          <w:sz w:val="31"/>
        </w:rPr>
        <w:t>第五節</w:t>
        <w:tab/>
      </w:r>
      <w:r>
        <w:rPr>
          <w:sz w:val="28"/>
        </w:rPr>
        <w:t>小結</w:t>
      </w:r>
    </w:p>
    <w:p>
      <w:pPr>
        <w:pStyle w:val="BodyText"/>
        <w:tabs>
          <w:tab w:pos="6647" w:val="left" w:leader="none"/>
        </w:tabs>
        <w:spacing w:line="328" w:lineRule="auto" w:before="243"/>
        <w:ind w:left="300" w:right="518" w:firstLine="567"/>
      </w:pPr>
      <w:r>
        <w:rPr>
          <w:w w:val="90"/>
        </w:rPr>
        <w:t>依</w:t>
      </w:r>
      <w:r>
        <w:rPr>
          <w:spacing w:val="25"/>
          <w:w w:val="90"/>
        </w:rPr>
        <w:t>德</w:t>
      </w:r>
      <w:r>
        <w:rPr>
          <w:w w:val="90"/>
        </w:rPr>
        <w:t>國行</w:t>
      </w:r>
      <w:r>
        <w:rPr>
          <w:spacing w:val="2"/>
          <w:w w:val="90"/>
        </w:rPr>
        <w:t> </w:t>
      </w:r>
      <w:r>
        <w:rPr>
          <w:w w:val="90"/>
        </w:rPr>
        <w:t>政</w:t>
      </w:r>
      <w:r>
        <w:rPr>
          <w:spacing w:val="15"/>
          <w:w w:val="90"/>
        </w:rPr>
        <w:t>程</w:t>
      </w:r>
      <w:r>
        <w:rPr>
          <w:spacing w:val="25"/>
          <w:w w:val="90"/>
        </w:rPr>
        <w:t>序</w:t>
      </w:r>
      <w:r>
        <w:rPr>
          <w:spacing w:val="34"/>
          <w:w w:val="90"/>
        </w:rPr>
        <w:t>法</w:t>
      </w:r>
      <w:r>
        <w:rPr>
          <w:w w:val="90"/>
        </w:rPr>
        <w:t>第</w:t>
      </w:r>
      <w:r>
        <w:rPr>
          <w:spacing w:val="15"/>
          <w:w w:val="90"/>
        </w:rPr>
        <w:t> </w:t>
      </w:r>
      <w:r>
        <w:rPr>
          <w:rFonts w:ascii="Times New Roman" w:eastAsia="Times New Roman"/>
          <w:w w:val="90"/>
          <w:sz w:val="30"/>
        </w:rPr>
        <w:t>13</w:t>
      </w:r>
      <w:r>
        <w:rPr>
          <w:rFonts w:ascii="Times New Roman" w:eastAsia="Times New Roman"/>
          <w:spacing w:val="25"/>
          <w:w w:val="90"/>
          <w:sz w:val="30"/>
        </w:rPr>
        <w:t> </w:t>
      </w:r>
      <w:r>
        <w:rPr>
          <w:spacing w:val="36"/>
          <w:w w:val="90"/>
        </w:rPr>
        <w:t>條</w:t>
      </w:r>
      <w:r>
        <w:rPr>
          <w:w w:val="90"/>
        </w:rPr>
        <w:t>第</w:t>
      </w:r>
      <w:r>
        <w:rPr>
          <w:spacing w:val="35"/>
          <w:w w:val="90"/>
        </w:rPr>
        <w:t> </w:t>
      </w:r>
      <w:r>
        <w:rPr>
          <w:rFonts w:ascii="Times New Roman" w:eastAsia="Times New Roman"/>
          <w:w w:val="90"/>
          <w:sz w:val="30"/>
        </w:rPr>
        <w:t>2</w:t>
      </w:r>
      <w:r>
        <w:rPr>
          <w:rFonts w:ascii="Times New Roman" w:eastAsia="Times New Roman"/>
          <w:spacing w:val="39"/>
          <w:w w:val="90"/>
          <w:sz w:val="30"/>
        </w:rPr>
        <w:t> </w:t>
      </w:r>
      <w:r>
        <w:rPr>
          <w:spacing w:val="34"/>
          <w:w w:val="90"/>
        </w:rPr>
        <w:t>項</w:t>
      </w:r>
      <w:r>
        <w:rPr>
          <w:spacing w:val="38"/>
          <w:w w:val="90"/>
        </w:rPr>
        <w:t>之</w:t>
      </w:r>
      <w:r>
        <w:rPr>
          <w:spacing w:val="15"/>
          <w:w w:val="90"/>
        </w:rPr>
        <w:t>規</w:t>
      </w:r>
      <w:r>
        <w:rPr>
          <w:w w:val="90"/>
        </w:rPr>
        <w:t>定</w:t>
      </w:r>
      <w:r>
        <w:rPr>
          <w:spacing w:val="14"/>
          <w:w w:val="90"/>
        </w:rPr>
        <w:t> </w:t>
      </w:r>
      <w:r>
        <w:rPr>
          <w:w w:val="90"/>
        </w:rPr>
        <w:t>，公務</w:t>
        <w:tab/>
      </w:r>
      <w:r>
        <w:rPr/>
        <w:t>員</w:t>
      </w:r>
      <w:r>
        <w:rPr>
          <w:spacing w:val="-38"/>
        </w:rPr>
        <w:t> </w:t>
      </w:r>
      <w:r>
        <w:rPr>
          <w:spacing w:val="13"/>
        </w:rPr>
        <w:t>對</w:t>
      </w:r>
      <w:r>
        <w:rPr>
          <w:spacing w:val="30"/>
        </w:rPr>
        <w:t>於</w:t>
      </w:r>
      <w:r>
        <w:rPr>
          <w:spacing w:val="10"/>
        </w:rPr>
        <w:t>人</w:t>
      </w:r>
      <w:r>
        <w:rPr/>
        <w:t>事</w:t>
      </w:r>
      <w:r>
        <w:rPr>
          <w:spacing w:val="38"/>
        </w:rPr>
        <w:t>行</w:t>
      </w:r>
      <w:r>
        <w:rPr/>
        <w:t>政措花</w:t>
      </w:r>
      <w:r>
        <w:rPr>
          <w:w w:val="105"/>
        </w:rPr>
        <w:t>不服向主管機關異議時，該異議程序如涉及第三人之権益，該第三人即可</w:t>
      </w:r>
      <w:r>
        <w:rPr>
          <w:spacing w:val="119"/>
          <w:w w:val="105"/>
        </w:rPr>
        <w:t> </w:t>
      </w:r>
      <w:r>
        <w:rPr>
          <w:w w:val="105"/>
        </w:rPr>
        <w:t>依上述規定參加異議程序（普通參加）。異議程序之結果對於第三人有權</w:t>
      </w:r>
      <w:r>
        <w:rPr>
          <w:spacing w:val="108"/>
          <w:w w:val="105"/>
        </w:rPr>
        <w:t> </w:t>
      </w:r>
      <w:r>
        <w:rPr>
          <w:w w:val="109"/>
        </w:rPr>
        <w:t>利塑成之效力時，主管機關應依其罄請通知其參加異議程序（必要參加</w:t>
      </w:r>
      <w:r>
        <w:rPr>
          <w:spacing w:val="-108"/>
          <w:w w:val="109"/>
        </w:rPr>
        <w:t>）</w:t>
      </w:r>
      <w:r>
        <w:rPr>
          <w:w w:val="108"/>
        </w:rPr>
        <w:t>；</w:t>
      </w:r>
      <w:r>
        <w:rPr>
          <w:w w:val="105"/>
        </w:rPr>
        <w:t>主管機關知悉有此第三人時，應將異議程序開始之事實通知該第三人。</w:t>
      </w:r>
    </w:p>
    <w:p>
      <w:pPr>
        <w:pStyle w:val="BodyText"/>
        <w:spacing w:line="331" w:lineRule="auto" w:before="2"/>
        <w:ind w:left="301" w:right="521" w:firstLine="562"/>
      </w:pPr>
      <w:r>
        <w:rPr>
          <w:w w:val="110"/>
        </w:rPr>
        <w:t>德國人事處分競爭者訴訟之訴訟類型，可分為積極競爭者訴訟（不真正競爭者訴訟）、消極競爭者訴訟（真正競爭者訴訟）及預先禁止之訴三種。有關消極競爭者訴訟之合法性問題，在德國實務上以及學說上有極大爭議。職位競爭者在人事主管機關已任命其他競爭者為系爭職務之公務員之後，以該人事主管機關為被告，提起撤銷訴訟，請求行政法院撒銷該項任命之行政處分，實務上見解認為其訴不合法。至於學說上，通說見解則背定消極競爭者訴訟之合法性。</w:t>
      </w:r>
    </w:p>
    <w:p>
      <w:pPr>
        <w:spacing w:line="311" w:lineRule="exact" w:before="0"/>
        <w:ind w:left="868" w:right="0" w:firstLine="0"/>
        <w:jc w:val="left"/>
        <w:rPr>
          <w:sz w:val="25"/>
        </w:rPr>
      </w:pPr>
      <w:r>
        <w:rPr>
          <w:spacing w:val="17"/>
          <w:w w:val="95"/>
          <w:sz w:val="25"/>
        </w:rPr>
        <w:t>聯邦憲法法院於 </w:t>
      </w:r>
      <w:r>
        <w:rPr>
          <w:rFonts w:ascii="Times New Roman" w:eastAsia="Times New Roman"/>
          <w:w w:val="95"/>
          <w:sz w:val="30"/>
        </w:rPr>
        <w:t>1989</w:t>
      </w:r>
      <w:r>
        <w:rPr>
          <w:rFonts w:ascii="Times New Roman" w:eastAsia="Times New Roman"/>
          <w:spacing w:val="26"/>
          <w:w w:val="95"/>
          <w:sz w:val="30"/>
        </w:rPr>
        <w:t> </w:t>
      </w:r>
      <w:r>
        <w:rPr>
          <w:spacing w:val="-3"/>
          <w:w w:val="95"/>
          <w:sz w:val="24"/>
        </w:rPr>
        <w:t>年 </w:t>
      </w:r>
      <w:r>
        <w:rPr>
          <w:rFonts w:ascii="Times New Roman" w:eastAsia="Times New Roman"/>
          <w:w w:val="95"/>
          <w:sz w:val="30"/>
        </w:rPr>
        <w:t>9</w:t>
      </w:r>
      <w:r>
        <w:rPr>
          <w:rFonts w:ascii="Times New Roman" w:eastAsia="Times New Roman"/>
          <w:spacing w:val="68"/>
          <w:w w:val="95"/>
          <w:sz w:val="30"/>
        </w:rPr>
        <w:t> </w:t>
      </w:r>
      <w:r>
        <w:rPr>
          <w:spacing w:val="5"/>
          <w:w w:val="95"/>
          <w:sz w:val="25"/>
        </w:rPr>
        <w:t>月 </w:t>
      </w:r>
      <w:r>
        <w:rPr>
          <w:rFonts w:ascii="Times New Roman" w:eastAsia="Times New Roman"/>
          <w:w w:val="95"/>
          <w:sz w:val="30"/>
        </w:rPr>
        <w:t>19</w:t>
      </w:r>
      <w:r>
        <w:rPr>
          <w:rFonts w:ascii="Times New Roman" w:eastAsia="Times New Roman"/>
          <w:spacing w:val="46"/>
          <w:w w:val="95"/>
          <w:sz w:val="30"/>
        </w:rPr>
        <w:t> </w:t>
      </w:r>
      <w:r>
        <w:rPr>
          <w:spacing w:val="5"/>
          <w:w w:val="95"/>
          <w:sz w:val="25"/>
        </w:rPr>
        <w:t>日之 裁定中 ，要求職務長官必 須在任</w:t>
      </w:r>
    </w:p>
    <w:p>
      <w:pPr>
        <w:pStyle w:val="BodyText"/>
        <w:spacing w:line="328" w:lineRule="auto" w:before="117"/>
        <w:ind w:left="303" w:right="502" w:firstLine="4"/>
        <w:jc w:val="both"/>
      </w:pPr>
      <w:r>
        <w:rPr>
          <w:w w:val="110"/>
        </w:rPr>
        <w:t>命競爭者為所競爭職務公務員前之合理期間，將選拔程序之結果通知競爭落敗之當事人，俾其有足夠之時間作成是否尋求權利救濟之決定。此後，</w:t>
      </w:r>
      <w:r>
        <w:rPr>
          <w:spacing w:val="-136"/>
          <w:w w:val="110"/>
        </w:rPr>
        <w:t> </w:t>
      </w:r>
      <w:r>
        <w:rPr>
          <w:w w:val="110"/>
        </w:rPr>
        <w:t>在司法實務上，預先禁止之訴即成為德國公務員法上競爭者訴訟之主要訴</w:t>
      </w:r>
    </w:p>
    <w:p>
      <w:pPr>
        <w:pStyle w:val="BodyText"/>
        <w:rPr>
          <w:sz w:val="20"/>
        </w:rPr>
      </w:pPr>
    </w:p>
    <w:p>
      <w:pPr>
        <w:pStyle w:val="BodyText"/>
        <w:spacing w:before="11"/>
        <w:rPr>
          <w:sz w:val="10"/>
        </w:rPr>
      </w:pPr>
      <w:r>
        <w:rPr/>
        <w:pict>
          <v:shape style="position:absolute;margin-left:95.174004pt;margin-top:9.336966pt;width:144.25pt;height:.1pt;mso-position-horizontal-relative:page;mso-position-vertical-relative:paragraph;z-index:-15643648;mso-wrap-distance-left:0;mso-wrap-distance-right:0" coordorigin="1903,187" coordsize="2885,0" path="m1903,187l4788,187e" filled="false" stroked="true" strokeweight=".720821pt" strokecolor="#000000">
            <v:path arrowok="t"/>
            <v:stroke dashstyle="solid"/>
            <w10:wrap type="topAndBottom"/>
          </v:shape>
        </w:pict>
      </w:r>
    </w:p>
    <w:p>
      <w:pPr>
        <w:pStyle w:val="BodyText"/>
        <w:spacing w:before="5"/>
        <w:rPr>
          <w:sz w:val="10"/>
        </w:rPr>
      </w:pPr>
    </w:p>
    <w:p>
      <w:pPr>
        <w:spacing w:before="86"/>
        <w:ind w:left="298" w:right="0" w:firstLine="0"/>
        <w:jc w:val="left"/>
        <w:rPr>
          <w:sz w:val="20"/>
        </w:rPr>
      </w:pPr>
      <w:r>
        <w:rPr>
          <w:rFonts w:ascii="Times New Roman" w:eastAsia="Times New Roman"/>
          <w:w w:val="120"/>
          <w:sz w:val="20"/>
          <w:vertAlign w:val="superscript"/>
        </w:rPr>
        <w:t>68</w:t>
      </w:r>
      <w:r>
        <w:rPr>
          <w:rFonts w:ascii="Times New Roman" w:eastAsia="Times New Roman"/>
          <w:spacing w:val="30"/>
          <w:w w:val="120"/>
          <w:sz w:val="20"/>
          <w:vertAlign w:val="baseline"/>
        </w:rPr>
        <w:t> </w:t>
      </w:r>
      <w:r>
        <w:rPr>
          <w:w w:val="120"/>
          <w:sz w:val="20"/>
          <w:vertAlign w:val="baseline"/>
        </w:rPr>
        <w:t>我國行政訴訟法第一百十六條第一、第二項亦同。</w:t>
      </w:r>
    </w:p>
    <w:p>
      <w:pPr>
        <w:spacing w:after="0"/>
        <w:jc w:val="left"/>
        <w:rPr>
          <w:sz w:val="20"/>
        </w:rPr>
        <w:sectPr>
          <w:headerReference w:type="default" r:id="rId308"/>
          <w:footerReference w:type="default" r:id="rId309"/>
          <w:pgSz w:w="11910" w:h="16840"/>
          <w:pgMar w:header="862" w:footer="1017" w:top="1060" w:bottom="1200" w:left="1120" w:right="1060"/>
          <w:pgNumType w:start="32"/>
        </w:sectPr>
      </w:pPr>
    </w:p>
    <w:p>
      <w:pPr>
        <w:pStyle w:val="BodyText"/>
        <w:spacing w:before="12"/>
        <w:rPr>
          <w:sz w:val="28"/>
        </w:rPr>
      </w:pPr>
    </w:p>
    <w:p>
      <w:pPr>
        <w:pStyle w:val="BodyText"/>
        <w:spacing w:line="328" w:lineRule="auto" w:before="65"/>
        <w:ind w:left="311" w:right="518" w:hanging="10"/>
        <w:jc w:val="both"/>
      </w:pPr>
      <w:r>
        <w:rPr>
          <w:w w:val="110"/>
        </w:rPr>
        <w:t>訟類型。已參與選拔程序而競爭落敗之人，得提超預先禁止之訴者。至於未參與選拔程序者，其對於即將作成之任命他人為公務員之人事處分並無防禦權或不作為之請求權可資主張，並非適格之噹事人。</w:t>
      </w:r>
    </w:p>
    <w:p>
      <w:pPr>
        <w:pStyle w:val="BodyText"/>
        <w:spacing w:line="328" w:lineRule="auto" w:before="10"/>
        <w:ind w:left="301" w:right="521" w:firstLine="564"/>
      </w:pPr>
      <w:r>
        <w:rPr>
          <w:w w:val="110"/>
        </w:rPr>
        <w:t>在公務員法上之消極競爭訴訟中，競爭者（某甲）所提超者為撤銷訴訟（形成訴訟），且為訴訟標的法律關係行政處分之相對人為第三人（某</w:t>
      </w:r>
      <w:r>
        <w:rPr>
          <w:w w:val="105"/>
        </w:rPr>
        <w:t>乙）。行政法院之判決可能直接且必然地形成、變更或者消滅某乙之權利，</w:t>
      </w:r>
      <w:r>
        <w:rPr>
          <w:spacing w:val="1"/>
          <w:w w:val="105"/>
        </w:rPr>
        <w:t> </w:t>
      </w:r>
      <w:r>
        <w:rPr>
          <w:w w:val="110"/>
        </w:rPr>
        <w:t>訴訟標的對其及當事人一造必須合一翦定。因此，在公務員法上之消極競爭訴訟中，第三人（某乙）為必要訴訟參加人。</w:t>
      </w:r>
    </w:p>
    <w:p>
      <w:pPr>
        <w:pStyle w:val="BodyText"/>
        <w:spacing w:line="328" w:lineRule="auto" w:before="7"/>
        <w:ind w:left="301" w:right="512" w:firstLine="564"/>
      </w:pPr>
      <w:r>
        <w:rPr>
          <w:w w:val="110"/>
        </w:rPr>
        <w:t>在公務員法上之積極競爭訴訟中，競爭者（某甲）所提超者為課予義務訴訟。晚近德國學說及實務上之見解，亦承認課予義務訴訟之「類似形成效力」，故第三人之權利或法律上利益仍可能為法院判決效力所影攀。然而，在此訴訟程序中，為訴訟標的法律關係行政處分之相對人並非第三人（某乙），而是原告某甲自己。某乙（第三人）之權利或法律上利益既不致因行政法院之判決而直接且必然地形成、變更或消滅，故在公務員法上之積極競爭訴訟中，第三人（某乙）僅為普通訴訟參加人，並非必要訴訟參加人。</w:t>
      </w:r>
    </w:p>
    <w:p>
      <w:pPr>
        <w:pStyle w:val="BodyText"/>
        <w:spacing w:line="321" w:lineRule="auto" w:before="12"/>
        <w:ind w:left="301" w:right="511" w:firstLine="580"/>
        <w:jc w:val="both"/>
      </w:pPr>
      <w:r>
        <w:rPr/>
        <w:t>人事主管機關任命其他競爭者為系爭公職公務員後，職務競爭者（某   </w:t>
      </w:r>
      <w:r>
        <w:rPr>
          <w:spacing w:val="89"/>
        </w:rPr>
        <w:t> </w:t>
      </w:r>
      <w:r>
        <w:rPr/>
        <w:t>甲）為保障其権益，在主程序中，必須提超撤銷訴訟，請求行政法院撤銷    </w:t>
      </w:r>
      <w:r>
        <w:rPr>
          <w:spacing w:val="44"/>
        </w:rPr>
        <w:t> </w:t>
      </w:r>
      <w:r>
        <w:rPr/>
        <w:t>人事主管機關任命其他競爭者（某乙）為系爭公職公務員之行政處分。依    </w:t>
      </w:r>
      <w:r>
        <w:rPr>
          <w:spacing w:val="14"/>
        </w:rPr>
        <w:t> </w:t>
      </w:r>
      <w:r>
        <w:rPr>
          <w:spacing w:val="5"/>
        </w:rPr>
        <w:t>德國行 政法院法第 </w:t>
      </w:r>
      <w:r>
        <w:rPr>
          <w:rFonts w:ascii="Times New Roman" w:eastAsia="Times New Roman"/>
          <w:sz w:val="30"/>
        </w:rPr>
        <w:t>80</w:t>
      </w:r>
      <w:r>
        <w:rPr>
          <w:rFonts w:ascii="Times New Roman" w:eastAsia="Times New Roman"/>
          <w:spacing w:val="13"/>
          <w:sz w:val="30"/>
        </w:rPr>
        <w:t> </w:t>
      </w:r>
      <w:r>
        <w:rPr>
          <w:spacing w:val="13"/>
        </w:rPr>
        <w:t>條第 </w:t>
      </w:r>
      <w:r>
        <w:rPr>
          <w:rFonts w:ascii="Times New Roman" w:eastAsia="Times New Roman"/>
          <w:sz w:val="30"/>
        </w:rPr>
        <w:t>l</w:t>
      </w:r>
      <w:r>
        <w:rPr>
          <w:rFonts w:ascii="Times New Roman" w:eastAsia="Times New Roman"/>
          <w:spacing w:val="55"/>
          <w:sz w:val="30"/>
        </w:rPr>
        <w:t> </w:t>
      </w:r>
      <w:r>
        <w:rPr>
          <w:spacing w:val="5"/>
        </w:rPr>
        <w:t>項規定 </w:t>
      </w:r>
      <w:r>
        <w:rPr>
          <w:spacing w:val="18"/>
          <w:w w:val="95"/>
        </w:rPr>
        <w:t>，提 </w:t>
      </w:r>
      <w:r>
        <w:rPr>
          <w:spacing w:val="9"/>
        </w:rPr>
        <w:t>超訴願及撤銷訴訟有延緩行政處</w:t>
      </w:r>
      <w:r>
        <w:rPr/>
        <w:t>分執行之效力。依上述效力障礙說（多數說）之理論，該行政處分在延緩</w:t>
      </w:r>
    </w:p>
    <w:p>
      <w:pPr>
        <w:pStyle w:val="BodyText"/>
        <w:spacing w:line="288" w:lineRule="auto" w:before="16"/>
        <w:ind w:left="300" w:right="525" w:firstLine="5"/>
        <w:jc w:val="both"/>
        <w:rPr>
          <w:rFonts w:ascii="Arial" w:eastAsia="Arial"/>
          <w:sz w:val="8"/>
        </w:rPr>
      </w:pPr>
      <w:r>
        <w:rPr>
          <w:w w:val="105"/>
        </w:rPr>
        <w:t>效力被除去之前，視為尚未發生效力，故某乙仍視為尚未被任命為系爭公</w:t>
      </w:r>
      <w:r>
        <w:rPr>
          <w:spacing w:val="107"/>
          <w:w w:val="105"/>
        </w:rPr>
        <w:t> </w:t>
      </w:r>
      <w:r>
        <w:rPr>
          <w:spacing w:val="16"/>
          <w:w w:val="105"/>
        </w:rPr>
        <w:t>職之公務</w:t>
      </w:r>
      <w:r>
        <w:rPr>
          <w:w w:val="80"/>
        </w:rPr>
        <w:t>員</w:t>
      </w:r>
      <w:r>
        <w:rPr>
          <w:rFonts w:ascii="Times New Roman" w:eastAsia="Times New Roman"/>
          <w:w w:val="80"/>
          <w:sz w:val="16"/>
        </w:rPr>
        <w:t>6970</w:t>
      </w:r>
      <w:r>
        <w:rPr>
          <w:rFonts w:ascii="Times New Roman" w:eastAsia="Times New Roman"/>
          <w:spacing w:val="18"/>
          <w:w w:val="80"/>
          <w:sz w:val="16"/>
        </w:rPr>
        <w:t> </w:t>
      </w:r>
      <w:r>
        <w:rPr>
          <w:rFonts w:ascii="Arial" w:eastAsia="Arial"/>
          <w:w w:val="80"/>
          <w:sz w:val="8"/>
        </w:rPr>
        <w:t>0</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22"/>
        </w:rPr>
      </w:pPr>
      <w:r>
        <w:rPr/>
        <w:pict>
          <v:shape style="position:absolute;margin-left:95.174004pt;margin-top:14.997151pt;width:144.25pt;height:.1pt;mso-position-horizontal-relative:page;mso-position-vertical-relative:paragraph;z-index:-15643136;mso-wrap-distance-left:0;mso-wrap-distance-right:0" coordorigin="1903,300" coordsize="2885,0" path="m1903,300l4788,300e" filled="false" stroked="true" strokeweight=".480547pt" strokecolor="#000000">
            <v:path arrowok="t"/>
            <v:stroke dashstyle="solid"/>
            <w10:wrap type="topAndBottom"/>
          </v:shape>
        </w:pict>
      </w:r>
    </w:p>
    <w:p>
      <w:pPr>
        <w:pStyle w:val="BodyText"/>
        <w:spacing w:before="1"/>
        <w:rPr>
          <w:rFonts w:ascii="Arial"/>
          <w:sz w:val="11"/>
        </w:rPr>
      </w:pPr>
    </w:p>
    <w:p>
      <w:pPr>
        <w:tabs>
          <w:tab w:pos="712" w:val="left" w:leader="none"/>
          <w:tab w:pos="3078" w:val="left" w:leader="none"/>
          <w:tab w:pos="4610" w:val="left" w:leader="none"/>
          <w:tab w:pos="6262" w:val="left" w:leader="none"/>
          <w:tab w:pos="6831" w:val="left" w:leader="none"/>
          <w:tab w:pos="8986" w:val="left" w:leader="none"/>
        </w:tabs>
        <w:spacing w:line="264" w:lineRule="auto" w:before="90"/>
        <w:ind w:left="507" w:right="525" w:hanging="209"/>
        <w:jc w:val="left"/>
        <w:rPr>
          <w:rFonts w:ascii="Times New Roman" w:eastAsia="Times New Roman"/>
          <w:sz w:val="24"/>
        </w:rPr>
      </w:pPr>
      <w:r>
        <w:rPr>
          <w:rFonts w:ascii="Times New Roman" w:eastAsia="Times New Roman"/>
          <w:w w:val="105"/>
          <w:sz w:val="21"/>
          <w:vertAlign w:val="superscript"/>
        </w:rPr>
        <w:t>69</w:t>
      </w:r>
      <w:r>
        <w:rPr>
          <w:rFonts w:ascii="Times New Roman" w:eastAsia="Times New Roman"/>
          <w:w w:val="105"/>
          <w:sz w:val="21"/>
          <w:vertAlign w:val="baseline"/>
        </w:rPr>
        <w:tab/>
        <w:tab/>
      </w:r>
      <w:r>
        <w:rPr>
          <w:w w:val="105"/>
          <w:sz w:val="21"/>
          <w:vertAlign w:val="baseline"/>
        </w:rPr>
        <w:t>相</w:t>
      </w:r>
      <w:r>
        <w:rPr>
          <w:spacing w:val="2"/>
          <w:w w:val="105"/>
          <w:sz w:val="21"/>
          <w:vertAlign w:val="baseline"/>
        </w:rPr>
        <w:t> </w:t>
      </w:r>
      <w:r>
        <w:rPr>
          <w:w w:val="105"/>
          <w:sz w:val="21"/>
          <w:vertAlign w:val="baseline"/>
        </w:rPr>
        <w:t>同</w:t>
      </w:r>
      <w:r>
        <w:rPr>
          <w:spacing w:val="18"/>
          <w:w w:val="105"/>
          <w:sz w:val="21"/>
          <w:vertAlign w:val="baseline"/>
        </w:rPr>
        <w:t> </w:t>
      </w:r>
      <w:r>
        <w:rPr>
          <w:w w:val="105"/>
          <w:sz w:val="21"/>
          <w:vertAlign w:val="baseline"/>
        </w:rPr>
        <w:t>見</w:t>
      </w:r>
      <w:r>
        <w:rPr>
          <w:spacing w:val="-8"/>
          <w:w w:val="105"/>
          <w:sz w:val="21"/>
          <w:vertAlign w:val="baseline"/>
        </w:rPr>
        <w:t> </w:t>
      </w:r>
      <w:r>
        <w:rPr>
          <w:w w:val="105"/>
          <w:sz w:val="21"/>
          <w:vertAlign w:val="baseline"/>
        </w:rPr>
        <w:t>解</w:t>
      </w:r>
      <w:r>
        <w:rPr>
          <w:spacing w:val="-13"/>
          <w:w w:val="105"/>
          <w:sz w:val="21"/>
          <w:vertAlign w:val="baseline"/>
        </w:rPr>
        <w:t> </w:t>
      </w:r>
      <w:r>
        <w:rPr>
          <w:rFonts w:ascii="Times New Roman" w:eastAsia="Times New Roman"/>
          <w:w w:val="105"/>
          <w:sz w:val="24"/>
          <w:vertAlign w:val="baseline"/>
        </w:rPr>
        <w:t>Schoch,</w:t>
        <w:tab/>
        <w:t>Vorlauf</w:t>
      </w:r>
      <w:r>
        <w:rPr>
          <w:rFonts w:ascii="Times New Roman" w:eastAsia="Times New Roman"/>
          <w:spacing w:val="28"/>
          <w:w w:val="105"/>
          <w:sz w:val="24"/>
          <w:vertAlign w:val="baseline"/>
        </w:rPr>
        <w:t> </w:t>
      </w:r>
      <w:r>
        <w:rPr>
          <w:rFonts w:ascii="Times New Roman" w:eastAsia="Times New Roman"/>
          <w:w w:val="105"/>
          <w:sz w:val="24"/>
          <w:vertAlign w:val="baseline"/>
        </w:rPr>
        <w:t>iger</w:t>
        <w:tab/>
        <w:t>Rechtsschutz</w:t>
        <w:tab/>
        <w:t>und</w:t>
        <w:tab/>
        <w:t>Risikovertei</w:t>
      </w:r>
      <w:r>
        <w:rPr>
          <w:rFonts w:ascii="Times New Roman" w:eastAsia="Times New Roman"/>
          <w:spacing w:val="62"/>
          <w:w w:val="105"/>
          <w:sz w:val="24"/>
          <w:vertAlign w:val="baseline"/>
        </w:rPr>
        <w:t> </w:t>
      </w:r>
      <w:r>
        <w:rPr>
          <w:rFonts w:ascii="Times New Roman" w:eastAsia="Times New Roman"/>
          <w:w w:val="105"/>
          <w:sz w:val="24"/>
          <w:vertAlign w:val="baseline"/>
        </w:rPr>
        <w:t>lung</w:t>
        <w:tab/>
      </w:r>
      <w:r>
        <w:rPr>
          <w:rFonts w:ascii="Times New Roman" w:eastAsia="Times New Roman"/>
          <w:spacing w:val="-9"/>
          <w:w w:val="90"/>
          <w:sz w:val="24"/>
          <w:vertAlign w:val="baseline"/>
        </w:rPr>
        <w:t>im</w:t>
      </w:r>
      <w:r>
        <w:rPr>
          <w:rFonts w:ascii="Times New Roman" w:eastAsia="Times New Roman"/>
          <w:spacing w:val="-51"/>
          <w:w w:val="90"/>
          <w:sz w:val="24"/>
          <w:vertAlign w:val="baseline"/>
        </w:rPr>
        <w:t> </w:t>
      </w:r>
      <w:r>
        <w:rPr>
          <w:rFonts w:ascii="Times New Roman" w:eastAsia="Times New Roman"/>
          <w:w w:val="105"/>
          <w:sz w:val="24"/>
          <w:vertAlign w:val="baseline"/>
        </w:rPr>
        <w:t>Verwaltungsrecht,</w:t>
      </w:r>
      <w:r>
        <w:rPr>
          <w:rFonts w:ascii="Times New Roman" w:eastAsia="Times New Roman"/>
          <w:spacing w:val="52"/>
          <w:w w:val="105"/>
          <w:sz w:val="24"/>
          <w:vertAlign w:val="baseline"/>
        </w:rPr>
        <w:t> </w:t>
      </w:r>
      <w:r>
        <w:rPr>
          <w:rFonts w:ascii="Times New Roman" w:eastAsia="Times New Roman"/>
          <w:w w:val="105"/>
          <w:sz w:val="24"/>
          <w:vertAlign w:val="baseline"/>
        </w:rPr>
        <w:t>1988,</w:t>
      </w:r>
      <w:r>
        <w:rPr>
          <w:rFonts w:ascii="Times New Roman" w:eastAsia="Times New Roman"/>
          <w:spacing w:val="54"/>
          <w:w w:val="105"/>
          <w:sz w:val="24"/>
          <w:vertAlign w:val="baseline"/>
        </w:rPr>
        <w:t> </w:t>
      </w:r>
      <w:r>
        <w:rPr>
          <w:rFonts w:ascii="Times New Roman" w:eastAsia="Times New Roman"/>
          <w:w w:val="105"/>
          <w:sz w:val="24"/>
          <w:vertAlign w:val="baseline"/>
        </w:rPr>
        <w:t>S.</w:t>
      </w:r>
      <w:r>
        <w:rPr>
          <w:rFonts w:ascii="Times New Roman" w:eastAsia="Times New Roman"/>
          <w:spacing w:val="58"/>
          <w:w w:val="105"/>
          <w:sz w:val="24"/>
          <w:vertAlign w:val="baseline"/>
        </w:rPr>
        <w:t> </w:t>
      </w:r>
      <w:r>
        <w:rPr>
          <w:rFonts w:ascii="Times New Roman" w:eastAsia="Times New Roman"/>
          <w:w w:val="105"/>
          <w:sz w:val="24"/>
          <w:vertAlign w:val="baseline"/>
        </w:rPr>
        <w:t>695.</w:t>
      </w:r>
    </w:p>
    <w:p>
      <w:pPr>
        <w:spacing w:line="278" w:lineRule="auto" w:before="10"/>
        <w:ind w:left="509" w:right="550" w:hanging="211"/>
        <w:jc w:val="left"/>
        <w:rPr>
          <w:sz w:val="21"/>
        </w:rPr>
      </w:pPr>
      <w:r>
        <w:rPr>
          <w:rFonts w:ascii="Times New Roman" w:eastAsia="Times New Roman"/>
          <w:w w:val="110"/>
          <w:sz w:val="21"/>
          <w:vertAlign w:val="superscript"/>
        </w:rPr>
        <w:t>70</w:t>
      </w:r>
      <w:r>
        <w:rPr>
          <w:rFonts w:ascii="Times New Roman" w:eastAsia="Times New Roman"/>
          <w:spacing w:val="17"/>
          <w:w w:val="110"/>
          <w:sz w:val="21"/>
          <w:vertAlign w:val="baseline"/>
        </w:rPr>
        <w:t>   </w:t>
      </w:r>
      <w:r>
        <w:rPr>
          <w:w w:val="110"/>
          <w:sz w:val="21"/>
          <w:vertAlign w:val="baseline"/>
        </w:rPr>
        <w:t>惟在德國，實務上不承認消極競爭者訴訟之合法性，故亦未探討行政處分延緩效力之問題。</w:t>
      </w:r>
    </w:p>
    <w:p>
      <w:pPr>
        <w:spacing w:after="0" w:line="278" w:lineRule="auto"/>
        <w:jc w:val="left"/>
        <w:rPr>
          <w:sz w:val="21"/>
        </w:rPr>
        <w:sectPr>
          <w:pgSz w:w="11910" w:h="16840"/>
          <w:pgMar w:header="862" w:footer="1017" w:top="1060" w:bottom="1200" w:left="1120" w:right="1060"/>
        </w:sectPr>
      </w:pPr>
    </w:p>
    <w:p>
      <w:pPr>
        <w:pStyle w:val="BodyText"/>
        <w:spacing w:line="240" w:lineRule="exact"/>
        <w:ind w:left="7209"/>
        <w:rPr>
          <w:sz w:val="20"/>
        </w:rPr>
      </w:pPr>
      <w:r>
        <w:rPr>
          <w:position w:val="-4"/>
          <w:sz w:val="20"/>
        </w:rPr>
        <w:drawing>
          <wp:inline distT="0" distB="0" distL="0" distR="0">
            <wp:extent cx="1524380" cy="152400"/>
            <wp:effectExtent l="0" t="0" r="0" b="0"/>
            <wp:docPr id="275" name="image140.png"/>
            <wp:cNvGraphicFramePr>
              <a:graphicFrameLocks noChangeAspect="1"/>
            </wp:cNvGraphicFramePr>
            <a:graphic>
              <a:graphicData uri="http://schemas.openxmlformats.org/drawingml/2006/picture">
                <pic:pic>
                  <pic:nvPicPr>
                    <pic:cNvPr id="276" name="image140.png"/>
                    <pic:cNvPicPr/>
                  </pic:nvPicPr>
                  <pic:blipFill>
                    <a:blip r:embed="rId146" cstate="print"/>
                    <a:stretch>
                      <a:fillRect/>
                    </a:stretch>
                  </pic:blipFill>
                  <pic:spPr>
                    <a:xfrm>
                      <a:off x="0" y="0"/>
                      <a:ext cx="1524380" cy="152400"/>
                    </a:xfrm>
                    <a:prstGeom prst="rect">
                      <a:avLst/>
                    </a:prstGeom>
                  </pic:spPr>
                </pic:pic>
              </a:graphicData>
            </a:graphic>
          </wp:inline>
        </w:drawing>
      </w:r>
      <w:r>
        <w:rPr>
          <w:position w:val="-4"/>
          <w:sz w:val="20"/>
        </w:rPr>
      </w:r>
    </w:p>
    <w:p>
      <w:pPr>
        <w:pStyle w:val="BodyText"/>
        <w:rPr>
          <w:sz w:val="20"/>
        </w:rPr>
      </w:pPr>
    </w:p>
    <w:p>
      <w:pPr>
        <w:pStyle w:val="BodyText"/>
        <w:spacing w:before="1"/>
        <w:rPr>
          <w:sz w:val="16"/>
        </w:rPr>
      </w:pPr>
      <w:r>
        <w:rPr/>
        <w:drawing>
          <wp:anchor distT="0" distB="0" distL="0" distR="0" allowOverlap="1" layoutInCell="1" locked="0" behindDoc="0" simplePos="0" relativeHeight="168">
            <wp:simplePos x="0" y="0"/>
            <wp:positionH relativeFrom="page">
              <wp:posOffset>2085085</wp:posOffset>
            </wp:positionH>
            <wp:positionV relativeFrom="paragraph">
              <wp:posOffset>156051</wp:posOffset>
            </wp:positionV>
            <wp:extent cx="914400" cy="228600"/>
            <wp:effectExtent l="0" t="0" r="0" b="0"/>
            <wp:wrapTopAndBottom/>
            <wp:docPr id="277" name="image286.png"/>
            <wp:cNvGraphicFramePr>
              <a:graphicFrameLocks noChangeAspect="1"/>
            </wp:cNvGraphicFramePr>
            <a:graphic>
              <a:graphicData uri="http://schemas.openxmlformats.org/drawingml/2006/picture">
                <pic:pic>
                  <pic:nvPicPr>
                    <pic:cNvPr id="278" name="image286.png"/>
                    <pic:cNvPicPr/>
                  </pic:nvPicPr>
                  <pic:blipFill>
                    <a:blip r:embed="rId312" cstate="print"/>
                    <a:stretch>
                      <a:fillRect/>
                    </a:stretch>
                  </pic:blipFill>
                  <pic:spPr>
                    <a:xfrm>
                      <a:off x="0" y="0"/>
                      <a:ext cx="914400" cy="228600"/>
                    </a:xfrm>
                    <a:prstGeom prst="rect">
                      <a:avLst/>
                    </a:prstGeom>
                  </pic:spPr>
                </pic:pic>
              </a:graphicData>
            </a:graphic>
          </wp:anchor>
        </w:drawing>
      </w:r>
      <w:r>
        <w:rPr/>
        <w:drawing>
          <wp:anchor distT="0" distB="0" distL="0" distR="0" allowOverlap="1" layoutInCell="1" locked="0" behindDoc="0" simplePos="0" relativeHeight="169">
            <wp:simplePos x="0" y="0"/>
            <wp:positionH relativeFrom="page">
              <wp:posOffset>3066923</wp:posOffset>
            </wp:positionH>
            <wp:positionV relativeFrom="paragraph">
              <wp:posOffset>156051</wp:posOffset>
            </wp:positionV>
            <wp:extent cx="2518282" cy="228600"/>
            <wp:effectExtent l="0" t="0" r="0" b="0"/>
            <wp:wrapTopAndBottom/>
            <wp:docPr id="279" name="image287.png"/>
            <wp:cNvGraphicFramePr>
              <a:graphicFrameLocks noChangeAspect="1"/>
            </wp:cNvGraphicFramePr>
            <a:graphic>
              <a:graphicData uri="http://schemas.openxmlformats.org/drawingml/2006/picture">
                <pic:pic>
                  <pic:nvPicPr>
                    <pic:cNvPr id="280" name="image287.png"/>
                    <pic:cNvPicPr/>
                  </pic:nvPicPr>
                  <pic:blipFill>
                    <a:blip r:embed="rId313" cstate="print"/>
                    <a:stretch>
                      <a:fillRect/>
                    </a:stretch>
                  </pic:blipFill>
                  <pic:spPr>
                    <a:xfrm>
                      <a:off x="0" y="0"/>
                      <a:ext cx="2518282" cy="228600"/>
                    </a:xfrm>
                    <a:prstGeom prst="rect">
                      <a:avLst/>
                    </a:prstGeom>
                  </pic:spPr>
                </pic:pic>
              </a:graphicData>
            </a:graphic>
          </wp:anchor>
        </w:drawing>
      </w:r>
      <w:r>
        <w:rPr/>
        <w:pict>
          <v:group style="position:absolute;margin-left:98.903999pt;margin-top:45.647499pt;width:430.15pt;height:14.05pt;mso-position-horizontal-relative:page;mso-position-vertical-relative:paragraph;z-index:-15641600;mso-wrap-distance-left:0;mso-wrap-distance-right:0" coordorigin="1978,913" coordsize="8603,281">
            <v:shape style="position:absolute;left:1978;top:912;width:1637;height:281" type="#_x0000_t75" stroked="false">
              <v:imagedata r:id="rId314" o:title=""/>
            </v:shape>
            <v:shape style="position:absolute;left:3341;top:912;width:3316;height:281" type="#_x0000_t75" stroked="false">
              <v:imagedata r:id="rId315" o:title=""/>
            </v:shape>
            <v:shape style="position:absolute;left:6380;top:912;width:4201;height:281" type="#_x0000_t75" stroked="false">
              <v:imagedata r:id="rId316" o:title=""/>
            </v:shape>
            <w10:wrap type="topAndBottom"/>
          </v:group>
        </w:pict>
      </w:r>
      <w:r>
        <w:rPr/>
        <w:drawing>
          <wp:anchor distT="0" distB="0" distL="0" distR="0" allowOverlap="1" layoutInCell="1" locked="0" behindDoc="0" simplePos="0" relativeHeight="171">
            <wp:simplePos x="0" y="0"/>
            <wp:positionH relativeFrom="page">
              <wp:posOffset>900988</wp:posOffset>
            </wp:positionH>
            <wp:positionV relativeFrom="paragraph">
              <wp:posOffset>858615</wp:posOffset>
            </wp:positionV>
            <wp:extent cx="5816219" cy="178307"/>
            <wp:effectExtent l="0" t="0" r="0" b="0"/>
            <wp:wrapTopAndBottom/>
            <wp:docPr id="281" name="image291.png"/>
            <wp:cNvGraphicFramePr>
              <a:graphicFrameLocks noChangeAspect="1"/>
            </wp:cNvGraphicFramePr>
            <a:graphic>
              <a:graphicData uri="http://schemas.openxmlformats.org/drawingml/2006/picture">
                <pic:pic>
                  <pic:nvPicPr>
                    <pic:cNvPr id="282" name="image291.png"/>
                    <pic:cNvPicPr/>
                  </pic:nvPicPr>
                  <pic:blipFill>
                    <a:blip r:embed="rId317"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172">
            <wp:simplePos x="0" y="0"/>
            <wp:positionH relativeFrom="page">
              <wp:posOffset>900988</wp:posOffset>
            </wp:positionH>
            <wp:positionV relativeFrom="paragraph">
              <wp:posOffset>1139031</wp:posOffset>
            </wp:positionV>
            <wp:extent cx="2845435" cy="178307"/>
            <wp:effectExtent l="0" t="0" r="0" b="0"/>
            <wp:wrapTopAndBottom/>
            <wp:docPr id="283" name="image292.png"/>
            <wp:cNvGraphicFramePr>
              <a:graphicFrameLocks noChangeAspect="1"/>
            </wp:cNvGraphicFramePr>
            <a:graphic>
              <a:graphicData uri="http://schemas.openxmlformats.org/drawingml/2006/picture">
                <pic:pic>
                  <pic:nvPicPr>
                    <pic:cNvPr id="284" name="image292.png"/>
                    <pic:cNvPicPr/>
                  </pic:nvPicPr>
                  <pic:blipFill>
                    <a:blip r:embed="rId318" cstate="print"/>
                    <a:stretch>
                      <a:fillRect/>
                    </a:stretch>
                  </pic:blipFill>
                  <pic:spPr>
                    <a:xfrm>
                      <a:off x="0" y="0"/>
                      <a:ext cx="2845435" cy="178307"/>
                    </a:xfrm>
                    <a:prstGeom prst="rect">
                      <a:avLst/>
                    </a:prstGeom>
                  </pic:spPr>
                </pic:pic>
              </a:graphicData>
            </a:graphic>
          </wp:anchor>
        </w:drawing>
      </w:r>
      <w:r>
        <w:rPr/>
        <w:drawing>
          <wp:anchor distT="0" distB="0" distL="0" distR="0" allowOverlap="1" layoutInCell="1" locked="0" behindDoc="0" simplePos="0" relativeHeight="173">
            <wp:simplePos x="0" y="0"/>
            <wp:positionH relativeFrom="page">
              <wp:posOffset>3059302</wp:posOffset>
            </wp:positionH>
            <wp:positionV relativeFrom="paragraph">
              <wp:posOffset>1465167</wp:posOffset>
            </wp:positionV>
            <wp:extent cx="812799" cy="202692"/>
            <wp:effectExtent l="0" t="0" r="0" b="0"/>
            <wp:wrapTopAndBottom/>
            <wp:docPr id="285" name="image84.png"/>
            <wp:cNvGraphicFramePr>
              <a:graphicFrameLocks noChangeAspect="1"/>
            </wp:cNvGraphicFramePr>
            <a:graphic>
              <a:graphicData uri="http://schemas.openxmlformats.org/drawingml/2006/picture">
                <pic:pic>
                  <pic:nvPicPr>
                    <pic:cNvPr id="286" name="image84.png"/>
                    <pic:cNvPicPr/>
                  </pic:nvPicPr>
                  <pic:blipFill>
                    <a:blip r:embed="rId90" cstate="print"/>
                    <a:stretch>
                      <a:fillRect/>
                    </a:stretch>
                  </pic:blipFill>
                  <pic:spPr>
                    <a:xfrm>
                      <a:off x="0" y="0"/>
                      <a:ext cx="812799" cy="202692"/>
                    </a:xfrm>
                    <a:prstGeom prst="rect">
                      <a:avLst/>
                    </a:prstGeom>
                  </pic:spPr>
                </pic:pic>
              </a:graphicData>
            </a:graphic>
          </wp:anchor>
        </w:drawing>
      </w:r>
      <w:r>
        <w:rPr/>
        <w:drawing>
          <wp:anchor distT="0" distB="0" distL="0" distR="0" allowOverlap="1" layoutInCell="1" locked="0" behindDoc="0" simplePos="0" relativeHeight="174">
            <wp:simplePos x="0" y="0"/>
            <wp:positionH relativeFrom="page">
              <wp:posOffset>3973703</wp:posOffset>
            </wp:positionH>
            <wp:positionV relativeFrom="paragraph">
              <wp:posOffset>1465167</wp:posOffset>
            </wp:positionV>
            <wp:extent cx="610361" cy="202692"/>
            <wp:effectExtent l="0" t="0" r="0" b="0"/>
            <wp:wrapTopAndBottom/>
            <wp:docPr id="287" name="image293.png"/>
            <wp:cNvGraphicFramePr>
              <a:graphicFrameLocks noChangeAspect="1"/>
            </wp:cNvGraphicFramePr>
            <a:graphic>
              <a:graphicData uri="http://schemas.openxmlformats.org/drawingml/2006/picture">
                <pic:pic>
                  <pic:nvPicPr>
                    <pic:cNvPr id="288" name="image293.png"/>
                    <pic:cNvPicPr/>
                  </pic:nvPicPr>
                  <pic:blipFill>
                    <a:blip r:embed="rId319" cstate="print"/>
                    <a:stretch>
                      <a:fillRect/>
                    </a:stretch>
                  </pic:blipFill>
                  <pic:spPr>
                    <a:xfrm>
                      <a:off x="0" y="0"/>
                      <a:ext cx="610361" cy="202692"/>
                    </a:xfrm>
                    <a:prstGeom prst="rect">
                      <a:avLst/>
                    </a:prstGeom>
                  </pic:spPr>
                </pic:pic>
              </a:graphicData>
            </a:graphic>
          </wp:anchor>
        </w:drawing>
      </w:r>
      <w:r>
        <w:rPr/>
        <w:drawing>
          <wp:anchor distT="0" distB="0" distL="0" distR="0" allowOverlap="1" layoutInCell="1" locked="0" behindDoc="0" simplePos="0" relativeHeight="175">
            <wp:simplePos x="0" y="0"/>
            <wp:positionH relativeFrom="page">
              <wp:posOffset>1256080</wp:posOffset>
            </wp:positionH>
            <wp:positionV relativeFrom="paragraph">
              <wp:posOffset>1875123</wp:posOffset>
            </wp:positionV>
            <wp:extent cx="5460746" cy="178307"/>
            <wp:effectExtent l="0" t="0" r="0" b="0"/>
            <wp:wrapTopAndBottom/>
            <wp:docPr id="289" name="image294.png"/>
            <wp:cNvGraphicFramePr>
              <a:graphicFrameLocks noChangeAspect="1"/>
            </wp:cNvGraphicFramePr>
            <a:graphic>
              <a:graphicData uri="http://schemas.openxmlformats.org/drawingml/2006/picture">
                <pic:pic>
                  <pic:nvPicPr>
                    <pic:cNvPr id="290" name="image294.png"/>
                    <pic:cNvPicPr/>
                  </pic:nvPicPr>
                  <pic:blipFill>
                    <a:blip r:embed="rId320" cstate="print"/>
                    <a:stretch>
                      <a:fillRect/>
                    </a:stretch>
                  </pic:blipFill>
                  <pic:spPr>
                    <a:xfrm>
                      <a:off x="0" y="0"/>
                      <a:ext cx="5460746" cy="178307"/>
                    </a:xfrm>
                    <a:prstGeom prst="rect">
                      <a:avLst/>
                    </a:prstGeom>
                  </pic:spPr>
                </pic:pic>
              </a:graphicData>
            </a:graphic>
          </wp:anchor>
        </w:drawing>
      </w:r>
      <w:r>
        <w:rPr/>
        <w:drawing>
          <wp:anchor distT="0" distB="0" distL="0" distR="0" allowOverlap="1" layoutInCell="1" locked="0" behindDoc="0" simplePos="0" relativeHeight="176">
            <wp:simplePos x="0" y="0"/>
            <wp:positionH relativeFrom="page">
              <wp:posOffset>900988</wp:posOffset>
            </wp:positionH>
            <wp:positionV relativeFrom="paragraph">
              <wp:posOffset>2154396</wp:posOffset>
            </wp:positionV>
            <wp:extent cx="5816219" cy="178307"/>
            <wp:effectExtent l="0" t="0" r="0" b="0"/>
            <wp:wrapTopAndBottom/>
            <wp:docPr id="291" name="image295.png"/>
            <wp:cNvGraphicFramePr>
              <a:graphicFrameLocks noChangeAspect="1"/>
            </wp:cNvGraphicFramePr>
            <a:graphic>
              <a:graphicData uri="http://schemas.openxmlformats.org/drawingml/2006/picture">
                <pic:pic>
                  <pic:nvPicPr>
                    <pic:cNvPr id="292" name="image295.png"/>
                    <pic:cNvPicPr/>
                  </pic:nvPicPr>
                  <pic:blipFill>
                    <a:blip r:embed="rId321"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177">
            <wp:simplePos x="0" y="0"/>
            <wp:positionH relativeFrom="page">
              <wp:posOffset>900988</wp:posOffset>
            </wp:positionH>
            <wp:positionV relativeFrom="paragraph">
              <wp:posOffset>2434812</wp:posOffset>
            </wp:positionV>
            <wp:extent cx="5816219" cy="178307"/>
            <wp:effectExtent l="0" t="0" r="0" b="0"/>
            <wp:wrapTopAndBottom/>
            <wp:docPr id="293" name="image296.png"/>
            <wp:cNvGraphicFramePr>
              <a:graphicFrameLocks noChangeAspect="1"/>
            </wp:cNvGraphicFramePr>
            <a:graphic>
              <a:graphicData uri="http://schemas.openxmlformats.org/drawingml/2006/picture">
                <pic:pic>
                  <pic:nvPicPr>
                    <pic:cNvPr id="294" name="image296.png"/>
                    <pic:cNvPicPr/>
                  </pic:nvPicPr>
                  <pic:blipFill>
                    <a:blip r:embed="rId322" cstate="print"/>
                    <a:stretch>
                      <a:fillRect/>
                    </a:stretch>
                  </pic:blipFill>
                  <pic:spPr>
                    <a:xfrm>
                      <a:off x="0" y="0"/>
                      <a:ext cx="5816219" cy="178307"/>
                    </a:xfrm>
                    <a:prstGeom prst="rect">
                      <a:avLst/>
                    </a:prstGeom>
                  </pic:spPr>
                </pic:pic>
              </a:graphicData>
            </a:graphic>
          </wp:anchor>
        </w:drawing>
      </w:r>
      <w:r>
        <w:rPr/>
        <w:pict>
          <v:group style="position:absolute;margin-left:70.944pt;margin-top:212.477493pt;width:202.85pt;height:15.25pt;mso-position-horizontal-relative:page;mso-position-vertical-relative:paragraph;z-index:-15637504;mso-wrap-distance-left:0;mso-wrap-distance-right:0" coordorigin="1419,4250" coordsize="4057,305">
            <v:shape style="position:absolute;left:1418;top:4273;width:3641;height:281" type="#_x0000_t75" stroked="false">
              <v:imagedata r:id="rId323" o:title=""/>
            </v:shape>
            <v:shape style="position:absolute;left:4779;top:4249;width:209;height:140" type="#_x0000_t75" stroked="false">
              <v:imagedata r:id="rId324" o:title=""/>
            </v:shape>
            <v:shape style="position:absolute;left:4918;top:4273;width:557;height:281" type="#_x0000_t75" stroked="false">
              <v:imagedata r:id="rId325" o:title=""/>
            </v:shape>
            <w10:wrap type="topAndBottom"/>
          </v:group>
        </w:pict>
      </w:r>
      <w:r>
        <w:rPr/>
        <w:drawing>
          <wp:anchor distT="0" distB="0" distL="0" distR="0" allowOverlap="1" layoutInCell="1" locked="0" behindDoc="0" simplePos="0" relativeHeight="179">
            <wp:simplePos x="0" y="0"/>
            <wp:positionH relativeFrom="page">
              <wp:posOffset>1256080</wp:posOffset>
            </wp:positionH>
            <wp:positionV relativeFrom="paragraph">
              <wp:posOffset>2992596</wp:posOffset>
            </wp:positionV>
            <wp:extent cx="5460746" cy="178307"/>
            <wp:effectExtent l="0" t="0" r="0" b="0"/>
            <wp:wrapTopAndBottom/>
            <wp:docPr id="295" name="image294.png"/>
            <wp:cNvGraphicFramePr>
              <a:graphicFrameLocks noChangeAspect="1"/>
            </wp:cNvGraphicFramePr>
            <a:graphic>
              <a:graphicData uri="http://schemas.openxmlformats.org/drawingml/2006/picture">
                <pic:pic>
                  <pic:nvPicPr>
                    <pic:cNvPr id="296" name="image294.png"/>
                    <pic:cNvPicPr/>
                  </pic:nvPicPr>
                  <pic:blipFill>
                    <a:blip r:embed="rId320" cstate="print"/>
                    <a:stretch>
                      <a:fillRect/>
                    </a:stretch>
                  </pic:blipFill>
                  <pic:spPr>
                    <a:xfrm>
                      <a:off x="0" y="0"/>
                      <a:ext cx="5460746" cy="178307"/>
                    </a:xfrm>
                    <a:prstGeom prst="rect">
                      <a:avLst/>
                    </a:prstGeom>
                  </pic:spPr>
                </pic:pic>
              </a:graphicData>
            </a:graphic>
          </wp:anchor>
        </w:drawing>
      </w:r>
      <w:r>
        <w:rPr/>
        <w:pict>
          <v:group style="position:absolute;margin-left:70.944pt;margin-top:257.717499pt;width:457.95pt;height:14.05pt;mso-position-horizontal-relative:page;mso-position-vertical-relative:paragraph;z-index:-15636480;mso-wrap-distance-left:0;mso-wrap-distance-right:0" coordorigin="1419,5154" coordsize="9159,281">
            <v:shape style="position:absolute;left:1418;top:5154;width:5562;height:281" type="#_x0000_t75" stroked="false">
              <v:imagedata r:id="rId326" o:title=""/>
            </v:shape>
            <v:shape style="position:absolute;left:6702;top:5154;width:3875;height:281" type="#_x0000_t75" stroked="false">
              <v:imagedata r:id="rId327" o:title=""/>
            </v:shape>
            <w10:wrap type="topAndBottom"/>
          </v:group>
        </w:pict>
      </w:r>
      <w:r>
        <w:rPr/>
        <w:drawing>
          <wp:anchor distT="0" distB="0" distL="0" distR="0" allowOverlap="1" layoutInCell="1" locked="0" behindDoc="0" simplePos="0" relativeHeight="181">
            <wp:simplePos x="0" y="0"/>
            <wp:positionH relativeFrom="page">
              <wp:posOffset>900988</wp:posOffset>
            </wp:positionH>
            <wp:positionV relativeFrom="paragraph">
              <wp:posOffset>3551904</wp:posOffset>
            </wp:positionV>
            <wp:extent cx="5816218" cy="178308"/>
            <wp:effectExtent l="0" t="0" r="0" b="0"/>
            <wp:wrapTopAndBottom/>
            <wp:docPr id="297" name="image302.png"/>
            <wp:cNvGraphicFramePr>
              <a:graphicFrameLocks noChangeAspect="1"/>
            </wp:cNvGraphicFramePr>
            <a:graphic>
              <a:graphicData uri="http://schemas.openxmlformats.org/drawingml/2006/picture">
                <pic:pic>
                  <pic:nvPicPr>
                    <pic:cNvPr id="298" name="image302.png"/>
                    <pic:cNvPicPr/>
                  </pic:nvPicPr>
                  <pic:blipFill>
                    <a:blip r:embed="rId328" cstate="print"/>
                    <a:stretch>
                      <a:fillRect/>
                    </a:stretch>
                  </pic:blipFill>
                  <pic:spPr>
                    <a:xfrm>
                      <a:off x="0" y="0"/>
                      <a:ext cx="5816218" cy="178308"/>
                    </a:xfrm>
                    <a:prstGeom prst="rect">
                      <a:avLst/>
                    </a:prstGeom>
                  </pic:spPr>
                </pic:pic>
              </a:graphicData>
            </a:graphic>
          </wp:anchor>
        </w:drawing>
      </w:r>
      <w:r>
        <w:rPr/>
        <w:pict>
          <v:group style="position:absolute;margin-left:70.944pt;margin-top:300.4375pt;width:175pt;height:15.25pt;mso-position-horizontal-relative:page;mso-position-vertical-relative:paragraph;z-index:-15635456;mso-wrap-distance-left:0;mso-wrap-distance-right:0" coordorigin="1419,6009" coordsize="3500,305">
            <v:shape style="position:absolute;left:1418;top:6032;width:3079;height:281" type="#_x0000_t75" stroked="false">
              <v:imagedata r:id="rId329" o:title=""/>
            </v:shape>
            <v:shape style="position:absolute;left:4217;top:6008;width:209;height:140" type="#_x0000_t75" stroked="false">
              <v:imagedata r:id="rId330" o:title=""/>
            </v:shape>
            <v:shape style="position:absolute;left:4357;top:6032;width:562;height:281" type="#_x0000_t75" stroked="false">
              <v:imagedata r:id="rId331" o:title=""/>
            </v:shape>
            <w10:wrap type="topAndBottom"/>
          </v:group>
        </w:pict>
      </w:r>
      <w:r>
        <w:rPr/>
        <w:drawing>
          <wp:anchor distT="0" distB="0" distL="0" distR="0" allowOverlap="1" layoutInCell="1" locked="0" behindDoc="0" simplePos="0" relativeHeight="183">
            <wp:simplePos x="0" y="0"/>
            <wp:positionH relativeFrom="page">
              <wp:posOffset>1256080</wp:posOffset>
            </wp:positionH>
            <wp:positionV relativeFrom="paragraph">
              <wp:posOffset>4111212</wp:posOffset>
            </wp:positionV>
            <wp:extent cx="5460745" cy="178308"/>
            <wp:effectExtent l="0" t="0" r="0" b="0"/>
            <wp:wrapTopAndBottom/>
            <wp:docPr id="299" name="image306.png"/>
            <wp:cNvGraphicFramePr>
              <a:graphicFrameLocks noChangeAspect="1"/>
            </wp:cNvGraphicFramePr>
            <a:graphic>
              <a:graphicData uri="http://schemas.openxmlformats.org/drawingml/2006/picture">
                <pic:pic>
                  <pic:nvPicPr>
                    <pic:cNvPr id="300" name="image306.png"/>
                    <pic:cNvPicPr/>
                  </pic:nvPicPr>
                  <pic:blipFill>
                    <a:blip r:embed="rId332" cstate="print"/>
                    <a:stretch>
                      <a:fillRect/>
                    </a:stretch>
                  </pic:blipFill>
                  <pic:spPr>
                    <a:xfrm>
                      <a:off x="0" y="0"/>
                      <a:ext cx="5460745" cy="178308"/>
                    </a:xfrm>
                    <a:prstGeom prst="rect">
                      <a:avLst/>
                    </a:prstGeom>
                  </pic:spPr>
                </pic:pic>
              </a:graphicData>
            </a:graphic>
          </wp:anchor>
        </w:drawing>
      </w:r>
      <w:r>
        <w:rPr/>
        <w:drawing>
          <wp:anchor distT="0" distB="0" distL="0" distR="0" allowOverlap="1" layoutInCell="1" locked="0" behindDoc="0" simplePos="0" relativeHeight="184">
            <wp:simplePos x="0" y="0"/>
            <wp:positionH relativeFrom="page">
              <wp:posOffset>900988</wp:posOffset>
            </wp:positionH>
            <wp:positionV relativeFrom="paragraph">
              <wp:posOffset>4390358</wp:posOffset>
            </wp:positionV>
            <wp:extent cx="5816218" cy="178308"/>
            <wp:effectExtent l="0" t="0" r="0" b="0"/>
            <wp:wrapTopAndBottom/>
            <wp:docPr id="301" name="image307.png"/>
            <wp:cNvGraphicFramePr>
              <a:graphicFrameLocks noChangeAspect="1"/>
            </wp:cNvGraphicFramePr>
            <a:graphic>
              <a:graphicData uri="http://schemas.openxmlformats.org/drawingml/2006/picture">
                <pic:pic>
                  <pic:nvPicPr>
                    <pic:cNvPr id="302" name="image307.png"/>
                    <pic:cNvPicPr/>
                  </pic:nvPicPr>
                  <pic:blipFill>
                    <a:blip r:embed="rId333" cstate="print"/>
                    <a:stretch>
                      <a:fillRect/>
                    </a:stretch>
                  </pic:blipFill>
                  <pic:spPr>
                    <a:xfrm>
                      <a:off x="0" y="0"/>
                      <a:ext cx="5816218" cy="178308"/>
                    </a:xfrm>
                    <a:prstGeom prst="rect">
                      <a:avLst/>
                    </a:prstGeom>
                  </pic:spPr>
                </pic:pic>
              </a:graphicData>
            </a:graphic>
          </wp:anchor>
        </w:drawing>
      </w:r>
      <w:r>
        <w:rPr/>
        <w:pict>
          <v:group style="position:absolute;margin-left:70.944pt;margin-top:367.657501pt;width:457.95pt;height:14.05pt;mso-position-horizontal-relative:page;mso-position-vertical-relative:paragraph;z-index:-15633920;mso-wrap-distance-left:0;mso-wrap-distance-right:0" coordorigin="1419,7353" coordsize="9159,281">
            <v:shape style="position:absolute;left:1418;top:7353;width:5825;height:281" type="#_x0000_t75" stroked="false">
              <v:imagedata r:id="rId334" o:title=""/>
            </v:shape>
            <v:shape style="position:absolute;left:6966;top:7353;width:843;height:281" type="#_x0000_t75" stroked="false">
              <v:imagedata r:id="rId335" o:title=""/>
            </v:shape>
            <v:shape style="position:absolute;left:7527;top:7353;width:3050;height:281" type="#_x0000_t75" stroked="false">
              <v:imagedata r:id="rId336" o:title=""/>
            </v:shape>
            <w10:wrap type="topAndBottom"/>
          </v:group>
        </w:pict>
      </w:r>
      <w:r>
        <w:rPr/>
        <w:pict>
          <v:group style="position:absolute;margin-left:70.944pt;margin-top:389.737488pt;width:433.95pt;height:14.05pt;mso-position-horizontal-relative:page;mso-position-vertical-relative:paragraph;z-index:-15633408;mso-wrap-distance-left:0;mso-wrap-distance-right:0" coordorigin="1419,7795" coordsize="8679,281">
            <v:shape style="position:absolute;left:1418;top:7794;width:7280;height:281" type="#_x0000_t75" stroked="false">
              <v:imagedata r:id="rId337" o:title=""/>
            </v:shape>
            <v:shape style="position:absolute;left:8418;top:7794;width:843;height:281" type="#_x0000_t75" stroked="false">
              <v:imagedata r:id="rId335" o:title=""/>
            </v:shape>
            <v:shape style="position:absolute;left:8980;top:7794;width:1117;height:281" type="#_x0000_t75" stroked="false">
              <v:imagedata r:id="rId338" o:title=""/>
            </v:shape>
            <w10:wrap type="topAndBottom"/>
          </v:group>
        </w:pict>
      </w:r>
      <w:r>
        <w:rPr/>
        <w:pict>
          <v:group style="position:absolute;margin-left:98.903999pt;margin-top:411.69751pt;width:430.1pt;height:14.05pt;mso-position-horizontal-relative:page;mso-position-vertical-relative:paragraph;z-index:-15632896;mso-wrap-distance-left:0;mso-wrap-distance-right:0" coordorigin="1978,8234" coordsize="8602,281">
            <v:shape style="position:absolute;left:1978;top:8233;width:6919;height:281" type="#_x0000_t75" stroked="false">
              <v:imagedata r:id="rId339" o:title=""/>
            </v:shape>
            <v:shape style="position:absolute;left:8619;top:8233;width:843;height:281" type="#_x0000_t75" stroked="false">
              <v:imagedata r:id="rId335" o:title=""/>
            </v:shape>
            <v:shape style="position:absolute;left:9182;top:8233;width:1398;height:281" type="#_x0000_t75" stroked="false">
              <v:imagedata r:id="rId340" o:title=""/>
            </v:shape>
            <w10:wrap type="topAndBottom"/>
          </v:group>
        </w:pict>
      </w:r>
      <w:r>
        <w:rPr/>
        <w:drawing>
          <wp:anchor distT="0" distB="0" distL="0" distR="0" allowOverlap="1" layoutInCell="1" locked="0" behindDoc="0" simplePos="0" relativeHeight="188">
            <wp:simplePos x="0" y="0"/>
            <wp:positionH relativeFrom="page">
              <wp:posOffset>900988</wp:posOffset>
            </wp:positionH>
            <wp:positionV relativeFrom="paragraph">
              <wp:posOffset>5507450</wp:posOffset>
            </wp:positionV>
            <wp:extent cx="5816218" cy="178308"/>
            <wp:effectExtent l="0" t="0" r="0" b="0"/>
            <wp:wrapTopAndBottom/>
            <wp:docPr id="303" name="image315.png"/>
            <wp:cNvGraphicFramePr>
              <a:graphicFrameLocks noChangeAspect="1"/>
            </wp:cNvGraphicFramePr>
            <a:graphic>
              <a:graphicData uri="http://schemas.openxmlformats.org/drawingml/2006/picture">
                <pic:pic>
                  <pic:nvPicPr>
                    <pic:cNvPr id="304" name="image315.png"/>
                    <pic:cNvPicPr/>
                  </pic:nvPicPr>
                  <pic:blipFill>
                    <a:blip r:embed="rId341" cstate="print"/>
                    <a:stretch>
                      <a:fillRect/>
                    </a:stretch>
                  </pic:blipFill>
                  <pic:spPr>
                    <a:xfrm>
                      <a:off x="0" y="0"/>
                      <a:ext cx="5816218" cy="178308"/>
                    </a:xfrm>
                    <a:prstGeom prst="rect">
                      <a:avLst/>
                    </a:prstGeom>
                  </pic:spPr>
                </pic:pic>
              </a:graphicData>
            </a:graphic>
          </wp:anchor>
        </w:drawing>
      </w:r>
      <w:r>
        <w:rPr/>
        <w:pict>
          <v:group style="position:absolute;margin-left:70.944pt;margin-top:455.737488pt;width:458pt;height:14.05pt;mso-position-horizontal-relative:page;mso-position-vertical-relative:paragraph;z-index:-15631872;mso-wrap-distance-left:0;mso-wrap-distance-right:0" coordorigin="1419,9115" coordsize="9160,281">
            <v:shape style="position:absolute;left:1418;top:9114;width:3318;height:281" type="#_x0000_t75" stroked="false">
              <v:imagedata r:id="rId342" o:title=""/>
            </v:shape>
            <v:shape style="position:absolute;left:4460;top:9114;width:6119;height:281" type="#_x0000_t75" stroked="false">
              <v:imagedata r:id="rId343" o:title=""/>
            </v:shape>
            <w10:wrap type="topAndBottom"/>
          </v:group>
        </w:pict>
      </w:r>
      <w:r>
        <w:rPr/>
        <w:drawing>
          <wp:anchor distT="0" distB="0" distL="0" distR="0" allowOverlap="1" layoutInCell="1" locked="0" behindDoc="0" simplePos="0" relativeHeight="190">
            <wp:simplePos x="0" y="0"/>
            <wp:positionH relativeFrom="page">
              <wp:posOffset>900988</wp:posOffset>
            </wp:positionH>
            <wp:positionV relativeFrom="paragraph">
              <wp:posOffset>6066758</wp:posOffset>
            </wp:positionV>
            <wp:extent cx="2667126" cy="178308"/>
            <wp:effectExtent l="0" t="0" r="0" b="0"/>
            <wp:wrapTopAndBottom/>
            <wp:docPr id="305" name="image318.png"/>
            <wp:cNvGraphicFramePr>
              <a:graphicFrameLocks noChangeAspect="1"/>
            </wp:cNvGraphicFramePr>
            <a:graphic>
              <a:graphicData uri="http://schemas.openxmlformats.org/drawingml/2006/picture">
                <pic:pic>
                  <pic:nvPicPr>
                    <pic:cNvPr id="306" name="image318.png"/>
                    <pic:cNvPicPr/>
                  </pic:nvPicPr>
                  <pic:blipFill>
                    <a:blip r:embed="rId344" cstate="print"/>
                    <a:stretch>
                      <a:fillRect/>
                    </a:stretch>
                  </pic:blipFill>
                  <pic:spPr>
                    <a:xfrm>
                      <a:off x="0" y="0"/>
                      <a:ext cx="2667126" cy="178308"/>
                    </a:xfrm>
                    <a:prstGeom prst="rect">
                      <a:avLst/>
                    </a:prstGeom>
                  </pic:spPr>
                </pic:pic>
              </a:graphicData>
            </a:graphic>
          </wp:anchor>
        </w:drawing>
      </w:r>
      <w:r>
        <w:rPr/>
        <w:drawing>
          <wp:anchor distT="0" distB="0" distL="0" distR="0" allowOverlap="1" layoutInCell="1" locked="0" behindDoc="0" simplePos="0" relativeHeight="191">
            <wp:simplePos x="0" y="0"/>
            <wp:positionH relativeFrom="page">
              <wp:posOffset>1228648</wp:posOffset>
            </wp:positionH>
            <wp:positionV relativeFrom="paragraph">
              <wp:posOffset>6393275</wp:posOffset>
            </wp:positionV>
            <wp:extent cx="812800" cy="202692"/>
            <wp:effectExtent l="0" t="0" r="0" b="0"/>
            <wp:wrapTopAndBottom/>
            <wp:docPr id="307" name="image319.png"/>
            <wp:cNvGraphicFramePr>
              <a:graphicFrameLocks noChangeAspect="1"/>
            </wp:cNvGraphicFramePr>
            <a:graphic>
              <a:graphicData uri="http://schemas.openxmlformats.org/drawingml/2006/picture">
                <pic:pic>
                  <pic:nvPicPr>
                    <pic:cNvPr id="308" name="image319.png"/>
                    <pic:cNvPicPr/>
                  </pic:nvPicPr>
                  <pic:blipFill>
                    <a:blip r:embed="rId345" cstate="print"/>
                    <a:stretch>
                      <a:fillRect/>
                    </a:stretch>
                  </pic:blipFill>
                  <pic:spPr>
                    <a:xfrm>
                      <a:off x="0" y="0"/>
                      <a:ext cx="812800" cy="202692"/>
                    </a:xfrm>
                    <a:prstGeom prst="rect">
                      <a:avLst/>
                    </a:prstGeom>
                  </pic:spPr>
                </pic:pic>
              </a:graphicData>
            </a:graphic>
          </wp:anchor>
        </w:drawing>
      </w:r>
      <w:r>
        <w:rPr/>
        <w:drawing>
          <wp:anchor distT="0" distB="0" distL="0" distR="0" allowOverlap="1" layoutInCell="1" locked="0" behindDoc="0" simplePos="0" relativeHeight="192">
            <wp:simplePos x="0" y="0"/>
            <wp:positionH relativeFrom="page">
              <wp:posOffset>2142998</wp:posOffset>
            </wp:positionH>
            <wp:positionV relativeFrom="paragraph">
              <wp:posOffset>6393275</wp:posOffset>
            </wp:positionV>
            <wp:extent cx="4271899" cy="202692"/>
            <wp:effectExtent l="0" t="0" r="0" b="0"/>
            <wp:wrapTopAndBottom/>
            <wp:docPr id="309" name="image320.png"/>
            <wp:cNvGraphicFramePr>
              <a:graphicFrameLocks noChangeAspect="1"/>
            </wp:cNvGraphicFramePr>
            <a:graphic>
              <a:graphicData uri="http://schemas.openxmlformats.org/drawingml/2006/picture">
                <pic:pic>
                  <pic:nvPicPr>
                    <pic:cNvPr id="310" name="image320.png"/>
                    <pic:cNvPicPr/>
                  </pic:nvPicPr>
                  <pic:blipFill>
                    <a:blip r:embed="rId346" cstate="print"/>
                    <a:stretch>
                      <a:fillRect/>
                    </a:stretch>
                  </pic:blipFill>
                  <pic:spPr>
                    <a:xfrm>
                      <a:off x="0" y="0"/>
                      <a:ext cx="4271899" cy="202692"/>
                    </a:xfrm>
                    <a:prstGeom prst="rect">
                      <a:avLst/>
                    </a:prstGeom>
                  </pic:spPr>
                </pic:pic>
              </a:graphicData>
            </a:graphic>
          </wp:anchor>
        </w:drawing>
      </w:r>
      <w:r>
        <w:rPr/>
        <w:drawing>
          <wp:anchor distT="0" distB="0" distL="0" distR="0" allowOverlap="1" layoutInCell="1" locked="0" behindDoc="0" simplePos="0" relativeHeight="193">
            <wp:simplePos x="0" y="0"/>
            <wp:positionH relativeFrom="page">
              <wp:posOffset>1256080</wp:posOffset>
            </wp:positionH>
            <wp:positionV relativeFrom="paragraph">
              <wp:posOffset>6803231</wp:posOffset>
            </wp:positionV>
            <wp:extent cx="4977765" cy="178307"/>
            <wp:effectExtent l="0" t="0" r="0" b="0"/>
            <wp:wrapTopAndBottom/>
            <wp:docPr id="311" name="image321.png"/>
            <wp:cNvGraphicFramePr>
              <a:graphicFrameLocks noChangeAspect="1"/>
            </wp:cNvGraphicFramePr>
            <a:graphic>
              <a:graphicData uri="http://schemas.openxmlformats.org/drawingml/2006/picture">
                <pic:pic>
                  <pic:nvPicPr>
                    <pic:cNvPr id="312" name="image321.png"/>
                    <pic:cNvPicPr/>
                  </pic:nvPicPr>
                  <pic:blipFill>
                    <a:blip r:embed="rId347" cstate="print"/>
                    <a:stretch>
                      <a:fillRect/>
                    </a:stretch>
                  </pic:blipFill>
                  <pic:spPr>
                    <a:xfrm>
                      <a:off x="0" y="0"/>
                      <a:ext cx="4977765" cy="178307"/>
                    </a:xfrm>
                    <a:prstGeom prst="rect">
                      <a:avLst/>
                    </a:prstGeom>
                  </pic:spPr>
                </pic:pic>
              </a:graphicData>
            </a:graphic>
          </wp:anchor>
        </w:drawing>
      </w:r>
      <w:r>
        <w:rPr/>
        <w:pict>
          <v:group style="position:absolute;margin-left:98.903999pt;margin-top:557.767517pt;width:420.2pt;height:14.05pt;mso-position-horizontal-relative:page;mso-position-vertical-relative:paragraph;z-index:-15629312;mso-wrap-distance-left:0;mso-wrap-distance-right:0" coordorigin="1978,11155" coordsize="8404,281">
            <v:shape style="position:absolute;left:1978;top:11155;width:1491;height:281" type="#_x0000_t75" stroked="false">
              <v:imagedata r:id="rId348" o:title=""/>
            </v:shape>
            <v:shape style="position:absolute;left:3170;top:11155;width:522;height:281" type="#_x0000_t75" stroked="false">
              <v:imagedata r:id="rId349" o:title=""/>
            </v:shape>
            <v:shape style="position:absolute;left:3518;top:11155;width:1767;height:281" type="#_x0000_t75" stroked="false">
              <v:imagedata r:id="rId350" o:title=""/>
            </v:shape>
            <v:shape style="position:absolute;left:4990;top:11155;width:786;height:281" type="#_x0000_t75" stroked="false">
              <v:imagedata r:id="rId351" o:title=""/>
            </v:shape>
            <v:shape style="position:absolute;left:5619;top:11155;width:4762;height:281" type="#_x0000_t75" stroked="false">
              <v:imagedata r:id="rId352" o:title=""/>
            </v:shape>
            <w10:wrap type="topAndBottom"/>
          </v:group>
        </w:pict>
      </w:r>
      <w:r>
        <w:rPr/>
        <w:drawing>
          <wp:anchor distT="0" distB="0" distL="0" distR="0" allowOverlap="1" layoutInCell="1" locked="0" behindDoc="0" simplePos="0" relativeHeight="195">
            <wp:simplePos x="0" y="0"/>
            <wp:positionH relativeFrom="page">
              <wp:posOffset>900988</wp:posOffset>
            </wp:positionH>
            <wp:positionV relativeFrom="paragraph">
              <wp:posOffset>7362538</wp:posOffset>
            </wp:positionV>
            <wp:extent cx="5816219" cy="178307"/>
            <wp:effectExtent l="0" t="0" r="0" b="0"/>
            <wp:wrapTopAndBottom/>
            <wp:docPr id="313" name="image327.png"/>
            <wp:cNvGraphicFramePr>
              <a:graphicFrameLocks noChangeAspect="1"/>
            </wp:cNvGraphicFramePr>
            <a:graphic>
              <a:graphicData uri="http://schemas.openxmlformats.org/drawingml/2006/picture">
                <pic:pic>
                  <pic:nvPicPr>
                    <pic:cNvPr id="314" name="image327.png"/>
                    <pic:cNvPicPr/>
                  </pic:nvPicPr>
                  <pic:blipFill>
                    <a:blip r:embed="rId353" cstate="print"/>
                    <a:stretch>
                      <a:fillRect/>
                    </a:stretch>
                  </pic:blipFill>
                  <pic:spPr>
                    <a:xfrm>
                      <a:off x="0" y="0"/>
                      <a:ext cx="5816219" cy="178307"/>
                    </a:xfrm>
                    <a:prstGeom prst="rect">
                      <a:avLst/>
                    </a:prstGeom>
                  </pic:spPr>
                </pic:pic>
              </a:graphicData>
            </a:graphic>
          </wp:anchor>
        </w:drawing>
      </w:r>
      <w:r>
        <w:rPr/>
        <w:pict>
          <v:group style="position:absolute;margin-left:70.944pt;margin-top:601.6875pt;width:457.9pt;height:14.05pt;mso-position-horizontal-relative:page;mso-position-vertical-relative:paragraph;z-index:-15628288;mso-wrap-distance-left:0;mso-wrap-distance-right:0" coordorigin="1419,12034" coordsize="9158,281">
            <v:shape style="position:absolute;left:1418;top:12033;width:2836;height:281" type="#_x0000_t75" stroked="false">
              <v:imagedata r:id="rId354" o:title=""/>
            </v:shape>
            <v:shape style="position:absolute;left:3970;top:12033;width:526;height:281" type="#_x0000_t75" stroked="false">
              <v:imagedata r:id="rId355" o:title=""/>
            </v:shape>
            <v:shape style="position:absolute;left:4321;top:12033;width:701;height:281" type="#_x0000_t75" stroked="false">
              <v:imagedata r:id="rId356" o:title=""/>
            </v:shape>
            <v:shape style="position:absolute;left:4671;top:12033;width:418;height:281" type="#_x0000_t75" stroked="false">
              <v:imagedata r:id="rId357" o:title=""/>
            </v:shape>
            <v:shape style="position:absolute;left:4880;top:12033;width:701;height:281" type="#_x0000_t75" stroked="false">
              <v:imagedata r:id="rId358" o:title=""/>
            </v:shape>
            <v:shape style="position:absolute;left:5230;top:12033;width:418;height:281" type="#_x0000_t75" stroked="false">
              <v:imagedata r:id="rId359" o:title=""/>
            </v:shape>
            <v:shape style="position:absolute;left:5439;top:12033;width:706;height:281" type="#_x0000_t75" stroked="false">
              <v:imagedata r:id="rId360" o:title=""/>
            </v:shape>
            <v:shape style="position:absolute;left:5792;top:12033;width:522;height:281" type="#_x0000_t75" stroked="false">
              <v:imagedata r:id="rId361" o:title=""/>
            </v:shape>
            <v:shape style="position:absolute;left:6140;top:12033;width:951;height:281" type="#_x0000_t75" stroked="false">
              <v:imagedata r:id="rId362" o:title=""/>
            </v:shape>
            <v:shape style="position:absolute;left:6774;top:12033;width:418;height:281" type="#_x0000_t75" stroked="false">
              <v:imagedata r:id="rId363" o:title=""/>
            </v:shape>
            <v:shape style="position:absolute;left:6983;top:12033;width:3594;height:281" type="#_x0000_t75" stroked="false">
              <v:imagedata r:id="rId364" o:title=""/>
            </v:shape>
            <w10:wrap type="topAndBottom"/>
          </v:group>
        </w:pict>
      </w:r>
    </w:p>
    <w:p>
      <w:pPr>
        <w:pStyle w:val="BodyText"/>
        <w:spacing w:before="8"/>
        <w:rPr>
          <w:sz w:val="18"/>
        </w:rPr>
      </w:pPr>
    </w:p>
    <w:p>
      <w:pPr>
        <w:pStyle w:val="BodyText"/>
        <w:rPr>
          <w:sz w:val="7"/>
        </w:rPr>
      </w:pPr>
    </w:p>
    <w:p>
      <w:pPr>
        <w:pStyle w:val="BodyText"/>
        <w:spacing w:before="3"/>
        <w:rPr>
          <w:sz w:val="7"/>
        </w:rPr>
      </w:pPr>
    </w:p>
    <w:p>
      <w:pPr>
        <w:pStyle w:val="BodyText"/>
        <w:spacing w:before="11"/>
        <w:rPr>
          <w:sz w:val="12"/>
        </w:rPr>
      </w:pPr>
    </w:p>
    <w:p>
      <w:pPr>
        <w:pStyle w:val="BodyText"/>
        <w:spacing w:before="2"/>
        <w:rPr>
          <w:sz w:val="20"/>
        </w:rPr>
      </w:pPr>
    </w:p>
    <w:p>
      <w:pPr>
        <w:pStyle w:val="BodyText"/>
        <w:spacing w:before="1"/>
        <w:rPr>
          <w:sz w:val="7"/>
        </w:rPr>
      </w:pPr>
    </w:p>
    <w:p>
      <w:pPr>
        <w:pStyle w:val="BodyText"/>
        <w:spacing w:before="3"/>
        <w:rPr>
          <w:sz w:val="7"/>
        </w:rPr>
      </w:pPr>
    </w:p>
    <w:p>
      <w:pPr>
        <w:pStyle w:val="BodyText"/>
        <w:spacing w:before="2"/>
        <w:rPr>
          <w:sz w:val="5"/>
        </w:rPr>
      </w:pPr>
    </w:p>
    <w:p>
      <w:pPr>
        <w:pStyle w:val="BodyText"/>
        <w:rPr>
          <w:sz w:val="7"/>
        </w:rPr>
      </w:pPr>
    </w:p>
    <w:p>
      <w:pPr>
        <w:pStyle w:val="BodyText"/>
        <w:spacing w:before="3"/>
        <w:rPr>
          <w:sz w:val="7"/>
        </w:rPr>
      </w:pPr>
    </w:p>
    <w:p>
      <w:pPr>
        <w:pStyle w:val="BodyText"/>
        <w:rPr>
          <w:sz w:val="7"/>
        </w:rPr>
      </w:pPr>
    </w:p>
    <w:p>
      <w:pPr>
        <w:pStyle w:val="BodyText"/>
        <w:spacing w:before="2"/>
        <w:rPr>
          <w:sz w:val="5"/>
        </w:rPr>
      </w:pPr>
    </w:p>
    <w:p>
      <w:pPr>
        <w:pStyle w:val="BodyText"/>
        <w:spacing w:before="3"/>
        <w:rPr>
          <w:sz w:val="7"/>
        </w:rPr>
      </w:pPr>
    </w:p>
    <w:p>
      <w:pPr>
        <w:pStyle w:val="BodyText"/>
        <w:spacing w:before="1"/>
        <w:rPr>
          <w:sz w:val="7"/>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rPr>
          <w:sz w:val="7"/>
        </w:rPr>
      </w:pPr>
    </w:p>
    <w:p>
      <w:pPr>
        <w:pStyle w:val="BodyText"/>
        <w:spacing w:before="11"/>
        <w:rPr>
          <w:sz w:val="12"/>
        </w:rPr>
      </w:pPr>
    </w:p>
    <w:p>
      <w:pPr>
        <w:pStyle w:val="BodyText"/>
        <w:spacing w:before="2"/>
        <w:rPr>
          <w:sz w:val="20"/>
        </w:rPr>
      </w:pPr>
    </w:p>
    <w:p>
      <w:pPr>
        <w:pStyle w:val="BodyText"/>
        <w:spacing w:before="3"/>
        <w:rPr>
          <w:sz w:val="7"/>
        </w:rPr>
      </w:pPr>
    </w:p>
    <w:p>
      <w:pPr>
        <w:pStyle w:val="BodyText"/>
        <w:rPr>
          <w:sz w:val="7"/>
        </w:rPr>
      </w:pPr>
    </w:p>
    <w:p>
      <w:pPr>
        <w:pStyle w:val="BodyText"/>
        <w:rPr>
          <w:sz w:val="7"/>
        </w:rPr>
      </w:pPr>
    </w:p>
    <w:p>
      <w:pPr>
        <w:pStyle w:val="BodyText"/>
        <w:rPr>
          <w:sz w:val="20"/>
        </w:rPr>
      </w:pPr>
    </w:p>
    <w:p>
      <w:pPr>
        <w:pStyle w:val="BodyText"/>
        <w:spacing w:before="3"/>
        <w:rPr>
          <w:sz w:val="16"/>
        </w:rPr>
      </w:pPr>
      <w:r>
        <w:rPr/>
        <w:pict>
          <v:rect style="position:absolute;margin-left:94.944pt;margin-top:12.37752pt;width:144.020pt;height:.599980pt;mso-position-horizontal-relative:page;mso-position-vertical-relative:paragraph;z-index:-15627776;mso-wrap-distance-left:0;mso-wrap-distance-right:0" filled="true" fillcolor="#000000" stroked="false">
            <v:fill type="solid"/>
            <w10:wrap type="topAndBottom"/>
          </v:rect>
        </w:pict>
      </w:r>
    </w:p>
    <w:p>
      <w:pPr>
        <w:pStyle w:val="BodyText"/>
        <w:spacing w:before="7"/>
        <w:rPr>
          <w:sz w:val="9"/>
        </w:rPr>
      </w:pPr>
    </w:p>
    <w:p>
      <w:pPr>
        <w:spacing w:before="94"/>
        <w:ind w:left="298" w:right="0" w:firstLine="0"/>
        <w:jc w:val="left"/>
        <w:rPr>
          <w:rFonts w:ascii="Times New Roman"/>
          <w:sz w:val="13"/>
        </w:rPr>
      </w:pPr>
      <w:r>
        <w:rPr/>
        <w:pict>
          <v:group style="position:absolute;margin-left:82.463997pt;margin-top:5.74836pt;width:444.1pt;height:12pt;mso-position-horizontal-relative:page;mso-position-vertical-relative:paragraph;z-index:15830528" coordorigin="1649,115" coordsize="8882,240">
            <v:shape style="position:absolute;left:1649;top:114;width:3361;height:240" type="#_x0000_t75" stroked="false">
              <v:imagedata r:id="rId365" o:title=""/>
            </v:shape>
            <v:shape style="position:absolute;left:4769;top:114;width:360;height:240" type="#_x0000_t75" stroked="false">
              <v:imagedata r:id="rId366" o:title=""/>
            </v:shape>
            <v:shape style="position:absolute;left:5009;top:114;width:1440;height:240" type="#_x0000_t75" stroked="false">
              <v:imagedata r:id="rId367" o:title=""/>
            </v:shape>
            <v:shape style="position:absolute;left:6209;top:114;width:600;height:240" type="#_x0000_t75" stroked="false">
              <v:imagedata r:id="rId368" o:title=""/>
            </v:shape>
            <v:shape style="position:absolute;left:6690;top:114;width:720;height:240" type="#_x0000_t75" stroked="false">
              <v:imagedata r:id="rId369" o:title=""/>
            </v:shape>
            <v:shape style="position:absolute;left:7170;top:114;width:360;height:240" type="#_x0000_t75" stroked="false">
              <v:imagedata r:id="rId370" o:title=""/>
            </v:shape>
            <v:shape style="position:absolute;left:7410;top:114;width:1440;height:240" type="#_x0000_t75" stroked="false">
              <v:imagedata r:id="rId367" o:title=""/>
            </v:shape>
            <v:shape style="position:absolute;left:8610;top:114;width:600;height:240" type="#_x0000_t75" stroked="false">
              <v:imagedata r:id="rId371" o:title=""/>
            </v:shape>
            <v:shape style="position:absolute;left:9090;top:114;width:1440;height:240" type="#_x0000_t75" stroked="false">
              <v:imagedata r:id="rId372" o:title=""/>
            </v:shape>
            <w10:wrap type="none"/>
          </v:group>
        </w:pict>
      </w:r>
      <w:r>
        <w:rPr/>
        <w:pict>
          <v:group style="position:absolute;margin-left:82.463997pt;margin-top:36.94836pt;width:384.1pt;height:12pt;mso-position-horizontal-relative:page;mso-position-vertical-relative:paragraph;z-index:15831040" coordorigin="1649,739" coordsize="7682,240">
            <v:shape style="position:absolute;left:1649;top:738;width:4081;height:240" type="#_x0000_t75" stroked="false">
              <v:imagedata r:id="rId373" o:title=""/>
            </v:shape>
            <v:shape style="position:absolute;left:5489;top:738;width:360;height:240" type="#_x0000_t75" stroked="false">
              <v:imagedata r:id="rId374" o:title=""/>
            </v:shape>
            <v:shape style="position:absolute;left:5729;top:738;width:1681;height:240" type="#_x0000_t75" stroked="false">
              <v:imagedata r:id="rId375" o:title=""/>
            </v:shape>
            <v:shape style="position:absolute;left:7170;top:738;width:600;height:240" type="#_x0000_t75" stroked="false">
              <v:imagedata r:id="rId376" o:title=""/>
            </v:shape>
            <v:shape style="position:absolute;left:7650;top:738;width:1681;height:240" type="#_x0000_t75" stroked="false">
              <v:imagedata r:id="rId377" o:title=""/>
            </v:shape>
            <w10:wrap type="none"/>
          </v:group>
        </w:pict>
      </w:r>
      <w:bookmarkStart w:name="_bookmark18" w:id="19"/>
      <w:bookmarkEnd w:id="19"/>
      <w:r>
        <w:rPr/>
      </w:r>
      <w:bookmarkStart w:name="_bookmark19" w:id="20"/>
      <w:bookmarkEnd w:id="20"/>
      <w:r>
        <w:rPr/>
      </w:r>
      <w:bookmarkStart w:name="_bookmark20" w:id="21"/>
      <w:bookmarkEnd w:id="21"/>
      <w:r>
        <w:rPr/>
      </w:r>
      <w:r>
        <w:rPr>
          <w:rFonts w:ascii="Times New Roman"/>
          <w:sz w:val="13"/>
        </w:rPr>
        <w:t>71</w:t>
      </w:r>
    </w:p>
    <w:p>
      <w:pPr>
        <w:pStyle w:val="BodyText"/>
        <w:spacing w:before="7"/>
        <w:rPr>
          <w:rFonts w:ascii="Times New Roman"/>
          <w:sz w:val="12"/>
        </w:rPr>
      </w:pPr>
      <w:r>
        <w:rPr/>
        <w:drawing>
          <wp:anchor distT="0" distB="0" distL="0" distR="0" allowOverlap="1" layoutInCell="1" locked="0" behindDoc="0" simplePos="0" relativeHeight="198">
            <wp:simplePos x="0" y="0"/>
            <wp:positionH relativeFrom="page">
              <wp:posOffset>1027480</wp:posOffset>
            </wp:positionH>
            <wp:positionV relativeFrom="paragraph">
              <wp:posOffset>116840</wp:posOffset>
            </wp:positionV>
            <wp:extent cx="457200" cy="152400"/>
            <wp:effectExtent l="0" t="0" r="0" b="0"/>
            <wp:wrapTopAndBottom/>
            <wp:docPr id="315" name="image352.png"/>
            <wp:cNvGraphicFramePr>
              <a:graphicFrameLocks noChangeAspect="1"/>
            </wp:cNvGraphicFramePr>
            <a:graphic>
              <a:graphicData uri="http://schemas.openxmlformats.org/drawingml/2006/picture">
                <pic:pic>
                  <pic:nvPicPr>
                    <pic:cNvPr id="316" name="image352.png"/>
                    <pic:cNvPicPr/>
                  </pic:nvPicPr>
                  <pic:blipFill>
                    <a:blip r:embed="rId378" cstate="print"/>
                    <a:stretch>
                      <a:fillRect/>
                    </a:stretch>
                  </pic:blipFill>
                  <pic:spPr>
                    <a:xfrm>
                      <a:off x="0" y="0"/>
                      <a:ext cx="457200" cy="152400"/>
                    </a:xfrm>
                    <a:prstGeom prst="rect">
                      <a:avLst/>
                    </a:prstGeom>
                  </pic:spPr>
                </pic:pic>
              </a:graphicData>
            </a:graphic>
          </wp:anchor>
        </w:drawing>
      </w:r>
    </w:p>
    <w:p>
      <w:pPr>
        <w:spacing w:before="22"/>
        <w:ind w:left="298" w:right="0" w:firstLine="0"/>
        <w:jc w:val="left"/>
        <w:rPr>
          <w:rFonts w:ascii="Times New Roman"/>
          <w:sz w:val="13"/>
        </w:rPr>
      </w:pPr>
      <w:r>
        <w:rPr>
          <w:rFonts w:ascii="Times New Roman"/>
          <w:sz w:val="13"/>
        </w:rPr>
        <w:t>72</w:t>
      </w:r>
    </w:p>
    <w:p>
      <w:pPr>
        <w:spacing w:after="0"/>
        <w:jc w:val="left"/>
        <w:rPr>
          <w:rFonts w:ascii="Times New Roman"/>
          <w:sz w:val="13"/>
        </w:rPr>
        <w:sectPr>
          <w:headerReference w:type="default" r:id="rId310"/>
          <w:footerReference w:type="default" r:id="rId311"/>
          <w:pgSz w:w="11910" w:h="16840"/>
          <w:pgMar w:header="0" w:footer="1017" w:top="860" w:bottom="1200" w:left="1120" w:right="1060"/>
        </w:sectPr>
      </w:pPr>
    </w:p>
    <w:p>
      <w:pPr>
        <w:pStyle w:val="BodyText"/>
        <w:spacing w:before="4"/>
        <w:rPr>
          <w:rFonts w:ascii="Times New Roman"/>
          <w:sz w:val="29"/>
        </w:rPr>
      </w:pPr>
    </w:p>
    <w:p>
      <w:pPr>
        <w:tabs>
          <w:tab w:pos="4661" w:val="left" w:leader="none"/>
        </w:tabs>
        <w:spacing w:line="326" w:lineRule="auto" w:before="91"/>
        <w:ind w:left="302" w:right="528" w:firstLine="13"/>
        <w:jc w:val="left"/>
        <w:rPr>
          <w:rFonts w:ascii="Arial" w:eastAsia="Arial"/>
          <w:sz w:val="28"/>
        </w:rPr>
      </w:pPr>
      <w:r>
        <w:rPr>
          <w:spacing w:val="25"/>
          <w:w w:val="85"/>
          <w:sz w:val="26"/>
        </w:rPr>
        <w:t>年</w:t>
      </w:r>
      <w:r>
        <w:rPr>
          <w:w w:val="85"/>
          <w:sz w:val="26"/>
        </w:rPr>
        <w:t>月</w:t>
      </w:r>
      <w:r>
        <w:rPr>
          <w:spacing w:val="-1"/>
          <w:w w:val="85"/>
          <w:sz w:val="26"/>
        </w:rPr>
        <w:t> </w:t>
      </w:r>
      <w:r>
        <w:rPr>
          <w:rFonts w:ascii="Arial" w:eastAsia="Arial"/>
          <w:w w:val="85"/>
          <w:sz w:val="28"/>
        </w:rPr>
        <w:t>25</w:t>
      </w:r>
      <w:r>
        <w:rPr>
          <w:rFonts w:ascii="Arial" w:eastAsia="Arial"/>
          <w:spacing w:val="42"/>
          <w:w w:val="85"/>
          <w:sz w:val="28"/>
        </w:rPr>
        <w:t> </w:t>
      </w:r>
      <w:r>
        <w:rPr>
          <w:w w:val="85"/>
          <w:sz w:val="25"/>
        </w:rPr>
        <w:t>日</w:t>
      </w:r>
      <w:r>
        <w:rPr>
          <w:spacing w:val="-38"/>
          <w:w w:val="85"/>
          <w:sz w:val="25"/>
        </w:rPr>
        <w:t> </w:t>
      </w:r>
      <w:r>
        <w:rPr>
          <w:spacing w:val="45"/>
          <w:w w:val="85"/>
          <w:sz w:val="25"/>
        </w:rPr>
        <w:t>台</w:t>
      </w:r>
      <w:r>
        <w:rPr>
          <w:spacing w:val="31"/>
          <w:w w:val="85"/>
          <w:sz w:val="25"/>
        </w:rPr>
        <w:t>財</w:t>
      </w:r>
      <w:r>
        <w:rPr>
          <w:spacing w:val="19"/>
          <w:w w:val="85"/>
          <w:sz w:val="25"/>
        </w:rPr>
        <w:t>人</w:t>
      </w:r>
      <w:r>
        <w:rPr>
          <w:spacing w:val="46"/>
          <w:w w:val="85"/>
          <w:sz w:val="25"/>
        </w:rPr>
        <w:t>字</w:t>
      </w:r>
      <w:r>
        <w:rPr>
          <w:w w:val="85"/>
          <w:sz w:val="25"/>
        </w:rPr>
        <w:t>第 </w:t>
      </w:r>
      <w:r>
        <w:rPr>
          <w:rFonts w:ascii="Arial" w:eastAsia="Arial"/>
          <w:w w:val="85"/>
          <w:sz w:val="28"/>
        </w:rPr>
        <w:t>09608509700</w:t>
        <w:tab/>
      </w:r>
      <w:r>
        <w:rPr>
          <w:spacing w:val="13"/>
          <w:w w:val="95"/>
          <w:sz w:val="25"/>
        </w:rPr>
        <w:t>號</w:t>
      </w:r>
      <w:r>
        <w:rPr>
          <w:w w:val="95"/>
          <w:sz w:val="25"/>
        </w:rPr>
        <w:t>令</w:t>
      </w:r>
      <w:r>
        <w:rPr>
          <w:spacing w:val="36"/>
          <w:w w:val="95"/>
          <w:sz w:val="25"/>
        </w:rPr>
        <w:t>核</w:t>
      </w:r>
      <w:r>
        <w:rPr>
          <w:spacing w:val="17"/>
          <w:w w:val="95"/>
          <w:sz w:val="25"/>
        </w:rPr>
        <w:t>定</w:t>
      </w:r>
      <w:r>
        <w:rPr>
          <w:w w:val="95"/>
          <w:sz w:val="25"/>
        </w:rPr>
        <w:t>陞</w:t>
      </w:r>
      <w:r>
        <w:rPr>
          <w:spacing w:val="63"/>
          <w:w w:val="95"/>
          <w:sz w:val="25"/>
        </w:rPr>
        <w:t>任</w:t>
      </w:r>
      <w:r>
        <w:rPr>
          <w:spacing w:val="44"/>
          <w:w w:val="95"/>
          <w:sz w:val="25"/>
        </w:rPr>
        <w:t>第</w:t>
      </w:r>
      <w:r>
        <w:rPr>
          <w:spacing w:val="26"/>
          <w:w w:val="95"/>
          <w:sz w:val="25"/>
        </w:rPr>
        <w:t>三</w:t>
      </w:r>
      <w:r>
        <w:rPr>
          <w:w w:val="95"/>
          <w:sz w:val="25"/>
        </w:rPr>
        <w:t>人</w:t>
      </w:r>
      <w:r>
        <w:rPr>
          <w:spacing w:val="88"/>
          <w:w w:val="95"/>
          <w:sz w:val="25"/>
        </w:rPr>
        <w:t> </w:t>
      </w:r>
      <w:r>
        <w:rPr>
          <w:w w:val="90"/>
          <w:sz w:val="25"/>
        </w:rPr>
        <w:t>，</w:t>
      </w:r>
      <w:r>
        <w:rPr>
          <w:spacing w:val="-24"/>
          <w:w w:val="90"/>
          <w:sz w:val="25"/>
        </w:rPr>
        <w:t> </w:t>
      </w:r>
      <w:r>
        <w:rPr>
          <w:sz w:val="25"/>
        </w:rPr>
        <w:t>復</w:t>
      </w:r>
      <w:r>
        <w:rPr>
          <w:spacing w:val="39"/>
          <w:w w:val="95"/>
          <w:sz w:val="25"/>
        </w:rPr>
        <w:t>審</w:t>
      </w:r>
      <w:r>
        <w:rPr>
          <w:w w:val="95"/>
          <w:sz w:val="25"/>
        </w:rPr>
        <w:t>人</w:t>
      </w:r>
      <w:r>
        <w:rPr>
          <w:spacing w:val="14"/>
          <w:w w:val="95"/>
          <w:sz w:val="25"/>
        </w:rPr>
        <w:t>不</w:t>
      </w:r>
      <w:r>
        <w:rPr>
          <w:spacing w:val="46"/>
          <w:w w:val="95"/>
          <w:sz w:val="25"/>
        </w:rPr>
        <w:t>服</w:t>
      </w:r>
      <w:r>
        <w:rPr>
          <w:sz w:val="25"/>
        </w:rPr>
        <w:t>未獲陞任之決定提超復審。本案中，保訓會除以「機關辦理陞遷作業程序與    </w:t>
      </w:r>
      <w:r>
        <w:rPr>
          <w:spacing w:val="3"/>
          <w:sz w:val="25"/>
        </w:rPr>
        <w:t> </w:t>
      </w:r>
      <w:r>
        <w:rPr>
          <w:spacing w:val="35"/>
          <w:w w:val="95"/>
          <w:sz w:val="25"/>
        </w:rPr>
        <w:t>相</w:t>
      </w:r>
      <w:r>
        <w:rPr>
          <w:spacing w:val="27"/>
          <w:w w:val="95"/>
          <w:sz w:val="25"/>
        </w:rPr>
        <w:t>關</w:t>
      </w:r>
      <w:r>
        <w:rPr>
          <w:spacing w:val="15"/>
          <w:sz w:val="25"/>
        </w:rPr>
        <w:t>規</w:t>
      </w:r>
      <w:r>
        <w:rPr>
          <w:w w:val="95"/>
          <w:sz w:val="25"/>
        </w:rPr>
        <w:t>定</w:t>
      </w:r>
      <w:r>
        <w:rPr>
          <w:spacing w:val="23"/>
          <w:w w:val="95"/>
          <w:sz w:val="25"/>
        </w:rPr>
        <w:t>合</w:t>
      </w:r>
      <w:r>
        <w:rPr>
          <w:sz w:val="25"/>
        </w:rPr>
        <w:t>致</w:t>
      </w:r>
      <w:r>
        <w:rPr>
          <w:spacing w:val="18"/>
          <w:sz w:val="25"/>
        </w:rPr>
        <w:t> </w:t>
      </w:r>
      <w:r>
        <w:rPr>
          <w:w w:val="90"/>
          <w:sz w:val="25"/>
        </w:rPr>
        <w:t>，</w:t>
      </w:r>
      <w:r>
        <w:rPr>
          <w:spacing w:val="-54"/>
          <w:w w:val="90"/>
          <w:sz w:val="25"/>
        </w:rPr>
        <w:t> </w:t>
      </w:r>
      <w:r>
        <w:rPr>
          <w:spacing w:val="26"/>
          <w:w w:val="95"/>
          <w:sz w:val="25"/>
        </w:rPr>
        <w:t>尚</w:t>
      </w:r>
      <w:r>
        <w:rPr>
          <w:spacing w:val="16"/>
          <w:w w:val="95"/>
          <w:sz w:val="25"/>
        </w:rPr>
        <w:t>無</w:t>
      </w:r>
      <w:r>
        <w:rPr>
          <w:spacing w:val="15"/>
          <w:w w:val="95"/>
          <w:sz w:val="25"/>
        </w:rPr>
        <w:t>程</w:t>
      </w:r>
      <w:r>
        <w:rPr>
          <w:spacing w:val="20"/>
          <w:w w:val="95"/>
          <w:sz w:val="25"/>
        </w:rPr>
        <w:t>序</w:t>
      </w:r>
      <w:r>
        <w:rPr>
          <w:spacing w:val="13"/>
          <w:w w:val="95"/>
          <w:sz w:val="25"/>
        </w:rPr>
        <w:t>上</w:t>
      </w:r>
      <w:r>
        <w:rPr>
          <w:sz w:val="25"/>
        </w:rPr>
        <w:t>之瑕疵</w:t>
      </w:r>
      <w:r>
        <w:rPr>
          <w:spacing w:val="-63"/>
          <w:sz w:val="25"/>
        </w:rPr>
        <w:t>」</w:t>
      </w:r>
      <w:r>
        <w:rPr>
          <w:rFonts w:ascii="Times New Roman" w:eastAsia="Times New Roman"/>
          <w:w w:val="90"/>
          <w:sz w:val="16"/>
        </w:rPr>
        <w:t>73</w:t>
      </w:r>
      <w:r>
        <w:rPr>
          <w:rFonts w:ascii="Times New Roman" w:eastAsia="Times New Roman"/>
          <w:spacing w:val="16"/>
          <w:w w:val="90"/>
          <w:sz w:val="16"/>
        </w:rPr>
        <w:t> </w:t>
      </w:r>
      <w:r>
        <w:rPr>
          <w:w w:val="90"/>
          <w:sz w:val="25"/>
        </w:rPr>
        <w:t>以</w:t>
      </w:r>
      <w:r>
        <w:rPr>
          <w:spacing w:val="116"/>
          <w:sz w:val="25"/>
        </w:rPr>
        <w:t> </w:t>
      </w:r>
      <w:r>
        <w:rPr>
          <w:sz w:val="25"/>
        </w:rPr>
        <w:t>及</w:t>
      </w:r>
      <w:r>
        <w:rPr>
          <w:spacing w:val="20"/>
          <w:sz w:val="25"/>
        </w:rPr>
        <w:t>「</w:t>
      </w:r>
      <w:r>
        <w:rPr>
          <w:spacing w:val="12"/>
          <w:w w:val="95"/>
          <w:sz w:val="25"/>
        </w:rPr>
        <w:t>考</w:t>
      </w:r>
      <w:r>
        <w:rPr>
          <w:spacing w:val="26"/>
          <w:w w:val="95"/>
          <w:sz w:val="25"/>
        </w:rPr>
        <w:t>評</w:t>
      </w:r>
      <w:r>
        <w:rPr>
          <w:w w:val="95"/>
          <w:sz w:val="25"/>
        </w:rPr>
        <w:t>工</w:t>
      </w:r>
      <w:r>
        <w:rPr>
          <w:spacing w:val="30"/>
          <w:sz w:val="25"/>
        </w:rPr>
        <w:t>作</w:t>
      </w:r>
      <w:r>
        <w:rPr>
          <w:spacing w:val="41"/>
          <w:w w:val="95"/>
          <w:sz w:val="25"/>
        </w:rPr>
        <w:t>富</w:t>
      </w:r>
      <w:r>
        <w:rPr>
          <w:spacing w:val="39"/>
          <w:w w:val="95"/>
          <w:sz w:val="25"/>
        </w:rPr>
        <w:t>高</w:t>
      </w:r>
      <w:r>
        <w:rPr>
          <w:spacing w:val="10"/>
          <w:w w:val="95"/>
          <w:sz w:val="25"/>
        </w:rPr>
        <w:t>度</w:t>
      </w:r>
      <w:r>
        <w:rPr>
          <w:spacing w:val="47"/>
          <w:w w:val="95"/>
          <w:sz w:val="25"/>
        </w:rPr>
        <w:t>屬</w:t>
      </w:r>
      <w:r>
        <w:rPr>
          <w:w w:val="95"/>
          <w:sz w:val="25"/>
        </w:rPr>
        <w:t>人性</w:t>
      </w:r>
      <w:r>
        <w:rPr>
          <w:spacing w:val="34"/>
          <w:w w:val="95"/>
          <w:sz w:val="25"/>
        </w:rPr>
        <w:t> </w:t>
      </w:r>
      <w:r>
        <w:rPr>
          <w:w w:val="90"/>
          <w:sz w:val="25"/>
        </w:rPr>
        <w:t>，</w:t>
      </w:r>
      <w:r>
        <w:rPr>
          <w:spacing w:val="-49"/>
          <w:w w:val="90"/>
          <w:sz w:val="25"/>
        </w:rPr>
        <w:t> </w:t>
      </w:r>
      <w:r>
        <w:rPr>
          <w:w w:val="95"/>
          <w:sz w:val="25"/>
        </w:rPr>
        <w:t>應</w:t>
      </w:r>
      <w:r>
        <w:rPr>
          <w:spacing w:val="36"/>
          <w:w w:val="95"/>
          <w:sz w:val="25"/>
        </w:rPr>
        <w:t>予</w:t>
      </w:r>
      <w:r>
        <w:rPr>
          <w:spacing w:val="31"/>
          <w:w w:val="95"/>
          <w:sz w:val="25"/>
        </w:rPr>
        <w:t>尊</w:t>
      </w:r>
      <w:r>
        <w:rPr>
          <w:w w:val="95"/>
          <w:sz w:val="25"/>
        </w:rPr>
        <w:t>重」</w:t>
      </w:r>
      <w:r>
        <w:rPr>
          <w:rFonts w:ascii="Times New Roman" w:eastAsia="Times New Roman"/>
          <w:w w:val="90"/>
          <w:sz w:val="16"/>
        </w:rPr>
        <w:t>74</w:t>
      </w:r>
      <w:r>
        <w:rPr>
          <w:rFonts w:ascii="Times New Roman" w:eastAsia="Times New Roman"/>
          <w:spacing w:val="63"/>
          <w:sz w:val="16"/>
        </w:rPr>
        <w:t> </w:t>
      </w:r>
      <w:r>
        <w:rPr>
          <w:rFonts w:ascii="Times New Roman" w:eastAsia="Times New Roman"/>
          <w:spacing w:val="65"/>
          <w:sz w:val="16"/>
        </w:rPr>
        <w:t> </w:t>
      </w:r>
      <w:r>
        <w:rPr>
          <w:w w:val="95"/>
          <w:sz w:val="25"/>
        </w:rPr>
        <w:t>等理</w:t>
      </w:r>
      <w:r>
        <w:rPr>
          <w:spacing w:val="13"/>
          <w:w w:val="95"/>
          <w:sz w:val="25"/>
        </w:rPr>
        <w:t> </w:t>
      </w:r>
      <w:r>
        <w:rPr>
          <w:spacing w:val="12"/>
          <w:w w:val="95"/>
          <w:sz w:val="25"/>
        </w:rPr>
        <w:t>由</w:t>
      </w:r>
      <w:r>
        <w:rPr>
          <w:spacing w:val="17"/>
          <w:sz w:val="25"/>
        </w:rPr>
        <w:t>實</w:t>
      </w:r>
      <w:r>
        <w:rPr>
          <w:spacing w:val="16"/>
          <w:w w:val="95"/>
          <w:sz w:val="25"/>
        </w:rPr>
        <w:t>體</w:t>
      </w:r>
      <w:r>
        <w:rPr>
          <w:sz w:val="25"/>
        </w:rPr>
        <w:t>駁回復</w:t>
      </w:r>
      <w:r>
        <w:rPr>
          <w:spacing w:val="41"/>
          <w:w w:val="95"/>
          <w:sz w:val="25"/>
        </w:rPr>
        <w:t>審</w:t>
      </w:r>
      <w:r>
        <w:rPr>
          <w:spacing w:val="11"/>
          <w:w w:val="95"/>
          <w:sz w:val="25"/>
        </w:rPr>
        <w:t>人</w:t>
      </w:r>
      <w:r>
        <w:rPr>
          <w:w w:val="95"/>
          <w:sz w:val="25"/>
        </w:rPr>
        <w:t>不服</w:t>
      </w:r>
      <w:r>
        <w:rPr>
          <w:spacing w:val="20"/>
          <w:w w:val="95"/>
          <w:sz w:val="25"/>
        </w:rPr>
        <w:t> </w:t>
      </w:r>
      <w:r>
        <w:rPr>
          <w:sz w:val="25"/>
        </w:rPr>
        <w:t>未</w:t>
      </w:r>
      <w:r>
        <w:rPr>
          <w:spacing w:val="19"/>
          <w:sz w:val="25"/>
        </w:rPr>
        <w:t>獲</w:t>
      </w:r>
      <w:r>
        <w:rPr>
          <w:w w:val="95"/>
          <w:sz w:val="25"/>
        </w:rPr>
        <w:t>陞</w:t>
      </w:r>
      <w:r>
        <w:rPr>
          <w:spacing w:val="42"/>
          <w:w w:val="95"/>
          <w:sz w:val="25"/>
        </w:rPr>
        <w:t>任</w:t>
      </w:r>
      <w:r>
        <w:rPr>
          <w:spacing w:val="20"/>
          <w:sz w:val="25"/>
        </w:rPr>
        <w:t>之</w:t>
      </w:r>
      <w:r>
        <w:rPr>
          <w:spacing w:val="31"/>
          <w:w w:val="95"/>
          <w:sz w:val="25"/>
        </w:rPr>
        <w:t>決</w:t>
      </w:r>
      <w:r>
        <w:rPr>
          <w:w w:val="95"/>
          <w:sz w:val="25"/>
        </w:rPr>
        <w:t>定</w:t>
      </w:r>
      <w:r>
        <w:rPr>
          <w:spacing w:val="22"/>
          <w:w w:val="95"/>
          <w:sz w:val="25"/>
        </w:rPr>
        <w:t>所</w:t>
      </w:r>
      <w:r>
        <w:rPr>
          <w:spacing w:val="20"/>
          <w:w w:val="95"/>
          <w:sz w:val="25"/>
        </w:rPr>
        <w:t>提</w:t>
      </w:r>
      <w:r>
        <w:rPr>
          <w:spacing w:val="10"/>
          <w:sz w:val="25"/>
        </w:rPr>
        <w:t>超</w:t>
      </w:r>
      <w:r>
        <w:rPr>
          <w:sz w:val="25"/>
        </w:rPr>
        <w:t>之復</w:t>
      </w:r>
      <w:r>
        <w:rPr>
          <w:spacing w:val="36"/>
          <w:w w:val="95"/>
          <w:sz w:val="25"/>
        </w:rPr>
        <w:t>審</w:t>
      </w:r>
      <w:r>
        <w:rPr>
          <w:w w:val="95"/>
          <w:sz w:val="25"/>
        </w:rPr>
        <w:t>外</w:t>
      </w:r>
      <w:r>
        <w:rPr>
          <w:spacing w:val="112"/>
          <w:sz w:val="25"/>
        </w:rPr>
        <w:t> </w:t>
      </w:r>
      <w:r>
        <w:rPr>
          <w:w w:val="90"/>
          <w:sz w:val="25"/>
        </w:rPr>
        <w:t>，</w:t>
      </w:r>
      <w:r>
        <w:rPr>
          <w:spacing w:val="1"/>
          <w:w w:val="90"/>
          <w:sz w:val="25"/>
        </w:rPr>
        <w:t> </w:t>
      </w:r>
      <w:r>
        <w:rPr>
          <w:w w:val="90"/>
          <w:sz w:val="25"/>
        </w:rPr>
        <w:t>另謂：「</w:t>
      </w:r>
      <w:r>
        <w:rPr>
          <w:spacing w:val="-65"/>
          <w:w w:val="90"/>
          <w:sz w:val="25"/>
        </w:rPr>
        <w:t> </w:t>
      </w:r>
      <w:r>
        <w:rPr>
          <w:w w:val="90"/>
          <w:sz w:val="25"/>
        </w:rPr>
        <w:t>復</w:t>
      </w:r>
      <w:r>
        <w:rPr>
          <w:spacing w:val="34"/>
          <w:w w:val="90"/>
          <w:sz w:val="25"/>
        </w:rPr>
        <w:t>審</w:t>
      </w:r>
      <w:r>
        <w:rPr>
          <w:spacing w:val="18"/>
          <w:w w:val="90"/>
          <w:sz w:val="25"/>
        </w:rPr>
        <w:t>人</w:t>
      </w:r>
      <w:r>
        <w:rPr>
          <w:w w:val="90"/>
          <w:sz w:val="25"/>
        </w:rPr>
        <w:t>主張</w:t>
      </w:r>
      <w:r>
        <w:rPr>
          <w:spacing w:val="-37"/>
          <w:w w:val="90"/>
          <w:sz w:val="25"/>
        </w:rPr>
        <w:t> </w:t>
      </w:r>
      <w:r>
        <w:rPr>
          <w:spacing w:val="35"/>
          <w:w w:val="90"/>
          <w:sz w:val="25"/>
        </w:rPr>
        <w:t>不</w:t>
      </w:r>
      <w:r>
        <w:rPr>
          <w:spacing w:val="57"/>
          <w:w w:val="90"/>
          <w:sz w:val="25"/>
        </w:rPr>
        <w:t>服</w:t>
      </w:r>
      <w:r>
        <w:rPr>
          <w:spacing w:val="25"/>
          <w:w w:val="90"/>
          <w:sz w:val="25"/>
        </w:rPr>
        <w:t>財</w:t>
      </w:r>
      <w:r>
        <w:rPr>
          <w:w w:val="90"/>
          <w:sz w:val="25"/>
        </w:rPr>
        <w:t>政部</w:t>
      </w:r>
      <w:r>
        <w:rPr>
          <w:spacing w:val="-18"/>
          <w:w w:val="90"/>
          <w:sz w:val="25"/>
        </w:rPr>
        <w:t> </w:t>
      </w:r>
      <w:r>
        <w:rPr>
          <w:rFonts w:ascii="Arial" w:eastAsia="Arial"/>
          <w:w w:val="90"/>
          <w:sz w:val="28"/>
        </w:rPr>
        <w:t>96</w:t>
      </w:r>
      <w:r>
        <w:rPr>
          <w:rFonts w:ascii="Arial" w:eastAsia="Arial"/>
          <w:spacing w:val="54"/>
          <w:w w:val="90"/>
          <w:sz w:val="28"/>
        </w:rPr>
        <w:t> </w:t>
      </w:r>
      <w:r>
        <w:rPr>
          <w:w w:val="90"/>
          <w:sz w:val="24"/>
        </w:rPr>
        <w:t>年</w:t>
      </w:r>
      <w:r>
        <w:rPr>
          <w:spacing w:val="-24"/>
          <w:w w:val="90"/>
          <w:sz w:val="24"/>
        </w:rPr>
        <w:t> </w:t>
      </w:r>
      <w:r>
        <w:rPr>
          <w:rFonts w:ascii="Arial" w:eastAsia="Arial"/>
          <w:w w:val="90"/>
          <w:sz w:val="28"/>
        </w:rPr>
        <w:t>7</w:t>
      </w:r>
      <w:r>
        <w:rPr>
          <w:rFonts w:ascii="Arial" w:eastAsia="Arial"/>
          <w:spacing w:val="31"/>
          <w:w w:val="90"/>
          <w:sz w:val="28"/>
        </w:rPr>
        <w:t> </w:t>
      </w:r>
      <w:r>
        <w:rPr>
          <w:w w:val="90"/>
          <w:sz w:val="25"/>
        </w:rPr>
        <w:t>月</w:t>
      </w:r>
      <w:r>
        <w:rPr>
          <w:spacing w:val="11"/>
          <w:w w:val="90"/>
          <w:sz w:val="25"/>
        </w:rPr>
        <w:t> </w:t>
      </w:r>
      <w:r>
        <w:rPr>
          <w:rFonts w:ascii="Arial" w:eastAsia="Arial"/>
          <w:w w:val="90"/>
          <w:sz w:val="28"/>
        </w:rPr>
        <w:t>25</w:t>
      </w:r>
      <w:r>
        <w:rPr>
          <w:rFonts w:ascii="Arial" w:eastAsia="Arial"/>
          <w:spacing w:val="50"/>
          <w:w w:val="90"/>
          <w:sz w:val="28"/>
        </w:rPr>
        <w:t> </w:t>
      </w:r>
      <w:r>
        <w:rPr>
          <w:w w:val="90"/>
          <w:sz w:val="25"/>
        </w:rPr>
        <w:t>日</w:t>
      </w:r>
      <w:r>
        <w:rPr>
          <w:spacing w:val="-40"/>
          <w:w w:val="90"/>
          <w:sz w:val="25"/>
        </w:rPr>
        <w:t> </w:t>
      </w:r>
      <w:r>
        <w:rPr>
          <w:spacing w:val="45"/>
          <w:w w:val="90"/>
          <w:sz w:val="25"/>
        </w:rPr>
        <w:t>台</w:t>
      </w:r>
      <w:r>
        <w:rPr>
          <w:spacing w:val="31"/>
          <w:w w:val="90"/>
          <w:sz w:val="25"/>
        </w:rPr>
        <w:t>財</w:t>
      </w:r>
      <w:r>
        <w:rPr>
          <w:spacing w:val="14"/>
          <w:w w:val="90"/>
          <w:sz w:val="25"/>
        </w:rPr>
        <w:t>人</w:t>
      </w:r>
      <w:r>
        <w:rPr>
          <w:spacing w:val="46"/>
          <w:w w:val="90"/>
          <w:sz w:val="25"/>
        </w:rPr>
        <w:t>字</w:t>
      </w:r>
      <w:r>
        <w:rPr>
          <w:w w:val="90"/>
          <w:sz w:val="25"/>
        </w:rPr>
        <w:t>第 </w:t>
      </w:r>
      <w:r>
        <w:rPr>
          <w:rFonts w:ascii="Arial" w:eastAsia="Arial"/>
          <w:w w:val="90"/>
          <w:sz w:val="28"/>
        </w:rPr>
        <w:t>09608509700</w:t>
      </w:r>
    </w:p>
    <w:p>
      <w:pPr>
        <w:pStyle w:val="BodyText"/>
        <w:spacing w:line="331" w:lineRule="auto"/>
        <w:ind w:left="317" w:right="520" w:hanging="7"/>
      </w:pPr>
      <w:r>
        <w:rPr>
          <w:w w:val="110"/>
        </w:rPr>
        <w:t>號令核定陞任第三人之派令並請求撤銷乙節。以復審人所訴核無理由外，</w:t>
      </w:r>
      <w:r>
        <w:rPr>
          <w:spacing w:val="-135"/>
          <w:w w:val="110"/>
        </w:rPr>
        <w:t> </w:t>
      </w:r>
      <w:r>
        <w:rPr>
          <w:w w:val="110"/>
        </w:rPr>
        <w:t>況其並非該行政處分之噹事人，尚無法律權利請求撤銷該派令」。</w:t>
      </w:r>
    </w:p>
    <w:p>
      <w:pPr>
        <w:pStyle w:val="BodyText"/>
        <w:spacing w:line="331" w:lineRule="auto"/>
        <w:ind w:left="303" w:right="514" w:firstLine="569"/>
      </w:pPr>
      <w:r>
        <w:rPr>
          <w:w w:val="110"/>
        </w:rPr>
        <w:t>上述復審決定中，有關復審人不服財政部核定陞任第三人之派令並請求撤銷之部分，保訓會一方面稱「復審人所訴核無理由」，似乎已肯定其爭訟之合法性而從實體上審查並加以駁回。另一方面，保訓會又謂「況其並非該行政處分之噹事人，尚無法律権利請求撤銷該派令」，似乎又否定公務人員消極競爭者爭訟之合法性，認為復審人並無權利或利益受損害，</w:t>
      </w:r>
    </w:p>
    <w:p>
      <w:pPr>
        <w:pStyle w:val="BodyText"/>
        <w:spacing w:before="3"/>
        <w:rPr>
          <w:sz w:val="13"/>
        </w:rPr>
      </w:pPr>
      <w:r>
        <w:rPr/>
        <w:pict>
          <v:shape style="position:absolute;margin-left:95.174004pt;margin-top:10.716549pt;width:144.25pt;height:.1pt;mso-position-horizontal-relative:page;mso-position-vertical-relative:paragraph;z-index:-15625728;mso-wrap-distance-left:0;mso-wrap-distance-right:0" coordorigin="1903,214" coordsize="2885,0" path="m1903,214l4788,214e" filled="false" stroked="true" strokeweight=".480547pt" strokecolor="#000000">
            <v:path arrowok="t"/>
            <v:stroke dashstyle="solid"/>
            <w10:wrap type="topAndBottom"/>
          </v:shape>
        </w:pict>
      </w:r>
    </w:p>
    <w:p>
      <w:pPr>
        <w:pStyle w:val="BodyText"/>
        <w:spacing w:before="10"/>
        <w:rPr>
          <w:sz w:val="7"/>
        </w:rPr>
      </w:pPr>
    </w:p>
    <w:p>
      <w:pPr>
        <w:spacing w:line="259" w:lineRule="auto" w:before="89"/>
        <w:ind w:left="502" w:right="487" w:hanging="204"/>
        <w:jc w:val="left"/>
        <w:rPr>
          <w:sz w:val="21"/>
        </w:rPr>
      </w:pPr>
      <w:r>
        <w:rPr>
          <w:rFonts w:ascii="Times New Roman" w:eastAsia="Times New Roman"/>
          <w:position w:val="7"/>
          <w:sz w:val="13"/>
        </w:rPr>
        <w:t>73</w:t>
      </w:r>
      <w:r>
        <w:rPr>
          <w:rFonts w:ascii="Times New Roman" w:eastAsia="Times New Roman"/>
          <w:spacing w:val="3"/>
          <w:position w:val="7"/>
          <w:sz w:val="13"/>
        </w:rPr>
        <w:t>   </w:t>
      </w:r>
      <w:r>
        <w:rPr>
          <w:spacing w:val="16"/>
          <w:sz w:val="21"/>
        </w:rPr>
        <w:t>保訓會</w:t>
      </w:r>
      <w:r>
        <w:rPr>
          <w:rFonts w:ascii="Times New Roman" w:eastAsia="Times New Roman"/>
          <w:spacing w:val="9"/>
          <w:sz w:val="26"/>
        </w:rPr>
        <w:t>97</w:t>
      </w:r>
      <w:r>
        <w:rPr>
          <w:spacing w:val="33"/>
          <w:sz w:val="21"/>
        </w:rPr>
        <w:t>公審決字第</w:t>
      </w:r>
      <w:r>
        <w:rPr>
          <w:rFonts w:ascii="Times New Roman" w:eastAsia="Times New Roman"/>
          <w:sz w:val="26"/>
        </w:rPr>
        <w:t>0112</w:t>
      </w:r>
      <w:r>
        <w:rPr>
          <w:spacing w:val="-1"/>
          <w:sz w:val="21"/>
        </w:rPr>
        <w:t>號復審決定理由二謂：「卷查財政部 人事處以</w:t>
      </w:r>
      <w:r>
        <w:rPr>
          <w:rFonts w:ascii="Times New Roman" w:eastAsia="Times New Roman"/>
          <w:spacing w:val="10"/>
          <w:sz w:val="26"/>
        </w:rPr>
        <w:t>96</w:t>
      </w:r>
      <w:r>
        <w:rPr>
          <w:sz w:val="21"/>
        </w:rPr>
        <w:t>年</w:t>
      </w:r>
      <w:r>
        <w:rPr>
          <w:rFonts w:ascii="Times New Roman" w:eastAsia="Times New Roman"/>
          <w:sz w:val="26"/>
        </w:rPr>
        <w:t>6</w:t>
      </w:r>
      <w:r>
        <w:rPr>
          <w:rFonts w:ascii="Times New Roman" w:eastAsia="Times New Roman"/>
          <w:spacing w:val="-32"/>
          <w:sz w:val="26"/>
        </w:rPr>
        <w:t> </w:t>
      </w:r>
      <w:r>
        <w:rPr>
          <w:spacing w:val="-28"/>
          <w:sz w:val="21"/>
        </w:rPr>
        <w:t>月 </w:t>
      </w:r>
      <w:r>
        <w:rPr>
          <w:rFonts w:ascii="Times New Roman" w:eastAsia="Times New Roman"/>
          <w:sz w:val="26"/>
        </w:rPr>
        <w:t>27</w:t>
      </w:r>
      <w:r>
        <w:rPr>
          <w:rFonts w:ascii="Times New Roman" w:eastAsia="Times New Roman"/>
          <w:spacing w:val="-17"/>
          <w:sz w:val="26"/>
        </w:rPr>
        <w:t> </w:t>
      </w:r>
      <w:r>
        <w:rPr>
          <w:sz w:val="21"/>
        </w:rPr>
        <w:t>日</w:t>
      </w:r>
      <w:r>
        <w:rPr>
          <w:spacing w:val="16"/>
          <w:w w:val="90"/>
          <w:sz w:val="21"/>
        </w:rPr>
        <w:t>人 台處發 字第</w:t>
      </w:r>
      <w:r>
        <w:rPr>
          <w:rFonts w:ascii="Times New Roman" w:eastAsia="Times New Roman"/>
          <w:w w:val="90"/>
          <w:sz w:val="26"/>
        </w:rPr>
        <w:t>0960</w:t>
      </w:r>
      <w:r>
        <w:rPr>
          <w:rFonts w:ascii="Times New Roman" w:eastAsia="Times New Roman"/>
          <w:spacing w:val="18"/>
          <w:w w:val="90"/>
          <w:sz w:val="26"/>
        </w:rPr>
        <w:t> </w:t>
      </w:r>
      <w:r>
        <w:rPr>
          <w:rFonts w:ascii="Times New Roman" w:eastAsia="Times New Roman"/>
          <w:w w:val="90"/>
          <w:sz w:val="26"/>
        </w:rPr>
        <w:t>8508270 </w:t>
      </w:r>
      <w:r>
        <w:rPr>
          <w:spacing w:val="12"/>
          <w:w w:val="90"/>
          <w:sz w:val="21"/>
        </w:rPr>
        <w:t>號書函 ，通 知 具 有符合陞任關政司副 司長職務資格之現任</w:t>
      </w:r>
      <w:r>
        <w:rPr>
          <w:spacing w:val="6"/>
          <w:w w:val="95"/>
          <w:sz w:val="21"/>
        </w:rPr>
        <w:t>簡任 第</w:t>
      </w:r>
      <w:r>
        <w:rPr>
          <w:rFonts w:ascii="Times New Roman" w:eastAsia="Times New Roman"/>
          <w:w w:val="95"/>
          <w:sz w:val="26"/>
        </w:rPr>
        <w:t>10</w:t>
      </w:r>
      <w:r>
        <w:rPr>
          <w:spacing w:val="-1"/>
          <w:w w:val="95"/>
          <w:sz w:val="21"/>
        </w:rPr>
        <w:t>職 等至 第</w:t>
      </w:r>
      <w:r>
        <w:rPr>
          <w:rFonts w:ascii="Times New Roman" w:eastAsia="Times New Roman"/>
          <w:w w:val="95"/>
          <w:sz w:val="26"/>
        </w:rPr>
        <w:t>11</w:t>
      </w:r>
      <w:r>
        <w:rPr>
          <w:spacing w:val="-1"/>
          <w:w w:val="95"/>
          <w:sz w:val="21"/>
        </w:rPr>
        <w:t>職 等專門委員 、秘書、稽核 及視察等人 員共 計</w:t>
      </w:r>
      <w:r>
        <w:rPr>
          <w:rFonts w:ascii="Times New Roman" w:eastAsia="Times New Roman"/>
          <w:w w:val="95"/>
          <w:sz w:val="26"/>
        </w:rPr>
        <w:t>11</w:t>
      </w:r>
      <w:r>
        <w:rPr>
          <w:spacing w:val="4"/>
          <w:w w:val="95"/>
          <w:sz w:val="21"/>
        </w:rPr>
        <w:t>人填 妥調查表 ，</w:t>
      </w:r>
      <w:r>
        <w:rPr>
          <w:spacing w:val="-96"/>
          <w:w w:val="95"/>
          <w:sz w:val="21"/>
        </w:rPr>
        <w:t> </w:t>
      </w:r>
      <w:r>
        <w:rPr>
          <w:spacing w:val="2"/>
          <w:w w:val="95"/>
          <w:sz w:val="21"/>
        </w:rPr>
        <w:t>據 以 辦 理 關政司副 司長陞遷事項 ，經 通知後有</w:t>
      </w:r>
      <w:r>
        <w:rPr>
          <w:rFonts w:ascii="Times New Roman" w:eastAsia="Times New Roman"/>
          <w:w w:val="95"/>
          <w:sz w:val="26"/>
        </w:rPr>
        <w:t>7</w:t>
      </w:r>
      <w:r>
        <w:rPr>
          <w:spacing w:val="3"/>
          <w:w w:val="95"/>
          <w:sz w:val="21"/>
        </w:rPr>
        <w:t>名棄權 ， 該部爰將 含復審人在內計</w:t>
      </w:r>
      <w:r>
        <w:rPr>
          <w:rFonts w:ascii="Times New Roman" w:eastAsia="Times New Roman"/>
          <w:w w:val="95"/>
          <w:sz w:val="26"/>
        </w:rPr>
        <w:t>4</w:t>
      </w:r>
      <w:r>
        <w:rPr>
          <w:rFonts w:ascii="Times New Roman" w:eastAsia="Times New Roman"/>
          <w:spacing w:val="1"/>
          <w:w w:val="95"/>
          <w:sz w:val="26"/>
        </w:rPr>
        <w:t> </w:t>
      </w:r>
      <w:r>
        <w:rPr>
          <w:sz w:val="21"/>
        </w:rPr>
        <w:t>名符合陞任者之財政部陞任甄審人員評分表之資績評分，送經當事人核閱蕪誤簽章        </w:t>
      </w:r>
      <w:r>
        <w:rPr>
          <w:spacing w:val="27"/>
          <w:sz w:val="21"/>
        </w:rPr>
        <w:t> </w:t>
      </w:r>
      <w:r>
        <w:rPr>
          <w:sz w:val="21"/>
        </w:rPr>
        <w:t>後，併同單位主管司長就個別選項及常務次長綜合考評後加計總分，再由人事處就        </w:t>
      </w:r>
      <w:r>
        <w:rPr>
          <w:spacing w:val="18"/>
          <w:sz w:val="21"/>
        </w:rPr>
        <w:t> </w:t>
      </w:r>
      <w:r>
        <w:rPr>
          <w:spacing w:val="19"/>
          <w:w w:val="95"/>
          <w:sz w:val="21"/>
        </w:rPr>
        <w:t>該</w:t>
      </w:r>
      <w:r>
        <w:rPr>
          <w:rFonts w:ascii="Times New Roman" w:eastAsia="Times New Roman"/>
          <w:w w:val="95"/>
          <w:sz w:val="26"/>
        </w:rPr>
        <w:t>4</w:t>
      </w:r>
      <w:r>
        <w:rPr>
          <w:spacing w:val="2"/>
          <w:w w:val="95"/>
          <w:sz w:val="21"/>
        </w:rPr>
        <w:t>名陞遷人員之 積分予以 統計後將評分標準造列名冊 ，並 檢 同有關資料 ， 交付甄審</w:t>
      </w:r>
      <w:r>
        <w:rPr>
          <w:spacing w:val="2"/>
          <w:sz w:val="21"/>
        </w:rPr>
        <w:t>委員 會評審後 ，依 程 序報請部長就該陞遷積分最高</w:t>
      </w:r>
      <w:r>
        <w:rPr>
          <w:rFonts w:ascii="Times New Roman" w:eastAsia="Times New Roman"/>
          <w:sz w:val="26"/>
        </w:rPr>
        <w:t>3</w:t>
      </w:r>
      <w:r>
        <w:rPr>
          <w:spacing w:val="-1"/>
          <w:sz w:val="21"/>
        </w:rPr>
        <w:t>名中圈 定</w:t>
      </w:r>
      <w:r>
        <w:rPr>
          <w:rFonts w:ascii="Times New Roman" w:eastAsia="Times New Roman"/>
          <w:spacing w:val="14"/>
          <w:sz w:val="26"/>
        </w:rPr>
        <w:t>1</w:t>
      </w:r>
      <w:r>
        <w:rPr>
          <w:spacing w:val="8"/>
          <w:sz w:val="21"/>
        </w:rPr>
        <w:t>人陞補之 。此有財政</w:t>
      </w:r>
      <w:r>
        <w:rPr>
          <w:spacing w:val="11"/>
          <w:w w:val="95"/>
          <w:sz w:val="21"/>
        </w:rPr>
        <w:t>部人事處</w:t>
      </w:r>
      <w:r>
        <w:rPr>
          <w:rFonts w:ascii="Times New Roman" w:eastAsia="Times New Roman"/>
          <w:spacing w:val="10"/>
          <w:w w:val="95"/>
          <w:sz w:val="26"/>
        </w:rPr>
        <w:t>96</w:t>
      </w:r>
      <w:r>
        <w:rPr>
          <w:w w:val="95"/>
          <w:sz w:val="21"/>
        </w:rPr>
        <w:t>年</w:t>
      </w:r>
      <w:r>
        <w:rPr>
          <w:rFonts w:ascii="Times New Roman" w:eastAsia="Times New Roman"/>
          <w:w w:val="95"/>
          <w:sz w:val="26"/>
        </w:rPr>
        <w:t>6</w:t>
      </w:r>
      <w:r>
        <w:rPr>
          <w:rFonts w:ascii="Times New Roman" w:eastAsia="Times New Roman"/>
          <w:spacing w:val="-34"/>
          <w:w w:val="95"/>
          <w:sz w:val="26"/>
        </w:rPr>
        <w:t> </w:t>
      </w:r>
      <w:r>
        <w:rPr>
          <w:spacing w:val="-29"/>
          <w:w w:val="95"/>
          <w:sz w:val="21"/>
        </w:rPr>
        <w:t>月 </w:t>
      </w:r>
      <w:r>
        <w:rPr>
          <w:rFonts w:ascii="Times New Roman" w:eastAsia="Times New Roman"/>
          <w:w w:val="95"/>
          <w:sz w:val="26"/>
        </w:rPr>
        <w:t>27</w:t>
      </w:r>
      <w:r>
        <w:rPr>
          <w:rFonts w:ascii="Times New Roman" w:eastAsia="Times New Roman"/>
          <w:spacing w:val="-21"/>
          <w:w w:val="95"/>
          <w:sz w:val="26"/>
        </w:rPr>
        <w:t> </w:t>
      </w:r>
      <w:r>
        <w:rPr>
          <w:spacing w:val="1"/>
          <w:w w:val="95"/>
          <w:sz w:val="21"/>
        </w:rPr>
        <w:t>日 人 台處發 字第</w:t>
      </w:r>
      <w:r>
        <w:rPr>
          <w:rFonts w:ascii="Times New Roman" w:eastAsia="Times New Roman"/>
          <w:w w:val="95"/>
          <w:sz w:val="26"/>
        </w:rPr>
        <w:t>0960</w:t>
      </w:r>
      <w:r>
        <w:rPr>
          <w:rFonts w:ascii="Times New Roman" w:eastAsia="Times New Roman"/>
          <w:spacing w:val="-1"/>
          <w:w w:val="95"/>
          <w:sz w:val="26"/>
        </w:rPr>
        <w:t> </w:t>
      </w:r>
      <w:r>
        <w:rPr>
          <w:rFonts w:ascii="Times New Roman" w:eastAsia="Times New Roman"/>
          <w:w w:val="95"/>
          <w:sz w:val="26"/>
        </w:rPr>
        <w:t>8508270</w:t>
      </w:r>
      <w:r>
        <w:rPr>
          <w:rFonts w:ascii="Times New Roman" w:eastAsia="Times New Roman"/>
          <w:spacing w:val="-15"/>
          <w:w w:val="95"/>
          <w:sz w:val="26"/>
        </w:rPr>
        <w:t> </w:t>
      </w:r>
      <w:r>
        <w:rPr>
          <w:spacing w:val="2"/>
          <w:w w:val="95"/>
          <w:sz w:val="21"/>
        </w:rPr>
        <w:t>號書函 、關政司副 司 長職務陞任甄</w:t>
      </w:r>
      <w:r>
        <w:rPr>
          <w:sz w:val="21"/>
        </w:rPr>
        <w:t>審恋願調查表、陞任甄審人員評分表、參加關政司副司長職務陞任甄審人員評分名        </w:t>
      </w:r>
      <w:r>
        <w:rPr>
          <w:spacing w:val="8"/>
          <w:sz w:val="21"/>
        </w:rPr>
        <w:t> </w:t>
      </w:r>
      <w:r>
        <w:rPr>
          <w:spacing w:val="-35"/>
          <w:w w:val="95"/>
          <w:sz w:val="21"/>
        </w:rPr>
        <w:t>冊、</w:t>
      </w:r>
      <w:r>
        <w:rPr>
          <w:rFonts w:ascii="Times New Roman" w:eastAsia="Times New Roman"/>
          <w:spacing w:val="10"/>
          <w:w w:val="95"/>
          <w:sz w:val="26"/>
        </w:rPr>
        <w:t>96</w:t>
      </w:r>
      <w:r>
        <w:rPr>
          <w:w w:val="95"/>
          <w:sz w:val="21"/>
        </w:rPr>
        <w:t>年</w:t>
      </w:r>
      <w:r>
        <w:rPr>
          <w:rFonts w:ascii="Times New Roman" w:eastAsia="Times New Roman"/>
          <w:w w:val="95"/>
          <w:sz w:val="26"/>
        </w:rPr>
        <w:t>7</w:t>
      </w:r>
      <w:r>
        <w:rPr>
          <w:rFonts w:ascii="Times New Roman" w:eastAsia="Times New Roman"/>
          <w:spacing w:val="-9"/>
          <w:w w:val="95"/>
          <w:sz w:val="26"/>
        </w:rPr>
        <w:t> </w:t>
      </w:r>
      <w:r>
        <w:rPr>
          <w:spacing w:val="33"/>
          <w:w w:val="95"/>
          <w:sz w:val="21"/>
        </w:rPr>
        <w:t>月</w:t>
      </w:r>
      <w:r>
        <w:rPr>
          <w:rFonts w:ascii="Times New Roman" w:eastAsia="Times New Roman"/>
          <w:spacing w:val="18"/>
          <w:w w:val="95"/>
          <w:sz w:val="26"/>
        </w:rPr>
        <w:t>4</w:t>
      </w:r>
      <w:r>
        <w:rPr>
          <w:spacing w:val="9"/>
          <w:w w:val="95"/>
          <w:sz w:val="21"/>
        </w:rPr>
        <w:t>日 財政部</w:t>
      </w:r>
      <w:r>
        <w:rPr>
          <w:rFonts w:ascii="Times New Roman" w:eastAsia="Times New Roman"/>
          <w:w w:val="95"/>
          <w:sz w:val="26"/>
        </w:rPr>
        <w:t>96</w:t>
      </w:r>
      <w:r>
        <w:rPr>
          <w:spacing w:val="23"/>
          <w:w w:val="95"/>
          <w:sz w:val="21"/>
        </w:rPr>
        <w:t>年第</w:t>
      </w:r>
      <w:r>
        <w:rPr>
          <w:rFonts w:ascii="Times New Roman" w:eastAsia="Times New Roman"/>
          <w:w w:val="95"/>
          <w:sz w:val="26"/>
        </w:rPr>
        <w:t>1</w:t>
      </w:r>
      <w:r>
        <w:rPr>
          <w:spacing w:val="12"/>
          <w:w w:val="95"/>
          <w:sz w:val="21"/>
        </w:rPr>
        <w:t>次甄審委員 會會議紀錄及</w:t>
      </w:r>
      <w:r>
        <w:rPr>
          <w:rFonts w:ascii="Times New Roman" w:eastAsia="Times New Roman"/>
          <w:spacing w:val="10"/>
          <w:w w:val="95"/>
          <w:sz w:val="26"/>
        </w:rPr>
        <w:t>96</w:t>
      </w:r>
      <w:r>
        <w:rPr>
          <w:w w:val="95"/>
          <w:sz w:val="21"/>
        </w:rPr>
        <w:t>年</w:t>
      </w:r>
      <w:r>
        <w:rPr>
          <w:rFonts w:ascii="Times New Roman" w:eastAsia="Times New Roman"/>
          <w:w w:val="95"/>
          <w:sz w:val="26"/>
        </w:rPr>
        <w:t>7</w:t>
      </w:r>
      <w:r>
        <w:rPr>
          <w:rFonts w:ascii="Times New Roman" w:eastAsia="Times New Roman"/>
          <w:spacing w:val="-9"/>
          <w:w w:val="95"/>
          <w:sz w:val="26"/>
        </w:rPr>
        <w:t> </w:t>
      </w:r>
      <w:r>
        <w:rPr>
          <w:spacing w:val="30"/>
          <w:w w:val="95"/>
          <w:sz w:val="21"/>
        </w:rPr>
        <w:t>月</w:t>
      </w:r>
      <w:r>
        <w:rPr>
          <w:rFonts w:ascii="Times New Roman" w:eastAsia="Times New Roman"/>
          <w:spacing w:val="14"/>
          <w:w w:val="95"/>
          <w:sz w:val="26"/>
        </w:rPr>
        <w:t>5</w:t>
      </w:r>
      <w:r>
        <w:rPr>
          <w:spacing w:val="12"/>
          <w:w w:val="95"/>
          <w:sz w:val="21"/>
        </w:rPr>
        <w:t>日 人 事處簽呈等影</w:t>
      </w:r>
      <w:r>
        <w:rPr>
          <w:sz w:val="21"/>
        </w:rPr>
        <w:t>本附卷可稽。核其辦理陞遷作業程序，與上開規定合致，尚無程序上之瑕疵」，可資       參照。</w:t>
      </w:r>
    </w:p>
    <w:p>
      <w:pPr>
        <w:spacing w:line="256" w:lineRule="auto" w:before="2"/>
        <w:ind w:left="509" w:right="482" w:hanging="211"/>
        <w:jc w:val="both"/>
        <w:rPr>
          <w:sz w:val="21"/>
        </w:rPr>
      </w:pPr>
      <w:r>
        <w:rPr>
          <w:rFonts w:ascii="Times New Roman" w:hAnsi="Times New Roman" w:eastAsia="Times New Roman"/>
          <w:position w:val="7"/>
          <w:sz w:val="13"/>
        </w:rPr>
        <w:t>74</w:t>
      </w:r>
      <w:r>
        <w:rPr>
          <w:rFonts w:ascii="Times New Roman" w:hAnsi="Times New Roman" w:eastAsia="Times New Roman"/>
          <w:spacing w:val="3"/>
          <w:position w:val="7"/>
          <w:sz w:val="13"/>
        </w:rPr>
        <w:t>      </w:t>
      </w:r>
      <w:r>
        <w:rPr>
          <w:spacing w:val="16"/>
          <w:sz w:val="21"/>
        </w:rPr>
        <w:t>保訓會</w:t>
      </w:r>
      <w:r>
        <w:rPr>
          <w:rFonts w:ascii="Times New Roman" w:hAnsi="Times New Roman" w:eastAsia="Times New Roman"/>
          <w:spacing w:val="9"/>
          <w:sz w:val="26"/>
        </w:rPr>
        <w:t>97</w:t>
      </w:r>
      <w:r>
        <w:rPr>
          <w:spacing w:val="33"/>
          <w:sz w:val="21"/>
        </w:rPr>
        <w:t>公審決字第</w:t>
      </w:r>
      <w:r>
        <w:rPr>
          <w:rFonts w:ascii="Times New Roman" w:hAnsi="Times New Roman" w:eastAsia="Times New Roman"/>
          <w:sz w:val="26"/>
        </w:rPr>
        <w:t>0112</w:t>
      </w:r>
      <w:r>
        <w:rPr>
          <w:spacing w:val="7"/>
          <w:sz w:val="21"/>
        </w:rPr>
        <w:t>號復審決定理由三謂： 次按陞遷法第</w:t>
      </w:r>
      <w:r>
        <w:rPr>
          <w:rFonts w:ascii="Times New Roman" w:hAnsi="Times New Roman" w:eastAsia="Times New Roman"/>
          <w:sz w:val="26"/>
        </w:rPr>
        <w:t>1</w:t>
      </w:r>
      <w:r>
        <w:rPr>
          <w:spacing w:val="2"/>
          <w:sz w:val="21"/>
        </w:rPr>
        <w:t>條規定：「公務人員</w:t>
      </w:r>
      <w:r>
        <w:rPr>
          <w:w w:val="95"/>
          <w:sz w:val="21"/>
        </w:rPr>
        <w:t>之</w:t>
      </w:r>
      <w:r>
        <w:rPr>
          <w:spacing w:val="-19"/>
          <w:w w:val="95"/>
          <w:sz w:val="21"/>
        </w:rPr>
        <w:t> </w:t>
      </w:r>
      <w:r>
        <w:rPr>
          <w:spacing w:val="5"/>
          <w:w w:val="95"/>
          <w:sz w:val="21"/>
        </w:rPr>
        <w:t>陞遷 ，依 本 法行之 。…… 。」第</w:t>
      </w:r>
      <w:r>
        <w:rPr>
          <w:rFonts w:ascii="Times New Roman" w:hAnsi="Times New Roman" w:eastAsia="Times New Roman"/>
          <w:w w:val="95"/>
          <w:sz w:val="26"/>
        </w:rPr>
        <w:t>2</w:t>
      </w:r>
      <w:r>
        <w:rPr>
          <w:spacing w:val="-3"/>
          <w:w w:val="95"/>
          <w:sz w:val="21"/>
        </w:rPr>
        <w:t>條 規 定：「公務人員之 陞遷 ， 應本人與事適切配</w:t>
      </w:r>
      <w:r>
        <w:rPr>
          <w:sz w:val="21"/>
        </w:rPr>
        <w:t>合</w:t>
      </w:r>
      <w:r>
        <w:rPr>
          <w:spacing w:val="1"/>
          <w:sz w:val="21"/>
        </w:rPr>
        <w:t>之旨，考量機關特性與職務需要，依資續並重、內陞與外補兼顧原則，採公開丶         </w:t>
      </w:r>
      <w:r>
        <w:rPr>
          <w:w w:val="90"/>
          <w:sz w:val="21"/>
        </w:rPr>
        <w:t>公平</w:t>
      </w:r>
      <w:r>
        <w:rPr>
          <w:spacing w:val="-31"/>
          <w:w w:val="90"/>
          <w:sz w:val="21"/>
        </w:rPr>
        <w:t> </w:t>
      </w:r>
      <w:r>
        <w:rPr>
          <w:w w:val="90"/>
          <w:sz w:val="21"/>
        </w:rPr>
        <w:t>、公正方式 ，擇 優 陞任或遷調歷練 ，以 拔 擢 及 培 育人才 。」及 第</w:t>
      </w:r>
      <w:r>
        <w:rPr>
          <w:rFonts w:ascii="Times New Roman" w:hAnsi="Times New Roman" w:eastAsia="Times New Roman"/>
          <w:spacing w:val="10"/>
          <w:w w:val="90"/>
          <w:sz w:val="26"/>
        </w:rPr>
        <w:t>7</w:t>
      </w:r>
      <w:r>
        <w:rPr>
          <w:spacing w:val="8"/>
          <w:w w:val="90"/>
          <w:sz w:val="21"/>
        </w:rPr>
        <w:t>條 第</w:t>
      </w:r>
      <w:r>
        <w:rPr>
          <w:rFonts w:ascii="Times New Roman" w:hAnsi="Times New Roman" w:eastAsia="Times New Roman"/>
          <w:w w:val="90"/>
          <w:sz w:val="26"/>
        </w:rPr>
        <w:t>1</w:t>
      </w:r>
      <w:r>
        <w:rPr>
          <w:spacing w:val="17"/>
          <w:w w:val="90"/>
          <w:sz w:val="21"/>
        </w:rPr>
        <w:t>項規定：</w:t>
      </w:r>
    </w:p>
    <w:p>
      <w:pPr>
        <w:spacing w:line="278" w:lineRule="auto" w:before="26"/>
        <w:ind w:left="503" w:right="503" w:firstLine="101"/>
        <w:jc w:val="left"/>
        <w:rPr>
          <w:sz w:val="21"/>
        </w:rPr>
      </w:pPr>
      <w:r>
        <w:rPr>
          <w:color w:val="151515"/>
          <w:w w:val="110"/>
          <w:sz w:val="21"/>
        </w:rPr>
        <w:t>「各機關辦理本機關人員之陞任，應注恋其品德及對國家之忠誠，並依擬陞任職務</w:t>
      </w:r>
      <w:r>
        <w:rPr>
          <w:color w:val="151515"/>
          <w:spacing w:val="1"/>
          <w:w w:val="110"/>
          <w:sz w:val="21"/>
        </w:rPr>
        <w:t> </w:t>
      </w:r>
      <w:r>
        <w:rPr>
          <w:w w:val="110"/>
          <w:sz w:val="21"/>
        </w:rPr>
        <w:t>所需知能，就考試、學歷、職務歷練、訓練、進修、年資、考績（成）丶獎懲及發展潛能等項目，訂定標準，評定分數，……。」是依上開規定，機關首長在合理及必</w:t>
      </w:r>
      <w:r>
        <w:rPr>
          <w:spacing w:val="62"/>
          <w:w w:val="110"/>
          <w:sz w:val="21"/>
        </w:rPr>
        <w:t> </w:t>
      </w:r>
      <w:r>
        <w:rPr>
          <w:w w:val="110"/>
          <w:sz w:val="21"/>
        </w:rPr>
        <w:t>要之範圍內，基於內部管理丶領導統御及業務運作需要，就公務人員之職務陞遷，</w:t>
      </w:r>
      <w:r>
        <w:rPr>
          <w:spacing w:val="62"/>
          <w:w w:val="110"/>
          <w:sz w:val="21"/>
        </w:rPr>
        <w:t> </w:t>
      </w:r>
      <w:r>
        <w:rPr>
          <w:w w:val="110"/>
          <w:sz w:val="21"/>
        </w:rPr>
        <w:t>除應本專才、專業、適才、適所之旨外，並應就公務人員個人之工作表現、品行操</w:t>
      </w:r>
      <w:r>
        <w:rPr>
          <w:spacing w:val="62"/>
          <w:w w:val="110"/>
          <w:sz w:val="21"/>
        </w:rPr>
        <w:t> </w:t>
      </w:r>
      <w:r>
        <w:rPr>
          <w:w w:val="110"/>
          <w:sz w:val="21"/>
        </w:rPr>
        <w:t>守、學識能力等各方面考核評量。惟類此考評工作，富高度屬人性，除是類考評違</w:t>
      </w:r>
      <w:r>
        <w:rPr>
          <w:spacing w:val="62"/>
          <w:w w:val="110"/>
          <w:sz w:val="21"/>
        </w:rPr>
        <w:t> </w:t>
      </w:r>
      <w:r>
        <w:rPr>
          <w:w w:val="110"/>
          <w:sz w:val="21"/>
        </w:rPr>
        <w:t>反相關人事法令規定、具有法定程序上之瑕疵、對事實認定有違誤、未遵守一般公</w:t>
      </w:r>
      <w:r>
        <w:rPr>
          <w:spacing w:val="62"/>
          <w:w w:val="110"/>
          <w:sz w:val="21"/>
        </w:rPr>
        <w:t> </w:t>
      </w:r>
      <w:r>
        <w:rPr>
          <w:w w:val="110"/>
          <w:sz w:val="21"/>
        </w:rPr>
        <w:t>認價值判斷之標準、有與事件無關之考慮牽涉在內及有違反平等原則等情事外，機</w:t>
      </w:r>
      <w:r>
        <w:rPr>
          <w:spacing w:val="52"/>
          <w:w w:val="110"/>
          <w:sz w:val="21"/>
        </w:rPr>
        <w:t> </w:t>
      </w:r>
      <w:r>
        <w:rPr>
          <w:w w:val="115"/>
          <w:sz w:val="21"/>
        </w:rPr>
        <w:t>關長官對部屬之考評及職務陞遷之判斷餘地，應予尊重」，可資參照。</w:t>
      </w:r>
    </w:p>
    <w:p>
      <w:pPr>
        <w:spacing w:after="0" w:line="278" w:lineRule="auto"/>
        <w:jc w:val="left"/>
        <w:rPr>
          <w:sz w:val="21"/>
        </w:rPr>
        <w:sectPr>
          <w:headerReference w:type="default" r:id="rId379"/>
          <w:footerReference w:type="default" r:id="rId380"/>
          <w:pgSz w:w="11910" w:h="16840"/>
          <w:pgMar w:header="862" w:footer="1017" w:top="1060" w:bottom="1200" w:left="1120" w:right="1060"/>
        </w:sectPr>
      </w:pPr>
    </w:p>
    <w:p>
      <w:pPr>
        <w:pStyle w:val="BodyText"/>
        <w:spacing w:before="8"/>
        <w:rPr>
          <w:sz w:val="29"/>
        </w:rPr>
      </w:pPr>
    </w:p>
    <w:p>
      <w:pPr>
        <w:spacing w:before="67"/>
        <w:ind w:left="318" w:right="0" w:firstLine="0"/>
        <w:jc w:val="left"/>
        <w:rPr>
          <w:sz w:val="24"/>
        </w:rPr>
      </w:pPr>
      <w:r>
        <w:rPr>
          <w:w w:val="110"/>
          <w:sz w:val="24"/>
        </w:rPr>
        <w:t>故非正當之當事人，並無訴權存在。</w:t>
      </w:r>
    </w:p>
    <w:p>
      <w:pPr>
        <w:spacing w:line="319" w:lineRule="auto" w:before="129"/>
        <w:ind w:left="308" w:right="531" w:firstLine="579"/>
        <w:jc w:val="both"/>
        <w:rPr>
          <w:rFonts w:ascii="Arial" w:eastAsia="Arial"/>
          <w:sz w:val="8"/>
        </w:rPr>
      </w:pPr>
      <w:r>
        <w:rPr>
          <w:sz w:val="24"/>
        </w:rPr>
        <w:t>噹事人不服上述復審決定，向行政法院提超行政訴訟。臺北高等行政      </w:t>
      </w:r>
      <w:r>
        <w:rPr>
          <w:spacing w:val="22"/>
          <w:sz w:val="24"/>
        </w:rPr>
        <w:t> </w:t>
      </w:r>
      <w:r>
        <w:rPr>
          <w:sz w:val="24"/>
        </w:rPr>
        <w:t>法院以 </w:t>
      </w:r>
      <w:r>
        <w:rPr>
          <w:rFonts w:ascii="Arial" w:eastAsia="Arial"/>
          <w:w w:val="95"/>
          <w:sz w:val="29"/>
        </w:rPr>
        <w:t>97</w:t>
      </w:r>
      <w:r>
        <w:rPr>
          <w:rFonts w:ascii="Arial" w:eastAsia="Arial"/>
          <w:spacing w:val="44"/>
          <w:w w:val="95"/>
          <w:sz w:val="29"/>
        </w:rPr>
        <w:t> </w:t>
      </w:r>
      <w:r>
        <w:rPr>
          <w:spacing w:val="25"/>
          <w:sz w:val="24"/>
        </w:rPr>
        <w:t>年度訴字</w:t>
      </w:r>
      <w:r>
        <w:rPr>
          <w:spacing w:val="-9"/>
          <w:w w:val="95"/>
          <w:sz w:val="24"/>
        </w:rPr>
        <w:t>第 </w:t>
      </w:r>
      <w:r>
        <w:rPr>
          <w:rFonts w:ascii="Arial" w:eastAsia="Arial"/>
          <w:w w:val="95"/>
          <w:sz w:val="29"/>
        </w:rPr>
        <w:t>1198</w:t>
      </w:r>
      <w:r>
        <w:rPr>
          <w:rFonts w:ascii="Arial" w:eastAsia="Arial"/>
          <w:spacing w:val="-7"/>
          <w:w w:val="95"/>
          <w:sz w:val="29"/>
        </w:rPr>
        <w:t> </w:t>
      </w:r>
      <w:r>
        <w:rPr>
          <w:spacing w:val="-12"/>
          <w:w w:val="95"/>
          <w:sz w:val="24"/>
        </w:rPr>
        <w:t>號 </w:t>
      </w:r>
      <w:r>
        <w:rPr>
          <w:spacing w:val="11"/>
          <w:sz w:val="24"/>
        </w:rPr>
        <w:t>判決實體駁回原告之訴 </w:t>
      </w:r>
      <w:r>
        <w:rPr>
          <w:spacing w:val="9"/>
          <w:w w:val="90"/>
          <w:sz w:val="24"/>
        </w:rPr>
        <w:t>，並 於 </w:t>
      </w:r>
      <w:r>
        <w:rPr>
          <w:spacing w:val="30"/>
          <w:sz w:val="24"/>
        </w:rPr>
        <w:t>判決理由</w:t>
      </w:r>
      <w:r>
        <w:rPr>
          <w:w w:val="95"/>
          <w:sz w:val="24"/>
        </w:rPr>
        <w:t>中提</w:t>
      </w:r>
      <w:r>
        <w:rPr>
          <w:spacing w:val="7"/>
          <w:w w:val="90"/>
          <w:sz w:val="24"/>
        </w:rPr>
        <w:t>及「 本件原告並非被告 </w:t>
      </w:r>
      <w:r>
        <w:rPr>
          <w:rFonts w:ascii="Arial" w:eastAsia="Arial"/>
          <w:w w:val="90"/>
          <w:sz w:val="29"/>
        </w:rPr>
        <w:t>96</w:t>
      </w:r>
      <w:r>
        <w:rPr>
          <w:rFonts w:ascii="Arial" w:eastAsia="Arial"/>
          <w:spacing w:val="47"/>
          <w:w w:val="90"/>
          <w:sz w:val="29"/>
        </w:rPr>
        <w:t> </w:t>
      </w:r>
      <w:r>
        <w:rPr>
          <w:spacing w:val="-14"/>
          <w:w w:val="90"/>
          <w:sz w:val="24"/>
        </w:rPr>
        <w:t>年 </w:t>
      </w:r>
      <w:r>
        <w:rPr>
          <w:rFonts w:ascii="Arial" w:eastAsia="Arial"/>
          <w:w w:val="90"/>
          <w:sz w:val="29"/>
        </w:rPr>
        <w:t>7</w:t>
      </w:r>
      <w:r>
        <w:rPr>
          <w:rFonts w:ascii="Arial" w:eastAsia="Arial"/>
          <w:spacing w:val="31"/>
          <w:w w:val="90"/>
          <w:sz w:val="29"/>
        </w:rPr>
        <w:t> </w:t>
      </w:r>
      <w:r>
        <w:rPr>
          <w:w w:val="90"/>
          <w:sz w:val="25"/>
        </w:rPr>
        <w:t>月 </w:t>
      </w:r>
      <w:r>
        <w:rPr>
          <w:rFonts w:ascii="Arial" w:eastAsia="Arial"/>
          <w:w w:val="90"/>
          <w:sz w:val="29"/>
        </w:rPr>
        <w:t>25</w:t>
      </w:r>
      <w:r>
        <w:rPr>
          <w:rFonts w:ascii="Arial" w:eastAsia="Arial"/>
          <w:spacing w:val="40"/>
          <w:w w:val="90"/>
          <w:sz w:val="29"/>
        </w:rPr>
        <w:t> </w:t>
      </w:r>
      <w:r>
        <w:rPr>
          <w:spacing w:val="11"/>
          <w:w w:val="90"/>
          <w:sz w:val="24"/>
        </w:rPr>
        <w:t>日 台財人字第 </w:t>
      </w:r>
      <w:r>
        <w:rPr>
          <w:rFonts w:ascii="Arial" w:eastAsia="Arial"/>
          <w:w w:val="90"/>
          <w:sz w:val="29"/>
        </w:rPr>
        <w:t>09608509700</w:t>
      </w:r>
      <w:r>
        <w:rPr>
          <w:rFonts w:ascii="Arial" w:eastAsia="Arial"/>
          <w:spacing w:val="39"/>
          <w:w w:val="90"/>
          <w:sz w:val="29"/>
        </w:rPr>
        <w:t> </w:t>
      </w:r>
      <w:r>
        <w:rPr>
          <w:w w:val="90"/>
          <w:sz w:val="24"/>
        </w:rPr>
        <w:t>號（</w:t>
      </w:r>
      <w:r>
        <w:rPr>
          <w:spacing w:val="15"/>
          <w:w w:val="90"/>
          <w:sz w:val="24"/>
        </w:rPr>
        <w:t> 人 事</w:t>
      </w:r>
      <w:r>
        <w:rPr>
          <w:spacing w:val="32"/>
          <w:sz w:val="24"/>
        </w:rPr>
        <w:t>派令</w:t>
      </w:r>
      <w:r>
        <w:rPr>
          <w:sz w:val="24"/>
        </w:rPr>
        <w:t>）</w:t>
      </w:r>
      <w:r>
        <w:rPr>
          <w:spacing w:val="-5"/>
          <w:sz w:val="24"/>
        </w:rPr>
        <w:t>行政處分之相對人」</w:t>
      </w:r>
      <w:r>
        <w:rPr>
          <w:w w:val="90"/>
          <w:sz w:val="24"/>
        </w:rPr>
        <w:t>，</w:t>
      </w:r>
      <w:r>
        <w:rPr>
          <w:spacing w:val="17"/>
          <w:sz w:val="24"/>
        </w:rPr>
        <w:t>似亦否定公務 人</w:t>
      </w:r>
      <w:r>
        <w:rPr>
          <w:spacing w:val="-16"/>
          <w:w w:val="95"/>
          <w:sz w:val="24"/>
        </w:rPr>
        <w:t>員 </w:t>
      </w:r>
      <w:r>
        <w:rPr>
          <w:spacing w:val="20"/>
          <w:sz w:val="24"/>
        </w:rPr>
        <w:t>消極 競爭者爭訟之合法性</w:t>
      </w:r>
      <w:r>
        <w:rPr>
          <w:rFonts w:ascii="Times New Roman" w:eastAsia="Times New Roman"/>
          <w:w w:val="90"/>
          <w:sz w:val="16"/>
        </w:rPr>
        <w:t>75</w:t>
      </w:r>
      <w:r>
        <w:rPr>
          <w:rFonts w:ascii="Times New Roman" w:eastAsia="Times New Roman"/>
          <w:spacing w:val="30"/>
          <w:w w:val="90"/>
          <w:sz w:val="16"/>
        </w:rPr>
        <w:t> </w:t>
      </w:r>
      <w:r>
        <w:rPr>
          <w:rFonts w:ascii="Arial" w:eastAsia="Arial"/>
          <w:sz w:val="8"/>
        </w:rPr>
        <w:t>0</w:t>
      </w:r>
    </w:p>
    <w:p>
      <w:pPr>
        <w:tabs>
          <w:tab w:pos="3752" w:val="left" w:leader="none"/>
        </w:tabs>
        <w:spacing w:line="292" w:lineRule="auto" w:before="17"/>
        <w:ind w:left="304" w:right="483" w:firstLine="578"/>
        <w:jc w:val="left"/>
        <w:rPr>
          <w:sz w:val="24"/>
        </w:rPr>
      </w:pPr>
      <w:r>
        <w:rPr>
          <w:spacing w:val="22"/>
          <w:sz w:val="24"/>
        </w:rPr>
        <w:t>此</w:t>
      </w:r>
      <w:r>
        <w:rPr>
          <w:sz w:val="24"/>
        </w:rPr>
        <w:t>外</w:t>
      </w:r>
      <w:r>
        <w:rPr>
          <w:spacing w:val="-32"/>
          <w:sz w:val="24"/>
        </w:rPr>
        <w:t> </w:t>
      </w:r>
      <w:r>
        <w:rPr>
          <w:spacing w:val="16"/>
          <w:sz w:val="24"/>
        </w:rPr>
        <w:t>，保</w:t>
      </w:r>
      <w:r>
        <w:rPr>
          <w:spacing w:val="40"/>
          <w:sz w:val="24"/>
        </w:rPr>
        <w:t>訓</w:t>
      </w:r>
      <w:r>
        <w:rPr>
          <w:sz w:val="24"/>
        </w:rPr>
        <w:t>會</w:t>
      </w:r>
      <w:r>
        <w:rPr>
          <w:spacing w:val="-33"/>
          <w:sz w:val="24"/>
        </w:rPr>
        <w:t> </w:t>
      </w:r>
      <w:r>
        <w:rPr>
          <w:rFonts w:ascii="Arial" w:hAnsi="Arial" w:eastAsia="Arial"/>
          <w:sz w:val="29"/>
        </w:rPr>
        <w:t>94</w:t>
      </w:r>
      <w:r>
        <w:rPr>
          <w:rFonts w:ascii="Arial" w:hAnsi="Arial" w:eastAsia="Arial"/>
          <w:spacing w:val="30"/>
          <w:sz w:val="29"/>
        </w:rPr>
        <w:t> </w:t>
      </w:r>
      <w:r>
        <w:rPr>
          <w:sz w:val="24"/>
        </w:rPr>
        <w:t>公</w:t>
      </w:r>
      <w:r>
        <w:rPr>
          <w:spacing w:val="-44"/>
          <w:sz w:val="24"/>
        </w:rPr>
        <w:t> </w:t>
      </w:r>
      <w:r>
        <w:rPr>
          <w:spacing w:val="37"/>
          <w:sz w:val="24"/>
        </w:rPr>
        <w:t>審</w:t>
      </w:r>
      <w:r>
        <w:rPr>
          <w:spacing w:val="36"/>
          <w:sz w:val="24"/>
        </w:rPr>
        <w:t>決</w:t>
      </w:r>
      <w:r>
        <w:rPr>
          <w:spacing w:val="51"/>
          <w:sz w:val="24"/>
        </w:rPr>
        <w:t>字</w:t>
      </w:r>
      <w:r>
        <w:rPr>
          <w:sz w:val="24"/>
        </w:rPr>
        <w:t>第</w:t>
      </w:r>
      <w:r>
        <w:rPr>
          <w:spacing w:val="-6"/>
          <w:sz w:val="24"/>
        </w:rPr>
        <w:t> </w:t>
      </w:r>
      <w:r>
        <w:rPr>
          <w:rFonts w:ascii="Arial" w:hAnsi="Arial" w:eastAsia="Arial"/>
          <w:sz w:val="29"/>
        </w:rPr>
        <w:t>0151</w:t>
      </w:r>
      <w:r>
        <w:rPr>
          <w:rFonts w:ascii="Arial" w:hAnsi="Arial" w:eastAsia="Arial"/>
          <w:spacing w:val="-17"/>
          <w:sz w:val="29"/>
        </w:rPr>
        <w:t> </w:t>
      </w:r>
      <w:r>
        <w:rPr>
          <w:spacing w:val="38"/>
          <w:sz w:val="24"/>
        </w:rPr>
        <w:t>號</w:t>
      </w:r>
      <w:r>
        <w:rPr>
          <w:spacing w:val="52"/>
          <w:sz w:val="24"/>
        </w:rPr>
        <w:t>復</w:t>
      </w:r>
      <w:r>
        <w:rPr>
          <w:spacing w:val="37"/>
          <w:sz w:val="24"/>
        </w:rPr>
        <w:t>審</w:t>
      </w:r>
      <w:r>
        <w:rPr>
          <w:spacing w:val="26"/>
          <w:sz w:val="24"/>
        </w:rPr>
        <w:t>決</w:t>
      </w:r>
      <w:r>
        <w:rPr>
          <w:spacing w:val="33"/>
          <w:sz w:val="24"/>
        </w:rPr>
        <w:t>定</w:t>
      </w:r>
      <w:r>
        <w:rPr>
          <w:spacing w:val="25"/>
          <w:sz w:val="24"/>
        </w:rPr>
        <w:t>亦</w:t>
      </w:r>
      <w:r>
        <w:rPr>
          <w:spacing w:val="21"/>
          <w:sz w:val="24"/>
        </w:rPr>
        <w:t>可</w:t>
      </w:r>
      <w:r>
        <w:rPr>
          <w:spacing w:val="19"/>
          <w:sz w:val="24"/>
        </w:rPr>
        <w:t>參</w:t>
      </w:r>
      <w:r>
        <w:rPr>
          <w:spacing w:val="61"/>
          <w:sz w:val="24"/>
        </w:rPr>
        <w:t>考</w:t>
      </w:r>
      <w:r>
        <w:rPr>
          <w:sz w:val="24"/>
        </w:rPr>
        <w:t>。</w:t>
      </w:r>
      <w:r>
        <w:rPr>
          <w:spacing w:val="-54"/>
          <w:sz w:val="24"/>
        </w:rPr>
        <w:t>本</w:t>
      </w:r>
      <w:r>
        <w:rPr>
          <w:spacing w:val="19"/>
          <w:sz w:val="24"/>
        </w:rPr>
        <w:t>件</w:t>
      </w:r>
      <w:r>
        <w:rPr>
          <w:spacing w:val="21"/>
          <w:sz w:val="24"/>
        </w:rPr>
        <w:t>復</w:t>
      </w:r>
      <w:r>
        <w:rPr>
          <w:spacing w:val="35"/>
          <w:sz w:val="24"/>
        </w:rPr>
        <w:t>審</w:t>
      </w:r>
      <w:r>
        <w:rPr>
          <w:sz w:val="24"/>
        </w:rPr>
        <w:t>人</w:t>
      </w:r>
      <w:r>
        <w:rPr>
          <w:spacing w:val="33"/>
          <w:w w:val="95"/>
          <w:sz w:val="24"/>
        </w:rPr>
        <w:t>為</w:t>
      </w:r>
      <w:r>
        <w:rPr>
          <w:spacing w:val="43"/>
          <w:w w:val="95"/>
          <w:sz w:val="24"/>
        </w:rPr>
        <w:t>金</w:t>
      </w:r>
      <w:r>
        <w:rPr>
          <w:spacing w:val="18"/>
          <w:w w:val="95"/>
          <w:sz w:val="24"/>
        </w:rPr>
        <w:t>門</w:t>
      </w:r>
      <w:r>
        <w:rPr>
          <w:spacing w:val="30"/>
          <w:w w:val="95"/>
          <w:sz w:val="24"/>
        </w:rPr>
        <w:t>縣</w:t>
      </w:r>
      <w:r>
        <w:rPr>
          <w:spacing w:val="26"/>
          <w:w w:val="95"/>
          <w:sz w:val="24"/>
        </w:rPr>
        <w:t>烏</w:t>
      </w:r>
      <w:r>
        <w:rPr>
          <w:spacing w:val="52"/>
          <w:w w:val="95"/>
          <w:sz w:val="24"/>
        </w:rPr>
        <w:t>坵</w:t>
      </w:r>
      <w:r>
        <w:rPr>
          <w:spacing w:val="25"/>
          <w:w w:val="95"/>
          <w:sz w:val="24"/>
        </w:rPr>
        <w:t>鄉</w:t>
      </w:r>
      <w:r>
        <w:rPr>
          <w:spacing w:val="26"/>
          <w:w w:val="95"/>
          <w:sz w:val="24"/>
        </w:rPr>
        <w:t>公</w:t>
      </w:r>
      <w:r>
        <w:rPr>
          <w:spacing w:val="18"/>
          <w:w w:val="95"/>
          <w:sz w:val="24"/>
        </w:rPr>
        <w:t>所</w:t>
      </w:r>
      <w:r>
        <w:rPr>
          <w:spacing w:val="20"/>
          <w:w w:val="95"/>
          <w:sz w:val="24"/>
        </w:rPr>
        <w:t>技</w:t>
      </w:r>
      <w:r>
        <w:rPr>
          <w:w w:val="95"/>
          <w:sz w:val="24"/>
        </w:rPr>
        <w:t>士</w:t>
      </w:r>
      <w:r>
        <w:rPr>
          <w:spacing w:val="-10"/>
          <w:w w:val="95"/>
          <w:sz w:val="24"/>
        </w:rPr>
        <w:t> </w:t>
      </w:r>
      <w:r>
        <w:rPr>
          <w:w w:val="95"/>
          <w:sz w:val="24"/>
        </w:rPr>
        <w:t>，</w:t>
      </w:r>
      <w:r>
        <w:rPr>
          <w:spacing w:val="-57"/>
          <w:w w:val="95"/>
          <w:sz w:val="24"/>
        </w:rPr>
        <w:t> </w:t>
      </w:r>
      <w:r>
        <w:rPr>
          <w:spacing w:val="39"/>
          <w:w w:val="95"/>
          <w:sz w:val="24"/>
        </w:rPr>
        <w:t>因</w:t>
      </w:r>
      <w:r>
        <w:rPr>
          <w:spacing w:val="30"/>
          <w:w w:val="95"/>
          <w:sz w:val="24"/>
        </w:rPr>
        <w:t>不</w:t>
      </w:r>
      <w:r>
        <w:rPr>
          <w:spacing w:val="39"/>
          <w:w w:val="95"/>
          <w:sz w:val="24"/>
        </w:rPr>
        <w:t>服</w:t>
      </w:r>
      <w:r>
        <w:rPr>
          <w:spacing w:val="17"/>
          <w:w w:val="95"/>
          <w:sz w:val="24"/>
        </w:rPr>
        <w:t>該</w:t>
      </w:r>
      <w:r>
        <w:rPr>
          <w:spacing w:val="16"/>
          <w:w w:val="95"/>
          <w:sz w:val="24"/>
        </w:rPr>
        <w:t>所</w:t>
      </w:r>
      <w:r>
        <w:rPr>
          <w:w w:val="95"/>
          <w:sz w:val="24"/>
        </w:rPr>
        <w:t>以</w:t>
      </w:r>
      <w:r>
        <w:rPr>
          <w:spacing w:val="-9"/>
          <w:w w:val="95"/>
          <w:sz w:val="24"/>
        </w:rPr>
        <w:t> </w:t>
      </w:r>
      <w:r>
        <w:rPr>
          <w:rFonts w:ascii="Arial" w:hAnsi="Arial" w:eastAsia="Arial"/>
          <w:w w:val="95"/>
          <w:sz w:val="29"/>
        </w:rPr>
        <w:t>94</w:t>
      </w:r>
      <w:r>
        <w:rPr>
          <w:rFonts w:ascii="Arial" w:hAnsi="Arial" w:eastAsia="Arial"/>
          <w:spacing w:val="50"/>
          <w:w w:val="95"/>
          <w:sz w:val="29"/>
        </w:rPr>
        <w:t> </w:t>
      </w:r>
      <w:r>
        <w:rPr>
          <w:w w:val="95"/>
          <w:sz w:val="24"/>
        </w:rPr>
        <w:t>年</w:t>
      </w:r>
      <w:r>
        <w:rPr>
          <w:spacing w:val="-28"/>
          <w:w w:val="95"/>
          <w:sz w:val="24"/>
        </w:rPr>
        <w:t> </w:t>
      </w:r>
      <w:r>
        <w:rPr>
          <w:rFonts w:ascii="Arial" w:hAnsi="Arial" w:eastAsia="Arial"/>
          <w:w w:val="95"/>
          <w:sz w:val="29"/>
        </w:rPr>
        <w:t>4</w:t>
      </w:r>
      <w:r>
        <w:rPr>
          <w:rFonts w:ascii="Arial" w:hAnsi="Arial" w:eastAsia="Arial"/>
          <w:spacing w:val="30"/>
          <w:w w:val="95"/>
          <w:sz w:val="29"/>
        </w:rPr>
        <w:t> </w:t>
      </w:r>
      <w:r>
        <w:rPr>
          <w:w w:val="95"/>
          <w:sz w:val="25"/>
        </w:rPr>
        <w:t>月 </w:t>
      </w:r>
      <w:r>
        <w:rPr>
          <w:rFonts w:ascii="Arial" w:hAnsi="Arial" w:eastAsia="Arial"/>
          <w:w w:val="95"/>
          <w:sz w:val="29"/>
        </w:rPr>
        <w:t>25</w:t>
      </w:r>
      <w:r>
        <w:rPr>
          <w:rFonts w:ascii="Arial" w:hAnsi="Arial" w:eastAsia="Arial"/>
          <w:spacing w:val="43"/>
          <w:w w:val="95"/>
          <w:sz w:val="29"/>
        </w:rPr>
        <w:t> </w:t>
      </w:r>
      <w:r>
        <w:rPr>
          <w:w w:val="95"/>
          <w:sz w:val="24"/>
        </w:rPr>
        <w:t>日坵</w:t>
      </w:r>
      <w:r>
        <w:rPr>
          <w:spacing w:val="24"/>
          <w:w w:val="95"/>
          <w:sz w:val="24"/>
        </w:rPr>
        <w:t> </w:t>
      </w:r>
      <w:r>
        <w:rPr>
          <w:w w:val="95"/>
          <w:sz w:val="24"/>
        </w:rPr>
        <w:t>人</w:t>
      </w:r>
      <w:r>
        <w:rPr>
          <w:spacing w:val="-39"/>
          <w:w w:val="95"/>
          <w:sz w:val="24"/>
        </w:rPr>
        <w:t> </w:t>
      </w:r>
      <w:r>
        <w:rPr>
          <w:spacing w:val="46"/>
          <w:w w:val="95"/>
          <w:sz w:val="24"/>
        </w:rPr>
        <w:t>字</w:t>
      </w:r>
      <w:r>
        <w:rPr>
          <w:w w:val="95"/>
          <w:sz w:val="24"/>
        </w:rPr>
        <w:t>第</w:t>
      </w:r>
      <w:r>
        <w:rPr>
          <w:rFonts w:ascii="Arial" w:hAnsi="Arial" w:eastAsia="Arial"/>
          <w:spacing w:val="-1"/>
          <w:w w:val="85"/>
          <w:sz w:val="29"/>
        </w:rPr>
        <w:t>0940000</w:t>
      </w:r>
      <w:r>
        <w:rPr>
          <w:rFonts w:ascii="Arial" w:hAnsi="Arial" w:eastAsia="Arial"/>
          <w:spacing w:val="70"/>
          <w:sz w:val="29"/>
        </w:rPr>
        <w:t> </w:t>
      </w:r>
      <w:r>
        <w:rPr>
          <w:rFonts w:ascii="Arial" w:hAnsi="Arial" w:eastAsia="Arial"/>
          <w:w w:val="85"/>
          <w:sz w:val="29"/>
        </w:rPr>
        <w:t>134</w:t>
      </w:r>
      <w:r>
        <w:rPr>
          <w:rFonts w:ascii="Arial" w:hAnsi="Arial" w:eastAsia="Arial"/>
          <w:spacing w:val="34"/>
          <w:w w:val="85"/>
          <w:sz w:val="29"/>
        </w:rPr>
        <w:t> </w:t>
      </w:r>
      <w:r>
        <w:rPr>
          <w:w w:val="85"/>
          <w:sz w:val="24"/>
        </w:rPr>
        <w:t>號</w:t>
      </w:r>
      <w:r>
        <w:rPr>
          <w:spacing w:val="-18"/>
          <w:w w:val="85"/>
          <w:sz w:val="24"/>
        </w:rPr>
        <w:t> </w:t>
      </w:r>
      <w:r>
        <w:rPr>
          <w:w w:val="85"/>
          <w:sz w:val="24"/>
        </w:rPr>
        <w:t>令</w:t>
      </w:r>
      <w:r>
        <w:rPr>
          <w:spacing w:val="-2"/>
          <w:w w:val="85"/>
          <w:sz w:val="24"/>
        </w:rPr>
        <w:t> </w:t>
      </w:r>
      <w:r>
        <w:rPr>
          <w:w w:val="85"/>
          <w:sz w:val="24"/>
        </w:rPr>
        <w:t>進用</w:t>
      </w:r>
      <w:r>
        <w:rPr>
          <w:spacing w:val="-34"/>
          <w:w w:val="85"/>
          <w:sz w:val="24"/>
        </w:rPr>
        <w:t> </w:t>
      </w:r>
      <w:r>
        <w:rPr>
          <w:spacing w:val="-83"/>
          <w:w w:val="85"/>
          <w:sz w:val="24"/>
        </w:rPr>
        <w:t>李</w:t>
      </w:r>
      <w:r>
        <w:rPr>
          <w:rFonts w:ascii="Times New Roman" w:hAnsi="Times New Roman" w:eastAsia="Times New Roman"/>
          <w:w w:val="85"/>
          <w:sz w:val="35"/>
        </w:rPr>
        <w:t>0</w:t>
      </w:r>
      <w:r>
        <w:rPr>
          <w:rFonts w:ascii="Times New Roman" w:hAnsi="Times New Roman" w:eastAsia="Times New Roman"/>
          <w:spacing w:val="30"/>
          <w:w w:val="85"/>
          <w:sz w:val="35"/>
        </w:rPr>
        <w:t> </w:t>
      </w:r>
      <w:r>
        <w:rPr>
          <w:rFonts w:ascii="Times New Roman" w:hAnsi="Times New Roman" w:eastAsia="Times New Roman"/>
          <w:w w:val="85"/>
          <w:sz w:val="35"/>
        </w:rPr>
        <w:t>0</w:t>
        <w:tab/>
      </w:r>
      <w:r>
        <w:rPr>
          <w:spacing w:val="29"/>
          <w:w w:val="95"/>
          <w:sz w:val="24"/>
        </w:rPr>
        <w:t>為</w:t>
      </w:r>
      <w:r>
        <w:rPr>
          <w:spacing w:val="24"/>
          <w:w w:val="95"/>
          <w:sz w:val="24"/>
        </w:rPr>
        <w:t>該</w:t>
      </w:r>
      <w:r>
        <w:rPr>
          <w:spacing w:val="11"/>
          <w:w w:val="95"/>
          <w:sz w:val="24"/>
        </w:rPr>
        <w:t>所</w:t>
      </w:r>
      <w:r>
        <w:rPr>
          <w:spacing w:val="26"/>
          <w:w w:val="95"/>
          <w:sz w:val="24"/>
        </w:rPr>
        <w:t>機</w:t>
      </w:r>
      <w:r>
        <w:rPr>
          <w:spacing w:val="11"/>
          <w:w w:val="95"/>
          <w:sz w:val="24"/>
        </w:rPr>
        <w:t>要</w:t>
      </w:r>
      <w:r>
        <w:rPr>
          <w:spacing w:val="35"/>
          <w:w w:val="95"/>
          <w:sz w:val="24"/>
        </w:rPr>
        <w:t>秘</w:t>
      </w:r>
      <w:r>
        <w:rPr>
          <w:w w:val="95"/>
          <w:sz w:val="24"/>
        </w:rPr>
        <w:t>書</w:t>
      </w:r>
      <w:r>
        <w:rPr>
          <w:spacing w:val="-18"/>
          <w:w w:val="95"/>
          <w:sz w:val="24"/>
        </w:rPr>
        <w:t> </w:t>
      </w:r>
      <w:r>
        <w:rPr>
          <w:w w:val="95"/>
          <w:sz w:val="24"/>
        </w:rPr>
        <w:t>，認</w:t>
      </w:r>
      <w:r>
        <w:rPr>
          <w:spacing w:val="39"/>
          <w:w w:val="95"/>
          <w:sz w:val="24"/>
        </w:rPr>
        <w:t> </w:t>
      </w:r>
      <w:r>
        <w:rPr>
          <w:spacing w:val="19"/>
          <w:w w:val="95"/>
          <w:sz w:val="24"/>
        </w:rPr>
        <w:t>為</w:t>
      </w:r>
      <w:r>
        <w:rPr>
          <w:spacing w:val="59"/>
          <w:w w:val="95"/>
          <w:sz w:val="24"/>
        </w:rPr>
        <w:t>侵</w:t>
      </w:r>
      <w:r>
        <w:rPr>
          <w:spacing w:val="30"/>
          <w:w w:val="95"/>
          <w:sz w:val="24"/>
        </w:rPr>
        <w:t>害</w:t>
      </w:r>
      <w:r>
        <w:rPr>
          <w:spacing w:val="18"/>
          <w:w w:val="95"/>
          <w:sz w:val="24"/>
        </w:rPr>
        <w:t>其</w:t>
      </w:r>
      <w:r>
        <w:rPr>
          <w:spacing w:val="30"/>
          <w:w w:val="95"/>
          <w:sz w:val="24"/>
        </w:rPr>
        <w:t>權</w:t>
      </w:r>
      <w:r>
        <w:rPr>
          <w:w w:val="95"/>
          <w:sz w:val="24"/>
        </w:rPr>
        <w:t>益</w:t>
      </w:r>
      <w:r>
        <w:rPr>
          <w:spacing w:val="-22"/>
          <w:w w:val="95"/>
          <w:sz w:val="24"/>
        </w:rPr>
        <w:t> </w:t>
      </w:r>
      <w:r>
        <w:rPr>
          <w:w w:val="95"/>
          <w:sz w:val="24"/>
        </w:rPr>
        <w:t>，提</w:t>
      </w:r>
      <w:r>
        <w:rPr>
          <w:spacing w:val="28"/>
          <w:w w:val="95"/>
          <w:sz w:val="24"/>
        </w:rPr>
        <w:t> </w:t>
      </w:r>
      <w:r>
        <w:rPr>
          <w:w w:val="95"/>
          <w:sz w:val="24"/>
        </w:rPr>
        <w:t>超</w:t>
      </w:r>
      <w:r>
        <w:rPr>
          <w:spacing w:val="-2"/>
          <w:w w:val="95"/>
          <w:sz w:val="24"/>
        </w:rPr>
        <w:t> </w:t>
      </w:r>
      <w:r>
        <w:rPr>
          <w:w w:val="95"/>
          <w:sz w:val="24"/>
        </w:rPr>
        <w:t>復</w:t>
      </w:r>
      <w:r>
        <w:rPr>
          <w:spacing w:val="57"/>
          <w:w w:val="95"/>
          <w:sz w:val="24"/>
        </w:rPr>
        <w:t>審</w:t>
      </w:r>
      <w:r>
        <w:rPr>
          <w:w w:val="95"/>
          <w:sz w:val="24"/>
        </w:rPr>
        <w:t>。</w:t>
      </w:r>
      <w:r>
        <w:rPr>
          <w:spacing w:val="-61"/>
          <w:w w:val="95"/>
          <w:sz w:val="24"/>
        </w:rPr>
        <w:t>保</w:t>
      </w:r>
      <w:r>
        <w:rPr>
          <w:spacing w:val="36"/>
          <w:w w:val="95"/>
          <w:sz w:val="24"/>
        </w:rPr>
        <w:t>訓</w:t>
      </w:r>
      <w:r>
        <w:rPr>
          <w:spacing w:val="12"/>
          <w:w w:val="95"/>
          <w:sz w:val="24"/>
        </w:rPr>
        <w:t>會</w:t>
      </w:r>
      <w:r>
        <w:rPr>
          <w:spacing w:val="30"/>
          <w:w w:val="95"/>
          <w:sz w:val="24"/>
        </w:rPr>
        <w:t>認</w:t>
      </w:r>
      <w:r>
        <w:rPr>
          <w:w w:val="95"/>
          <w:sz w:val="24"/>
        </w:rPr>
        <w:t>為：</w:t>
      </w:r>
      <w:r>
        <w:rPr>
          <w:spacing w:val="-119"/>
          <w:w w:val="95"/>
          <w:sz w:val="24"/>
        </w:rPr>
        <w:t>「</w:t>
      </w:r>
      <w:r>
        <w:rPr>
          <w:spacing w:val="16"/>
          <w:w w:val="95"/>
          <w:sz w:val="24"/>
        </w:rPr>
        <w:t>…</w:t>
      </w:r>
      <w:r>
        <w:rPr>
          <w:spacing w:val="21"/>
          <w:w w:val="95"/>
          <w:sz w:val="24"/>
        </w:rPr>
        <w:t>復</w:t>
      </w:r>
      <w:r>
        <w:rPr>
          <w:spacing w:val="39"/>
          <w:w w:val="95"/>
          <w:sz w:val="24"/>
        </w:rPr>
        <w:t>審</w:t>
      </w:r>
      <w:r>
        <w:rPr>
          <w:w w:val="95"/>
          <w:sz w:val="24"/>
        </w:rPr>
        <w:t>人</w:t>
      </w:r>
      <w:r>
        <w:rPr>
          <w:spacing w:val="25"/>
          <w:w w:val="95"/>
          <w:sz w:val="24"/>
        </w:rPr>
        <w:t>所</w:t>
      </w:r>
      <w:r>
        <w:rPr>
          <w:spacing w:val="30"/>
          <w:w w:val="95"/>
          <w:sz w:val="24"/>
        </w:rPr>
        <w:t>不</w:t>
      </w:r>
      <w:r>
        <w:rPr>
          <w:spacing w:val="38"/>
          <w:w w:val="95"/>
          <w:sz w:val="24"/>
        </w:rPr>
        <w:t>服</w:t>
      </w:r>
      <w:r>
        <w:rPr>
          <w:spacing w:val="37"/>
          <w:w w:val="95"/>
          <w:sz w:val="24"/>
        </w:rPr>
        <w:t>之</w:t>
      </w:r>
      <w:r>
        <w:rPr>
          <w:spacing w:val="23"/>
          <w:w w:val="95"/>
          <w:sz w:val="24"/>
        </w:rPr>
        <w:t>烏</w:t>
      </w:r>
      <w:r>
        <w:rPr>
          <w:spacing w:val="45"/>
          <w:w w:val="95"/>
          <w:sz w:val="24"/>
        </w:rPr>
        <w:t>坵</w:t>
      </w:r>
      <w:r>
        <w:rPr>
          <w:spacing w:val="25"/>
          <w:w w:val="95"/>
          <w:sz w:val="24"/>
        </w:rPr>
        <w:t>鄉</w:t>
      </w:r>
      <w:r>
        <w:rPr>
          <w:spacing w:val="26"/>
          <w:w w:val="95"/>
          <w:sz w:val="24"/>
        </w:rPr>
        <w:t>公</w:t>
      </w:r>
      <w:r>
        <w:rPr>
          <w:spacing w:val="41"/>
          <w:w w:val="95"/>
          <w:sz w:val="24"/>
        </w:rPr>
        <w:t>所</w:t>
      </w:r>
      <w:r>
        <w:rPr>
          <w:spacing w:val="34"/>
          <w:w w:val="95"/>
          <w:sz w:val="24"/>
        </w:rPr>
        <w:t>上</w:t>
      </w:r>
      <w:r>
        <w:rPr>
          <w:w w:val="95"/>
          <w:sz w:val="24"/>
        </w:rPr>
        <w:t>開</w:t>
      </w:r>
      <w:r>
        <w:rPr>
          <w:spacing w:val="13"/>
          <w:w w:val="95"/>
          <w:sz w:val="24"/>
        </w:rPr>
        <w:t> </w:t>
      </w:r>
      <w:r>
        <w:rPr>
          <w:rFonts w:ascii="Arial" w:hAnsi="Arial" w:eastAsia="Arial"/>
          <w:w w:val="95"/>
          <w:sz w:val="29"/>
        </w:rPr>
        <w:t>94</w:t>
      </w:r>
      <w:r>
        <w:rPr>
          <w:rFonts w:ascii="Arial" w:hAnsi="Arial" w:eastAsia="Arial"/>
          <w:spacing w:val="17"/>
          <w:w w:val="95"/>
          <w:sz w:val="29"/>
        </w:rPr>
        <w:t> </w:t>
      </w:r>
      <w:r>
        <w:rPr>
          <w:w w:val="95"/>
          <w:sz w:val="24"/>
        </w:rPr>
        <w:t>年</w:t>
      </w:r>
      <w:r>
        <w:rPr>
          <w:spacing w:val="1"/>
          <w:w w:val="95"/>
          <w:sz w:val="24"/>
        </w:rPr>
        <w:t> </w:t>
      </w:r>
      <w:r>
        <w:rPr>
          <w:rFonts w:ascii="Arial" w:hAnsi="Arial" w:eastAsia="Arial"/>
          <w:w w:val="95"/>
          <w:sz w:val="29"/>
        </w:rPr>
        <w:t>4</w:t>
      </w:r>
      <w:r>
        <w:rPr>
          <w:rFonts w:ascii="Arial" w:hAnsi="Arial" w:eastAsia="Arial"/>
          <w:spacing w:val="58"/>
          <w:w w:val="95"/>
          <w:sz w:val="29"/>
        </w:rPr>
        <w:t> </w:t>
      </w:r>
      <w:r>
        <w:rPr>
          <w:w w:val="95"/>
          <w:sz w:val="25"/>
        </w:rPr>
        <w:t>月</w:t>
      </w:r>
      <w:r>
        <w:rPr>
          <w:spacing w:val="47"/>
          <w:w w:val="95"/>
          <w:sz w:val="25"/>
        </w:rPr>
        <w:t> </w:t>
      </w:r>
      <w:r>
        <w:rPr>
          <w:rFonts w:ascii="Arial" w:hAnsi="Arial" w:eastAsia="Arial"/>
          <w:w w:val="95"/>
          <w:sz w:val="29"/>
        </w:rPr>
        <w:t>25</w:t>
      </w:r>
      <w:r>
        <w:rPr>
          <w:rFonts w:ascii="Arial" w:hAnsi="Arial" w:eastAsia="Arial"/>
          <w:spacing w:val="7"/>
          <w:w w:val="95"/>
          <w:sz w:val="29"/>
        </w:rPr>
        <w:t> </w:t>
      </w:r>
      <w:r>
        <w:rPr>
          <w:w w:val="95"/>
          <w:sz w:val="24"/>
        </w:rPr>
        <w:t>日</w:t>
      </w:r>
      <w:r>
        <w:rPr>
          <w:spacing w:val="-42"/>
          <w:w w:val="95"/>
          <w:sz w:val="24"/>
        </w:rPr>
        <w:t> </w:t>
      </w:r>
      <w:r>
        <w:rPr>
          <w:w w:val="95"/>
          <w:sz w:val="24"/>
        </w:rPr>
        <w:t>令</w:t>
      </w:r>
      <w:r>
        <w:rPr>
          <w:spacing w:val="105"/>
          <w:w w:val="95"/>
          <w:sz w:val="24"/>
        </w:rPr>
        <w:t> </w:t>
      </w:r>
      <w:r>
        <w:rPr>
          <w:w w:val="95"/>
          <w:sz w:val="24"/>
        </w:rPr>
        <w:t>，</w:t>
      </w:r>
      <w:r>
        <w:rPr>
          <w:spacing w:val="-111"/>
          <w:w w:val="95"/>
          <w:sz w:val="24"/>
        </w:rPr>
        <w:t> </w:t>
      </w:r>
      <w:r>
        <w:rPr>
          <w:w w:val="90"/>
          <w:sz w:val="24"/>
        </w:rPr>
        <w:t>係</w:t>
      </w:r>
      <w:r>
        <w:rPr>
          <w:spacing w:val="18"/>
          <w:w w:val="90"/>
          <w:sz w:val="24"/>
        </w:rPr>
        <w:t> </w:t>
      </w:r>
      <w:r>
        <w:rPr>
          <w:spacing w:val="22"/>
          <w:w w:val="90"/>
          <w:sz w:val="24"/>
        </w:rPr>
        <w:t>該</w:t>
      </w:r>
      <w:r>
        <w:rPr>
          <w:spacing w:val="33"/>
          <w:w w:val="90"/>
          <w:sz w:val="24"/>
        </w:rPr>
        <w:t>所</w:t>
      </w:r>
      <w:r>
        <w:rPr>
          <w:spacing w:val="26"/>
          <w:w w:val="90"/>
          <w:sz w:val="24"/>
        </w:rPr>
        <w:t>進</w:t>
      </w:r>
      <w:r>
        <w:rPr>
          <w:w w:val="90"/>
          <w:sz w:val="24"/>
        </w:rPr>
        <w:t>用</w:t>
      </w:r>
      <w:r>
        <w:rPr>
          <w:spacing w:val="-36"/>
          <w:w w:val="90"/>
          <w:sz w:val="24"/>
        </w:rPr>
        <w:t> </w:t>
      </w:r>
      <w:r>
        <w:rPr>
          <w:spacing w:val="32"/>
          <w:w w:val="90"/>
          <w:sz w:val="24"/>
        </w:rPr>
        <w:t>李</w:t>
      </w:r>
      <w:r>
        <w:rPr>
          <w:rFonts w:ascii="Times New Roman" w:hAnsi="Times New Roman" w:eastAsia="Times New Roman"/>
          <w:w w:val="90"/>
          <w:sz w:val="35"/>
        </w:rPr>
        <w:t>0</w:t>
      </w:r>
      <w:r>
        <w:rPr>
          <w:rFonts w:ascii="Times New Roman" w:hAnsi="Times New Roman" w:eastAsia="Times New Roman"/>
          <w:spacing w:val="47"/>
          <w:w w:val="90"/>
          <w:sz w:val="35"/>
        </w:rPr>
        <w:t> </w:t>
      </w:r>
      <w:r>
        <w:rPr>
          <w:rFonts w:ascii="Times New Roman" w:hAnsi="Times New Roman" w:eastAsia="Times New Roman"/>
          <w:w w:val="90"/>
          <w:sz w:val="35"/>
        </w:rPr>
        <w:t>0</w:t>
      </w:r>
      <w:r>
        <w:rPr>
          <w:rFonts w:ascii="Times New Roman" w:hAnsi="Times New Roman" w:eastAsia="Times New Roman"/>
          <w:spacing w:val="63"/>
          <w:w w:val="90"/>
          <w:sz w:val="35"/>
        </w:rPr>
        <w:t> </w:t>
      </w:r>
      <w:r>
        <w:rPr>
          <w:spacing w:val="27"/>
          <w:w w:val="90"/>
          <w:sz w:val="24"/>
        </w:rPr>
        <w:t>為</w:t>
      </w:r>
      <w:r>
        <w:rPr>
          <w:spacing w:val="28"/>
          <w:w w:val="90"/>
          <w:sz w:val="24"/>
        </w:rPr>
        <w:t>機</w:t>
      </w:r>
      <w:r>
        <w:rPr>
          <w:spacing w:val="11"/>
          <w:w w:val="90"/>
          <w:sz w:val="24"/>
        </w:rPr>
        <w:t>要</w:t>
      </w:r>
      <w:r>
        <w:rPr>
          <w:spacing w:val="30"/>
          <w:w w:val="90"/>
          <w:sz w:val="24"/>
        </w:rPr>
        <w:t>秘</w:t>
      </w:r>
      <w:r>
        <w:rPr>
          <w:spacing w:val="23"/>
          <w:w w:val="90"/>
          <w:sz w:val="24"/>
        </w:rPr>
        <w:t>書</w:t>
      </w:r>
      <w:r>
        <w:rPr>
          <w:spacing w:val="38"/>
          <w:w w:val="90"/>
          <w:sz w:val="24"/>
        </w:rPr>
        <w:t>之</w:t>
      </w:r>
      <w:r>
        <w:rPr>
          <w:spacing w:val="10"/>
          <w:w w:val="90"/>
          <w:sz w:val="24"/>
        </w:rPr>
        <w:t>派</w:t>
      </w:r>
      <w:r>
        <w:rPr>
          <w:w w:val="90"/>
          <w:sz w:val="24"/>
        </w:rPr>
        <w:t>令</w:t>
      </w:r>
      <w:r>
        <w:rPr>
          <w:spacing w:val="-31"/>
          <w:w w:val="90"/>
          <w:sz w:val="24"/>
        </w:rPr>
        <w:t> </w:t>
      </w:r>
      <w:r>
        <w:rPr>
          <w:w w:val="90"/>
          <w:sz w:val="24"/>
        </w:rPr>
        <w:t>，揆</w:t>
      </w:r>
      <w:r>
        <w:rPr>
          <w:spacing w:val="47"/>
          <w:w w:val="90"/>
          <w:sz w:val="24"/>
        </w:rPr>
        <w:t> </w:t>
      </w:r>
      <w:r>
        <w:rPr>
          <w:w w:val="90"/>
          <w:sz w:val="24"/>
        </w:rPr>
        <w:t>諸</w:t>
      </w:r>
      <w:r>
        <w:rPr>
          <w:spacing w:val="26"/>
          <w:w w:val="90"/>
          <w:sz w:val="24"/>
        </w:rPr>
        <w:t> </w:t>
      </w:r>
      <w:r>
        <w:rPr>
          <w:w w:val="90"/>
          <w:sz w:val="24"/>
        </w:rPr>
        <w:t>上</w:t>
      </w:r>
      <w:r>
        <w:rPr>
          <w:spacing w:val="23"/>
          <w:w w:val="90"/>
          <w:sz w:val="24"/>
        </w:rPr>
        <w:t> </w:t>
      </w:r>
      <w:r>
        <w:rPr>
          <w:w w:val="90"/>
          <w:sz w:val="24"/>
        </w:rPr>
        <w:t>開</w:t>
      </w:r>
      <w:r>
        <w:rPr>
          <w:spacing w:val="29"/>
          <w:w w:val="90"/>
          <w:sz w:val="24"/>
        </w:rPr>
        <w:t> </w:t>
      </w:r>
      <w:r>
        <w:rPr>
          <w:w w:val="90"/>
          <w:sz w:val="24"/>
        </w:rPr>
        <w:t>說</w:t>
      </w:r>
      <w:r>
        <w:rPr>
          <w:spacing w:val="20"/>
          <w:w w:val="90"/>
          <w:sz w:val="24"/>
        </w:rPr>
        <w:t> </w:t>
      </w:r>
      <w:r>
        <w:rPr>
          <w:w w:val="90"/>
          <w:sz w:val="24"/>
        </w:rPr>
        <w:t>明</w:t>
      </w:r>
      <w:r>
        <w:rPr>
          <w:spacing w:val="97"/>
          <w:w w:val="90"/>
          <w:sz w:val="24"/>
        </w:rPr>
        <w:t> </w:t>
      </w:r>
      <w:r>
        <w:rPr>
          <w:spacing w:val="18"/>
          <w:w w:val="90"/>
          <w:sz w:val="24"/>
        </w:rPr>
        <w:t>，</w:t>
      </w:r>
      <w:r>
        <w:rPr>
          <w:spacing w:val="23"/>
          <w:w w:val="90"/>
          <w:sz w:val="24"/>
        </w:rPr>
        <w:t>機</w:t>
      </w:r>
      <w:r>
        <w:rPr>
          <w:spacing w:val="25"/>
          <w:w w:val="90"/>
          <w:sz w:val="24"/>
        </w:rPr>
        <w:t>要</w:t>
      </w:r>
      <w:r>
        <w:rPr>
          <w:spacing w:val="31"/>
          <w:w w:val="90"/>
          <w:sz w:val="24"/>
        </w:rPr>
        <w:t>人</w:t>
      </w:r>
      <w:r>
        <w:rPr>
          <w:w w:val="90"/>
          <w:sz w:val="24"/>
        </w:rPr>
        <w:t>員之</w:t>
      </w:r>
      <w:r>
        <w:rPr>
          <w:spacing w:val="36"/>
          <w:w w:val="90"/>
          <w:sz w:val="24"/>
        </w:rPr>
        <w:t> </w:t>
      </w:r>
      <w:r>
        <w:rPr>
          <w:spacing w:val="24"/>
          <w:w w:val="90"/>
          <w:sz w:val="24"/>
        </w:rPr>
        <w:t>進</w:t>
      </w:r>
      <w:r>
        <w:rPr>
          <w:spacing w:val="43"/>
          <w:w w:val="90"/>
          <w:sz w:val="24"/>
        </w:rPr>
        <w:t>用</w:t>
      </w:r>
      <w:r>
        <w:rPr>
          <w:w w:val="90"/>
          <w:sz w:val="24"/>
        </w:rPr>
        <w:t>係</w:t>
      </w:r>
      <w:r>
        <w:rPr>
          <w:sz w:val="24"/>
        </w:rPr>
        <w:t>機關首長権責，依前揭任用法及陞遷法規定，復審人並無請求派任其為烏</w:t>
      </w:r>
    </w:p>
    <w:p>
      <w:pPr>
        <w:spacing w:line="331" w:lineRule="auto" w:before="69"/>
        <w:ind w:left="300" w:right="483" w:firstLine="6"/>
        <w:jc w:val="both"/>
        <w:rPr>
          <w:sz w:val="24"/>
        </w:rPr>
      </w:pPr>
      <w:r>
        <w:rPr>
          <w:w w:val="105"/>
          <w:sz w:val="24"/>
        </w:rPr>
        <w:t>坵鄉公所機要秘書或參加該機要秘書職缺甄審之權利，復審人既非該派令   </w:t>
      </w:r>
      <w:r>
        <w:rPr>
          <w:spacing w:val="122"/>
          <w:w w:val="105"/>
          <w:sz w:val="24"/>
        </w:rPr>
        <w:t> </w:t>
      </w:r>
      <w:r>
        <w:rPr>
          <w:w w:val="105"/>
          <w:sz w:val="24"/>
        </w:rPr>
        <w:t>之對象，亦非該令效力所及，尚不得據以主張権益受影攀。綜上，復審人    </w:t>
      </w:r>
      <w:r>
        <w:rPr>
          <w:spacing w:val="24"/>
          <w:w w:val="105"/>
          <w:sz w:val="24"/>
        </w:rPr>
        <w:t> </w:t>
      </w:r>
      <w:r>
        <w:rPr>
          <w:spacing w:val="17"/>
          <w:w w:val="90"/>
          <w:sz w:val="24"/>
        </w:rPr>
        <w:t>對於烏坵鄉公所 </w:t>
      </w:r>
      <w:r>
        <w:rPr>
          <w:rFonts w:ascii="Arial" w:hAnsi="Arial" w:eastAsia="Arial"/>
          <w:w w:val="90"/>
          <w:sz w:val="29"/>
        </w:rPr>
        <w:t>94</w:t>
      </w:r>
      <w:r>
        <w:rPr>
          <w:rFonts w:ascii="Arial" w:hAnsi="Arial" w:eastAsia="Arial"/>
          <w:spacing w:val="33"/>
          <w:w w:val="90"/>
          <w:sz w:val="29"/>
        </w:rPr>
        <w:t> </w:t>
      </w:r>
      <w:r>
        <w:rPr>
          <w:spacing w:val="-18"/>
          <w:w w:val="90"/>
          <w:sz w:val="24"/>
        </w:rPr>
        <w:t>年 </w:t>
      </w:r>
      <w:r>
        <w:rPr>
          <w:rFonts w:ascii="Arial" w:hAnsi="Arial" w:eastAsia="Arial"/>
          <w:w w:val="90"/>
          <w:sz w:val="29"/>
        </w:rPr>
        <w:t>4</w:t>
      </w:r>
      <w:r>
        <w:rPr>
          <w:rFonts w:ascii="Arial" w:hAnsi="Arial" w:eastAsia="Arial"/>
          <w:spacing w:val="20"/>
          <w:w w:val="90"/>
          <w:sz w:val="29"/>
        </w:rPr>
        <w:t> </w:t>
      </w:r>
      <w:r>
        <w:rPr>
          <w:spacing w:val="-5"/>
          <w:w w:val="90"/>
          <w:sz w:val="25"/>
        </w:rPr>
        <w:t>月 </w:t>
      </w:r>
      <w:r>
        <w:rPr>
          <w:rFonts w:ascii="Arial" w:hAnsi="Arial" w:eastAsia="Arial"/>
          <w:w w:val="90"/>
          <w:sz w:val="29"/>
        </w:rPr>
        <w:t>25</w:t>
      </w:r>
      <w:r>
        <w:rPr>
          <w:rFonts w:ascii="Arial" w:hAnsi="Arial" w:eastAsia="Arial"/>
          <w:spacing w:val="37"/>
          <w:w w:val="90"/>
          <w:sz w:val="29"/>
        </w:rPr>
        <w:t> </w:t>
      </w:r>
      <w:r>
        <w:rPr>
          <w:spacing w:val="1"/>
          <w:w w:val="90"/>
          <w:sz w:val="24"/>
        </w:rPr>
        <w:t>日坵 人 字第 </w:t>
      </w:r>
      <w:r>
        <w:rPr>
          <w:rFonts w:ascii="Arial" w:hAnsi="Arial" w:eastAsia="Arial"/>
          <w:w w:val="90"/>
          <w:sz w:val="29"/>
        </w:rPr>
        <w:t>0940000</w:t>
      </w:r>
      <w:r>
        <w:rPr>
          <w:rFonts w:ascii="Arial" w:hAnsi="Arial" w:eastAsia="Arial"/>
          <w:spacing w:val="8"/>
          <w:w w:val="90"/>
          <w:sz w:val="29"/>
        </w:rPr>
        <w:t> </w:t>
      </w:r>
      <w:r>
        <w:rPr>
          <w:rFonts w:ascii="Arial" w:hAnsi="Arial" w:eastAsia="Arial"/>
          <w:w w:val="90"/>
          <w:sz w:val="29"/>
        </w:rPr>
        <w:t>134</w:t>
      </w:r>
      <w:r>
        <w:rPr>
          <w:rFonts w:ascii="Arial" w:hAnsi="Arial" w:eastAsia="Arial"/>
          <w:spacing w:val="14"/>
          <w:w w:val="90"/>
          <w:sz w:val="29"/>
        </w:rPr>
        <w:t> </w:t>
      </w:r>
      <w:r>
        <w:rPr>
          <w:spacing w:val="6"/>
          <w:w w:val="90"/>
          <w:sz w:val="24"/>
        </w:rPr>
        <w:t>號 令 遽 予提超復審，</w:t>
      </w:r>
      <w:r>
        <w:rPr>
          <w:spacing w:val="-106"/>
          <w:w w:val="90"/>
          <w:sz w:val="24"/>
        </w:rPr>
        <w:t> </w:t>
      </w:r>
      <w:r>
        <w:rPr>
          <w:spacing w:val="17"/>
          <w:sz w:val="24"/>
        </w:rPr>
        <w:t>核屬噹事人不適格 </w:t>
      </w:r>
      <w:r>
        <w:rPr>
          <w:spacing w:val="18"/>
          <w:w w:val="90"/>
          <w:sz w:val="24"/>
        </w:rPr>
        <w:t>，於 </w:t>
      </w:r>
      <w:r>
        <w:rPr>
          <w:spacing w:val="14"/>
          <w:sz w:val="24"/>
        </w:rPr>
        <w:t>法即有未合 </w:t>
      </w:r>
      <w:r>
        <w:rPr>
          <w:spacing w:val="-44"/>
          <w:w w:val="90"/>
          <w:sz w:val="24"/>
        </w:rPr>
        <w:t>， </w:t>
      </w:r>
      <w:r>
        <w:rPr>
          <w:spacing w:val="7"/>
          <w:sz w:val="24"/>
        </w:rPr>
        <w:t>應不予受理… 」</w:t>
      </w:r>
      <w:r>
        <w:rPr>
          <w:spacing w:val="-159"/>
          <w:sz w:val="24"/>
        </w:rPr>
        <w:t>。</w:t>
      </w:r>
      <w:r>
        <w:rPr>
          <w:rFonts w:ascii="Times New Roman" w:hAnsi="Times New Roman" w:eastAsia="Times New Roman"/>
          <w:w w:val="90"/>
          <w:sz w:val="16"/>
        </w:rPr>
        <w:t>76</w:t>
      </w:r>
      <w:r>
        <w:rPr>
          <w:rFonts w:ascii="Times New Roman" w:hAnsi="Times New Roman" w:eastAsia="Times New Roman"/>
          <w:spacing w:val="29"/>
          <w:w w:val="90"/>
          <w:sz w:val="16"/>
        </w:rPr>
        <w:t> </w:t>
      </w:r>
      <w:r>
        <w:rPr>
          <w:spacing w:val="28"/>
          <w:sz w:val="24"/>
        </w:rPr>
        <w:t>噹事人不服上述復</w:t>
      </w:r>
    </w:p>
    <w:p>
      <w:pPr>
        <w:spacing w:line="295" w:lineRule="auto" w:before="21"/>
        <w:ind w:left="306" w:right="488" w:firstLine="0"/>
        <w:jc w:val="both"/>
        <w:rPr>
          <w:sz w:val="24"/>
        </w:rPr>
      </w:pPr>
      <w:r>
        <w:rPr>
          <w:w w:val="110"/>
          <w:sz w:val="24"/>
        </w:rPr>
        <w:t>審決定，提超行政訴訟。臺北高等行政法院亦以「原告據以提超本件撤銷</w:t>
      </w:r>
      <w:r>
        <w:rPr>
          <w:spacing w:val="117"/>
          <w:w w:val="110"/>
          <w:sz w:val="24"/>
        </w:rPr>
        <w:t> </w:t>
      </w:r>
      <w:r>
        <w:rPr>
          <w:spacing w:val="4"/>
          <w:sz w:val="24"/>
        </w:rPr>
        <w:t>訴訟之原處分 </w:t>
      </w:r>
      <w:r>
        <w:rPr>
          <w:spacing w:val="-38"/>
          <w:w w:val="95"/>
          <w:sz w:val="24"/>
        </w:rPr>
        <w:t>， </w:t>
      </w:r>
      <w:r>
        <w:rPr>
          <w:spacing w:val="-6"/>
          <w:sz w:val="24"/>
        </w:rPr>
        <w:t>其受處分人為 李</w:t>
      </w:r>
      <w:r>
        <w:rPr>
          <w:rFonts w:ascii="Times New Roman" w:eastAsia="Times New Roman"/>
          <w:sz w:val="35"/>
        </w:rPr>
        <w:t>0</w:t>
      </w:r>
      <w:r>
        <w:rPr>
          <w:rFonts w:ascii="Times New Roman" w:eastAsia="Times New Roman"/>
          <w:spacing w:val="69"/>
          <w:sz w:val="35"/>
        </w:rPr>
        <w:t> </w:t>
      </w:r>
      <w:r>
        <w:rPr>
          <w:rFonts w:ascii="Times New Roman" w:eastAsia="Times New Roman"/>
          <w:sz w:val="35"/>
        </w:rPr>
        <w:t>0</w:t>
      </w:r>
      <w:r>
        <w:rPr>
          <w:rFonts w:ascii="Times New Roman" w:eastAsia="Times New Roman"/>
          <w:spacing w:val="24"/>
          <w:sz w:val="35"/>
        </w:rPr>
        <w:t> </w:t>
      </w:r>
      <w:r>
        <w:rPr>
          <w:spacing w:val="22"/>
          <w:w w:val="95"/>
          <w:sz w:val="24"/>
        </w:rPr>
        <w:t>，並 </w:t>
      </w:r>
      <w:r>
        <w:rPr>
          <w:spacing w:val="8"/>
          <w:sz w:val="24"/>
        </w:rPr>
        <w:t>非原告 </w:t>
      </w:r>
      <w:r>
        <w:rPr>
          <w:spacing w:val="-38"/>
          <w:w w:val="95"/>
          <w:sz w:val="24"/>
        </w:rPr>
        <w:t>， </w:t>
      </w:r>
      <w:r>
        <w:rPr>
          <w:spacing w:val="18"/>
          <w:sz w:val="24"/>
        </w:rPr>
        <w:t>有原處分書附卷可參 </w:t>
      </w:r>
      <w:r>
        <w:rPr>
          <w:w w:val="95"/>
          <w:sz w:val="24"/>
        </w:rPr>
        <w:t>，</w:t>
      </w:r>
      <w:r>
        <w:rPr>
          <w:spacing w:val="-111"/>
          <w:w w:val="95"/>
          <w:sz w:val="24"/>
        </w:rPr>
        <w:t> </w:t>
      </w:r>
      <w:r>
        <w:rPr>
          <w:w w:val="110"/>
          <w:sz w:val="24"/>
        </w:rPr>
        <w:t>自難謂原告已因該處分之作成而受有權利或法律上利益之損害」為由，以</w:t>
      </w:r>
    </w:p>
    <w:p>
      <w:pPr>
        <w:spacing w:line="321" w:lineRule="auto" w:before="43"/>
        <w:ind w:left="302" w:right="662" w:firstLine="7"/>
        <w:jc w:val="both"/>
        <w:rPr>
          <w:sz w:val="24"/>
        </w:rPr>
      </w:pPr>
      <w:r>
        <w:rPr>
          <w:rFonts w:ascii="Arial" w:eastAsia="Arial"/>
          <w:w w:val="95"/>
          <w:sz w:val="29"/>
        </w:rPr>
        <w:t>94</w:t>
      </w:r>
      <w:r>
        <w:rPr>
          <w:rFonts w:ascii="Arial" w:eastAsia="Arial"/>
          <w:spacing w:val="76"/>
          <w:w w:val="95"/>
          <w:sz w:val="29"/>
        </w:rPr>
        <w:t> </w:t>
      </w:r>
      <w:r>
        <w:rPr>
          <w:spacing w:val="21"/>
          <w:w w:val="95"/>
          <w:sz w:val="24"/>
        </w:rPr>
        <w:t>年度訴字第 </w:t>
      </w:r>
      <w:r>
        <w:rPr>
          <w:rFonts w:ascii="Arial" w:eastAsia="Arial"/>
          <w:w w:val="95"/>
          <w:sz w:val="29"/>
        </w:rPr>
        <w:t>03276</w:t>
      </w:r>
      <w:r>
        <w:rPr>
          <w:rFonts w:ascii="Arial" w:eastAsia="Arial"/>
          <w:spacing w:val="13"/>
          <w:w w:val="95"/>
          <w:sz w:val="29"/>
        </w:rPr>
        <w:t> </w:t>
      </w:r>
      <w:r>
        <w:rPr>
          <w:spacing w:val="3"/>
          <w:w w:val="95"/>
          <w:sz w:val="24"/>
        </w:rPr>
        <w:t>號 裁定駁回其訴 ， 似亦否定公務人員 消極 競爭者爭</w:t>
      </w:r>
      <w:r>
        <w:rPr>
          <w:sz w:val="24"/>
        </w:rPr>
        <w:t>訟之合法性。</w:t>
      </w:r>
    </w:p>
    <w:p>
      <w:pPr>
        <w:pStyle w:val="BodyText"/>
        <w:rPr>
          <w:sz w:val="20"/>
        </w:rPr>
      </w:pPr>
    </w:p>
    <w:p>
      <w:pPr>
        <w:pStyle w:val="BodyText"/>
        <w:spacing w:before="5"/>
        <w:rPr>
          <w:sz w:val="14"/>
        </w:rPr>
      </w:pPr>
      <w:r>
        <w:rPr/>
        <w:pict>
          <v:shape style="position:absolute;margin-left:95.174004pt;margin-top:11.617782pt;width:144.25pt;height:.1pt;mso-position-horizontal-relative:page;mso-position-vertical-relative:paragraph;z-index:-15625216;mso-wrap-distance-left:0;mso-wrap-distance-right:0" coordorigin="1903,232" coordsize="2885,0" path="m1903,232l4788,232e" filled="false" stroked="true" strokeweight=".720821pt" strokecolor="#000000">
            <v:path arrowok="t"/>
            <v:stroke dashstyle="solid"/>
            <w10:wrap type="topAndBottom"/>
          </v:shape>
        </w:pict>
      </w:r>
    </w:p>
    <w:p>
      <w:pPr>
        <w:pStyle w:val="BodyText"/>
        <w:spacing w:before="11"/>
        <w:rPr>
          <w:sz w:val="10"/>
        </w:rPr>
      </w:pPr>
    </w:p>
    <w:p>
      <w:pPr>
        <w:spacing w:line="271" w:lineRule="auto" w:before="75"/>
        <w:ind w:left="501" w:right="548" w:hanging="203"/>
        <w:jc w:val="left"/>
        <w:rPr>
          <w:sz w:val="21"/>
        </w:rPr>
      </w:pPr>
      <w:r>
        <w:rPr>
          <w:rFonts w:ascii="Times New Roman" w:hAnsi="Times New Roman" w:eastAsia="Times New Roman"/>
          <w:sz w:val="21"/>
          <w:vertAlign w:val="superscript"/>
        </w:rPr>
        <w:t>75</w:t>
      </w:r>
      <w:r>
        <w:rPr>
          <w:rFonts w:ascii="Times New Roman" w:hAnsi="Times New Roman" w:eastAsia="Times New Roman"/>
          <w:sz w:val="21"/>
          <w:vertAlign w:val="baseline"/>
        </w:rPr>
        <w:t>               </w:t>
      </w:r>
      <w:r>
        <w:rPr>
          <w:sz w:val="21"/>
          <w:vertAlign w:val="baseline"/>
        </w:rPr>
        <w:t>本件當事人不服本判決提超上訴，最高行政法浣認為：「…本件上訴人對於高等行政法院判決上訴，雖以該判決違背法令為由，惟核其上訴理由，係就原審已論斷者，       </w:t>
      </w:r>
      <w:r>
        <w:rPr>
          <w:spacing w:val="72"/>
          <w:sz w:val="21"/>
          <w:vertAlign w:val="baseline"/>
        </w:rPr>
        <w:t> </w:t>
      </w:r>
      <w:r>
        <w:rPr>
          <w:sz w:val="21"/>
          <w:vertAlign w:val="baseline"/>
        </w:rPr>
        <w:t>以其一己之見泛指為違法，及泛指原審筆錄涉及偽造文書，而非具體說明其有何不       </w:t>
      </w:r>
      <w:r>
        <w:rPr>
          <w:spacing w:val="72"/>
          <w:sz w:val="21"/>
          <w:vertAlign w:val="baseline"/>
        </w:rPr>
        <w:t> </w:t>
      </w:r>
      <w:r>
        <w:rPr>
          <w:sz w:val="21"/>
          <w:vertAlign w:val="baseline"/>
        </w:rPr>
        <w:t>適用法規或適用法規不當之情形，並揭示該法規之條項或其內容，及合於行政訴訟       </w:t>
      </w:r>
      <w:r>
        <w:rPr>
          <w:spacing w:val="52"/>
          <w:sz w:val="21"/>
          <w:vertAlign w:val="baseline"/>
        </w:rPr>
        <w:t> </w:t>
      </w:r>
      <w:r>
        <w:rPr>
          <w:spacing w:val="32"/>
          <w:w w:val="95"/>
          <w:sz w:val="21"/>
          <w:vertAlign w:val="baseline"/>
        </w:rPr>
        <w:t>法第</w:t>
      </w:r>
      <w:r>
        <w:rPr>
          <w:rFonts w:ascii="Times New Roman" w:hAnsi="Times New Roman" w:eastAsia="Times New Roman"/>
          <w:w w:val="95"/>
          <w:sz w:val="26"/>
          <w:vertAlign w:val="baseline"/>
        </w:rPr>
        <w:t>243</w:t>
      </w:r>
      <w:r>
        <w:rPr>
          <w:rFonts w:ascii="Times New Roman" w:hAnsi="Times New Roman" w:eastAsia="Times New Roman"/>
          <w:spacing w:val="-20"/>
          <w:w w:val="95"/>
          <w:sz w:val="26"/>
          <w:vertAlign w:val="baseline"/>
        </w:rPr>
        <w:t> </w:t>
      </w:r>
      <w:r>
        <w:rPr>
          <w:spacing w:val="4"/>
          <w:w w:val="95"/>
          <w:sz w:val="21"/>
          <w:vertAlign w:val="baseline"/>
        </w:rPr>
        <w:t>條 第</w:t>
      </w:r>
      <w:r>
        <w:rPr>
          <w:rFonts w:ascii="Times New Roman" w:hAnsi="Times New Roman" w:eastAsia="Times New Roman"/>
          <w:w w:val="95"/>
          <w:sz w:val="26"/>
          <w:vertAlign w:val="baseline"/>
        </w:rPr>
        <w:t>2</w:t>
      </w:r>
      <w:r>
        <w:rPr>
          <w:spacing w:val="9"/>
          <w:w w:val="95"/>
          <w:sz w:val="21"/>
          <w:vertAlign w:val="baseline"/>
        </w:rPr>
        <w:t>項所列各款之事實 ，難 認 對該判決之如何違背法令已有具體之指</w:t>
      </w:r>
    </w:p>
    <w:p>
      <w:pPr>
        <w:spacing w:line="279" w:lineRule="exact" w:before="0"/>
        <w:ind w:left="501" w:right="0" w:firstLine="0"/>
        <w:jc w:val="both"/>
        <w:rPr>
          <w:sz w:val="21"/>
        </w:rPr>
      </w:pPr>
      <w:r>
        <w:rPr>
          <w:spacing w:val="8"/>
          <w:w w:val="95"/>
          <w:sz w:val="21"/>
        </w:rPr>
        <w:t>摘 。…」，以 </w:t>
      </w:r>
      <w:r>
        <w:rPr>
          <w:rFonts w:ascii="Times New Roman" w:hAnsi="Times New Roman" w:eastAsia="Times New Roman"/>
          <w:w w:val="95"/>
          <w:sz w:val="26"/>
        </w:rPr>
        <w:t>98</w:t>
      </w:r>
      <w:r>
        <w:rPr>
          <w:spacing w:val="22"/>
          <w:w w:val="95"/>
          <w:sz w:val="21"/>
        </w:rPr>
        <w:t>年度裁字第</w:t>
      </w:r>
      <w:r>
        <w:rPr>
          <w:rFonts w:ascii="Times New Roman" w:hAnsi="Times New Roman" w:eastAsia="Times New Roman"/>
          <w:w w:val="95"/>
          <w:sz w:val="26"/>
        </w:rPr>
        <w:t>603</w:t>
      </w:r>
      <w:r>
        <w:rPr>
          <w:rFonts w:ascii="Times New Roman" w:hAnsi="Times New Roman" w:eastAsia="Times New Roman"/>
          <w:spacing w:val="-22"/>
          <w:w w:val="95"/>
          <w:sz w:val="26"/>
        </w:rPr>
        <w:t> </w:t>
      </w:r>
      <w:r>
        <w:rPr>
          <w:spacing w:val="1"/>
          <w:w w:val="95"/>
          <w:sz w:val="21"/>
        </w:rPr>
        <w:t>號裁定駁回 。</w:t>
      </w:r>
    </w:p>
    <w:p>
      <w:pPr>
        <w:spacing w:line="232" w:lineRule="auto" w:before="18"/>
        <w:ind w:left="502" w:right="562" w:hanging="204"/>
        <w:jc w:val="both"/>
        <w:rPr>
          <w:sz w:val="21"/>
        </w:rPr>
      </w:pPr>
      <w:r>
        <w:rPr>
          <w:rFonts w:ascii="Times New Roman" w:eastAsia="Times New Roman"/>
          <w:position w:val="8"/>
          <w:sz w:val="13"/>
        </w:rPr>
        <w:t>76</w:t>
      </w:r>
      <w:r>
        <w:rPr>
          <w:rFonts w:ascii="Times New Roman" w:eastAsia="Times New Roman"/>
          <w:spacing w:val="21"/>
          <w:position w:val="8"/>
          <w:sz w:val="13"/>
        </w:rPr>
        <w:t> </w:t>
      </w:r>
      <w:r>
        <w:rPr>
          <w:spacing w:val="3"/>
          <w:sz w:val="21"/>
        </w:rPr>
        <w:t>類似案例 ， 尚可參考</w:t>
      </w:r>
      <w:r>
        <w:rPr>
          <w:rFonts w:ascii="Times New Roman" w:eastAsia="Times New Roman"/>
          <w:spacing w:val="9"/>
          <w:sz w:val="26"/>
        </w:rPr>
        <w:t>96</w:t>
      </w:r>
      <w:r>
        <w:rPr>
          <w:spacing w:val="12"/>
          <w:sz w:val="21"/>
        </w:rPr>
        <w:t>公 審決字第</w:t>
      </w:r>
      <w:r>
        <w:rPr>
          <w:rFonts w:ascii="Times New Roman" w:eastAsia="Times New Roman"/>
          <w:sz w:val="26"/>
        </w:rPr>
        <w:t>0404</w:t>
      </w:r>
      <w:r>
        <w:rPr>
          <w:rFonts w:ascii="Times New Roman" w:eastAsia="Times New Roman"/>
          <w:spacing w:val="8"/>
          <w:sz w:val="26"/>
        </w:rPr>
        <w:t> </w:t>
      </w:r>
      <w:r>
        <w:rPr>
          <w:spacing w:val="-2"/>
          <w:sz w:val="21"/>
        </w:rPr>
        <w:t>號復審決定； 本件案例 事實略為： 復審人原</w:t>
      </w:r>
      <w:r>
        <w:rPr>
          <w:spacing w:val="5"/>
          <w:w w:val="95"/>
          <w:sz w:val="21"/>
        </w:rPr>
        <w:t>任金門縣烏坵鄉公所技士 ， 因不服 該所以</w:t>
      </w:r>
      <w:r>
        <w:rPr>
          <w:rFonts w:ascii="Times New Roman" w:eastAsia="Times New Roman"/>
          <w:spacing w:val="10"/>
          <w:w w:val="95"/>
          <w:sz w:val="26"/>
        </w:rPr>
        <w:t>95</w:t>
      </w:r>
      <w:r>
        <w:rPr>
          <w:w w:val="95"/>
          <w:sz w:val="21"/>
        </w:rPr>
        <w:t>年</w:t>
      </w:r>
      <w:r>
        <w:rPr>
          <w:rFonts w:ascii="Times New Roman" w:eastAsia="Times New Roman"/>
          <w:w w:val="95"/>
          <w:sz w:val="26"/>
        </w:rPr>
        <w:t>11</w:t>
      </w:r>
      <w:r>
        <w:rPr>
          <w:spacing w:val="22"/>
          <w:w w:val="95"/>
          <w:sz w:val="21"/>
        </w:rPr>
        <w:t>月</w:t>
      </w:r>
      <w:r>
        <w:rPr>
          <w:rFonts w:ascii="Times New Roman" w:eastAsia="Times New Roman"/>
          <w:w w:val="95"/>
          <w:sz w:val="26"/>
        </w:rPr>
        <w:t>15</w:t>
      </w:r>
      <w:r>
        <w:rPr>
          <w:spacing w:val="20"/>
          <w:w w:val="95"/>
          <w:sz w:val="21"/>
        </w:rPr>
        <w:t>日坵 人 字第</w:t>
      </w:r>
      <w:r>
        <w:rPr>
          <w:rFonts w:ascii="Times New Roman" w:eastAsia="Times New Roman"/>
          <w:w w:val="95"/>
          <w:sz w:val="26"/>
        </w:rPr>
        <w:t>095000</w:t>
      </w:r>
      <w:r>
        <w:rPr>
          <w:rFonts w:ascii="Times New Roman" w:eastAsia="Times New Roman"/>
          <w:spacing w:val="13"/>
          <w:w w:val="95"/>
          <w:sz w:val="26"/>
        </w:rPr>
        <w:t> </w:t>
      </w:r>
      <w:r>
        <w:rPr>
          <w:rFonts w:ascii="Times New Roman" w:eastAsia="Times New Roman"/>
          <w:w w:val="95"/>
          <w:sz w:val="26"/>
        </w:rPr>
        <w:t>1998</w:t>
      </w:r>
      <w:r>
        <w:rPr>
          <w:w w:val="95"/>
          <w:sz w:val="21"/>
        </w:rPr>
        <w:t>號令賡</w:t>
      </w:r>
      <w:r>
        <w:rPr>
          <w:spacing w:val="-7"/>
          <w:w w:val="95"/>
          <w:sz w:val="21"/>
        </w:rPr>
        <w:t>續任 用 李</w:t>
      </w:r>
      <w:r>
        <w:rPr>
          <w:rFonts w:ascii="Times New Roman" w:eastAsia="Times New Roman"/>
          <w:w w:val="95"/>
          <w:sz w:val="30"/>
        </w:rPr>
        <w:t>00</w:t>
      </w:r>
      <w:r>
        <w:rPr>
          <w:rFonts w:ascii="Times New Roman" w:eastAsia="Times New Roman"/>
          <w:spacing w:val="168"/>
          <w:sz w:val="30"/>
        </w:rPr>
        <w:t> </w:t>
      </w:r>
      <w:r>
        <w:rPr>
          <w:spacing w:val="-3"/>
          <w:w w:val="95"/>
          <w:sz w:val="21"/>
        </w:rPr>
        <w:t>為該所機要秘書 ，認 為侵 害其 權益 ，提 超 復 審 。保訓會謂： 復審人所</w:t>
      </w:r>
    </w:p>
    <w:p>
      <w:pPr>
        <w:spacing w:line="308" w:lineRule="exact" w:before="6"/>
        <w:ind w:left="511" w:right="574" w:firstLine="0"/>
        <w:jc w:val="both"/>
        <w:rPr>
          <w:sz w:val="21"/>
        </w:rPr>
      </w:pPr>
      <w:r>
        <w:rPr>
          <w:spacing w:val="8"/>
          <w:w w:val="95"/>
          <w:sz w:val="21"/>
        </w:rPr>
        <w:t>不服之烏坵鄉公所上開令 ，係 該所賡續任 用 李</w:t>
      </w:r>
      <w:r>
        <w:rPr>
          <w:rFonts w:ascii="Times New Roman" w:eastAsia="Times New Roman"/>
          <w:w w:val="95"/>
          <w:sz w:val="30"/>
        </w:rPr>
        <w:t>00</w:t>
      </w:r>
      <w:r>
        <w:rPr>
          <w:rFonts w:ascii="Times New Roman" w:eastAsia="Times New Roman"/>
          <w:spacing w:val="81"/>
          <w:sz w:val="30"/>
        </w:rPr>
        <w:t> </w:t>
      </w:r>
      <w:r>
        <w:rPr>
          <w:spacing w:val="9"/>
          <w:w w:val="95"/>
          <w:sz w:val="21"/>
        </w:rPr>
        <w:t>為機 要秘書之派令 ，復 審人並蕪</w:t>
      </w:r>
      <w:r>
        <w:rPr>
          <w:sz w:val="21"/>
        </w:rPr>
        <w:t>請求派任其為烏坵鄉公所機要秘書或參加該機要松書職缺甄審之權利，復審人既非</w:t>
      </w:r>
    </w:p>
    <w:p>
      <w:pPr>
        <w:spacing w:line="261" w:lineRule="auto" w:before="40"/>
        <w:ind w:left="506" w:right="583" w:firstLine="3"/>
        <w:jc w:val="both"/>
        <w:rPr>
          <w:sz w:val="21"/>
        </w:rPr>
      </w:pPr>
      <w:r>
        <w:rPr>
          <w:w w:val="105"/>
          <w:sz w:val="21"/>
        </w:rPr>
        <w:t>該派令之對象，亦非該令效力所及，尚不得據以主張權益受影零。綜上，復審人對   </w:t>
      </w:r>
      <w:r>
        <w:rPr>
          <w:spacing w:val="60"/>
          <w:w w:val="105"/>
          <w:sz w:val="21"/>
        </w:rPr>
        <w:t> </w:t>
      </w:r>
      <w:r>
        <w:rPr>
          <w:spacing w:val="15"/>
          <w:w w:val="95"/>
          <w:sz w:val="21"/>
        </w:rPr>
        <w:t>於烏坵鄉公所</w:t>
      </w:r>
      <w:r>
        <w:rPr>
          <w:rFonts w:ascii="Times New Roman" w:eastAsia="Times New Roman"/>
          <w:spacing w:val="10"/>
          <w:w w:val="95"/>
          <w:sz w:val="26"/>
        </w:rPr>
        <w:t>95</w:t>
      </w:r>
      <w:r>
        <w:rPr>
          <w:w w:val="95"/>
          <w:sz w:val="21"/>
        </w:rPr>
        <w:t>年</w:t>
      </w:r>
      <w:r>
        <w:rPr>
          <w:rFonts w:ascii="Times New Roman" w:eastAsia="Times New Roman"/>
          <w:w w:val="95"/>
          <w:sz w:val="26"/>
        </w:rPr>
        <w:t>11</w:t>
      </w:r>
      <w:r>
        <w:rPr>
          <w:spacing w:val="22"/>
          <w:w w:val="95"/>
          <w:sz w:val="21"/>
        </w:rPr>
        <w:t>月</w:t>
      </w:r>
      <w:r>
        <w:rPr>
          <w:rFonts w:ascii="Times New Roman" w:eastAsia="Times New Roman"/>
          <w:w w:val="95"/>
          <w:sz w:val="26"/>
        </w:rPr>
        <w:t>15</w:t>
      </w:r>
      <w:r>
        <w:rPr>
          <w:spacing w:val="12"/>
          <w:w w:val="95"/>
          <w:sz w:val="21"/>
        </w:rPr>
        <w:t>日坵 人 字第</w:t>
      </w:r>
      <w:r>
        <w:rPr>
          <w:rFonts w:ascii="Times New Roman" w:eastAsia="Times New Roman"/>
          <w:w w:val="95"/>
          <w:sz w:val="26"/>
        </w:rPr>
        <w:t>095000</w:t>
      </w:r>
      <w:r>
        <w:rPr>
          <w:rFonts w:ascii="Times New Roman" w:eastAsia="Times New Roman"/>
          <w:spacing w:val="47"/>
          <w:w w:val="95"/>
          <w:sz w:val="26"/>
        </w:rPr>
        <w:t> </w:t>
      </w:r>
      <w:r>
        <w:rPr>
          <w:rFonts w:ascii="Times New Roman" w:eastAsia="Times New Roman"/>
          <w:w w:val="95"/>
          <w:sz w:val="26"/>
        </w:rPr>
        <w:t>1998</w:t>
      </w:r>
      <w:r>
        <w:rPr>
          <w:spacing w:val="14"/>
          <w:w w:val="95"/>
          <w:sz w:val="21"/>
        </w:rPr>
        <w:t>號令遽予提超復審 ，核 屬當事人不</w:t>
      </w:r>
      <w:r>
        <w:rPr>
          <w:w w:val="105"/>
          <w:sz w:val="21"/>
        </w:rPr>
        <w:t>適格，應不予受理。</w:t>
      </w:r>
    </w:p>
    <w:p>
      <w:pPr>
        <w:spacing w:after="0" w:line="261" w:lineRule="auto"/>
        <w:jc w:val="both"/>
        <w:rPr>
          <w:sz w:val="21"/>
        </w:rPr>
        <w:sectPr>
          <w:pgSz w:w="11910" w:h="16840"/>
          <w:pgMar w:header="862" w:footer="1017" w:top="1060" w:bottom="1200" w:left="1120" w:right="1060"/>
        </w:sectPr>
      </w:pPr>
    </w:p>
    <w:p>
      <w:pPr>
        <w:pStyle w:val="BodyText"/>
        <w:spacing w:before="12"/>
        <w:rPr>
          <w:sz w:val="28"/>
        </w:rPr>
      </w:pPr>
    </w:p>
    <w:p>
      <w:pPr>
        <w:pStyle w:val="BodyText"/>
        <w:spacing w:line="328" w:lineRule="auto" w:before="65"/>
        <w:ind w:left="302" w:right="513" w:firstLine="572"/>
      </w:pPr>
      <w:r>
        <w:rPr>
          <w:w w:val="110"/>
        </w:rPr>
        <w:t>綜合以上所述，可知對於公務人員消極競爭者爭訟合法性之問題，實務上傾向採否定之見解。</w:t>
      </w:r>
    </w:p>
    <w:p>
      <w:pPr>
        <w:pStyle w:val="Heading5"/>
        <w:tabs>
          <w:tab w:pos="1950" w:val="left" w:leader="none"/>
        </w:tabs>
        <w:spacing w:before="78"/>
        <w:ind w:left="532"/>
        <w:rPr>
          <w:rFonts w:ascii="SimSun" w:eastAsia="SimSun" w:hint="eastAsia"/>
        </w:rPr>
      </w:pPr>
      <w:bookmarkStart w:name="_bookmark21" w:id="22"/>
      <w:bookmarkEnd w:id="22"/>
      <w:r>
        <w:rPr/>
      </w:r>
      <w:r>
        <w:rPr>
          <w:rFonts w:ascii="SimSun" w:eastAsia="SimSun" w:hint="eastAsia"/>
          <w:w w:val="115"/>
        </w:rPr>
        <w:t>第三節</w:t>
        <w:tab/>
      </w:r>
      <w:r>
        <w:rPr>
          <w:rFonts w:ascii="SimSun" w:eastAsia="SimSun" w:hint="eastAsia"/>
          <w:w w:val="110"/>
        </w:rPr>
        <w:t>對他人之授益處分是否為附第三人效力之行政處分</w:t>
      </w:r>
    </w:p>
    <w:p>
      <w:pPr>
        <w:pStyle w:val="BodyText"/>
        <w:spacing w:before="4"/>
        <w:rPr>
          <w:sz w:val="22"/>
        </w:rPr>
      </w:pPr>
    </w:p>
    <w:p>
      <w:pPr>
        <w:pStyle w:val="BodyText"/>
        <w:spacing w:line="328" w:lineRule="auto"/>
        <w:ind w:left="306" w:right="515" w:firstLine="567"/>
      </w:pPr>
      <w:r>
        <w:rPr>
          <w:w w:val="105"/>
        </w:rPr>
        <w:t>有關公務員法上消極競爭者訴訟合法性之問題，最主要之關鍵，在於</w:t>
      </w:r>
      <w:r>
        <w:rPr>
          <w:spacing w:val="74"/>
          <w:w w:val="105"/>
        </w:rPr>
        <w:t> </w:t>
      </w:r>
      <w:r>
        <w:rPr>
          <w:w w:val="105"/>
        </w:rPr>
        <w:t>對他人之陞任、陞遷、留任等授益處分，是否為附第三人效力之行政處分</w:t>
      </w:r>
      <w:r>
        <w:rPr>
          <w:spacing w:val="116"/>
          <w:w w:val="105"/>
        </w:rPr>
        <w:t> </w:t>
      </w:r>
      <w:r>
        <w:rPr>
          <w:w w:val="105"/>
        </w:rPr>
        <w:t>而侵害噹事人之權益。依上述德國聯邦行政法院之見解，職務競爭者（某</w:t>
      </w:r>
      <w:r>
        <w:rPr>
          <w:spacing w:val="116"/>
          <w:w w:val="105"/>
        </w:rPr>
        <w:t> </w:t>
      </w:r>
      <w:r>
        <w:rPr>
          <w:w w:val="105"/>
        </w:rPr>
        <w:t>甲）不得以人事主管機關任命某乙為公務員之行政處分為對象而提超撒銷</w:t>
      </w:r>
      <w:r>
        <w:rPr>
          <w:spacing w:val="116"/>
          <w:w w:val="105"/>
        </w:rPr>
        <w:t> </w:t>
      </w:r>
      <w:r>
        <w:rPr>
          <w:w w:val="105"/>
        </w:rPr>
        <w:t>訴訟；因為侵害某甲之權利者，並非人事主管機關任命某乙為公務員之行</w:t>
      </w:r>
      <w:r>
        <w:rPr>
          <w:spacing w:val="116"/>
          <w:w w:val="105"/>
        </w:rPr>
        <w:t> </w:t>
      </w:r>
      <w:r>
        <w:rPr>
          <w:w w:val="105"/>
        </w:rPr>
        <w:t>政處分，而是告知某甲其未獲任命之通知書。此二行政處分應加以區分，</w:t>
      </w:r>
      <w:r>
        <w:rPr>
          <w:spacing w:val="116"/>
          <w:w w:val="105"/>
        </w:rPr>
        <w:t> </w:t>
      </w:r>
      <w:r>
        <w:rPr>
          <w:w w:val="105"/>
        </w:rPr>
        <w:t>不得混為一談。換言之，依聯邦行政法院之見解，人事主管機關任命某乙</w:t>
      </w:r>
      <w:r>
        <w:rPr>
          <w:spacing w:val="116"/>
          <w:w w:val="105"/>
        </w:rPr>
        <w:t> </w:t>
      </w:r>
      <w:r>
        <w:rPr>
          <w:w w:val="105"/>
        </w:rPr>
        <w:t>為公務員之行政處分，其對象僅及於某乙，並無針對某甲之第三人效力 </w:t>
      </w:r>
      <w:r>
        <w:rPr>
          <w:spacing w:val="43"/>
          <w:w w:val="105"/>
        </w:rPr>
        <w:t> </w:t>
      </w:r>
      <w:r>
        <w:rPr>
          <w:rFonts w:ascii="Times New Roman" w:eastAsia="Times New Roman"/>
          <w:sz w:val="28"/>
        </w:rPr>
        <w:t>(Dri</w:t>
      </w:r>
      <w:r>
        <w:rPr>
          <w:rFonts w:ascii="Times New Roman" w:eastAsia="Times New Roman"/>
          <w:spacing w:val="-14"/>
          <w:sz w:val="28"/>
        </w:rPr>
        <w:t> </w:t>
      </w:r>
      <w:r>
        <w:rPr>
          <w:rFonts w:ascii="Times New Roman" w:eastAsia="Times New Roman"/>
          <w:sz w:val="28"/>
        </w:rPr>
        <w:t>t</w:t>
      </w:r>
      <w:r>
        <w:rPr>
          <w:rFonts w:ascii="Times New Roman" w:eastAsia="Times New Roman"/>
          <w:spacing w:val="-6"/>
          <w:sz w:val="28"/>
        </w:rPr>
        <w:t> </w:t>
      </w:r>
      <w:r>
        <w:rPr>
          <w:rFonts w:ascii="Times New Roman" w:eastAsia="Times New Roman"/>
          <w:sz w:val="28"/>
        </w:rPr>
        <w:t>twi</w:t>
      </w:r>
      <w:r>
        <w:rPr>
          <w:rFonts w:ascii="Times New Roman" w:eastAsia="Times New Roman"/>
          <w:spacing w:val="-12"/>
          <w:sz w:val="28"/>
        </w:rPr>
        <w:t> </w:t>
      </w:r>
      <w:r>
        <w:rPr>
          <w:rFonts w:ascii="Times New Roman" w:eastAsia="Times New Roman"/>
          <w:sz w:val="28"/>
        </w:rPr>
        <w:t>r</w:t>
      </w:r>
      <w:r>
        <w:rPr>
          <w:rFonts w:ascii="Times New Roman" w:eastAsia="Times New Roman"/>
          <w:spacing w:val="-18"/>
          <w:sz w:val="28"/>
        </w:rPr>
        <w:t> </w:t>
      </w:r>
      <w:r>
        <w:rPr>
          <w:rFonts w:ascii="Times New Roman" w:eastAsia="Times New Roman"/>
          <w:sz w:val="28"/>
        </w:rPr>
        <w:t>kung</w:t>
      </w:r>
      <w:r>
        <w:rPr>
          <w:rFonts w:ascii="Times New Roman" w:eastAsia="Times New Roman"/>
          <w:spacing w:val="-2"/>
          <w:sz w:val="28"/>
        </w:rPr>
        <w:t> ) </w:t>
      </w:r>
      <w:r>
        <w:rPr>
          <w:spacing w:val="4"/>
        </w:rPr>
        <w:t>。故而否 定職務競爭者</w:t>
      </w:r>
      <w:r>
        <w:rPr/>
        <w:t>（</w:t>
      </w:r>
      <w:r>
        <w:rPr>
          <w:spacing w:val="-12"/>
        </w:rPr>
        <w:t> 某甲 </w:t>
      </w:r>
      <w:r>
        <w:rPr/>
        <w:t>）</w:t>
      </w:r>
      <w:r>
        <w:rPr>
          <w:spacing w:val="7"/>
        </w:rPr>
        <w:t>提超消極 競爭者訴訟之</w:t>
      </w:r>
    </w:p>
    <w:p>
      <w:pPr>
        <w:tabs>
          <w:tab w:pos="1385" w:val="left" w:leader="none"/>
        </w:tabs>
        <w:spacing w:line="270" w:lineRule="exact" w:before="0"/>
        <w:ind w:left="306" w:right="0" w:firstLine="0"/>
        <w:jc w:val="left"/>
        <w:rPr>
          <w:rFonts w:ascii="Arial" w:eastAsia="Arial"/>
          <w:sz w:val="8"/>
        </w:rPr>
      </w:pPr>
      <w:r>
        <w:rPr>
          <w:spacing w:val="22"/>
          <w:sz w:val="25"/>
        </w:rPr>
        <w:t>合</w:t>
      </w:r>
      <w:r>
        <w:rPr>
          <w:sz w:val="25"/>
        </w:rPr>
        <w:t>法</w:t>
      </w:r>
      <w:r>
        <w:rPr>
          <w:spacing w:val="-55"/>
          <w:sz w:val="25"/>
        </w:rPr>
        <w:t>性</w:t>
      </w:r>
      <w:r>
        <w:rPr>
          <w:rFonts w:ascii="Times New Roman" w:eastAsia="Times New Roman"/>
          <w:w w:val="80"/>
          <w:sz w:val="16"/>
        </w:rPr>
        <w:t>77</w:t>
        <w:tab/>
      </w:r>
      <w:r>
        <w:rPr>
          <w:rFonts w:ascii="Arial" w:eastAsia="Arial"/>
          <w:w w:val="80"/>
          <w:sz w:val="8"/>
        </w:rPr>
        <w:t>0</w:t>
      </w:r>
    </w:p>
    <w:p>
      <w:pPr>
        <w:tabs>
          <w:tab w:pos="6051" w:val="left" w:leader="none"/>
          <w:tab w:pos="7596" w:val="left" w:leader="none"/>
        </w:tabs>
        <w:spacing w:before="168"/>
        <w:ind w:left="863" w:right="0" w:firstLine="0"/>
        <w:jc w:val="left"/>
        <w:rPr>
          <w:rFonts w:ascii="Times New Roman" w:eastAsia="Times New Roman"/>
          <w:sz w:val="28"/>
        </w:rPr>
      </w:pPr>
      <w:r>
        <w:rPr>
          <w:w w:val="51"/>
          <w:sz w:val="25"/>
        </w:rPr>
        <w:t>按</w:t>
      </w:r>
      <w:r>
        <w:rPr>
          <w:spacing w:val="32"/>
          <w:sz w:val="25"/>
        </w:rPr>
        <w:t> </w:t>
      </w:r>
      <w:r>
        <w:rPr>
          <w:spacing w:val="19"/>
          <w:w w:val="106"/>
          <w:sz w:val="25"/>
        </w:rPr>
        <w:t>所</w:t>
      </w:r>
      <w:r>
        <w:rPr>
          <w:w w:val="101"/>
          <w:sz w:val="25"/>
        </w:rPr>
        <w:t>謂「</w:t>
      </w:r>
      <w:r>
        <w:rPr>
          <w:spacing w:val="-75"/>
          <w:sz w:val="25"/>
        </w:rPr>
        <w:t> </w:t>
      </w:r>
      <w:r>
        <w:rPr>
          <w:spacing w:val="45"/>
          <w:w w:val="105"/>
          <w:sz w:val="25"/>
        </w:rPr>
        <w:t>附</w:t>
      </w:r>
      <w:r>
        <w:rPr>
          <w:w w:val="88"/>
          <w:sz w:val="25"/>
        </w:rPr>
        <w:t>第三</w:t>
      </w:r>
      <w:r>
        <w:rPr>
          <w:spacing w:val="-20"/>
          <w:sz w:val="25"/>
        </w:rPr>
        <w:t> </w:t>
      </w:r>
      <w:r>
        <w:rPr>
          <w:w w:val="108"/>
          <w:sz w:val="25"/>
        </w:rPr>
        <w:t>人</w:t>
      </w:r>
      <w:r>
        <w:rPr>
          <w:spacing w:val="19"/>
          <w:w w:val="108"/>
          <w:sz w:val="25"/>
        </w:rPr>
        <w:t>效</w:t>
      </w:r>
      <w:r>
        <w:rPr>
          <w:spacing w:val="45"/>
          <w:w w:val="92"/>
          <w:sz w:val="25"/>
        </w:rPr>
        <w:t>力</w:t>
      </w:r>
      <w:r>
        <w:rPr>
          <w:w w:val="109"/>
          <w:sz w:val="25"/>
        </w:rPr>
        <w:t>之</w:t>
      </w:r>
      <w:r>
        <w:rPr>
          <w:spacing w:val="14"/>
          <w:w w:val="109"/>
          <w:sz w:val="25"/>
        </w:rPr>
        <w:t>行</w:t>
      </w:r>
      <w:r>
        <w:rPr>
          <w:spacing w:val="7"/>
          <w:w w:val="108"/>
          <w:sz w:val="25"/>
        </w:rPr>
        <w:t>政</w:t>
      </w:r>
      <w:r>
        <w:rPr>
          <w:spacing w:val="22"/>
          <w:w w:val="107"/>
          <w:sz w:val="25"/>
        </w:rPr>
        <w:t>處</w:t>
      </w:r>
      <w:r>
        <w:rPr>
          <w:spacing w:val="7"/>
          <w:w w:val="106"/>
          <w:sz w:val="25"/>
        </w:rPr>
        <w:t>分</w:t>
      </w:r>
      <w:r>
        <w:rPr>
          <w:spacing w:val="-4"/>
          <w:w w:val="106"/>
          <w:sz w:val="25"/>
        </w:rPr>
        <w:t>」</w:t>
      </w:r>
      <w:r>
        <w:rPr>
          <w:rFonts w:ascii="Times New Roman" w:eastAsia="Times New Roman"/>
          <w:w w:val="106"/>
          <w:sz w:val="28"/>
        </w:rPr>
        <w:t>(</w:t>
      </w:r>
      <w:r>
        <w:rPr>
          <w:rFonts w:ascii="Times New Roman" w:eastAsia="Times New Roman"/>
          <w:spacing w:val="-16"/>
          <w:sz w:val="28"/>
        </w:rPr>
        <w:t> </w:t>
      </w:r>
      <w:r>
        <w:rPr>
          <w:rFonts w:ascii="Times New Roman" w:eastAsia="Times New Roman"/>
          <w:spacing w:val="-1"/>
          <w:w w:val="67"/>
          <w:sz w:val="28"/>
        </w:rPr>
        <w:t>V</w:t>
      </w:r>
      <w:r>
        <w:rPr>
          <w:rFonts w:ascii="Times New Roman" w:eastAsia="Times New Roman"/>
          <w:w w:val="67"/>
          <w:sz w:val="28"/>
        </w:rPr>
        <w:t>e</w:t>
      </w:r>
      <w:r>
        <w:rPr>
          <w:rFonts w:ascii="Times New Roman" w:eastAsia="Times New Roman"/>
          <w:spacing w:val="-35"/>
          <w:sz w:val="28"/>
        </w:rPr>
        <w:t> </w:t>
      </w:r>
      <w:r>
        <w:rPr>
          <w:rFonts w:ascii="Times New Roman" w:eastAsia="Times New Roman"/>
          <w:spacing w:val="-181"/>
          <w:w w:val="106"/>
          <w:sz w:val="28"/>
        </w:rPr>
        <w:t>w</w:t>
      </w:r>
      <w:r>
        <w:rPr>
          <w:rFonts w:ascii="Times New Roman" w:eastAsia="Times New Roman"/>
          <w:w w:val="67"/>
          <w:sz w:val="28"/>
        </w:rPr>
        <w:t>r</w:t>
      </w:r>
      <w:r>
        <w:rPr>
          <w:rFonts w:ascii="Times New Roman" w:eastAsia="Times New Roman"/>
          <w:sz w:val="28"/>
        </w:rPr>
        <w:tab/>
      </w:r>
      <w:r>
        <w:rPr>
          <w:rFonts w:ascii="Times New Roman" w:eastAsia="Times New Roman"/>
          <w:w w:val="106"/>
          <w:sz w:val="28"/>
        </w:rPr>
        <w:t>a</w:t>
      </w:r>
      <w:r>
        <w:rPr>
          <w:rFonts w:ascii="Times New Roman" w:eastAsia="Times New Roman"/>
          <w:spacing w:val="-33"/>
          <w:sz w:val="28"/>
        </w:rPr>
        <w:t> </w:t>
      </w:r>
      <w:r>
        <w:rPr>
          <w:rFonts w:ascii="Times New Roman" w:eastAsia="Times New Roman"/>
          <w:w w:val="106"/>
          <w:sz w:val="28"/>
        </w:rPr>
        <w:t>l</w:t>
      </w:r>
      <w:r>
        <w:rPr>
          <w:rFonts w:ascii="Times New Roman" w:eastAsia="Times New Roman"/>
          <w:spacing w:val="-27"/>
          <w:sz w:val="28"/>
        </w:rPr>
        <w:t> </w:t>
      </w:r>
      <w:r>
        <w:rPr>
          <w:rFonts w:ascii="Times New Roman" w:eastAsia="Times New Roman"/>
          <w:w w:val="106"/>
          <w:sz w:val="28"/>
        </w:rPr>
        <w:t>t</w:t>
      </w:r>
      <w:r>
        <w:rPr>
          <w:rFonts w:ascii="Times New Roman" w:eastAsia="Times New Roman"/>
          <w:spacing w:val="-21"/>
          <w:sz w:val="28"/>
        </w:rPr>
        <w:t> </w:t>
      </w:r>
      <w:r>
        <w:rPr>
          <w:rFonts w:ascii="Times New Roman" w:eastAsia="Times New Roman"/>
          <w:w w:val="94"/>
          <w:sz w:val="28"/>
        </w:rPr>
        <w:t>ungs</w:t>
      </w:r>
      <w:r>
        <w:rPr>
          <w:rFonts w:ascii="Times New Roman" w:eastAsia="Times New Roman"/>
          <w:spacing w:val="-16"/>
          <w:sz w:val="28"/>
        </w:rPr>
        <w:t> </w:t>
      </w:r>
      <w:r>
        <w:rPr>
          <w:rFonts w:ascii="Times New Roman" w:eastAsia="Times New Roman"/>
          <w:spacing w:val="17"/>
          <w:w w:val="108"/>
          <w:sz w:val="28"/>
        </w:rPr>
        <w:t>a</w:t>
      </w:r>
      <w:r>
        <w:rPr>
          <w:rFonts w:ascii="Times New Roman" w:eastAsia="Times New Roman"/>
          <w:w w:val="91"/>
          <w:sz w:val="28"/>
        </w:rPr>
        <w:t>kt</w:t>
      </w:r>
      <w:r>
        <w:rPr>
          <w:rFonts w:ascii="Times New Roman" w:eastAsia="Times New Roman"/>
          <w:sz w:val="28"/>
        </w:rPr>
        <w:tab/>
      </w:r>
      <w:r>
        <w:rPr>
          <w:rFonts w:ascii="Times New Roman" w:eastAsia="Times New Roman"/>
          <w:spacing w:val="-1"/>
          <w:w w:val="108"/>
          <w:sz w:val="28"/>
        </w:rPr>
        <w:t>mit</w:t>
      </w:r>
    </w:p>
    <w:p>
      <w:pPr>
        <w:tabs>
          <w:tab w:pos="1169" w:val="left" w:leader="none"/>
        </w:tabs>
        <w:spacing w:before="106"/>
        <w:ind w:left="302" w:right="0" w:firstLine="0"/>
        <w:jc w:val="left"/>
        <w:rPr>
          <w:sz w:val="25"/>
        </w:rPr>
      </w:pPr>
      <w:r>
        <w:rPr>
          <w:rFonts w:ascii="Times New Roman" w:eastAsia="Times New Roman"/>
          <w:spacing w:val="-1"/>
          <w:w w:val="67"/>
          <w:sz w:val="28"/>
        </w:rPr>
        <w:t>D</w:t>
      </w:r>
      <w:r>
        <w:rPr>
          <w:rFonts w:ascii="Times New Roman" w:eastAsia="Times New Roman"/>
          <w:w w:val="67"/>
          <w:sz w:val="28"/>
        </w:rPr>
        <w:t>r</w:t>
      </w:r>
      <w:r>
        <w:rPr>
          <w:rFonts w:ascii="Times New Roman" w:eastAsia="Times New Roman"/>
          <w:spacing w:val="-18"/>
          <w:sz w:val="28"/>
        </w:rPr>
        <w:t>  </w:t>
      </w:r>
      <w:r>
        <w:rPr>
          <w:rFonts w:ascii="Times New Roman" w:eastAsia="Times New Roman"/>
          <w:w w:val="67"/>
          <w:sz w:val="28"/>
        </w:rPr>
        <w:t>i</w:t>
      </w:r>
      <w:r>
        <w:rPr>
          <w:rFonts w:ascii="Times New Roman" w:eastAsia="Times New Roman"/>
          <w:spacing w:val="8"/>
          <w:sz w:val="28"/>
        </w:rPr>
        <w:t> </w:t>
      </w:r>
      <w:r>
        <w:rPr>
          <w:rFonts w:ascii="Times New Roman" w:eastAsia="Times New Roman"/>
          <w:w w:val="67"/>
          <w:sz w:val="28"/>
        </w:rPr>
        <w:t>t</w:t>
      </w:r>
      <w:r>
        <w:rPr>
          <w:rFonts w:ascii="Times New Roman" w:eastAsia="Times New Roman"/>
          <w:spacing w:val="-17"/>
          <w:sz w:val="28"/>
        </w:rPr>
        <w:t> </w:t>
      </w:r>
      <w:r>
        <w:rPr>
          <w:rFonts w:ascii="Times New Roman" w:eastAsia="Times New Roman"/>
          <w:spacing w:val="-177"/>
          <w:w w:val="106"/>
          <w:sz w:val="28"/>
        </w:rPr>
        <w:t>w</w:t>
      </w:r>
      <w:r>
        <w:rPr>
          <w:rFonts w:ascii="Times New Roman" w:eastAsia="Times New Roman"/>
          <w:w w:val="67"/>
          <w:sz w:val="28"/>
        </w:rPr>
        <w:t>t</w:t>
      </w:r>
      <w:r>
        <w:rPr>
          <w:rFonts w:ascii="Times New Roman" w:eastAsia="Times New Roman"/>
          <w:sz w:val="28"/>
        </w:rPr>
        <w:tab/>
      </w:r>
      <w:r>
        <w:rPr>
          <w:rFonts w:ascii="Times New Roman" w:eastAsia="Times New Roman"/>
          <w:w w:val="106"/>
          <w:sz w:val="28"/>
        </w:rPr>
        <w:t>i</w:t>
      </w:r>
      <w:r>
        <w:rPr>
          <w:rFonts w:ascii="Times New Roman" w:eastAsia="Times New Roman"/>
          <w:spacing w:val="-22"/>
          <w:sz w:val="28"/>
        </w:rPr>
        <w:t> </w:t>
      </w:r>
      <w:r>
        <w:rPr>
          <w:rFonts w:ascii="Times New Roman" w:eastAsia="Times New Roman"/>
          <w:spacing w:val="35"/>
          <w:w w:val="106"/>
          <w:sz w:val="28"/>
        </w:rPr>
        <w:t>r</w:t>
      </w:r>
      <w:r>
        <w:rPr>
          <w:rFonts w:ascii="Times New Roman" w:eastAsia="Times New Roman"/>
          <w:w w:val="91"/>
          <w:sz w:val="28"/>
        </w:rPr>
        <w:t>ku</w:t>
      </w:r>
      <w:r>
        <w:rPr>
          <w:rFonts w:ascii="Times New Roman" w:eastAsia="Times New Roman"/>
          <w:spacing w:val="29"/>
          <w:w w:val="91"/>
          <w:sz w:val="28"/>
        </w:rPr>
        <w:t>n</w:t>
      </w:r>
      <w:r>
        <w:rPr>
          <w:rFonts w:ascii="Times New Roman" w:eastAsia="Times New Roman"/>
          <w:spacing w:val="33"/>
          <w:w w:val="108"/>
          <w:sz w:val="28"/>
        </w:rPr>
        <w:t>g</w:t>
      </w:r>
      <w:r>
        <w:rPr>
          <w:rFonts w:ascii="Times New Roman" w:eastAsia="Times New Roman"/>
          <w:w w:val="108"/>
          <w:sz w:val="28"/>
        </w:rPr>
        <w:t>)</w:t>
      </w:r>
      <w:r>
        <w:rPr>
          <w:rFonts w:ascii="Times New Roman" w:eastAsia="Times New Roman"/>
          <w:spacing w:val="12"/>
          <w:sz w:val="28"/>
        </w:rPr>
        <w:t> </w:t>
      </w:r>
      <w:r>
        <w:rPr>
          <w:w w:val="62"/>
          <w:sz w:val="25"/>
        </w:rPr>
        <w:t>，</w:t>
      </w:r>
      <w:r>
        <w:rPr>
          <w:spacing w:val="-85"/>
          <w:sz w:val="25"/>
        </w:rPr>
        <w:t> </w:t>
      </w:r>
      <w:r>
        <w:rPr>
          <w:w w:val="109"/>
          <w:sz w:val="25"/>
        </w:rPr>
        <w:t>係</w:t>
      </w:r>
      <w:r>
        <w:rPr>
          <w:spacing w:val="45"/>
          <w:w w:val="100"/>
          <w:sz w:val="25"/>
        </w:rPr>
        <w:t>指</w:t>
      </w:r>
      <w:r>
        <w:rPr>
          <w:spacing w:val="22"/>
          <w:w w:val="104"/>
          <w:sz w:val="25"/>
        </w:rPr>
        <w:t>對相對</w:t>
      </w:r>
      <w:r>
        <w:rPr>
          <w:spacing w:val="14"/>
          <w:w w:val="106"/>
          <w:sz w:val="25"/>
        </w:rPr>
        <w:t>人之投</w:t>
      </w:r>
      <w:r>
        <w:rPr>
          <w:spacing w:val="22"/>
          <w:w w:val="102"/>
          <w:sz w:val="25"/>
        </w:rPr>
        <w:t>益處</w:t>
      </w:r>
      <w:r>
        <w:rPr>
          <w:spacing w:val="20"/>
          <w:w w:val="104"/>
          <w:sz w:val="25"/>
        </w:rPr>
        <w:t>分</w:t>
      </w:r>
      <w:r>
        <w:rPr>
          <w:spacing w:val="40"/>
          <w:w w:val="97"/>
          <w:sz w:val="25"/>
        </w:rPr>
        <w:t>同</w:t>
      </w:r>
      <w:r>
        <w:rPr>
          <w:spacing w:val="12"/>
          <w:w w:val="108"/>
          <w:sz w:val="25"/>
        </w:rPr>
        <w:t>時產</w:t>
      </w:r>
      <w:r>
        <w:rPr>
          <w:w w:val="98"/>
          <w:sz w:val="25"/>
        </w:rPr>
        <w:t>生對</w:t>
      </w:r>
      <w:r>
        <w:rPr>
          <w:spacing w:val="-47"/>
          <w:sz w:val="25"/>
        </w:rPr>
        <w:t> </w:t>
      </w:r>
      <w:r>
        <w:rPr>
          <w:spacing w:val="39"/>
          <w:w w:val="88"/>
          <w:sz w:val="25"/>
        </w:rPr>
        <w:t>第</w:t>
      </w:r>
      <w:r>
        <w:rPr>
          <w:spacing w:val="30"/>
          <w:w w:val="104"/>
          <w:sz w:val="25"/>
        </w:rPr>
        <w:t>三</w:t>
      </w:r>
      <w:r>
        <w:rPr>
          <w:spacing w:val="26"/>
          <w:w w:val="106"/>
          <w:sz w:val="25"/>
        </w:rPr>
        <w:t>人</w:t>
      </w:r>
      <w:r>
        <w:rPr>
          <w:w w:val="81"/>
          <w:sz w:val="25"/>
        </w:rPr>
        <w:t>負</w:t>
      </w:r>
      <w:r>
        <w:rPr>
          <w:spacing w:val="-71"/>
          <w:sz w:val="25"/>
        </w:rPr>
        <w:t> </w:t>
      </w:r>
      <w:r>
        <w:rPr>
          <w:spacing w:val="24"/>
          <w:w w:val="103"/>
          <w:sz w:val="25"/>
        </w:rPr>
        <w:t>擔</w:t>
      </w:r>
      <w:r>
        <w:rPr>
          <w:spacing w:val="1"/>
          <w:w w:val="109"/>
          <w:sz w:val="25"/>
        </w:rPr>
        <w:t>之效</w:t>
      </w:r>
    </w:p>
    <w:p>
      <w:pPr>
        <w:pStyle w:val="BodyText"/>
        <w:spacing w:line="328" w:lineRule="auto" w:before="107"/>
        <w:ind w:left="308" w:right="511" w:firstLine="3"/>
        <w:rPr>
          <w:rFonts w:ascii="Arial" w:eastAsia="Arial"/>
          <w:sz w:val="8"/>
        </w:rPr>
      </w:pPr>
      <w:r>
        <w:rPr>
          <w:spacing w:val="-17"/>
        </w:rPr>
        <w:t>果 </w:t>
      </w:r>
      <w:r>
        <w:rPr>
          <w:spacing w:val="-19"/>
          <w:w w:val="80"/>
        </w:rPr>
        <w:t>， </w:t>
      </w:r>
      <w:r>
        <w:rPr/>
        <w:t>或者對相對人之負 擔處分同時產生對 第三 人投益之效果</w:t>
      </w:r>
      <w:r>
        <w:rPr>
          <w:rFonts w:ascii="Times New Roman" w:eastAsia="Times New Roman"/>
          <w:w w:val="80"/>
          <w:sz w:val="16"/>
        </w:rPr>
        <w:t>78</w:t>
      </w:r>
      <w:r>
        <w:rPr>
          <w:rFonts w:ascii="Times New Roman" w:eastAsia="Times New Roman"/>
          <w:spacing w:val="50"/>
          <w:sz w:val="16"/>
        </w:rPr>
        <w:t>  </w:t>
      </w:r>
      <w:r>
        <w:rPr>
          <w:spacing w:val="-2"/>
          <w:w w:val="80"/>
        </w:rPr>
        <w:t>。 </w:t>
      </w:r>
      <w:r>
        <w:rPr>
          <w:spacing w:val="11"/>
          <w:w w:val="85"/>
        </w:rPr>
        <w:t>詳言之 </w:t>
      </w:r>
      <w:r>
        <w:rPr>
          <w:w w:val="80"/>
        </w:rPr>
        <w:t>，</w:t>
      </w:r>
      <w:r>
        <w:rPr>
          <w:spacing w:val="1"/>
          <w:w w:val="80"/>
        </w:rPr>
        <w:t> </w:t>
      </w:r>
      <w:r>
        <w:rPr/>
        <w:t>人民依法向主管機關申請就特定具體事件為行政處分時，如該行政處分對    </w:t>
      </w:r>
      <w:r>
        <w:rPr>
          <w:spacing w:val="37"/>
        </w:rPr>
        <w:t> </w:t>
      </w:r>
      <w:r>
        <w:rPr/>
        <w:t>申請人有利，即同時對第三人發生不利之法律效果；對申請人不利，即同    </w:t>
      </w:r>
      <w:r>
        <w:rPr>
          <w:spacing w:val="37"/>
        </w:rPr>
        <w:t> </w:t>
      </w:r>
      <w:r>
        <w:rPr/>
        <w:t>時對第三人發生有利之法律效果者，則申請人與第三人就該公法上特定具    </w:t>
      </w:r>
      <w:r>
        <w:rPr>
          <w:spacing w:val="37"/>
        </w:rPr>
        <w:t> </w:t>
      </w:r>
      <w:r>
        <w:rPr/>
        <w:t>體事件所獲致之有利或不利法律效果，乃基於同一行政處分而發生，該行    </w:t>
      </w:r>
      <w:r>
        <w:rPr>
          <w:spacing w:val="37"/>
        </w:rPr>
        <w:t> </w:t>
      </w:r>
      <w:r>
        <w:rPr>
          <w:spacing w:val="12"/>
        </w:rPr>
        <w:t>政處分即屬具有第三人效力之行 政處分</w:t>
      </w:r>
      <w:r>
        <w:rPr>
          <w:rFonts w:ascii="Times New Roman" w:eastAsia="Times New Roman"/>
          <w:w w:val="80"/>
          <w:sz w:val="16"/>
        </w:rPr>
        <w:t>79</w:t>
      </w:r>
      <w:r>
        <w:rPr>
          <w:rFonts w:ascii="Times New Roman" w:eastAsia="Times New Roman"/>
          <w:spacing w:val="54"/>
          <w:sz w:val="16"/>
        </w:rPr>
        <w:t>  </w:t>
      </w:r>
      <w:r>
        <w:rPr>
          <w:rFonts w:ascii="Arial" w:eastAsia="Arial"/>
          <w:sz w:val="8"/>
        </w:rPr>
        <w:t>0</w:t>
      </w:r>
    </w:p>
    <w:p>
      <w:pPr>
        <w:pStyle w:val="BodyText"/>
        <w:spacing w:before="10"/>
        <w:ind w:left="874"/>
      </w:pPr>
      <w:r>
        <w:rPr>
          <w:spacing w:val="11"/>
        </w:rPr>
        <w:t>對於前述德國聯 邦行政法院之見解 </w:t>
      </w:r>
      <w:r>
        <w:rPr>
          <w:spacing w:val="-37"/>
          <w:w w:val="85"/>
        </w:rPr>
        <w:t>， </w:t>
      </w:r>
      <w:r>
        <w:rPr>
          <w:spacing w:val="18"/>
        </w:rPr>
        <w:t>德國學說上之通說</w:t>
      </w:r>
      <w:r>
        <w:rPr>
          <w:rFonts w:ascii="Arial" w:eastAsia="Arial"/>
          <w:w w:val="85"/>
          <w:sz w:val="15"/>
        </w:rPr>
        <w:t>80</w:t>
      </w:r>
      <w:r>
        <w:rPr>
          <w:rFonts w:ascii="Arial" w:eastAsia="Arial"/>
          <w:spacing w:val="21"/>
          <w:w w:val="85"/>
          <w:sz w:val="15"/>
        </w:rPr>
        <w:t> </w:t>
      </w:r>
      <w:r>
        <w:rPr>
          <w:spacing w:val="16"/>
        </w:rPr>
        <w:t>持反對意</w:t>
      </w:r>
    </w:p>
    <w:p>
      <w:pPr>
        <w:pStyle w:val="BodyText"/>
        <w:spacing w:line="328" w:lineRule="auto" w:before="132"/>
        <w:ind w:left="324" w:right="501" w:firstLine="5"/>
      </w:pPr>
      <w:r>
        <w:rPr>
          <w:w w:val="110"/>
        </w:rPr>
        <w:t>見。學說上認為：基於預算法等理由，系爭公職只能任命一人擔任。人事主管機關如任命某乙擔任該職務之公務員，其競爭者某甲擔任該職務公務</w:t>
      </w:r>
    </w:p>
    <w:p>
      <w:pPr>
        <w:pStyle w:val="BodyText"/>
        <w:spacing w:before="12"/>
        <w:rPr>
          <w:sz w:val="18"/>
        </w:rPr>
      </w:pPr>
      <w:r>
        <w:rPr/>
        <w:pict>
          <v:shape style="position:absolute;margin-left:95.174004pt;margin-top:14.51387pt;width:144.25pt;height:.1pt;mso-position-horizontal-relative:page;mso-position-vertical-relative:paragraph;z-index:-15624704;mso-wrap-distance-left:0;mso-wrap-distance-right:0" coordorigin="1903,290" coordsize="2885,0" path="m1903,290l4788,290e" filled="false" stroked="true" strokeweight=".720821pt" strokecolor="#000000">
            <v:path arrowok="t"/>
            <v:stroke dashstyle="solid"/>
            <w10:wrap type="topAndBottom"/>
          </v:shape>
        </w:pict>
      </w:r>
    </w:p>
    <w:p>
      <w:pPr>
        <w:pStyle w:val="BodyText"/>
        <w:spacing w:before="4"/>
        <w:rPr>
          <w:sz w:val="8"/>
        </w:rPr>
      </w:pPr>
    </w:p>
    <w:p>
      <w:pPr>
        <w:pStyle w:val="Heading6"/>
        <w:tabs>
          <w:tab w:pos="1975" w:val="left" w:leader="none"/>
          <w:tab w:pos="6679" w:val="left" w:leader="none"/>
        </w:tabs>
      </w:pPr>
      <w:r>
        <w:rPr>
          <w:position w:val="8"/>
          <w:sz w:val="13"/>
        </w:rPr>
        <w:t>77</w:t>
      </w:r>
      <w:r>
        <w:rPr>
          <w:spacing w:val="49"/>
          <w:position w:val="8"/>
          <w:sz w:val="13"/>
        </w:rPr>
        <w:t> </w:t>
      </w:r>
      <w:r>
        <w:rPr/>
        <w:t>Wittkowski,</w:t>
        <w:tab/>
        <w:t>Die</w:t>
      </w:r>
      <w:r>
        <w:rPr>
          <w:spacing w:val="40"/>
        </w:rPr>
        <w:t> </w:t>
      </w:r>
      <w:r>
        <w:rPr/>
        <w:t>Konkurrentenklage</w:t>
      </w:r>
      <w:r>
        <w:rPr>
          <w:spacing w:val="45"/>
        </w:rPr>
        <w:t> </w:t>
      </w:r>
      <w:r>
        <w:rPr/>
        <w:t>im</w:t>
      </w:r>
      <w:r>
        <w:rPr>
          <w:spacing w:val="38"/>
        </w:rPr>
        <w:t> </w:t>
      </w:r>
      <w:r>
        <w:rPr/>
        <w:t>Beamtenrecht,</w:t>
        <w:tab/>
      </w:r>
      <w:r>
        <w:rPr>
          <w:w w:val="95"/>
        </w:rPr>
        <w:t>NJW</w:t>
      </w:r>
      <w:r>
        <w:rPr>
          <w:spacing w:val="30"/>
          <w:w w:val="95"/>
        </w:rPr>
        <w:t> </w:t>
      </w:r>
      <w:r>
        <w:rPr>
          <w:w w:val="95"/>
        </w:rPr>
        <w:t>1993,</w:t>
      </w:r>
      <w:r>
        <w:rPr>
          <w:spacing w:val="16"/>
          <w:w w:val="95"/>
        </w:rPr>
        <w:t> </w:t>
      </w:r>
      <w:r>
        <w:rPr>
          <w:w w:val="95"/>
        </w:rPr>
        <w:t>817</w:t>
      </w:r>
      <w:r>
        <w:rPr>
          <w:spacing w:val="38"/>
          <w:w w:val="95"/>
        </w:rPr>
        <w:t> </w:t>
      </w:r>
      <w:r>
        <w:rPr>
          <w:w w:val="95"/>
        </w:rPr>
        <w:t>(818).</w:t>
      </w:r>
    </w:p>
    <w:p>
      <w:pPr>
        <w:spacing w:before="4"/>
        <w:ind w:left="298" w:right="0" w:firstLine="0"/>
        <w:jc w:val="left"/>
        <w:rPr>
          <w:sz w:val="21"/>
        </w:rPr>
      </w:pPr>
      <w:r>
        <w:rPr>
          <w:rFonts w:ascii="Times New Roman" w:eastAsia="Times New Roman"/>
          <w:w w:val="90"/>
          <w:position w:val="8"/>
          <w:sz w:val="13"/>
        </w:rPr>
        <w:t>78</w:t>
      </w:r>
      <w:r>
        <w:rPr>
          <w:rFonts w:ascii="Times New Roman" w:eastAsia="Times New Roman"/>
          <w:spacing w:val="3"/>
          <w:w w:val="90"/>
          <w:position w:val="8"/>
          <w:sz w:val="13"/>
        </w:rPr>
        <w:t> </w:t>
      </w:r>
      <w:r>
        <w:rPr>
          <w:spacing w:val="3"/>
          <w:w w:val="90"/>
          <w:sz w:val="21"/>
        </w:rPr>
        <w:t>吳庚 ，行 政 法之理論與實用 ， 頁</w:t>
      </w:r>
      <w:r>
        <w:rPr>
          <w:rFonts w:ascii="Times New Roman" w:eastAsia="Times New Roman"/>
          <w:w w:val="90"/>
          <w:sz w:val="26"/>
        </w:rPr>
        <w:t>356</w:t>
      </w:r>
      <w:r>
        <w:rPr>
          <w:rFonts w:ascii="Times New Roman" w:eastAsia="Times New Roman"/>
          <w:spacing w:val="2"/>
          <w:w w:val="90"/>
          <w:sz w:val="26"/>
        </w:rPr>
        <w:t> </w:t>
      </w:r>
      <w:r>
        <w:rPr>
          <w:spacing w:val="-14"/>
          <w:w w:val="90"/>
          <w:sz w:val="21"/>
        </w:rPr>
        <w:t>， 自版</w:t>
      </w:r>
      <w:r>
        <w:rPr>
          <w:spacing w:val="91"/>
          <w:sz w:val="21"/>
        </w:rPr>
        <w:t> </w:t>
      </w:r>
      <w:r>
        <w:rPr>
          <w:spacing w:val="-32"/>
          <w:w w:val="90"/>
          <w:sz w:val="21"/>
        </w:rPr>
        <w:t>， </w:t>
      </w:r>
      <w:r>
        <w:rPr>
          <w:rFonts w:ascii="Times New Roman" w:eastAsia="Times New Roman"/>
          <w:w w:val="90"/>
          <w:sz w:val="26"/>
        </w:rPr>
        <w:t>2007</w:t>
      </w:r>
      <w:r>
        <w:rPr>
          <w:rFonts w:ascii="Times New Roman" w:eastAsia="Times New Roman"/>
          <w:spacing w:val="3"/>
          <w:w w:val="90"/>
          <w:sz w:val="26"/>
        </w:rPr>
        <w:t> </w:t>
      </w:r>
      <w:r>
        <w:rPr>
          <w:w w:val="90"/>
          <w:sz w:val="21"/>
        </w:rPr>
        <w:t>年</w:t>
      </w:r>
      <w:r>
        <w:rPr>
          <w:rFonts w:ascii="Times New Roman" w:eastAsia="Times New Roman"/>
          <w:w w:val="90"/>
          <w:sz w:val="26"/>
        </w:rPr>
        <w:t>9</w:t>
      </w:r>
      <w:r>
        <w:rPr>
          <w:rFonts w:ascii="Times New Roman" w:eastAsia="Times New Roman"/>
          <w:spacing w:val="-34"/>
          <w:w w:val="90"/>
          <w:sz w:val="26"/>
        </w:rPr>
        <w:t> </w:t>
      </w:r>
      <w:r>
        <w:rPr>
          <w:spacing w:val="22"/>
          <w:w w:val="90"/>
          <w:sz w:val="21"/>
        </w:rPr>
        <w:t>月</w:t>
      </w:r>
      <w:r>
        <w:rPr>
          <w:rFonts w:ascii="Times New Roman" w:eastAsia="Times New Roman"/>
          <w:w w:val="90"/>
          <w:sz w:val="26"/>
        </w:rPr>
        <w:t>10</w:t>
      </w:r>
      <w:r>
        <w:rPr>
          <w:spacing w:val="6"/>
          <w:w w:val="90"/>
          <w:sz w:val="21"/>
        </w:rPr>
        <w:t>版 。</w:t>
      </w:r>
    </w:p>
    <w:p>
      <w:pPr>
        <w:spacing w:before="11"/>
        <w:ind w:left="298" w:right="0" w:firstLine="0"/>
        <w:jc w:val="left"/>
        <w:rPr>
          <w:sz w:val="21"/>
        </w:rPr>
      </w:pPr>
      <w:r>
        <w:rPr>
          <w:rFonts w:ascii="Times New Roman" w:eastAsia="Times New Roman"/>
          <w:position w:val="8"/>
          <w:sz w:val="13"/>
        </w:rPr>
        <w:t>79</w:t>
      </w:r>
      <w:r>
        <w:rPr>
          <w:rFonts w:ascii="Times New Roman" w:eastAsia="Times New Roman"/>
          <w:spacing w:val="2"/>
          <w:position w:val="8"/>
          <w:sz w:val="13"/>
        </w:rPr>
        <w:t> </w:t>
      </w:r>
      <w:r>
        <w:rPr>
          <w:spacing w:val="-4"/>
          <w:sz w:val="21"/>
        </w:rPr>
        <w:t>最高行 政 法浣於</w:t>
      </w:r>
      <w:r>
        <w:rPr>
          <w:rFonts w:ascii="Times New Roman" w:eastAsia="Times New Roman"/>
          <w:sz w:val="26"/>
        </w:rPr>
        <w:t>88</w:t>
      </w:r>
      <w:r>
        <w:rPr>
          <w:spacing w:val="24"/>
          <w:sz w:val="21"/>
        </w:rPr>
        <w:t>年度訴字第</w:t>
      </w:r>
      <w:r>
        <w:rPr>
          <w:rFonts w:ascii="Times New Roman" w:eastAsia="Times New Roman"/>
          <w:sz w:val="26"/>
        </w:rPr>
        <w:t>2917</w:t>
      </w:r>
      <w:r>
        <w:rPr>
          <w:rFonts w:ascii="Times New Roman" w:eastAsia="Times New Roman"/>
          <w:spacing w:val="-2"/>
          <w:sz w:val="26"/>
        </w:rPr>
        <w:t> </w:t>
      </w:r>
      <w:r>
        <w:rPr>
          <w:sz w:val="21"/>
        </w:rPr>
        <w:t>號裁定參照 。</w:t>
      </w:r>
    </w:p>
    <w:p>
      <w:pPr>
        <w:spacing w:line="252" w:lineRule="auto" w:before="38"/>
        <w:ind w:left="505" w:right="532" w:hanging="207"/>
        <w:jc w:val="both"/>
        <w:rPr>
          <w:rFonts w:ascii="Times New Roman" w:eastAsia="Times New Roman"/>
          <w:sz w:val="26"/>
        </w:rPr>
      </w:pPr>
      <w:r>
        <w:rPr>
          <w:rFonts w:ascii="Times New Roman" w:eastAsia="Times New Roman"/>
          <w:sz w:val="21"/>
          <w:vertAlign w:val="superscript"/>
        </w:rPr>
        <w:t>80</w:t>
      </w:r>
      <w:r>
        <w:rPr>
          <w:rFonts w:ascii="Times New Roman" w:eastAsia="Times New Roman"/>
          <w:sz w:val="21"/>
          <w:vertAlign w:val="baseline"/>
        </w:rPr>
        <w:t>                   </w:t>
      </w:r>
      <w:r>
        <w:rPr>
          <w:sz w:val="21"/>
          <w:vertAlign w:val="baseline"/>
        </w:rPr>
        <w:t>通說以為：人事主管機關任命其他競爭者（某乙）為公務員之行政處分，為附第三</w:t>
      </w:r>
      <w:r>
        <w:rPr>
          <w:w w:val="95"/>
          <w:sz w:val="21"/>
          <w:vertAlign w:val="baseline"/>
        </w:rPr>
        <w:t>人效力 ，即 附侵害未獲 任命之競爭者某 甲權 利效力之行 政處分； </w:t>
      </w:r>
      <w:r>
        <w:rPr>
          <w:rFonts w:ascii="Times New Roman" w:eastAsia="Times New Roman"/>
          <w:w w:val="95"/>
          <w:sz w:val="26"/>
          <w:vertAlign w:val="baseline"/>
        </w:rPr>
        <w:t>vg l. von</w:t>
      </w:r>
      <w:r>
        <w:rPr>
          <w:rFonts w:ascii="Times New Roman" w:eastAsia="Times New Roman"/>
          <w:spacing w:val="1"/>
          <w:w w:val="95"/>
          <w:sz w:val="26"/>
          <w:vertAlign w:val="baseline"/>
        </w:rPr>
        <w:t> </w:t>
      </w:r>
      <w:r>
        <w:rPr>
          <w:rFonts w:ascii="Times New Roman" w:eastAsia="Times New Roman"/>
          <w:w w:val="95"/>
          <w:sz w:val="26"/>
          <w:vertAlign w:val="baseline"/>
        </w:rPr>
        <w:t>Mutius,</w:t>
      </w:r>
      <w:r>
        <w:rPr>
          <w:rFonts w:ascii="Times New Roman" w:eastAsia="Times New Roman"/>
          <w:spacing w:val="1"/>
          <w:w w:val="95"/>
          <w:sz w:val="26"/>
          <w:vertAlign w:val="baseline"/>
        </w:rPr>
        <w:t> </w:t>
      </w:r>
      <w:r>
        <w:rPr>
          <w:rFonts w:ascii="Times New Roman" w:eastAsia="Times New Roman"/>
          <w:sz w:val="26"/>
          <w:vertAlign w:val="baseline"/>
        </w:rPr>
        <w:t>Konkur rentenklage im Beamtenrecht, VerwArch 69 (1978), 103 (105); Schenke,</w:t>
      </w:r>
      <w:r>
        <w:rPr>
          <w:rFonts w:ascii="Times New Roman" w:eastAsia="Times New Roman"/>
          <w:spacing w:val="1"/>
          <w:sz w:val="26"/>
          <w:vertAlign w:val="baseline"/>
        </w:rPr>
        <w:t> </w:t>
      </w:r>
      <w:r>
        <w:rPr>
          <w:rFonts w:ascii="Times New Roman" w:eastAsia="Times New Roman"/>
          <w:sz w:val="26"/>
          <w:vertAlign w:val="baseline"/>
        </w:rPr>
        <w:t>in: FS</w:t>
      </w:r>
      <w:r>
        <w:rPr>
          <w:rFonts w:ascii="Times New Roman" w:eastAsia="Times New Roman"/>
          <w:spacing w:val="1"/>
          <w:sz w:val="26"/>
          <w:vertAlign w:val="baseline"/>
        </w:rPr>
        <w:t> </w:t>
      </w:r>
      <w:r>
        <w:rPr>
          <w:rFonts w:ascii="Times New Roman" w:eastAsia="Times New Roman"/>
          <w:sz w:val="26"/>
          <w:vertAlign w:val="baseline"/>
        </w:rPr>
        <w:t>Muhl, 1981,</w:t>
      </w:r>
      <w:r>
        <w:rPr>
          <w:rFonts w:ascii="Times New Roman" w:eastAsia="Times New Roman"/>
          <w:spacing w:val="1"/>
          <w:sz w:val="26"/>
          <w:vertAlign w:val="baseline"/>
        </w:rPr>
        <w:t> </w:t>
      </w:r>
      <w:r>
        <w:rPr>
          <w:rFonts w:ascii="Times New Roman" w:eastAsia="Times New Roman"/>
          <w:sz w:val="26"/>
          <w:vertAlign w:val="baseline"/>
        </w:rPr>
        <w:t>S. 580;</w:t>
      </w:r>
      <w:r>
        <w:rPr>
          <w:rFonts w:ascii="Times New Roman" w:eastAsia="Times New Roman"/>
          <w:spacing w:val="1"/>
          <w:sz w:val="26"/>
          <w:vertAlign w:val="baseline"/>
        </w:rPr>
        <w:t> </w:t>
      </w:r>
      <w:r>
        <w:rPr>
          <w:rFonts w:ascii="Times New Roman" w:eastAsia="Times New Roman"/>
          <w:sz w:val="26"/>
          <w:vertAlign w:val="baseline"/>
        </w:rPr>
        <w:t>vgl.</w:t>
      </w:r>
      <w:r>
        <w:rPr>
          <w:rFonts w:ascii="Times New Roman" w:eastAsia="Times New Roman"/>
          <w:spacing w:val="1"/>
          <w:sz w:val="26"/>
          <w:vertAlign w:val="baseline"/>
        </w:rPr>
        <w:t> </w:t>
      </w:r>
      <w:r>
        <w:rPr>
          <w:rFonts w:ascii="Times New Roman" w:eastAsia="Times New Roman"/>
          <w:sz w:val="26"/>
          <w:vertAlign w:val="baseline"/>
        </w:rPr>
        <w:t>Schoch, Vorlaufiger</w:t>
      </w:r>
      <w:r>
        <w:rPr>
          <w:rFonts w:ascii="Times New Roman" w:eastAsia="Times New Roman"/>
          <w:spacing w:val="1"/>
          <w:sz w:val="26"/>
          <w:vertAlign w:val="baseline"/>
        </w:rPr>
        <w:t> </w:t>
      </w:r>
      <w:r>
        <w:rPr>
          <w:rFonts w:ascii="Times New Roman" w:eastAsia="Times New Roman"/>
          <w:sz w:val="26"/>
          <w:vertAlign w:val="baseline"/>
        </w:rPr>
        <w:t>Rechtsschutz</w:t>
      </w:r>
      <w:r>
        <w:rPr>
          <w:rFonts w:ascii="Times New Roman" w:eastAsia="Times New Roman"/>
          <w:spacing w:val="1"/>
          <w:sz w:val="26"/>
          <w:vertAlign w:val="baseline"/>
        </w:rPr>
        <w:t> </w:t>
      </w:r>
      <w:r>
        <w:rPr>
          <w:rFonts w:ascii="Times New Roman" w:eastAsia="Times New Roman"/>
          <w:sz w:val="26"/>
          <w:vertAlign w:val="baseline"/>
        </w:rPr>
        <w:t>und</w:t>
      </w:r>
      <w:r>
        <w:rPr>
          <w:rFonts w:ascii="Times New Roman" w:eastAsia="Times New Roman"/>
          <w:spacing w:val="1"/>
          <w:sz w:val="26"/>
          <w:vertAlign w:val="baseline"/>
        </w:rPr>
        <w:t> </w:t>
      </w:r>
      <w:r>
        <w:rPr>
          <w:rFonts w:ascii="Times New Roman" w:eastAsia="Times New Roman"/>
          <w:sz w:val="26"/>
          <w:vertAlign w:val="baseline"/>
        </w:rPr>
        <w:t>Risikoverteilung</w:t>
      </w:r>
      <w:r>
        <w:rPr>
          <w:rFonts w:ascii="Times New Roman" w:eastAsia="Times New Roman"/>
          <w:spacing w:val="61"/>
          <w:sz w:val="26"/>
          <w:vertAlign w:val="baseline"/>
        </w:rPr>
        <w:t> </w:t>
      </w:r>
      <w:r>
        <w:rPr>
          <w:rFonts w:ascii="Times New Roman" w:eastAsia="Times New Roman"/>
          <w:sz w:val="26"/>
          <w:vertAlign w:val="baseline"/>
        </w:rPr>
        <w:t>im</w:t>
      </w:r>
      <w:r>
        <w:rPr>
          <w:rFonts w:ascii="Times New Roman" w:eastAsia="Times New Roman"/>
          <w:spacing w:val="49"/>
          <w:sz w:val="26"/>
          <w:vertAlign w:val="baseline"/>
        </w:rPr>
        <w:t> </w:t>
      </w:r>
      <w:r>
        <w:rPr>
          <w:rFonts w:ascii="Times New Roman" w:eastAsia="Times New Roman"/>
          <w:sz w:val="26"/>
          <w:vertAlign w:val="baseline"/>
        </w:rPr>
        <w:t>Verwaltungsrecht</w:t>
      </w:r>
      <w:r>
        <w:rPr>
          <w:rFonts w:ascii="Times New Roman" w:eastAsia="Times New Roman"/>
          <w:spacing w:val="8"/>
          <w:sz w:val="26"/>
          <w:vertAlign w:val="baseline"/>
        </w:rPr>
        <w:t>, </w:t>
      </w:r>
      <w:r>
        <w:rPr>
          <w:rFonts w:ascii="Times New Roman" w:eastAsia="Times New Roman"/>
          <w:sz w:val="26"/>
          <w:vertAlign w:val="baseline"/>
        </w:rPr>
        <w:t>1988,</w:t>
      </w:r>
      <w:r>
        <w:rPr>
          <w:rFonts w:ascii="Times New Roman" w:eastAsia="Times New Roman"/>
          <w:spacing w:val="33"/>
          <w:sz w:val="26"/>
          <w:vertAlign w:val="baseline"/>
        </w:rPr>
        <w:t> </w:t>
      </w:r>
      <w:r>
        <w:rPr>
          <w:rFonts w:ascii="Times New Roman" w:eastAsia="Times New Roman"/>
          <w:sz w:val="26"/>
          <w:vertAlign w:val="baseline"/>
        </w:rPr>
        <w:t>S</w:t>
      </w:r>
      <w:r>
        <w:rPr>
          <w:rFonts w:ascii="Times New Roman" w:eastAsia="Times New Roman"/>
          <w:spacing w:val="17"/>
          <w:sz w:val="26"/>
          <w:vertAlign w:val="baseline"/>
        </w:rPr>
        <w:t>. </w:t>
      </w:r>
      <w:r>
        <w:rPr>
          <w:rFonts w:ascii="Times New Roman" w:eastAsia="Times New Roman"/>
          <w:sz w:val="26"/>
          <w:vertAlign w:val="baseline"/>
        </w:rPr>
        <w:t>692</w:t>
      </w:r>
      <w:r>
        <w:rPr>
          <w:rFonts w:ascii="Times New Roman" w:eastAsia="Times New Roman"/>
          <w:spacing w:val="50"/>
          <w:sz w:val="26"/>
          <w:vertAlign w:val="baseline"/>
        </w:rPr>
        <w:t> </w:t>
      </w:r>
      <w:r>
        <w:rPr>
          <w:rFonts w:ascii="Times New Roman" w:eastAsia="Times New Roman"/>
          <w:sz w:val="26"/>
          <w:vertAlign w:val="baseline"/>
        </w:rPr>
        <w:t>Fn</w:t>
      </w:r>
      <w:r>
        <w:rPr>
          <w:rFonts w:ascii="Times New Roman" w:eastAsia="Times New Roman"/>
          <w:spacing w:val="19"/>
          <w:sz w:val="26"/>
          <w:vertAlign w:val="baseline"/>
        </w:rPr>
        <w:t>. </w:t>
      </w:r>
      <w:r>
        <w:rPr>
          <w:rFonts w:ascii="Times New Roman" w:eastAsia="Times New Roman"/>
          <w:sz w:val="26"/>
          <w:vertAlign w:val="baseline"/>
        </w:rPr>
        <w:t>92</w:t>
      </w:r>
      <w:r>
        <w:rPr>
          <w:rFonts w:ascii="Times New Roman" w:eastAsia="Times New Roman"/>
          <w:spacing w:val="47"/>
          <w:sz w:val="26"/>
          <w:vertAlign w:val="baseline"/>
        </w:rPr>
        <w:t> </w:t>
      </w:r>
      <w:r>
        <w:rPr>
          <w:rFonts w:ascii="Times New Roman" w:eastAsia="Times New Roman"/>
          <w:sz w:val="26"/>
          <w:vertAlign w:val="baseline"/>
        </w:rPr>
        <w:t>m</w:t>
      </w:r>
      <w:r>
        <w:rPr>
          <w:rFonts w:ascii="Times New Roman" w:eastAsia="Times New Roman"/>
          <w:spacing w:val="17"/>
          <w:sz w:val="26"/>
          <w:vertAlign w:val="baseline"/>
        </w:rPr>
        <w:t>. </w:t>
      </w:r>
      <w:r>
        <w:rPr>
          <w:rFonts w:ascii="Times New Roman" w:eastAsia="Times New Roman"/>
          <w:sz w:val="26"/>
          <w:vertAlign w:val="baseline"/>
        </w:rPr>
        <w:t>w</w:t>
      </w:r>
      <w:r>
        <w:rPr>
          <w:rFonts w:ascii="Times New Roman" w:eastAsia="Times New Roman"/>
          <w:spacing w:val="22"/>
          <w:sz w:val="26"/>
          <w:vertAlign w:val="baseline"/>
        </w:rPr>
        <w:t>. </w:t>
      </w:r>
      <w:r>
        <w:rPr>
          <w:rFonts w:ascii="Times New Roman" w:eastAsia="Times New Roman"/>
          <w:sz w:val="26"/>
          <w:vertAlign w:val="baseline"/>
        </w:rPr>
        <w:t>N.</w:t>
      </w:r>
    </w:p>
    <w:p>
      <w:pPr>
        <w:spacing w:after="0" w:line="252" w:lineRule="auto"/>
        <w:jc w:val="both"/>
        <w:rPr>
          <w:rFonts w:ascii="Times New Roman" w:eastAsia="Times New Roman"/>
          <w:sz w:val="26"/>
        </w:rPr>
        <w:sectPr>
          <w:pgSz w:w="11910" w:h="16840"/>
          <w:pgMar w:header="862" w:footer="1017" w:top="1060" w:bottom="1200" w:left="1120" w:right="1060"/>
        </w:sectPr>
      </w:pPr>
    </w:p>
    <w:p>
      <w:pPr>
        <w:pStyle w:val="BodyText"/>
        <w:rPr>
          <w:rFonts w:ascii="Times New Roman"/>
          <w:sz w:val="20"/>
        </w:rPr>
      </w:pPr>
    </w:p>
    <w:p>
      <w:pPr>
        <w:pStyle w:val="BodyText"/>
        <w:spacing w:line="331" w:lineRule="auto" w:before="201"/>
        <w:ind w:left="298" w:right="515" w:firstLine="32"/>
      </w:pPr>
      <w:r>
        <w:rPr>
          <w:spacing w:val="6"/>
          <w:w w:val="90"/>
        </w:rPr>
        <w:t>員之 </w:t>
      </w:r>
      <w:r>
        <w:rPr>
          <w:spacing w:val="21"/>
          <w:w w:val="95"/>
        </w:rPr>
        <w:t>希望即告落空</w:t>
      </w:r>
      <w:r>
        <w:rPr>
          <w:rFonts w:ascii="Times New Roman" w:eastAsia="Times New Roman"/>
          <w:w w:val="90"/>
          <w:sz w:val="15"/>
        </w:rPr>
        <w:t>8</w:t>
      </w:r>
      <w:r>
        <w:rPr>
          <w:rFonts w:ascii="Times New Roman" w:eastAsia="Times New Roman"/>
          <w:spacing w:val="3"/>
          <w:w w:val="90"/>
          <w:sz w:val="15"/>
        </w:rPr>
        <w:t> </w:t>
      </w:r>
      <w:r>
        <w:rPr>
          <w:rFonts w:ascii="Times New Roman" w:eastAsia="Times New Roman"/>
          <w:w w:val="75"/>
          <w:sz w:val="15"/>
        </w:rPr>
        <w:t>1</w:t>
      </w:r>
      <w:r>
        <w:rPr>
          <w:rFonts w:ascii="Times New Roman" w:eastAsia="Times New Roman"/>
          <w:spacing w:val="5"/>
          <w:w w:val="75"/>
          <w:sz w:val="15"/>
        </w:rPr>
        <w:t> </w:t>
      </w:r>
      <w:r>
        <w:rPr>
          <w:spacing w:val="16"/>
          <w:w w:val="75"/>
        </w:rPr>
        <w:t>。 </w:t>
      </w:r>
      <w:r>
        <w:rPr>
          <w:spacing w:val="2"/>
          <w:w w:val="95"/>
        </w:rPr>
        <w:t>就形式上 而言 </w:t>
      </w:r>
      <w:r>
        <w:rPr>
          <w:spacing w:val="-28"/>
          <w:w w:val="90"/>
        </w:rPr>
        <w:t>， </w:t>
      </w:r>
      <w:r>
        <w:rPr>
          <w:spacing w:val="12"/>
          <w:w w:val="95"/>
        </w:rPr>
        <w:t>人事主管機 關任命</w:t>
      </w:r>
      <w:r>
        <w:rPr>
          <w:spacing w:val="10"/>
          <w:w w:val="90"/>
        </w:rPr>
        <w:t>某乙 </w:t>
      </w:r>
      <w:r>
        <w:rPr>
          <w:spacing w:val="20"/>
          <w:w w:val="95"/>
        </w:rPr>
        <w:t>為公務</w:t>
      </w:r>
      <w:r>
        <w:rPr>
          <w:spacing w:val="-28"/>
          <w:w w:val="90"/>
        </w:rPr>
        <w:t>員 </w:t>
      </w:r>
      <w:r>
        <w:rPr>
          <w:w w:val="95"/>
        </w:rPr>
        <w:t>之</w:t>
      </w:r>
      <w:r>
        <w:rPr/>
        <w:t>行政處分，與該機關告知某甲未獲任命之通知書，固然是二個獨立之行政    </w:t>
      </w:r>
      <w:r>
        <w:rPr>
          <w:spacing w:val="43"/>
        </w:rPr>
        <w:t> </w:t>
      </w:r>
      <w:r>
        <w:rPr/>
        <w:t>處分；然而事實上，噹人事主管機關作成任命某乙為公務員之行政處分      </w:t>
      </w:r>
      <w:r>
        <w:rPr>
          <w:spacing w:val="43"/>
        </w:rPr>
        <w:t> </w:t>
      </w:r>
      <w:r>
        <w:rPr/>
        <w:t>時，即排除某甲擔任是項公職之機會。此一結果，與經濟法上典型之消極    </w:t>
      </w:r>
      <w:r>
        <w:rPr>
          <w:spacing w:val="43"/>
        </w:rPr>
        <w:t> </w:t>
      </w:r>
      <w:r>
        <w:rPr/>
        <w:t>競爭者訴訟之案例，如：數競爭者申請一項營業許可或津貼補助之情形相    </w:t>
      </w:r>
      <w:r>
        <w:rPr>
          <w:spacing w:val="43"/>
        </w:rPr>
        <w:t> </w:t>
      </w:r>
      <w:r>
        <w:rPr/>
        <w:t>同。因此，應將人事主管機關作成任命某乙為公務員之行政處分，認定為    </w:t>
      </w:r>
      <w:r>
        <w:rPr>
          <w:spacing w:val="43"/>
        </w:rPr>
        <w:t> </w:t>
      </w:r>
      <w:r>
        <w:rPr/>
        <w:t>同時兼具授益某乙，及侵害某甲權利之附第三人效力之行政處分。</w:t>
      </w:r>
    </w:p>
    <w:p>
      <w:pPr>
        <w:pStyle w:val="BodyText"/>
        <w:spacing w:line="328" w:lineRule="auto"/>
        <w:ind w:left="306" w:right="496" w:firstLine="559"/>
        <w:rPr>
          <w:rFonts w:ascii="Arial" w:eastAsia="Arial"/>
          <w:sz w:val="8"/>
        </w:rPr>
      </w:pPr>
      <w:r>
        <w:rPr>
          <w:w w:val="110"/>
        </w:rPr>
        <w:t>在我國實務上，晚近，為加強對於人民權利保護之功能，使權益受損而非處分相對人之第三人亦能提超行政爭訟，對於附第三人效力行政處分之認定亦有從寬之趨勢。實務上認為，建築管理事件中主管機關核發給超造人之建築製造或使用執照、商標專利事件中主管機關對於申請人商標之審定或商標專用權之核給、環保事件中主管機關對於開發單位所為免為環境影響評估之處分或對事業單位所核發之營運許可，對於特定之鄰人、競爭同業等均有侵益之效果，故為附第三人效力行政處分而准許特定第三人</w:t>
      </w:r>
      <w:r>
        <w:rPr>
          <w:spacing w:val="9"/>
          <w:w w:val="95"/>
        </w:rPr>
        <w:t>對之提超行政爭訟</w:t>
      </w:r>
      <w:r>
        <w:rPr>
          <w:rFonts w:ascii="Arial" w:eastAsia="Arial"/>
          <w:w w:val="85"/>
          <w:sz w:val="15"/>
        </w:rPr>
        <w:t>82</w:t>
      </w:r>
      <w:r>
        <w:rPr>
          <w:rFonts w:ascii="Arial" w:eastAsia="Arial"/>
          <w:spacing w:val="42"/>
          <w:sz w:val="15"/>
        </w:rPr>
        <w:t>  </w:t>
      </w:r>
      <w:r>
        <w:rPr>
          <w:spacing w:val="17"/>
          <w:w w:val="85"/>
        </w:rPr>
        <w:t>。 </w:t>
      </w:r>
      <w:r>
        <w:rPr>
          <w:spacing w:val="12"/>
          <w:w w:val="95"/>
        </w:rPr>
        <w:t>此外 </w:t>
      </w:r>
      <w:r>
        <w:rPr>
          <w:spacing w:val="-20"/>
          <w:w w:val="85"/>
        </w:rPr>
        <w:t>， </w:t>
      </w:r>
      <w:r>
        <w:rPr>
          <w:spacing w:val="14"/>
          <w:w w:val="95"/>
        </w:rPr>
        <w:t>有關汽車客運業行 駛路線之核准 </w:t>
      </w:r>
      <w:r>
        <w:rPr>
          <w:spacing w:val="-23"/>
          <w:w w:val="85"/>
        </w:rPr>
        <w:t>， </w:t>
      </w:r>
      <w:r>
        <w:rPr>
          <w:spacing w:val="10"/>
          <w:w w:val="95"/>
        </w:rPr>
        <w:t>實務上見</w:t>
      </w:r>
      <w:r>
        <w:rPr>
          <w:w w:val="110"/>
        </w:rPr>
        <w:t>解亦認為該處分損及特定競爭者之権益而為附第三人效力行政處分，准許</w:t>
      </w:r>
      <w:r>
        <w:rPr>
          <w:spacing w:val="9"/>
        </w:rPr>
        <w:t>其提超行政爭訟</w:t>
      </w:r>
      <w:r>
        <w:rPr>
          <w:rFonts w:ascii="Times New Roman" w:eastAsia="Times New Roman"/>
          <w:w w:val="85"/>
          <w:sz w:val="15"/>
        </w:rPr>
        <w:t>83</w:t>
      </w:r>
      <w:r>
        <w:rPr>
          <w:rFonts w:ascii="Times New Roman" w:eastAsia="Times New Roman"/>
          <w:spacing w:val="72"/>
          <w:sz w:val="15"/>
        </w:rPr>
        <w:t>  </w:t>
      </w:r>
      <w:r>
        <w:rPr>
          <w:rFonts w:ascii="Arial" w:eastAsia="Arial"/>
          <w:w w:val="110"/>
          <w:sz w:val="8"/>
        </w:rPr>
        <w:t>0</w:t>
      </w:r>
    </w:p>
    <w:p>
      <w:pPr>
        <w:pStyle w:val="BodyText"/>
        <w:spacing w:line="331" w:lineRule="auto" w:before="10"/>
        <w:ind w:left="298" w:right="453" w:firstLine="572"/>
        <w:jc w:val="both"/>
      </w:pPr>
      <w:r>
        <w:rPr>
          <w:w w:val="110"/>
        </w:rPr>
        <w:t>公務員法上競爭者事件中，對他人之投益處分是否為附第三人效力之行政處分而侵害當事人之權益之問題，誠如德國學說上見解所言，在單－</w:t>
      </w:r>
      <w:r>
        <w:rPr>
          <w:spacing w:val="1"/>
          <w:w w:val="110"/>
        </w:rPr>
        <w:t> </w:t>
      </w:r>
      <w:r>
        <w:rPr>
          <w:w w:val="110"/>
        </w:rPr>
        <w:t>職務之競爭者爭訟中，基於預算法等理由，系爭公職只能陞任一人。人事主管機關如任命某乙擔任該職務之公務員，其競爭者某甲擔任該職務公務員之希望即告落空。是以該陞任、陞遷、留任等授益他人之處分，實具有否准其陞任、陞遷、留任等請求之法律上效果，應認為該處分為附第三人效力之行政處分，侵害其権益而准許其提超行政爭訟。</w:t>
      </w:r>
    </w:p>
    <w:p>
      <w:pPr>
        <w:pStyle w:val="BodyText"/>
        <w:rPr>
          <w:sz w:val="20"/>
        </w:rPr>
      </w:pPr>
    </w:p>
    <w:p>
      <w:pPr>
        <w:pStyle w:val="BodyText"/>
        <w:rPr>
          <w:sz w:val="20"/>
        </w:rPr>
      </w:pPr>
    </w:p>
    <w:p>
      <w:pPr>
        <w:pStyle w:val="BodyText"/>
        <w:spacing w:before="5"/>
        <w:rPr>
          <w:sz w:val="15"/>
        </w:rPr>
      </w:pPr>
    </w:p>
    <w:p>
      <w:pPr>
        <w:pStyle w:val="BodyText"/>
        <w:spacing w:before="90"/>
        <w:ind w:left="298"/>
        <w:rPr>
          <w:rFonts w:ascii="Times New Roman"/>
        </w:rPr>
      </w:pPr>
      <w:r>
        <w:rPr>
          <w:rFonts w:ascii="Times New Roman"/>
          <w:position w:val="8"/>
          <w:sz w:val="13"/>
        </w:rPr>
        <w:t>81</w:t>
      </w:r>
      <w:r>
        <w:rPr>
          <w:rFonts w:ascii="Times New Roman"/>
          <w:spacing w:val="52"/>
          <w:position w:val="8"/>
          <w:sz w:val="13"/>
        </w:rPr>
        <w:t> </w:t>
      </w:r>
      <w:r>
        <w:rPr>
          <w:rFonts w:ascii="Times New Roman"/>
        </w:rPr>
        <w:t>Schoch,</w:t>
      </w:r>
      <w:r>
        <w:rPr>
          <w:rFonts w:ascii="Times New Roman"/>
          <w:spacing w:val="75"/>
        </w:rPr>
        <w:t> </w:t>
      </w:r>
      <w:r>
        <w:rPr>
          <w:rFonts w:ascii="Times New Roman"/>
        </w:rPr>
        <w:t>Vorlauf</w:t>
      </w:r>
      <w:r>
        <w:rPr>
          <w:rFonts w:ascii="Times New Roman"/>
          <w:spacing w:val="28"/>
        </w:rPr>
        <w:t> </w:t>
      </w:r>
      <w:r>
        <w:rPr>
          <w:rFonts w:ascii="Times New Roman"/>
        </w:rPr>
        <w:t>iger</w:t>
      </w:r>
      <w:r>
        <w:rPr>
          <w:rFonts w:ascii="Times New Roman"/>
          <w:spacing w:val="54"/>
        </w:rPr>
        <w:t> </w:t>
      </w:r>
      <w:r>
        <w:rPr>
          <w:rFonts w:ascii="Times New Roman"/>
        </w:rPr>
        <w:t>Rechtsschutz</w:t>
      </w:r>
      <w:r>
        <w:rPr>
          <w:rFonts w:ascii="Times New Roman"/>
          <w:spacing w:val="83"/>
        </w:rPr>
        <w:t> </w:t>
      </w:r>
      <w:r>
        <w:rPr>
          <w:rFonts w:ascii="Times New Roman"/>
        </w:rPr>
        <w:t>und</w:t>
      </w:r>
      <w:r>
        <w:rPr>
          <w:rFonts w:ascii="Times New Roman"/>
          <w:spacing w:val="53"/>
        </w:rPr>
        <w:t> </w:t>
      </w:r>
      <w:r>
        <w:rPr>
          <w:rFonts w:ascii="Times New Roman"/>
        </w:rPr>
        <w:t>Risikovertei</w:t>
      </w:r>
      <w:r>
        <w:rPr>
          <w:rFonts w:ascii="Times New Roman"/>
          <w:spacing w:val="25"/>
        </w:rPr>
        <w:t> </w:t>
      </w:r>
      <w:r>
        <w:rPr>
          <w:rFonts w:ascii="Times New Roman"/>
        </w:rPr>
        <w:t>lung</w:t>
      </w:r>
      <w:r>
        <w:rPr>
          <w:rFonts w:ascii="Times New Roman"/>
          <w:spacing w:val="66"/>
        </w:rPr>
        <w:t> </w:t>
      </w:r>
      <w:r>
        <w:rPr>
          <w:rFonts w:ascii="Times New Roman"/>
        </w:rPr>
        <w:t>im</w:t>
      </w:r>
      <w:r>
        <w:rPr>
          <w:rFonts w:ascii="Times New Roman"/>
          <w:spacing w:val="47"/>
        </w:rPr>
        <w:t> </w:t>
      </w:r>
      <w:r>
        <w:rPr>
          <w:rFonts w:ascii="Times New Roman"/>
        </w:rPr>
        <w:t>Verwal</w:t>
      </w:r>
      <w:r>
        <w:rPr>
          <w:rFonts w:ascii="Times New Roman"/>
          <w:spacing w:val="3"/>
        </w:rPr>
        <w:t> </w:t>
      </w:r>
      <w:r>
        <w:rPr>
          <w:rFonts w:ascii="Times New Roman"/>
        </w:rPr>
        <w:t>tungsrecht,</w:t>
      </w:r>
    </w:p>
    <w:p>
      <w:pPr>
        <w:pStyle w:val="Heading6"/>
        <w:spacing w:before="16"/>
        <w:ind w:left="498"/>
        <w:rPr>
          <w:rFonts w:ascii="Arial"/>
          <w:sz w:val="24"/>
        </w:rPr>
      </w:pPr>
      <w:r>
        <w:rPr/>
        <w:t>1988,</w:t>
      </w:r>
      <w:r>
        <w:rPr>
          <w:spacing w:val="22"/>
        </w:rPr>
        <w:t> </w:t>
      </w:r>
      <w:r>
        <w:rPr/>
        <w:t>S.</w:t>
      </w:r>
      <w:r>
        <w:rPr>
          <w:spacing w:val="26"/>
        </w:rPr>
        <w:t> </w:t>
      </w:r>
      <w:r>
        <w:rPr/>
        <w:t>692</w:t>
      </w:r>
      <w:r>
        <w:rPr>
          <w:spacing w:val="58"/>
        </w:rPr>
        <w:t> </w:t>
      </w:r>
      <w:r>
        <w:rPr>
          <w:rFonts w:ascii="Arial"/>
          <w:sz w:val="24"/>
        </w:rPr>
        <w:t>f.</w:t>
      </w:r>
    </w:p>
    <w:p>
      <w:pPr>
        <w:spacing w:after="0"/>
        <w:rPr>
          <w:rFonts w:ascii="Arial"/>
          <w:sz w:val="24"/>
        </w:rPr>
        <w:sectPr>
          <w:headerReference w:type="default" r:id="rId381"/>
          <w:footerReference w:type="default" r:id="rId382"/>
          <w:pgSz w:w="11910" w:h="16840"/>
          <w:pgMar w:header="862" w:footer="1233" w:top="1060" w:bottom="1420" w:left="1120" w:right="1060"/>
        </w:sectPr>
      </w:pPr>
    </w:p>
    <w:p>
      <w:pPr>
        <w:spacing w:line="301" w:lineRule="exact" w:before="0"/>
        <w:ind w:left="298" w:right="0" w:firstLine="0"/>
        <w:jc w:val="left"/>
        <w:rPr>
          <w:rFonts w:ascii="Times New Roman" w:eastAsia="Times New Roman"/>
          <w:sz w:val="26"/>
        </w:rPr>
      </w:pPr>
      <w:r>
        <w:rPr>
          <w:rFonts w:ascii="Times New Roman" w:eastAsia="Times New Roman"/>
          <w:w w:val="95"/>
          <w:position w:val="7"/>
          <w:sz w:val="13"/>
        </w:rPr>
        <w:t>82</w:t>
      </w:r>
      <w:r>
        <w:rPr>
          <w:rFonts w:ascii="Times New Roman" w:eastAsia="Times New Roman"/>
          <w:spacing w:val="13"/>
          <w:w w:val="95"/>
          <w:position w:val="7"/>
          <w:sz w:val="13"/>
        </w:rPr>
        <w:t> </w:t>
      </w:r>
      <w:r>
        <w:rPr>
          <w:spacing w:val="-5"/>
          <w:w w:val="95"/>
          <w:sz w:val="21"/>
        </w:rPr>
        <w:t>相關案例 及說明 ， 詳參： 吳庚 ，行 政 法之理論與實用 ， 頁</w:t>
      </w:r>
      <w:r>
        <w:rPr>
          <w:rFonts w:ascii="Times New Roman" w:eastAsia="Times New Roman"/>
          <w:w w:val="95"/>
          <w:sz w:val="26"/>
        </w:rPr>
        <w:t>357-</w:t>
      </w:r>
      <w:r>
        <w:rPr>
          <w:rFonts w:ascii="Times New Roman" w:eastAsia="Times New Roman"/>
          <w:spacing w:val="-39"/>
          <w:w w:val="95"/>
          <w:sz w:val="26"/>
        </w:rPr>
        <w:t> </w:t>
      </w:r>
      <w:r>
        <w:rPr>
          <w:rFonts w:ascii="Times New Roman" w:eastAsia="Times New Roman"/>
          <w:w w:val="95"/>
          <w:sz w:val="26"/>
        </w:rPr>
        <w:t>35,8</w:t>
      </w:r>
    </w:p>
    <w:p>
      <w:pPr>
        <w:spacing w:before="15"/>
        <w:ind w:left="525" w:right="0" w:firstLine="0"/>
        <w:jc w:val="left"/>
        <w:rPr>
          <w:sz w:val="21"/>
        </w:rPr>
      </w:pPr>
      <w:r>
        <w:rPr>
          <w:spacing w:val="22"/>
          <w:sz w:val="21"/>
        </w:rPr>
        <w:t>月</w:t>
      </w:r>
      <w:r>
        <w:rPr>
          <w:rFonts w:ascii="Times New Roman" w:eastAsia="Times New Roman"/>
          <w:sz w:val="26"/>
        </w:rPr>
        <w:t>10</w:t>
      </w:r>
      <w:r>
        <w:rPr>
          <w:spacing w:val="-7"/>
          <w:sz w:val="21"/>
        </w:rPr>
        <w:t>版 。</w:t>
      </w:r>
    </w:p>
    <w:p>
      <w:pPr>
        <w:spacing w:line="301" w:lineRule="exact" w:before="0"/>
        <w:ind w:left="196" w:right="0" w:firstLine="0"/>
        <w:jc w:val="left"/>
        <w:rPr>
          <w:rFonts w:ascii="Times New Roman" w:eastAsia="Times New Roman"/>
          <w:sz w:val="26"/>
        </w:rPr>
      </w:pPr>
      <w:r>
        <w:rPr/>
        <w:br w:type="column"/>
      </w:r>
      <w:r>
        <w:rPr>
          <w:w w:val="80"/>
          <w:sz w:val="21"/>
        </w:rPr>
        <w:t>自版</w:t>
      </w:r>
      <w:r>
        <w:rPr>
          <w:spacing w:val="137"/>
          <w:sz w:val="21"/>
        </w:rPr>
        <w:t> </w:t>
      </w:r>
      <w:r>
        <w:rPr>
          <w:spacing w:val="-24"/>
          <w:w w:val="80"/>
          <w:sz w:val="21"/>
        </w:rPr>
        <w:t>， </w:t>
      </w:r>
      <w:r>
        <w:rPr>
          <w:rFonts w:ascii="Times New Roman" w:eastAsia="Times New Roman"/>
          <w:w w:val="80"/>
          <w:sz w:val="26"/>
        </w:rPr>
        <w:t>2007</w:t>
      </w:r>
      <w:r>
        <w:rPr>
          <w:rFonts w:ascii="Times New Roman" w:eastAsia="Times New Roman"/>
          <w:spacing w:val="18"/>
          <w:w w:val="80"/>
          <w:sz w:val="26"/>
        </w:rPr>
        <w:t> </w:t>
      </w:r>
      <w:r>
        <w:rPr>
          <w:w w:val="80"/>
          <w:sz w:val="21"/>
        </w:rPr>
        <w:t>年</w:t>
      </w:r>
      <w:r>
        <w:rPr>
          <w:rFonts w:ascii="Times New Roman" w:eastAsia="Times New Roman"/>
          <w:w w:val="80"/>
          <w:sz w:val="26"/>
        </w:rPr>
        <w:t>9</w:t>
      </w:r>
    </w:p>
    <w:p>
      <w:pPr>
        <w:spacing w:after="0" w:line="301" w:lineRule="exact"/>
        <w:jc w:val="left"/>
        <w:rPr>
          <w:rFonts w:ascii="Times New Roman" w:eastAsia="Times New Roman"/>
          <w:sz w:val="26"/>
        </w:rPr>
        <w:sectPr>
          <w:type w:val="continuous"/>
          <w:pgSz w:w="11910" w:h="16840"/>
          <w:pgMar w:top="1020" w:bottom="280" w:left="1120" w:right="1060"/>
          <w:cols w:num="2" w:equalWidth="0">
            <w:col w:w="7407" w:space="40"/>
            <w:col w:w="2283"/>
          </w:cols>
        </w:sectPr>
      </w:pPr>
    </w:p>
    <w:p>
      <w:pPr>
        <w:spacing w:line="276" w:lineRule="auto" w:before="11"/>
        <w:ind w:left="507" w:right="579" w:hanging="209"/>
        <w:jc w:val="both"/>
        <w:rPr>
          <w:sz w:val="21"/>
        </w:rPr>
      </w:pPr>
      <w:r>
        <w:rPr>
          <w:rFonts w:ascii="Times New Roman" w:eastAsia="Times New Roman"/>
          <w:position w:val="7"/>
          <w:sz w:val="13"/>
        </w:rPr>
        <w:t>83</w:t>
      </w:r>
      <w:r>
        <w:rPr>
          <w:rFonts w:ascii="Times New Roman" w:eastAsia="Times New Roman"/>
          <w:spacing w:val="10"/>
          <w:position w:val="7"/>
          <w:sz w:val="13"/>
        </w:rPr>
        <w:t> </w:t>
      </w:r>
      <w:r>
        <w:rPr>
          <w:spacing w:val="17"/>
          <w:sz w:val="21"/>
        </w:rPr>
        <w:t>交通部</w:t>
      </w:r>
      <w:r>
        <w:rPr>
          <w:rFonts w:ascii="Times New Roman" w:eastAsia="Times New Roman"/>
          <w:spacing w:val="10"/>
          <w:sz w:val="26"/>
        </w:rPr>
        <w:t>91</w:t>
      </w:r>
      <w:r>
        <w:rPr>
          <w:spacing w:val="7"/>
          <w:sz w:val="21"/>
        </w:rPr>
        <w:t>年交訴 字第</w:t>
      </w:r>
      <w:r>
        <w:rPr>
          <w:rFonts w:ascii="Times New Roman" w:eastAsia="Times New Roman"/>
          <w:sz w:val="26"/>
        </w:rPr>
        <w:t>0910037826</w:t>
      </w:r>
      <w:r>
        <w:rPr>
          <w:rFonts w:ascii="Times New Roman" w:eastAsia="Times New Roman"/>
          <w:spacing w:val="-8"/>
          <w:sz w:val="26"/>
        </w:rPr>
        <w:t> </w:t>
      </w:r>
      <w:r>
        <w:rPr>
          <w:sz w:val="21"/>
        </w:rPr>
        <w:t>號訴願決定參照； 本件案例 事實略為： 甲客運業者</w:t>
      </w:r>
      <w:r>
        <w:rPr>
          <w:w w:val="105"/>
          <w:sz w:val="21"/>
        </w:rPr>
        <w:t>申請延長營運路線，增加停靠玷，經主管機關核准。乙客運業者為該路線之原經營   </w:t>
      </w:r>
      <w:r>
        <w:rPr>
          <w:spacing w:val="45"/>
          <w:w w:val="105"/>
          <w:sz w:val="21"/>
        </w:rPr>
        <w:t> </w:t>
      </w:r>
      <w:r>
        <w:rPr>
          <w:w w:val="105"/>
          <w:sz w:val="21"/>
        </w:rPr>
        <w:t>者，不服該核准處分而提超訴願，請求撒銷原處分。受理訴願機關以該訴願為合法   </w:t>
      </w:r>
      <w:r>
        <w:rPr>
          <w:spacing w:val="45"/>
          <w:w w:val="105"/>
          <w:sz w:val="21"/>
        </w:rPr>
        <w:t> </w:t>
      </w:r>
      <w:r>
        <w:rPr>
          <w:w w:val="105"/>
          <w:sz w:val="21"/>
        </w:rPr>
        <w:t>並作成實體之審決。</w:t>
      </w:r>
    </w:p>
    <w:p>
      <w:pPr>
        <w:spacing w:after="0" w:line="276" w:lineRule="auto"/>
        <w:jc w:val="both"/>
        <w:rPr>
          <w:sz w:val="21"/>
        </w:rPr>
        <w:sectPr>
          <w:type w:val="continuous"/>
          <w:pgSz w:w="11910" w:h="16840"/>
          <w:pgMar w:top="1020" w:bottom="280" w:left="1120" w:right="1060"/>
        </w:sectPr>
      </w:pPr>
    </w:p>
    <w:p>
      <w:pPr>
        <w:pStyle w:val="BodyText"/>
        <w:rPr>
          <w:sz w:val="20"/>
        </w:rPr>
      </w:pPr>
    </w:p>
    <w:p>
      <w:pPr>
        <w:tabs>
          <w:tab w:pos="1407" w:val="left" w:leader="none"/>
        </w:tabs>
        <w:spacing w:before="236"/>
        <w:ind w:left="0" w:right="212" w:firstLine="0"/>
        <w:jc w:val="center"/>
        <w:rPr>
          <w:sz w:val="29"/>
        </w:rPr>
      </w:pPr>
      <w:bookmarkStart w:name="_bookmark22" w:id="23"/>
      <w:bookmarkEnd w:id="23"/>
      <w:r>
        <w:rPr/>
      </w:r>
      <w:r>
        <w:rPr>
          <w:w w:val="110"/>
          <w:sz w:val="30"/>
        </w:rPr>
        <w:t>第四節</w:t>
        <w:tab/>
      </w:r>
      <w:r>
        <w:rPr>
          <w:w w:val="110"/>
          <w:sz w:val="29"/>
        </w:rPr>
        <w:t>提超消極兢爭者爭訟噹事人之範圍</w:t>
      </w:r>
    </w:p>
    <w:p>
      <w:pPr>
        <w:pStyle w:val="BodyText"/>
        <w:spacing w:before="11"/>
        <w:rPr>
          <w:sz w:val="21"/>
        </w:rPr>
      </w:pPr>
    </w:p>
    <w:p>
      <w:pPr>
        <w:pStyle w:val="BodyText"/>
        <w:spacing w:line="328" w:lineRule="auto"/>
        <w:ind w:left="301" w:right="512" w:firstLine="573"/>
      </w:pPr>
      <w:r>
        <w:rPr>
          <w:w w:val="110"/>
        </w:rPr>
        <w:t>單一職務之消極競爭者爭訟之合法性應予以承認，已如前逑。至於得提超消極競爭者爭訟之噹事人，即所謂「競爭者」，其範圍應如何界定？</w:t>
      </w:r>
    </w:p>
    <w:p>
      <w:pPr>
        <w:pStyle w:val="BodyText"/>
        <w:spacing w:line="322" w:lineRule="exact"/>
        <w:ind w:left="860"/>
      </w:pPr>
      <w:r>
        <w:rPr>
          <w:spacing w:val="17"/>
          <w:w w:val="95"/>
        </w:rPr>
        <w:t>以陞遷事件為例 </w:t>
      </w:r>
      <w:r>
        <w:rPr>
          <w:w w:val="90"/>
        </w:rPr>
        <w:t>，公務</w:t>
      </w:r>
      <w:r>
        <w:rPr>
          <w:spacing w:val="230"/>
        </w:rPr>
        <w:t> </w:t>
      </w:r>
      <w:r>
        <w:rPr>
          <w:spacing w:val="29"/>
          <w:w w:val="95"/>
        </w:rPr>
        <w:t>人</w:t>
      </w:r>
      <w:r>
        <w:rPr>
          <w:spacing w:val="-25"/>
          <w:w w:val="90"/>
        </w:rPr>
        <w:t>員 </w:t>
      </w:r>
      <w:r>
        <w:rPr>
          <w:spacing w:val="28"/>
          <w:w w:val="95"/>
        </w:rPr>
        <w:t>陞遷法</w:t>
      </w:r>
      <w:r>
        <w:rPr>
          <w:spacing w:val="10"/>
          <w:w w:val="90"/>
        </w:rPr>
        <w:t>第 </w:t>
      </w:r>
      <w:r>
        <w:rPr>
          <w:rFonts w:ascii="Times New Roman" w:eastAsia="Times New Roman"/>
          <w:w w:val="90"/>
          <w:sz w:val="30"/>
        </w:rPr>
        <w:t>9</w:t>
      </w:r>
      <w:r>
        <w:rPr>
          <w:rFonts w:ascii="Times New Roman" w:eastAsia="Times New Roman"/>
          <w:spacing w:val="36"/>
          <w:w w:val="90"/>
          <w:sz w:val="30"/>
        </w:rPr>
        <w:t> </w:t>
      </w:r>
      <w:r>
        <w:rPr>
          <w:spacing w:val="31"/>
          <w:w w:val="95"/>
        </w:rPr>
        <w:t>條</w:t>
      </w:r>
      <w:r>
        <w:rPr>
          <w:spacing w:val="24"/>
          <w:w w:val="90"/>
        </w:rPr>
        <w:t>第 </w:t>
      </w:r>
      <w:r>
        <w:rPr>
          <w:rFonts w:ascii="Times New Roman" w:eastAsia="Times New Roman"/>
          <w:w w:val="90"/>
          <w:sz w:val="30"/>
        </w:rPr>
        <w:t>l</w:t>
      </w:r>
      <w:r>
        <w:rPr>
          <w:rFonts w:ascii="Times New Roman" w:eastAsia="Times New Roman"/>
          <w:spacing w:val="74"/>
          <w:sz w:val="30"/>
        </w:rPr>
        <w:t> </w:t>
      </w:r>
      <w:r>
        <w:rPr>
          <w:spacing w:val="13"/>
          <w:w w:val="95"/>
        </w:rPr>
        <w:t>項規定：各機關辦理公</w:t>
      </w:r>
    </w:p>
    <w:p>
      <w:pPr>
        <w:pStyle w:val="BodyText"/>
        <w:spacing w:line="328" w:lineRule="auto" w:before="122"/>
        <w:ind w:left="297" w:right="500" w:firstLine="4"/>
      </w:pPr>
      <w:r>
        <w:rPr>
          <w:w w:val="110"/>
        </w:rPr>
        <w:t>務人員之陞遷，應由人事單位就具有擬陞遷職務任用資格人員，分別情</w:t>
      </w:r>
      <w:r>
        <w:rPr>
          <w:spacing w:val="1"/>
          <w:w w:val="110"/>
        </w:rPr>
        <w:t> </w:t>
      </w:r>
      <w:r>
        <w:rPr>
          <w:w w:val="110"/>
        </w:rPr>
        <w:t>形，依積分高低順序或資格條件造列名冊，並檢同有關資料，報請本機關首長交付甄審委員會評審後，依程序報請機關首長就前三名中圈定陞補</w:t>
      </w:r>
      <w:r>
        <w:rPr>
          <w:spacing w:val="1"/>
          <w:w w:val="110"/>
        </w:rPr>
        <w:t> </w:t>
      </w:r>
      <w:r>
        <w:rPr>
          <w:w w:val="110"/>
        </w:rPr>
        <w:t>之。依此規定，可知提超消極競爭者爭訟噹事人之範圍，限於經甄審委員會評審後，報請機關首長圈定陞補之前三名中，未獲圈定陞遷之其他競爭者。蓋如前所述，在單一職務之競爭者爭訟中，系爭公職只能陞任一人。人事主管機關如任命某人擔任該職務之公務員，其競爭者擔任該職務公務員之希望即告落空。是以該陞遷他人之處分，實具有否准其陞遷請求之法律上效果，故該處分為附第三人效力之行政處分，侵害其權益而准許其提超行政爭訟。如其並非報請機關首長圈定陞補之前三名中之人，則無論機關首長圈定陞遷何人，該處分對其均不生侵益之效果，自無提超消極競爭者爭訟之噹事人適格。</w:t>
      </w:r>
    </w:p>
    <w:p>
      <w:pPr>
        <w:pStyle w:val="BodyText"/>
        <w:spacing w:line="314" w:lineRule="auto" w:before="20"/>
        <w:ind w:left="304" w:right="510" w:firstLine="572"/>
      </w:pPr>
      <w:r>
        <w:rPr/>
        <w:t>我國司法實務上，亦有採相同見解者。在前已提及之臺北高等行政法   </w:t>
      </w:r>
      <w:r>
        <w:rPr>
          <w:spacing w:val="95"/>
        </w:rPr>
        <w:t> </w:t>
      </w:r>
      <w:r>
        <w:rPr>
          <w:spacing w:val="-24"/>
        </w:rPr>
        <w:t>院 </w:t>
      </w:r>
      <w:r>
        <w:rPr>
          <w:rFonts w:ascii="Times New Roman" w:hAnsi="Times New Roman" w:eastAsia="Times New Roman"/>
          <w:sz w:val="30"/>
        </w:rPr>
        <w:t>97</w:t>
      </w:r>
      <w:r>
        <w:rPr>
          <w:rFonts w:ascii="Times New Roman" w:hAnsi="Times New Roman" w:eastAsia="Times New Roman"/>
          <w:spacing w:val="35"/>
          <w:sz w:val="30"/>
        </w:rPr>
        <w:t> </w:t>
      </w:r>
      <w:r>
        <w:rPr>
          <w:spacing w:val="10"/>
        </w:rPr>
        <w:t>年度訴字第 </w:t>
      </w:r>
      <w:r>
        <w:rPr>
          <w:rFonts w:ascii="Times New Roman" w:hAnsi="Times New Roman" w:eastAsia="Times New Roman"/>
          <w:sz w:val="30"/>
        </w:rPr>
        <w:t>1198</w:t>
      </w:r>
      <w:r>
        <w:rPr>
          <w:rFonts w:ascii="Times New Roman" w:hAnsi="Times New Roman" w:eastAsia="Times New Roman"/>
          <w:spacing w:val="16"/>
          <w:sz w:val="30"/>
        </w:rPr>
        <w:t> </w:t>
      </w:r>
      <w:r>
        <w:rPr>
          <w:spacing w:val="3"/>
        </w:rPr>
        <w:t>號判決中 ， 法院即認為：「…本件原告於積分評比</w:t>
      </w:r>
      <w:r>
        <w:rPr>
          <w:spacing w:val="7"/>
        </w:rPr>
        <w:t>程序中落後 ，即原告並非在報請被告代表人即部長圈選之積分最高之 </w:t>
      </w:r>
      <w:r>
        <w:rPr>
          <w:rFonts w:ascii="Times New Roman" w:hAnsi="Times New Roman" w:eastAsia="Times New Roman"/>
          <w:sz w:val="30"/>
        </w:rPr>
        <w:t>3</w:t>
      </w:r>
      <w:r>
        <w:rPr>
          <w:rFonts w:ascii="Times New Roman" w:hAnsi="Times New Roman" w:eastAsia="Times New Roman"/>
          <w:spacing w:val="10"/>
          <w:sz w:val="30"/>
        </w:rPr>
        <w:t> </w:t>
      </w:r>
      <w:r>
        <w:rPr/>
        <w:t>人名單內」，故其訴不合法。似亦認為如其並非報請機關首長圈定陞補之前    </w:t>
      </w:r>
      <w:r>
        <w:rPr>
          <w:spacing w:val="42"/>
        </w:rPr>
        <w:t> </w:t>
      </w:r>
      <w:r>
        <w:rPr/>
        <w:t>三名中之人，即無提超消極競爭者爭訟之噹事人適格。</w:t>
      </w:r>
    </w:p>
    <w:p>
      <w:pPr>
        <w:tabs>
          <w:tab w:pos="5158" w:val="left" w:leader="none"/>
        </w:tabs>
        <w:spacing w:before="88"/>
        <w:ind w:left="3737" w:right="0" w:firstLine="0"/>
        <w:jc w:val="left"/>
        <w:rPr>
          <w:sz w:val="28"/>
        </w:rPr>
      </w:pPr>
      <w:bookmarkStart w:name="_bookmark23" w:id="24"/>
      <w:bookmarkEnd w:id="24"/>
      <w:r>
        <w:rPr/>
      </w:r>
      <w:r>
        <w:rPr>
          <w:sz w:val="30"/>
        </w:rPr>
        <w:t>第五節</w:t>
        <w:tab/>
      </w:r>
      <w:r>
        <w:rPr>
          <w:sz w:val="28"/>
        </w:rPr>
        <w:t>小結</w:t>
      </w:r>
    </w:p>
    <w:p>
      <w:pPr>
        <w:pStyle w:val="BodyText"/>
        <w:spacing w:before="7"/>
        <w:rPr>
          <w:sz w:val="21"/>
        </w:rPr>
      </w:pPr>
    </w:p>
    <w:p>
      <w:pPr>
        <w:pStyle w:val="BodyText"/>
        <w:spacing w:line="331" w:lineRule="auto"/>
        <w:ind w:left="319" w:right="501" w:firstLine="551"/>
        <w:jc w:val="both"/>
      </w:pPr>
      <w:r>
        <w:rPr>
          <w:w w:val="110"/>
        </w:rPr>
        <w:t>公務人員因競爭者事件權益受損而向保訓會提超復審時，依現行實務見解，僅得請求保訓會撤銷原處分機關否准其申請之處分，或者請求保訓會命怠為處分之原處分機關應對其作成投益處分，尚不得請求保訓會撤銷人事主管機關對於第三人所作成之投益處分。</w:t>
      </w:r>
    </w:p>
    <w:p>
      <w:pPr>
        <w:pStyle w:val="BodyText"/>
        <w:spacing w:line="331" w:lineRule="auto"/>
        <w:ind w:left="303" w:right="517" w:firstLine="566"/>
      </w:pPr>
      <w:r>
        <w:rPr>
          <w:w w:val="110"/>
        </w:rPr>
        <w:t>實務上否定公務員法上消極競爭者爭訟合法性之做法，對於公務人員因競爭者事件權益受損而提超行政爭訟時之實質權利保障功能，影攀甚</w:t>
      </w:r>
      <w:r>
        <w:rPr>
          <w:spacing w:val="1"/>
          <w:w w:val="110"/>
        </w:rPr>
        <w:t> </w:t>
      </w:r>
      <w:r>
        <w:rPr>
          <w:w w:val="110"/>
        </w:rPr>
        <w:t>鉅。蓋噹事人除提超消極競爭者爭訟之外，理論上而言，固然尚有積極競爭者爭訟之救濟途徑。惟就實際情形觀之，積極競爭者爭訟之實質權利保</w:t>
      </w:r>
    </w:p>
    <w:p>
      <w:pPr>
        <w:spacing w:after="0" w:line="331" w:lineRule="auto"/>
        <w:sectPr>
          <w:headerReference w:type="default" r:id="rId383"/>
          <w:footerReference w:type="default" r:id="rId384"/>
          <w:pgSz w:w="11910" w:h="16840"/>
          <w:pgMar w:header="862" w:footer="1017" w:top="1060" w:bottom="1200" w:left="1120" w:right="1060"/>
          <w:pgNumType w:start="39"/>
        </w:sectPr>
      </w:pPr>
    </w:p>
    <w:p>
      <w:pPr>
        <w:pStyle w:val="BodyText"/>
        <w:spacing w:before="12"/>
        <w:rPr>
          <w:sz w:val="28"/>
        </w:rPr>
      </w:pPr>
    </w:p>
    <w:p>
      <w:pPr>
        <w:pStyle w:val="BodyText"/>
        <w:spacing w:before="65"/>
        <w:ind w:left="304"/>
      </w:pPr>
      <w:r>
        <w:rPr>
          <w:w w:val="105"/>
        </w:rPr>
        <w:t>障功能，甚為有限。</w:t>
      </w:r>
    </w:p>
    <w:p>
      <w:pPr>
        <w:pStyle w:val="BodyText"/>
        <w:spacing w:line="326" w:lineRule="auto" w:before="117"/>
        <w:ind w:left="302" w:right="443" w:firstLine="566"/>
      </w:pPr>
      <w:r>
        <w:rPr>
          <w:w w:val="105"/>
        </w:rPr>
        <w:t>詳言之，公務人員因競爭者事件權益受損而向保訓會提超積極競爭者 </w:t>
      </w:r>
      <w:r>
        <w:rPr>
          <w:spacing w:val="20"/>
          <w:w w:val="105"/>
        </w:rPr>
        <w:t> </w:t>
      </w:r>
      <w:r>
        <w:rPr>
          <w:w w:val="105"/>
        </w:rPr>
        <w:t>爭訟中之課予義務復審，請求保訓會命怠為處分之機關應對其作成陞任丶 </w:t>
      </w:r>
      <w:r>
        <w:rPr>
          <w:spacing w:val="61"/>
          <w:w w:val="105"/>
        </w:rPr>
        <w:t> </w:t>
      </w:r>
      <w:r>
        <w:rPr>
          <w:w w:val="105"/>
        </w:rPr>
        <w:t>陞遷、留任等授益處分時，其爭訟之合法性，固無疑間。然而復審人如欲 </w:t>
      </w:r>
      <w:r>
        <w:rPr>
          <w:spacing w:val="61"/>
          <w:w w:val="105"/>
        </w:rPr>
        <w:t> </w:t>
      </w:r>
      <w:r>
        <w:rPr>
          <w:w w:val="105"/>
        </w:rPr>
        <w:t>獲得有理由之復審決定，必須保訓會就該個案審查之結果，認為決定該職 </w:t>
      </w:r>
      <w:r>
        <w:rPr>
          <w:spacing w:val="61"/>
          <w:w w:val="105"/>
        </w:rPr>
        <w:t> </w:t>
      </w:r>
      <w:r>
        <w:rPr>
          <w:w w:val="105"/>
        </w:rPr>
        <w:t>位誰屬之人事主管機關並無任何判斷餘地，或其所享有之裁量權，基於特 </w:t>
      </w:r>
      <w:r>
        <w:rPr>
          <w:spacing w:val="86"/>
          <w:w w:val="105"/>
        </w:rPr>
        <w:t> </w:t>
      </w:r>
      <w:r>
        <w:rPr>
          <w:spacing w:val="3"/>
          <w:w w:val="95"/>
        </w:rPr>
        <w:t>定之原因限 縮至零 </w:t>
      </w:r>
      <w:r>
        <w:rPr>
          <w:w w:val="90"/>
        </w:rPr>
        <w:t>，</w:t>
      </w:r>
      <w:r>
        <w:rPr>
          <w:spacing w:val="13"/>
          <w:w w:val="95"/>
        </w:rPr>
        <w:t>以致僅有核 准復審人之請求始為合法時</w:t>
      </w:r>
      <w:r>
        <w:rPr>
          <w:spacing w:val="-37"/>
          <w:w w:val="90"/>
        </w:rPr>
        <w:t>， </w:t>
      </w:r>
      <w:r>
        <w:rPr>
          <w:spacing w:val="12"/>
          <w:w w:val="95"/>
        </w:rPr>
        <w:t>才有 可能</w:t>
      </w:r>
      <w:r>
        <w:rPr>
          <w:rFonts w:ascii="Times New Roman" w:eastAsia="Times New Roman"/>
          <w:w w:val="90"/>
          <w:sz w:val="15"/>
        </w:rPr>
        <w:t>84</w:t>
      </w:r>
      <w:r>
        <w:rPr>
          <w:rFonts w:ascii="Times New Roman" w:eastAsia="Times New Roman"/>
          <w:spacing w:val="54"/>
          <w:sz w:val="15"/>
        </w:rPr>
        <w:t> </w:t>
      </w:r>
      <w:r>
        <w:rPr>
          <w:w w:val="90"/>
        </w:rPr>
        <w:t>。</w:t>
      </w:r>
      <w:r>
        <w:rPr>
          <w:w w:val="105"/>
        </w:rPr>
        <w:t>上述情形，就實務上而言似乎甚難想像。以陞遷事件為例，依公務人員陞 </w:t>
      </w:r>
      <w:r>
        <w:rPr>
          <w:spacing w:val="65"/>
          <w:w w:val="105"/>
        </w:rPr>
        <w:t> </w:t>
      </w:r>
      <w:r>
        <w:rPr>
          <w:spacing w:val="17"/>
          <w:w w:val="95"/>
        </w:rPr>
        <w:t>遷法第 </w:t>
      </w:r>
      <w:r>
        <w:rPr>
          <w:rFonts w:ascii="Times New Roman" w:eastAsia="Times New Roman"/>
          <w:w w:val="95"/>
          <w:sz w:val="30"/>
        </w:rPr>
        <w:t>9</w:t>
      </w:r>
      <w:r>
        <w:rPr>
          <w:rFonts w:ascii="Times New Roman" w:eastAsia="Times New Roman"/>
          <w:spacing w:val="33"/>
          <w:w w:val="95"/>
          <w:sz w:val="30"/>
        </w:rPr>
        <w:t> </w:t>
      </w:r>
      <w:r>
        <w:rPr>
          <w:spacing w:val="20"/>
          <w:w w:val="95"/>
        </w:rPr>
        <w:t>條第 </w:t>
      </w:r>
      <w:r>
        <w:rPr>
          <w:rFonts w:ascii="Times New Roman" w:eastAsia="Times New Roman"/>
          <w:w w:val="95"/>
          <w:sz w:val="30"/>
        </w:rPr>
        <w:t>l</w:t>
      </w:r>
      <w:r>
        <w:rPr>
          <w:rFonts w:ascii="Times New Roman" w:eastAsia="Times New Roman"/>
          <w:spacing w:val="13"/>
          <w:w w:val="95"/>
          <w:sz w:val="30"/>
        </w:rPr>
        <w:t> </w:t>
      </w:r>
      <w:r>
        <w:rPr>
          <w:spacing w:val="8"/>
          <w:w w:val="95"/>
        </w:rPr>
        <w:t>項前段規定 </w:t>
      </w:r>
      <w:r>
        <w:rPr>
          <w:spacing w:val="24"/>
          <w:w w:val="90"/>
        </w:rPr>
        <w:t>，各 </w:t>
      </w:r>
      <w:r>
        <w:rPr>
          <w:spacing w:val="9"/>
          <w:w w:val="95"/>
        </w:rPr>
        <w:t>機關辦理公務人員之 陞遷 </w:t>
      </w:r>
      <w:r>
        <w:rPr>
          <w:spacing w:val="17"/>
          <w:w w:val="90"/>
        </w:rPr>
        <w:t>，</w:t>
      </w:r>
      <w:r>
        <w:rPr>
          <w:spacing w:val="12"/>
          <w:w w:val="95"/>
        </w:rPr>
        <w:t>應由人事單位</w:t>
      </w:r>
      <w:r>
        <w:rPr>
          <w:w w:val="105"/>
        </w:rPr>
        <w:t>就具有擬陞遷職務任用資格人員，分別情形，依積分高低順序或資格條件 </w:t>
      </w:r>
      <w:r>
        <w:rPr>
          <w:spacing w:val="61"/>
          <w:w w:val="105"/>
        </w:rPr>
        <w:t> </w:t>
      </w:r>
      <w:r>
        <w:rPr>
          <w:w w:val="105"/>
        </w:rPr>
        <w:t>造列名冊，並檢同有關資料，報請本機關首長交付甄審委員會評審後，依 </w:t>
      </w:r>
      <w:r>
        <w:rPr>
          <w:spacing w:val="58"/>
          <w:w w:val="105"/>
        </w:rPr>
        <w:t> </w:t>
      </w:r>
      <w:r>
        <w:rPr>
          <w:spacing w:val="6"/>
        </w:rPr>
        <w:t>程序報請機關首長就前三名中圈定陞補之 。依同條 第 </w:t>
      </w:r>
      <w:r>
        <w:rPr>
          <w:rFonts w:ascii="Times New Roman" w:eastAsia="Times New Roman"/>
          <w:sz w:val="30"/>
        </w:rPr>
        <w:t>2</w:t>
      </w:r>
      <w:r>
        <w:rPr>
          <w:rFonts w:ascii="Times New Roman" w:eastAsia="Times New Roman"/>
          <w:spacing w:val="32"/>
          <w:sz w:val="30"/>
        </w:rPr>
        <w:t> </w:t>
      </w:r>
      <w:r>
        <w:rPr>
          <w:spacing w:val="15"/>
        </w:rPr>
        <w:t>項之規定：機關首</w:t>
      </w:r>
      <w:r>
        <w:rPr>
          <w:w w:val="105"/>
        </w:rPr>
        <w:t>長對前項甄審委員會報請圈定陞遷之人選有不同意見時，尚得退回重行依 </w:t>
      </w:r>
      <w:r>
        <w:rPr>
          <w:spacing w:val="61"/>
          <w:w w:val="105"/>
        </w:rPr>
        <w:t> </w:t>
      </w:r>
      <w:r>
        <w:rPr>
          <w:w w:val="105"/>
        </w:rPr>
        <w:t>相關規定改依其他甄選方式辦理陞遷事宜。機關首長對於公務人員之陞   </w:t>
      </w:r>
      <w:r>
        <w:rPr>
          <w:spacing w:val="61"/>
          <w:w w:val="105"/>
        </w:rPr>
        <w:t> </w:t>
      </w:r>
      <w:r>
        <w:rPr>
          <w:w w:val="105"/>
        </w:rPr>
        <w:t>遷，既享有「圈定」之權，對於報請圈定陞遷之人選有不同意見時，更得</w:t>
      </w:r>
    </w:p>
    <w:p>
      <w:pPr>
        <w:pStyle w:val="BodyText"/>
        <w:spacing w:line="331" w:lineRule="auto"/>
        <w:ind w:left="323" w:right="507" w:firstLine="95"/>
        <w:jc w:val="both"/>
      </w:pPr>
      <w:r>
        <w:rPr>
          <w:w w:val="105"/>
        </w:rPr>
        <w:t>「退回重行改依其他甄選方式辦理」，保訓會受理此等復審事件，實無命</w:t>
      </w:r>
      <w:r>
        <w:rPr>
          <w:spacing w:val="1"/>
          <w:w w:val="105"/>
        </w:rPr>
        <w:t> </w:t>
      </w:r>
      <w:r>
        <w:rPr>
          <w:w w:val="110"/>
        </w:rPr>
        <w:t>怠為處分之機關應對其作成陞遷處分之餘地。此由保訓會歷來有關公務人</w:t>
      </w:r>
      <w:r>
        <w:rPr>
          <w:w w:val="105"/>
        </w:rPr>
        <w:t>員陞遷事件之復審決定中，多有以人事陞遷之「評量工作，富高度屬人性，</w:t>
      </w:r>
      <w:r>
        <w:rPr>
          <w:spacing w:val="1"/>
          <w:w w:val="105"/>
        </w:rPr>
        <w:t> </w:t>
      </w:r>
      <w:r>
        <w:rPr>
          <w:w w:val="110"/>
        </w:rPr>
        <w:t>主管長官對部屬所為職務陞遷與否之判斷，理應尊重」為理由駁回復審者</w:t>
      </w:r>
    </w:p>
    <w:p>
      <w:pPr>
        <w:tabs>
          <w:tab w:pos="554" w:val="left" w:leader="none"/>
          <w:tab w:pos="2087" w:val="left" w:leader="none"/>
        </w:tabs>
        <w:spacing w:line="249" w:lineRule="exact" w:before="0"/>
        <w:ind w:left="253" w:right="0" w:firstLine="0"/>
        <w:jc w:val="left"/>
        <w:rPr>
          <w:rFonts w:ascii="Arial" w:eastAsia="Arial"/>
          <w:sz w:val="8"/>
        </w:rPr>
      </w:pPr>
      <w:r>
        <w:rPr>
          <w:rFonts w:ascii="Times New Roman" w:eastAsia="Times New Roman"/>
          <w:w w:val="80"/>
          <w:sz w:val="15"/>
        </w:rPr>
        <w:t>85</w:t>
        <w:tab/>
      </w:r>
      <w:r>
        <w:rPr>
          <w:rFonts w:ascii="Times New Roman" w:eastAsia="Times New Roman"/>
          <w:w w:val="50"/>
          <w:sz w:val="15"/>
        </w:rPr>
        <w:t>,</w:t>
      </w:r>
      <w:r>
        <w:rPr>
          <w:rFonts w:ascii="Times New Roman" w:eastAsia="Times New Roman"/>
          <w:spacing w:val="5"/>
          <w:sz w:val="15"/>
        </w:rPr>
        <w:t>   </w:t>
      </w:r>
      <w:r>
        <w:rPr>
          <w:rFonts w:ascii="Times New Roman" w:eastAsia="Times New Roman"/>
          <w:spacing w:val="5"/>
          <w:sz w:val="15"/>
        </w:rPr>
        <w:t> </w:t>
      </w:r>
      <w:r>
        <w:rPr>
          <w:spacing w:val="24"/>
          <w:sz w:val="25"/>
        </w:rPr>
        <w:t>亦可</w:t>
      </w:r>
      <w:r>
        <w:rPr>
          <w:sz w:val="25"/>
        </w:rPr>
        <w:t>為</w:t>
      </w:r>
      <w:r>
        <w:rPr>
          <w:spacing w:val="23"/>
          <w:sz w:val="25"/>
        </w:rPr>
        <w:t>證</w:t>
      </w:r>
      <w:r>
        <w:rPr>
          <w:rFonts w:ascii="Times New Roman" w:eastAsia="Times New Roman"/>
          <w:w w:val="80"/>
          <w:sz w:val="15"/>
        </w:rPr>
        <w:t>86</w:t>
        <w:tab/>
      </w:r>
      <w:r>
        <w:rPr>
          <w:rFonts w:ascii="Arial" w:eastAsia="Arial"/>
          <w:w w:val="80"/>
          <w:sz w:val="8"/>
        </w:rPr>
        <w:t>0</w:t>
      </w:r>
    </w:p>
    <w:p>
      <w:pPr>
        <w:pStyle w:val="BodyText"/>
        <w:rPr>
          <w:rFonts w:ascii="Arial"/>
          <w:sz w:val="20"/>
        </w:rPr>
      </w:pPr>
    </w:p>
    <w:p>
      <w:pPr>
        <w:pStyle w:val="BodyText"/>
        <w:rPr>
          <w:rFonts w:ascii="Arial"/>
          <w:sz w:val="20"/>
        </w:rPr>
      </w:pPr>
    </w:p>
    <w:p>
      <w:pPr>
        <w:pStyle w:val="BodyText"/>
        <w:spacing w:before="1"/>
        <w:rPr>
          <w:rFonts w:ascii="Arial"/>
          <w:sz w:val="11"/>
        </w:rPr>
      </w:pPr>
      <w:r>
        <w:rPr/>
        <w:pict>
          <v:shape style="position:absolute;margin-left:95.174004pt;margin-top:8.759503pt;width:144.25pt;height:.1pt;mso-position-horizontal-relative:page;mso-position-vertical-relative:paragraph;z-index:-15624192;mso-wrap-distance-left:0;mso-wrap-distance-right:0" coordorigin="1903,175" coordsize="2885,0" path="m1903,175l4788,175e" filled="false" stroked="true" strokeweight=".720821pt" strokecolor="#000000">
            <v:path arrowok="t"/>
            <v:stroke dashstyle="solid"/>
            <w10:wrap type="topAndBottom"/>
          </v:shape>
        </w:pict>
      </w:r>
    </w:p>
    <w:p>
      <w:pPr>
        <w:pStyle w:val="BodyText"/>
        <w:spacing w:before="10"/>
        <w:rPr>
          <w:rFonts w:ascii="Arial"/>
          <w:sz w:val="8"/>
        </w:rPr>
      </w:pPr>
    </w:p>
    <w:p>
      <w:pPr>
        <w:tabs>
          <w:tab w:pos="5083" w:val="left" w:leader="none"/>
        </w:tabs>
        <w:spacing w:line="252" w:lineRule="auto" w:before="89"/>
        <w:ind w:left="505" w:right="568" w:hanging="207"/>
        <w:jc w:val="left"/>
        <w:rPr>
          <w:rFonts w:ascii="Times New Roman" w:eastAsia="Times New Roman"/>
          <w:sz w:val="26"/>
        </w:rPr>
      </w:pPr>
      <w:r>
        <w:rPr>
          <w:rFonts w:ascii="Times New Roman" w:eastAsia="Times New Roman"/>
          <w:w w:val="95"/>
          <w:position w:val="8"/>
          <w:sz w:val="13"/>
        </w:rPr>
        <w:t>84</w:t>
      </w:r>
      <w:r>
        <w:rPr>
          <w:rFonts w:ascii="Times New Roman" w:eastAsia="Times New Roman"/>
          <w:spacing w:val="85"/>
          <w:position w:val="8"/>
          <w:sz w:val="13"/>
        </w:rPr>
        <w:t> </w:t>
      </w:r>
      <w:r>
        <w:rPr>
          <w:w w:val="95"/>
          <w:sz w:val="21"/>
        </w:rPr>
        <w:t>德</w:t>
      </w:r>
      <w:r>
        <w:rPr>
          <w:spacing w:val="63"/>
          <w:w w:val="95"/>
          <w:sz w:val="21"/>
        </w:rPr>
        <w:t> </w:t>
      </w:r>
      <w:r>
        <w:rPr>
          <w:spacing w:val="47"/>
          <w:w w:val="95"/>
          <w:sz w:val="21"/>
        </w:rPr>
        <w:t>國</w:t>
      </w:r>
      <w:r>
        <w:rPr>
          <w:spacing w:val="17"/>
          <w:w w:val="95"/>
          <w:sz w:val="21"/>
        </w:rPr>
        <w:t>學</w:t>
      </w:r>
      <w:r>
        <w:rPr>
          <w:spacing w:val="26"/>
          <w:w w:val="95"/>
          <w:sz w:val="21"/>
        </w:rPr>
        <w:t>說</w:t>
      </w:r>
      <w:r>
        <w:rPr>
          <w:spacing w:val="22"/>
          <w:w w:val="95"/>
          <w:sz w:val="21"/>
        </w:rPr>
        <w:t>尚</w:t>
      </w:r>
      <w:r>
        <w:rPr>
          <w:spacing w:val="15"/>
          <w:w w:val="95"/>
          <w:sz w:val="21"/>
        </w:rPr>
        <w:t>對</w:t>
      </w:r>
      <w:r>
        <w:rPr>
          <w:spacing w:val="29"/>
          <w:w w:val="95"/>
          <w:sz w:val="21"/>
        </w:rPr>
        <w:t>於</w:t>
      </w:r>
      <w:r>
        <w:rPr>
          <w:spacing w:val="26"/>
          <w:w w:val="95"/>
          <w:sz w:val="21"/>
        </w:rPr>
        <w:t>此</w:t>
      </w:r>
      <w:r>
        <w:rPr>
          <w:spacing w:val="40"/>
          <w:w w:val="95"/>
          <w:sz w:val="21"/>
        </w:rPr>
        <w:t>一</w:t>
      </w:r>
      <w:r>
        <w:rPr>
          <w:spacing w:val="29"/>
          <w:w w:val="95"/>
          <w:sz w:val="21"/>
        </w:rPr>
        <w:t>問</w:t>
      </w:r>
      <w:r>
        <w:rPr>
          <w:w w:val="95"/>
          <w:sz w:val="21"/>
        </w:rPr>
        <w:t>題</w:t>
      </w:r>
      <w:r>
        <w:rPr>
          <w:spacing w:val="-41"/>
          <w:w w:val="95"/>
          <w:sz w:val="21"/>
        </w:rPr>
        <w:t> </w:t>
      </w:r>
      <w:r>
        <w:rPr>
          <w:spacing w:val="27"/>
          <w:w w:val="95"/>
          <w:sz w:val="21"/>
        </w:rPr>
        <w:t>亦有</w:t>
      </w:r>
      <w:r>
        <w:rPr>
          <w:spacing w:val="43"/>
          <w:w w:val="95"/>
          <w:sz w:val="21"/>
        </w:rPr>
        <w:t>論</w:t>
      </w:r>
      <w:r>
        <w:rPr>
          <w:w w:val="95"/>
          <w:sz w:val="21"/>
        </w:rPr>
        <w:t>及</w:t>
      </w:r>
      <w:r>
        <w:rPr>
          <w:spacing w:val="19"/>
          <w:w w:val="95"/>
          <w:sz w:val="21"/>
        </w:rPr>
        <w:t> </w:t>
      </w:r>
      <w:r>
        <w:rPr>
          <w:w w:val="95"/>
          <w:sz w:val="21"/>
        </w:rPr>
        <w:t>，</w:t>
      </w:r>
      <w:r>
        <w:rPr>
          <w:spacing w:val="-69"/>
          <w:w w:val="95"/>
          <w:sz w:val="21"/>
        </w:rPr>
        <w:t> </w:t>
      </w:r>
      <w:r>
        <w:rPr>
          <w:rFonts w:ascii="Times New Roman" w:eastAsia="Times New Roman"/>
          <w:w w:val="95"/>
          <w:sz w:val="26"/>
        </w:rPr>
        <w:t>vg</w:t>
      </w:r>
      <w:r>
        <w:rPr>
          <w:rFonts w:ascii="Times New Roman" w:eastAsia="Times New Roman"/>
          <w:spacing w:val="-24"/>
          <w:w w:val="95"/>
          <w:sz w:val="26"/>
        </w:rPr>
        <w:t> </w:t>
      </w:r>
      <w:r>
        <w:rPr>
          <w:rFonts w:ascii="Times New Roman" w:eastAsia="Times New Roman"/>
          <w:w w:val="95"/>
          <w:sz w:val="26"/>
        </w:rPr>
        <w:t>l.</w:t>
        <w:tab/>
      </w:r>
      <w:r>
        <w:rPr>
          <w:rFonts w:ascii="Times New Roman" w:eastAsia="Times New Roman"/>
          <w:sz w:val="26"/>
        </w:rPr>
        <w:t>Schnel</w:t>
      </w:r>
      <w:r>
        <w:rPr>
          <w:rFonts w:ascii="Times New Roman" w:eastAsia="Times New Roman"/>
          <w:spacing w:val="-12"/>
          <w:sz w:val="26"/>
        </w:rPr>
        <w:t> </w:t>
      </w:r>
      <w:r>
        <w:rPr>
          <w:rFonts w:ascii="Times New Roman" w:eastAsia="Times New Roman"/>
          <w:sz w:val="26"/>
        </w:rPr>
        <w:t>lenbach,</w:t>
      </w:r>
      <w:r>
        <w:rPr>
          <w:rFonts w:ascii="Times New Roman" w:eastAsia="Times New Roman"/>
          <w:spacing w:val="57"/>
          <w:sz w:val="26"/>
        </w:rPr>
        <w:t> </w:t>
      </w:r>
      <w:r>
        <w:rPr>
          <w:rFonts w:ascii="Times New Roman" w:eastAsia="Times New Roman"/>
          <w:sz w:val="26"/>
        </w:rPr>
        <w:t>Beamtenrecht</w:t>
      </w:r>
      <w:r>
        <w:rPr>
          <w:rFonts w:ascii="Times New Roman" w:eastAsia="Times New Roman"/>
          <w:spacing w:val="44"/>
          <w:sz w:val="26"/>
        </w:rPr>
        <w:t> </w:t>
      </w:r>
      <w:r>
        <w:rPr>
          <w:rFonts w:ascii="Times New Roman" w:eastAsia="Times New Roman"/>
          <w:sz w:val="26"/>
        </w:rPr>
        <w:t>in</w:t>
      </w:r>
      <w:r>
        <w:rPr>
          <w:rFonts w:ascii="Times New Roman" w:eastAsia="Times New Roman"/>
          <w:spacing w:val="53"/>
          <w:sz w:val="26"/>
        </w:rPr>
        <w:t> </w:t>
      </w:r>
      <w:r>
        <w:rPr>
          <w:rFonts w:ascii="Times New Roman" w:eastAsia="Times New Roman"/>
          <w:sz w:val="26"/>
        </w:rPr>
        <w:t>der</w:t>
      </w:r>
      <w:r>
        <w:rPr>
          <w:rFonts w:ascii="Times New Roman" w:eastAsia="Times New Roman"/>
          <w:spacing w:val="-62"/>
          <w:sz w:val="26"/>
        </w:rPr>
        <w:t> </w:t>
      </w:r>
      <w:r>
        <w:rPr>
          <w:rFonts w:ascii="Times New Roman" w:eastAsia="Times New Roman"/>
          <w:sz w:val="26"/>
        </w:rPr>
        <w:t>Praxis,</w:t>
      </w:r>
      <w:r>
        <w:rPr>
          <w:rFonts w:ascii="Times New Roman" w:eastAsia="Times New Roman"/>
          <w:spacing w:val="64"/>
          <w:sz w:val="26"/>
        </w:rPr>
        <w:t> </w:t>
      </w:r>
      <w:r>
        <w:rPr>
          <w:rFonts w:ascii="Times New Roman" w:eastAsia="Times New Roman"/>
          <w:sz w:val="26"/>
        </w:rPr>
        <w:t>5.</w:t>
      </w:r>
      <w:r>
        <w:rPr>
          <w:rFonts w:ascii="Times New Roman" w:eastAsia="Times New Roman"/>
          <w:spacing w:val="49"/>
          <w:sz w:val="26"/>
        </w:rPr>
        <w:t> </w:t>
      </w:r>
      <w:r>
        <w:rPr>
          <w:rFonts w:ascii="Times New Roman" w:eastAsia="Times New Roman"/>
          <w:sz w:val="26"/>
        </w:rPr>
        <w:t>Aufl.,</w:t>
      </w:r>
      <w:r>
        <w:rPr>
          <w:rFonts w:ascii="Times New Roman" w:eastAsia="Times New Roman"/>
          <w:spacing w:val="59"/>
          <w:sz w:val="26"/>
        </w:rPr>
        <w:t> </w:t>
      </w:r>
      <w:r>
        <w:rPr>
          <w:rFonts w:ascii="Times New Roman" w:eastAsia="Times New Roman"/>
          <w:sz w:val="26"/>
        </w:rPr>
        <w:t>2001,</w:t>
      </w:r>
      <w:r>
        <w:rPr>
          <w:rFonts w:ascii="Times New Roman" w:eastAsia="Times New Roman"/>
          <w:spacing w:val="58"/>
          <w:sz w:val="26"/>
        </w:rPr>
        <w:t> </w:t>
      </w:r>
      <w:r>
        <w:rPr>
          <w:rFonts w:ascii="Times New Roman" w:eastAsia="Times New Roman"/>
          <w:sz w:val="26"/>
        </w:rPr>
        <w:t>Rn.</w:t>
      </w:r>
      <w:r>
        <w:rPr>
          <w:rFonts w:ascii="Times New Roman" w:eastAsia="Times New Roman"/>
          <w:spacing w:val="52"/>
          <w:sz w:val="26"/>
        </w:rPr>
        <w:t> </w:t>
      </w:r>
      <w:r>
        <w:rPr>
          <w:rFonts w:ascii="Times New Roman" w:eastAsia="Times New Roman"/>
          <w:sz w:val="26"/>
        </w:rPr>
        <w:t>38.</w:t>
      </w:r>
    </w:p>
    <w:p>
      <w:pPr>
        <w:spacing w:line="286" w:lineRule="exact" w:before="0"/>
        <w:ind w:left="298" w:right="0" w:firstLine="0"/>
        <w:jc w:val="left"/>
        <w:rPr>
          <w:sz w:val="21"/>
        </w:rPr>
      </w:pPr>
      <w:r>
        <w:rPr>
          <w:rFonts w:ascii="Times New Roman" w:eastAsia="Times New Roman"/>
          <w:position w:val="7"/>
          <w:sz w:val="13"/>
        </w:rPr>
        <w:t>85</w:t>
      </w:r>
      <w:r>
        <w:rPr>
          <w:rFonts w:ascii="Times New Roman" w:eastAsia="Times New Roman"/>
          <w:spacing w:val="6"/>
          <w:position w:val="7"/>
          <w:sz w:val="13"/>
        </w:rPr>
        <w:t>     </w:t>
      </w:r>
      <w:r>
        <w:rPr>
          <w:spacing w:val="16"/>
          <w:sz w:val="21"/>
        </w:rPr>
        <w:t>保訓會</w:t>
      </w:r>
      <w:r>
        <w:rPr>
          <w:rFonts w:ascii="Times New Roman" w:eastAsia="Times New Roman"/>
          <w:spacing w:val="10"/>
          <w:sz w:val="26"/>
        </w:rPr>
        <w:t>97</w:t>
      </w:r>
      <w:r>
        <w:rPr>
          <w:spacing w:val="22"/>
          <w:sz w:val="21"/>
        </w:rPr>
        <w:t>年公審決字第</w:t>
      </w:r>
      <w:r>
        <w:rPr>
          <w:rFonts w:ascii="Times New Roman" w:eastAsia="Times New Roman"/>
          <w:sz w:val="26"/>
        </w:rPr>
        <w:t>0368</w:t>
      </w:r>
      <w:r>
        <w:rPr>
          <w:sz w:val="21"/>
        </w:rPr>
        <w:t>號復審決定參照； 本件復審人係臺灣 雲林地方法 浣委任</w:t>
      </w:r>
    </w:p>
    <w:p>
      <w:pPr>
        <w:spacing w:line="249" w:lineRule="auto" w:before="28"/>
        <w:ind w:left="515" w:right="575" w:firstLine="14"/>
        <w:jc w:val="left"/>
        <w:rPr>
          <w:sz w:val="21"/>
        </w:rPr>
      </w:pPr>
      <w:r>
        <w:rPr>
          <w:spacing w:val="-1"/>
          <w:w w:val="95"/>
          <w:sz w:val="21"/>
        </w:rPr>
        <w:t>第四 職 等至 第五 職 等三等書 記官 。其陞任二等書 記官派免建議案經 雲林地</w:t>
      </w:r>
      <w:r>
        <w:rPr>
          <w:rFonts w:ascii="Arial" w:eastAsia="Arial"/>
          <w:w w:val="90"/>
          <w:sz w:val="24"/>
        </w:rPr>
        <w:t>F</w:t>
      </w:r>
      <w:r>
        <w:rPr>
          <w:spacing w:val="4"/>
          <w:w w:val="95"/>
          <w:sz w:val="21"/>
        </w:rPr>
        <w:t>完函 轉臺</w:t>
      </w:r>
      <w:r>
        <w:rPr>
          <w:spacing w:val="13"/>
          <w:w w:val="95"/>
          <w:sz w:val="21"/>
        </w:rPr>
        <w:t>灣高等法院 報請司法院核定 </w:t>
      </w:r>
      <w:r>
        <w:rPr>
          <w:spacing w:val="-22"/>
          <w:w w:val="90"/>
          <w:sz w:val="21"/>
        </w:rPr>
        <w:t>， </w:t>
      </w:r>
      <w:r>
        <w:rPr>
          <w:spacing w:val="1"/>
          <w:w w:val="95"/>
          <w:sz w:val="21"/>
        </w:rPr>
        <w:t>案經 司 法浣松書長以</w:t>
      </w:r>
      <w:r>
        <w:rPr>
          <w:rFonts w:ascii="Times New Roman" w:eastAsia="Times New Roman"/>
          <w:spacing w:val="10"/>
          <w:w w:val="95"/>
          <w:sz w:val="26"/>
        </w:rPr>
        <w:t>97</w:t>
      </w:r>
      <w:r>
        <w:rPr>
          <w:w w:val="95"/>
          <w:sz w:val="21"/>
        </w:rPr>
        <w:t>年</w:t>
      </w:r>
      <w:r>
        <w:rPr>
          <w:rFonts w:ascii="Times New Roman" w:eastAsia="Times New Roman"/>
          <w:w w:val="95"/>
          <w:sz w:val="26"/>
        </w:rPr>
        <w:t>7</w:t>
      </w:r>
      <w:r>
        <w:rPr>
          <w:rFonts w:ascii="Times New Roman" w:eastAsia="Times New Roman"/>
          <w:spacing w:val="-36"/>
          <w:w w:val="95"/>
          <w:sz w:val="26"/>
        </w:rPr>
        <w:t> </w:t>
      </w:r>
      <w:r>
        <w:rPr>
          <w:spacing w:val="32"/>
          <w:w w:val="95"/>
          <w:sz w:val="21"/>
        </w:rPr>
        <w:t>月</w:t>
      </w:r>
      <w:r>
        <w:rPr>
          <w:rFonts w:ascii="Times New Roman" w:eastAsia="Times New Roman"/>
          <w:spacing w:val="21"/>
          <w:w w:val="95"/>
          <w:sz w:val="26"/>
        </w:rPr>
        <w:t>9</w:t>
      </w:r>
      <w:r>
        <w:rPr>
          <w:spacing w:val="22"/>
          <w:w w:val="95"/>
          <w:sz w:val="21"/>
        </w:rPr>
        <w:t>日秘 台人二字第</w:t>
      </w:r>
    </w:p>
    <w:p>
      <w:pPr>
        <w:spacing w:line="259" w:lineRule="auto" w:before="3"/>
        <w:ind w:left="505" w:right="489" w:firstLine="3"/>
        <w:jc w:val="left"/>
        <w:rPr>
          <w:sz w:val="21"/>
        </w:rPr>
      </w:pPr>
      <w:r>
        <w:rPr>
          <w:rFonts w:ascii="Times New Roman" w:hAnsi="Times New Roman" w:eastAsia="Times New Roman"/>
          <w:w w:val="95"/>
          <w:sz w:val="26"/>
        </w:rPr>
        <w:t>09700</w:t>
      </w:r>
      <w:r>
        <w:rPr>
          <w:rFonts w:ascii="Times New Roman" w:hAnsi="Times New Roman" w:eastAsia="Times New Roman"/>
          <w:spacing w:val="30"/>
          <w:w w:val="95"/>
          <w:sz w:val="26"/>
        </w:rPr>
        <w:t> </w:t>
      </w:r>
      <w:r>
        <w:rPr>
          <w:rFonts w:ascii="Times New Roman" w:hAnsi="Times New Roman" w:eastAsia="Times New Roman"/>
          <w:w w:val="95"/>
          <w:sz w:val="26"/>
        </w:rPr>
        <w:t>13806</w:t>
      </w:r>
      <w:r>
        <w:rPr>
          <w:rFonts w:ascii="Times New Roman" w:hAnsi="Times New Roman" w:eastAsia="Times New Roman"/>
          <w:spacing w:val="-19"/>
          <w:w w:val="95"/>
          <w:sz w:val="26"/>
        </w:rPr>
        <w:t> </w:t>
      </w:r>
      <w:r>
        <w:rPr>
          <w:spacing w:val="10"/>
          <w:w w:val="95"/>
          <w:sz w:val="21"/>
        </w:rPr>
        <w:t>號函副知雲林地院轉知復審人陞任二等書 記官案 ，經</w:t>
      </w:r>
      <w:r>
        <w:rPr>
          <w:spacing w:val="108"/>
          <w:sz w:val="21"/>
        </w:rPr>
        <w:t> </w:t>
      </w:r>
      <w:r>
        <w:rPr>
          <w:w w:val="95"/>
          <w:sz w:val="21"/>
        </w:rPr>
        <w:t>司 法浣甄審委員 會</w:t>
      </w:r>
      <w:r>
        <w:rPr>
          <w:sz w:val="21"/>
        </w:rPr>
        <w:t>決議不通過。復審人不服，提超復審。保訓會謂：該機關辦理陞遷程序，與相關規        </w:t>
      </w:r>
      <w:r>
        <w:rPr>
          <w:spacing w:val="22"/>
          <w:sz w:val="21"/>
        </w:rPr>
        <w:t> </w:t>
      </w:r>
      <w:r>
        <w:rPr>
          <w:sz w:val="21"/>
        </w:rPr>
        <w:t>定合致，尚蕪程序上瑕疵。……司法院對部屬所為職務陞遷與否之判斷，應予尊重，      </w:t>
      </w:r>
      <w:r>
        <w:rPr>
          <w:spacing w:val="32"/>
          <w:sz w:val="21"/>
        </w:rPr>
        <w:t> </w:t>
      </w:r>
      <w:r>
        <w:rPr>
          <w:spacing w:val="4"/>
          <w:w w:val="95"/>
          <w:sz w:val="21"/>
        </w:rPr>
        <w:t>駁回其復審 。類此理由 ，尚可參考：</w:t>
      </w:r>
      <w:r>
        <w:rPr>
          <w:rFonts w:ascii="Times New Roman" w:hAnsi="Times New Roman" w:eastAsia="Times New Roman"/>
          <w:w w:val="95"/>
          <w:sz w:val="26"/>
        </w:rPr>
        <w:t>93</w:t>
      </w:r>
      <w:r>
        <w:rPr>
          <w:spacing w:val="30"/>
          <w:w w:val="95"/>
          <w:sz w:val="21"/>
        </w:rPr>
        <w:t>公審決字第</w:t>
      </w:r>
      <w:r>
        <w:rPr>
          <w:rFonts w:ascii="Times New Roman" w:hAnsi="Times New Roman" w:eastAsia="Times New Roman"/>
          <w:w w:val="95"/>
          <w:sz w:val="26"/>
        </w:rPr>
        <w:t>0260</w:t>
      </w:r>
      <w:r>
        <w:rPr>
          <w:rFonts w:ascii="Times New Roman" w:hAnsi="Times New Roman" w:eastAsia="Times New Roman"/>
          <w:spacing w:val="10"/>
          <w:w w:val="95"/>
          <w:sz w:val="26"/>
        </w:rPr>
        <w:t> </w:t>
      </w:r>
      <w:r>
        <w:rPr>
          <w:spacing w:val="-30"/>
          <w:w w:val="95"/>
          <w:sz w:val="21"/>
        </w:rPr>
        <w:t>號 、</w:t>
      </w:r>
      <w:r>
        <w:rPr>
          <w:rFonts w:ascii="Times New Roman" w:hAnsi="Times New Roman" w:eastAsia="Times New Roman"/>
          <w:spacing w:val="10"/>
          <w:w w:val="95"/>
          <w:sz w:val="26"/>
        </w:rPr>
        <w:t>95</w:t>
      </w:r>
      <w:r>
        <w:rPr>
          <w:spacing w:val="10"/>
          <w:w w:val="95"/>
          <w:sz w:val="21"/>
        </w:rPr>
        <w:t>年公審決字 第</w:t>
      </w:r>
      <w:r>
        <w:rPr>
          <w:rFonts w:ascii="Times New Roman" w:hAnsi="Times New Roman" w:eastAsia="Times New Roman"/>
          <w:w w:val="95"/>
          <w:sz w:val="26"/>
        </w:rPr>
        <w:t>0454</w:t>
      </w:r>
      <w:r>
        <w:rPr>
          <w:rFonts w:ascii="Times New Roman" w:hAnsi="Times New Roman" w:eastAsia="Times New Roman"/>
          <w:spacing w:val="27"/>
          <w:w w:val="95"/>
          <w:sz w:val="26"/>
        </w:rPr>
        <w:t> </w:t>
      </w:r>
      <w:r>
        <w:rPr>
          <w:spacing w:val="11"/>
          <w:w w:val="95"/>
          <w:sz w:val="21"/>
        </w:rPr>
        <w:t>號丶</w:t>
      </w:r>
      <w:r>
        <w:rPr>
          <w:rFonts w:ascii="Times New Roman" w:hAnsi="Times New Roman" w:eastAsia="Times New Roman"/>
          <w:spacing w:val="10"/>
          <w:w w:val="95"/>
          <w:sz w:val="26"/>
        </w:rPr>
        <w:t>96</w:t>
      </w:r>
      <w:r>
        <w:rPr>
          <w:spacing w:val="22"/>
          <w:w w:val="95"/>
          <w:sz w:val="21"/>
        </w:rPr>
        <w:t>年公審決字第</w:t>
      </w:r>
      <w:r>
        <w:rPr>
          <w:rFonts w:ascii="Times New Roman" w:hAnsi="Times New Roman" w:eastAsia="Times New Roman"/>
          <w:w w:val="95"/>
          <w:sz w:val="26"/>
        </w:rPr>
        <w:t>0362</w:t>
      </w:r>
      <w:r>
        <w:rPr>
          <w:spacing w:val="-13"/>
          <w:w w:val="95"/>
          <w:sz w:val="21"/>
        </w:rPr>
        <w:t>號 、</w:t>
      </w:r>
      <w:r>
        <w:rPr>
          <w:rFonts w:ascii="Times New Roman" w:hAnsi="Times New Roman" w:eastAsia="Times New Roman"/>
          <w:spacing w:val="10"/>
          <w:w w:val="95"/>
          <w:sz w:val="26"/>
        </w:rPr>
        <w:t>97</w:t>
      </w:r>
      <w:r>
        <w:rPr>
          <w:spacing w:val="9"/>
          <w:w w:val="95"/>
          <w:sz w:val="21"/>
        </w:rPr>
        <w:t>年公審決字 第</w:t>
      </w:r>
      <w:r>
        <w:rPr>
          <w:rFonts w:ascii="Times New Roman" w:hAnsi="Times New Roman" w:eastAsia="Times New Roman"/>
          <w:w w:val="95"/>
          <w:sz w:val="26"/>
        </w:rPr>
        <w:t>0045</w:t>
      </w:r>
      <w:r>
        <w:rPr>
          <w:rFonts w:ascii="Times New Roman" w:hAnsi="Times New Roman" w:eastAsia="Times New Roman"/>
          <w:spacing w:val="60"/>
          <w:sz w:val="26"/>
        </w:rPr>
        <w:t> </w:t>
      </w:r>
      <w:r>
        <w:rPr>
          <w:spacing w:val="-13"/>
          <w:w w:val="95"/>
          <w:sz w:val="21"/>
        </w:rPr>
        <w:t>號 、</w:t>
      </w:r>
      <w:r>
        <w:rPr>
          <w:rFonts w:ascii="Times New Roman" w:hAnsi="Times New Roman" w:eastAsia="Times New Roman"/>
          <w:spacing w:val="10"/>
          <w:w w:val="95"/>
          <w:sz w:val="26"/>
        </w:rPr>
        <w:t>97</w:t>
      </w:r>
      <w:r>
        <w:rPr>
          <w:spacing w:val="9"/>
          <w:w w:val="95"/>
          <w:sz w:val="21"/>
        </w:rPr>
        <w:t>年公審決字 第</w:t>
      </w:r>
      <w:r>
        <w:rPr>
          <w:rFonts w:ascii="Times New Roman" w:hAnsi="Times New Roman" w:eastAsia="Times New Roman"/>
          <w:w w:val="95"/>
          <w:sz w:val="26"/>
        </w:rPr>
        <w:t>0088</w:t>
      </w:r>
      <w:r>
        <w:rPr>
          <w:spacing w:val="-13"/>
          <w:w w:val="95"/>
          <w:sz w:val="21"/>
        </w:rPr>
        <w:t>號 、</w:t>
      </w:r>
      <w:r>
        <w:rPr>
          <w:rFonts w:ascii="Times New Roman" w:hAnsi="Times New Roman" w:eastAsia="Times New Roman"/>
          <w:spacing w:val="10"/>
          <w:w w:val="95"/>
          <w:sz w:val="26"/>
        </w:rPr>
        <w:t>97</w:t>
      </w:r>
      <w:r>
        <w:rPr>
          <w:spacing w:val="6"/>
          <w:w w:val="95"/>
          <w:sz w:val="21"/>
        </w:rPr>
        <w:t>年公</w:t>
      </w:r>
      <w:r>
        <w:rPr>
          <w:spacing w:val="32"/>
          <w:w w:val="95"/>
          <w:sz w:val="21"/>
        </w:rPr>
        <w:t>審決字第</w:t>
      </w:r>
      <w:r>
        <w:rPr>
          <w:rFonts w:ascii="Times New Roman" w:hAnsi="Times New Roman" w:eastAsia="Times New Roman"/>
          <w:w w:val="95"/>
          <w:sz w:val="26"/>
        </w:rPr>
        <w:t>0112</w:t>
      </w:r>
      <w:r>
        <w:rPr>
          <w:spacing w:val="9"/>
          <w:w w:val="95"/>
          <w:sz w:val="21"/>
        </w:rPr>
        <w:t>號丶</w:t>
      </w:r>
      <w:r>
        <w:rPr>
          <w:rFonts w:ascii="Times New Roman" w:hAnsi="Times New Roman" w:eastAsia="Times New Roman"/>
          <w:w w:val="95"/>
          <w:sz w:val="26"/>
        </w:rPr>
        <w:t>98</w:t>
      </w:r>
      <w:r>
        <w:rPr>
          <w:spacing w:val="22"/>
          <w:w w:val="95"/>
          <w:sz w:val="21"/>
        </w:rPr>
        <w:t>年公審決字第</w:t>
      </w:r>
      <w:r>
        <w:rPr>
          <w:rFonts w:ascii="Times New Roman" w:hAnsi="Times New Roman" w:eastAsia="Times New Roman"/>
          <w:w w:val="95"/>
          <w:sz w:val="26"/>
        </w:rPr>
        <w:t>0207</w:t>
      </w:r>
      <w:r>
        <w:rPr>
          <w:rFonts w:ascii="Times New Roman" w:hAnsi="Times New Roman" w:eastAsia="Times New Roman"/>
          <w:spacing w:val="13"/>
          <w:w w:val="95"/>
          <w:sz w:val="26"/>
        </w:rPr>
        <w:t> </w:t>
      </w:r>
      <w:r>
        <w:rPr>
          <w:w w:val="95"/>
          <w:sz w:val="21"/>
        </w:rPr>
        <w:t>號復審決定 。</w:t>
      </w:r>
    </w:p>
    <w:p>
      <w:pPr>
        <w:spacing w:before="23"/>
        <w:ind w:left="298" w:right="0" w:firstLine="0"/>
        <w:jc w:val="left"/>
        <w:rPr>
          <w:sz w:val="21"/>
        </w:rPr>
      </w:pPr>
      <w:r>
        <w:rPr>
          <w:rFonts w:ascii="Times New Roman" w:eastAsia="Times New Roman"/>
          <w:w w:val="110"/>
          <w:sz w:val="21"/>
          <w:vertAlign w:val="superscript"/>
        </w:rPr>
        <w:t>86</w:t>
      </w:r>
      <w:r>
        <w:rPr>
          <w:rFonts w:ascii="Times New Roman" w:eastAsia="Times New Roman"/>
          <w:spacing w:val="14"/>
          <w:w w:val="110"/>
          <w:sz w:val="21"/>
          <w:vertAlign w:val="baseline"/>
        </w:rPr>
        <w:t>   </w:t>
      </w:r>
      <w:r>
        <w:rPr>
          <w:w w:val="110"/>
          <w:sz w:val="21"/>
          <w:vertAlign w:val="baseline"/>
        </w:rPr>
        <w:t>有關不確定法律概念在公務員保障法上適用之相關問題，可參：黃錦堂，判斷餘地</w:t>
      </w:r>
    </w:p>
    <w:p>
      <w:pPr>
        <w:spacing w:after="0"/>
        <w:jc w:val="left"/>
        <w:rPr>
          <w:sz w:val="21"/>
        </w:rPr>
        <w:sectPr>
          <w:pgSz w:w="11910" w:h="16840"/>
          <w:pgMar w:header="862" w:footer="1017" w:top="1060" w:bottom="1200" w:left="1120" w:right="1060"/>
        </w:sectPr>
      </w:pPr>
    </w:p>
    <w:p>
      <w:pPr>
        <w:spacing w:before="10"/>
        <w:ind w:left="503" w:right="0" w:firstLine="0"/>
        <w:jc w:val="left"/>
        <w:rPr>
          <w:rFonts w:ascii="Times New Roman" w:eastAsia="Times New Roman"/>
          <w:sz w:val="26"/>
        </w:rPr>
      </w:pPr>
      <w:r>
        <w:rPr>
          <w:spacing w:val="-1"/>
          <w:w w:val="90"/>
          <w:sz w:val="21"/>
        </w:rPr>
        <w:t>理論於公務員保障法之適用與 檢 討 ， 法令月刊  ， 第</w:t>
      </w:r>
      <w:r>
        <w:rPr>
          <w:rFonts w:ascii="Times New Roman" w:eastAsia="Times New Roman"/>
          <w:w w:val="90"/>
          <w:sz w:val="26"/>
        </w:rPr>
        <w:t>69</w:t>
      </w:r>
      <w:r>
        <w:rPr>
          <w:spacing w:val="15"/>
          <w:w w:val="90"/>
          <w:sz w:val="21"/>
        </w:rPr>
        <w:t>卷 ， 第</w:t>
      </w:r>
      <w:r>
        <w:rPr>
          <w:rFonts w:ascii="Times New Roman" w:eastAsia="Times New Roman"/>
          <w:w w:val="90"/>
          <w:sz w:val="26"/>
        </w:rPr>
        <w:t>9</w:t>
      </w:r>
      <w:r>
        <w:rPr>
          <w:spacing w:val="-2"/>
          <w:w w:val="90"/>
          <w:sz w:val="21"/>
        </w:rPr>
        <w:t>期 ， 頁</w:t>
      </w:r>
      <w:r>
        <w:rPr>
          <w:rFonts w:ascii="Times New Roman" w:eastAsia="Times New Roman"/>
          <w:w w:val="90"/>
          <w:sz w:val="26"/>
        </w:rPr>
        <w:t>54-</w:t>
      </w:r>
      <w:r>
        <w:rPr>
          <w:rFonts w:ascii="Times New Roman" w:eastAsia="Times New Roman"/>
          <w:spacing w:val="-7"/>
          <w:w w:val="90"/>
          <w:sz w:val="26"/>
        </w:rPr>
        <w:t> </w:t>
      </w:r>
      <w:r>
        <w:rPr>
          <w:rFonts w:ascii="Times New Roman" w:eastAsia="Times New Roman"/>
          <w:w w:val="90"/>
          <w:sz w:val="26"/>
        </w:rPr>
        <w:t>7,3</w:t>
      </w:r>
    </w:p>
    <w:p>
      <w:pPr>
        <w:spacing w:before="39"/>
        <w:ind w:left="525" w:right="0" w:firstLine="0"/>
        <w:jc w:val="left"/>
        <w:rPr>
          <w:sz w:val="21"/>
        </w:rPr>
      </w:pPr>
      <w:r>
        <w:rPr>
          <w:w w:val="90"/>
          <w:sz w:val="21"/>
        </w:rPr>
        <w:t>月。</w:t>
      </w:r>
    </w:p>
    <w:p>
      <w:pPr>
        <w:spacing w:before="10"/>
        <w:ind w:left="206" w:right="0" w:firstLine="0"/>
        <w:jc w:val="left"/>
        <w:rPr>
          <w:rFonts w:ascii="Times New Roman" w:eastAsia="Times New Roman"/>
          <w:sz w:val="26"/>
        </w:rPr>
      </w:pPr>
      <w:r>
        <w:rPr/>
        <w:br w:type="column"/>
      </w:r>
      <w:r>
        <w:rPr>
          <w:rFonts w:ascii="Times New Roman" w:eastAsia="Times New Roman"/>
          <w:w w:val="85"/>
          <w:sz w:val="26"/>
        </w:rPr>
        <w:t>2009</w:t>
      </w:r>
      <w:r>
        <w:rPr>
          <w:rFonts w:ascii="Times New Roman" w:eastAsia="Times New Roman"/>
          <w:spacing w:val="41"/>
          <w:w w:val="85"/>
          <w:sz w:val="26"/>
        </w:rPr>
        <w:t> </w:t>
      </w:r>
      <w:r>
        <w:rPr>
          <w:w w:val="85"/>
          <w:sz w:val="21"/>
        </w:rPr>
        <w:t>年</w:t>
      </w:r>
      <w:r>
        <w:rPr>
          <w:rFonts w:ascii="Times New Roman" w:eastAsia="Times New Roman"/>
          <w:w w:val="85"/>
          <w:sz w:val="26"/>
        </w:rPr>
        <w:t>9</w:t>
      </w:r>
    </w:p>
    <w:p>
      <w:pPr>
        <w:spacing w:after="0"/>
        <w:jc w:val="left"/>
        <w:rPr>
          <w:rFonts w:ascii="Times New Roman" w:eastAsia="Times New Roman"/>
          <w:sz w:val="26"/>
        </w:rPr>
        <w:sectPr>
          <w:type w:val="continuous"/>
          <w:pgSz w:w="11910" w:h="16840"/>
          <w:pgMar w:top="1020" w:bottom="280" w:left="1120" w:right="1060"/>
          <w:cols w:num="2" w:equalWidth="0">
            <w:col w:w="8122" w:space="40"/>
            <w:col w:w="1568"/>
          </w:cols>
        </w:sectPr>
      </w:pPr>
    </w:p>
    <w:p>
      <w:pPr>
        <w:pStyle w:val="BodyText"/>
        <w:rPr>
          <w:rFonts w:ascii="Times New Roman"/>
          <w:sz w:val="20"/>
        </w:rPr>
      </w:pPr>
    </w:p>
    <w:p>
      <w:pPr>
        <w:pStyle w:val="BodyText"/>
        <w:spacing w:line="328" w:lineRule="auto" w:before="206"/>
        <w:ind w:left="299" w:right="445" w:firstLine="576"/>
        <w:rPr>
          <w:rFonts w:ascii="Arial" w:eastAsia="Arial"/>
          <w:sz w:val="8"/>
        </w:rPr>
      </w:pPr>
      <w:r>
        <w:rPr>
          <w:w w:val="110"/>
        </w:rPr>
        <w:t>公務人員因競爭者事件權益受損而向保訓會提超積極競爭者爭訟中</w:t>
      </w:r>
      <w:r>
        <w:rPr>
          <w:spacing w:val="23"/>
          <w:w w:val="110"/>
        </w:rPr>
        <w:t> </w:t>
      </w:r>
      <w:r>
        <w:rPr>
          <w:w w:val="110"/>
        </w:rPr>
        <w:t>之撤銷復審，請求保訓會撤銷原處分機關否准其申請之處分時，其爭訟之合法性，亦無疑間。然而，噹事人僅針對原處分機關否准其陞任、陞遷丶留任等之申請提超復審，是否均能發揮實質之権利保障功能，則頗值懷</w:t>
      </w:r>
      <w:r>
        <w:rPr>
          <w:spacing w:val="49"/>
          <w:w w:val="110"/>
        </w:rPr>
        <w:t> </w:t>
      </w:r>
      <w:r>
        <w:rPr>
          <w:w w:val="110"/>
        </w:rPr>
        <w:t>疑。蓋依前述德國聯邦行政法院之見解，人事主管機關如已就系爭職務作成陞任、陞遷、留任等授益他人之處分，即不可能再為變更，重新作成對噹事人有利之決定。因此，人事主管機關對於當事人之侵益處分（告知其未獲任命之通知書），自該項任命生效之時超，即已了結。噹事人向行政</w:t>
      </w:r>
      <w:r>
        <w:rPr>
          <w:spacing w:val="4"/>
        </w:rPr>
        <w:t>法院主張權 利保護之請求 </w:t>
      </w:r>
      <w:r>
        <w:rPr>
          <w:spacing w:val="-30"/>
          <w:w w:val="85"/>
        </w:rPr>
        <w:t>， </w:t>
      </w:r>
      <w:r>
        <w:rPr>
          <w:spacing w:val="3"/>
        </w:rPr>
        <w:t>即不合法</w:t>
      </w:r>
      <w:r>
        <w:rPr>
          <w:rFonts w:ascii="Times New Roman" w:eastAsia="Times New Roman"/>
          <w:w w:val="85"/>
          <w:sz w:val="16"/>
        </w:rPr>
        <w:t>87</w:t>
      </w:r>
      <w:r>
        <w:rPr>
          <w:rFonts w:ascii="Times New Roman" w:eastAsia="Times New Roman"/>
          <w:spacing w:val="52"/>
          <w:sz w:val="16"/>
        </w:rPr>
        <w:t>  </w:t>
      </w:r>
      <w:r>
        <w:rPr>
          <w:rFonts w:ascii="Arial" w:eastAsia="Arial"/>
          <w:w w:val="110"/>
          <w:sz w:val="8"/>
        </w:rPr>
        <w:t>0</w:t>
      </w:r>
    </w:p>
    <w:p>
      <w:pPr>
        <w:pStyle w:val="BodyText"/>
        <w:spacing w:line="312" w:lineRule="auto" w:before="15"/>
        <w:ind w:left="307" w:right="559" w:firstLine="553"/>
        <w:jc w:val="both"/>
      </w:pPr>
      <w:r>
        <w:rPr/>
        <w:t>以陞遷事件為例，我國實務上，保訓會亦常以「系爭職缺已核派他人，</w:t>
      </w:r>
      <w:r>
        <w:rPr>
          <w:spacing w:val="175"/>
        </w:rPr>
        <w:t> </w:t>
      </w:r>
      <w:r>
        <w:rPr>
          <w:spacing w:val="17"/>
        </w:rPr>
        <w:t>所提救濟</w:t>
      </w:r>
      <w:r>
        <w:rPr>
          <w:spacing w:val="38"/>
          <w:w w:val="95"/>
        </w:rPr>
        <w:t>亦</w:t>
      </w:r>
      <w:r>
        <w:rPr/>
        <w:t>已無實益」 </w:t>
      </w:r>
      <w:r>
        <w:rPr>
          <w:spacing w:val="21"/>
          <w:w w:val="95"/>
        </w:rPr>
        <w:t>為由 ，駁 </w:t>
      </w:r>
      <w:r>
        <w:rPr>
          <w:spacing w:val="-5"/>
        </w:rPr>
        <w:t>回復審人所提復審 。例如： 保訓會 </w:t>
      </w:r>
      <w:r>
        <w:rPr>
          <w:rFonts w:ascii="Times New Roman" w:eastAsia="Times New Roman"/>
          <w:w w:val="95"/>
          <w:sz w:val="30"/>
        </w:rPr>
        <w:t>96</w:t>
      </w:r>
      <w:r>
        <w:rPr>
          <w:rFonts w:ascii="Times New Roman" w:eastAsia="Times New Roman"/>
          <w:spacing w:val="59"/>
          <w:w w:val="95"/>
          <w:sz w:val="30"/>
        </w:rPr>
        <w:t> </w:t>
      </w:r>
      <w:r>
        <w:rPr>
          <w:sz w:val="24"/>
        </w:rPr>
        <w:t>年</w:t>
      </w:r>
      <w:r>
        <w:rPr>
          <w:spacing w:val="25"/>
        </w:rPr>
        <w:t>公審決</w:t>
      </w:r>
      <w:r>
        <w:rPr>
          <w:spacing w:val="17"/>
          <w:w w:val="95"/>
        </w:rPr>
        <w:t>字第 </w:t>
      </w:r>
      <w:r>
        <w:rPr>
          <w:rFonts w:ascii="Arial" w:eastAsia="Arial"/>
          <w:w w:val="95"/>
          <w:sz w:val="28"/>
        </w:rPr>
        <w:t>0362</w:t>
      </w:r>
      <w:r>
        <w:rPr>
          <w:rFonts w:ascii="Arial" w:eastAsia="Arial"/>
          <w:spacing w:val="48"/>
          <w:w w:val="95"/>
          <w:sz w:val="28"/>
        </w:rPr>
        <w:t> </w:t>
      </w:r>
      <w:r>
        <w:rPr>
          <w:spacing w:val="5"/>
        </w:rPr>
        <w:t>號復審決定 。本件之</w:t>
      </w:r>
      <w:r>
        <w:rPr>
          <w:spacing w:val="-6"/>
          <w:w w:val="95"/>
        </w:rPr>
        <w:t>案例 </w:t>
      </w:r>
      <w:r>
        <w:rPr>
          <w:spacing w:val="-8"/>
        </w:rPr>
        <w:t>事實略 </w:t>
      </w:r>
      <w:r>
        <w:rPr>
          <w:spacing w:val="-17"/>
          <w:w w:val="95"/>
        </w:rPr>
        <w:t>為： </w:t>
      </w:r>
      <w:r>
        <w:rPr>
          <w:spacing w:val="17"/>
        </w:rPr>
        <w:t>復審人任職</w:t>
      </w:r>
      <w:r>
        <w:rPr>
          <w:spacing w:val="38"/>
          <w:w w:val="95"/>
        </w:rPr>
        <w:t>臺南</w:t>
      </w:r>
      <w:r>
        <w:rPr/>
        <w:t>縣</w:t>
      </w:r>
    </w:p>
    <w:p>
      <w:pPr>
        <w:pStyle w:val="BodyText"/>
        <w:spacing w:line="352" w:lineRule="exact"/>
        <w:ind w:left="318"/>
        <w:jc w:val="both"/>
      </w:pPr>
      <w:r>
        <w:rPr>
          <w:spacing w:val="29"/>
          <w:w w:val="95"/>
          <w:sz w:val="22"/>
        </w:rPr>
        <w:t>立</w:t>
      </w:r>
      <w:r>
        <w:rPr>
          <w:rFonts w:ascii="Times New Roman" w:eastAsia="Times New Roman"/>
          <w:w w:val="95"/>
          <w:sz w:val="35"/>
        </w:rPr>
        <w:t>0</w:t>
      </w:r>
      <w:r>
        <w:rPr>
          <w:rFonts w:ascii="Times New Roman" w:eastAsia="Times New Roman"/>
          <w:spacing w:val="29"/>
          <w:w w:val="95"/>
          <w:sz w:val="35"/>
        </w:rPr>
        <w:t> </w:t>
      </w:r>
      <w:r>
        <w:rPr>
          <w:rFonts w:ascii="Times New Roman" w:eastAsia="Times New Roman"/>
          <w:w w:val="95"/>
          <w:sz w:val="35"/>
        </w:rPr>
        <w:t>0</w:t>
      </w:r>
      <w:r>
        <w:rPr>
          <w:rFonts w:ascii="Times New Roman" w:eastAsia="Times New Roman"/>
          <w:spacing w:val="41"/>
          <w:w w:val="95"/>
          <w:sz w:val="35"/>
        </w:rPr>
        <w:t> </w:t>
      </w:r>
      <w:r>
        <w:rPr>
          <w:spacing w:val="-2"/>
          <w:w w:val="95"/>
        </w:rPr>
        <w:t>國民 中學薦任第 七職 等幹 事 </w:t>
      </w:r>
      <w:r>
        <w:rPr>
          <w:spacing w:val="24"/>
          <w:w w:val="90"/>
        </w:rPr>
        <w:t>，以 </w:t>
      </w:r>
      <w:r>
        <w:rPr>
          <w:spacing w:val="13"/>
          <w:w w:val="95"/>
        </w:rPr>
        <w:t>其參加該校維長陞任甄審 </w:t>
      </w:r>
      <w:r>
        <w:rPr>
          <w:spacing w:val="-39"/>
          <w:w w:val="90"/>
        </w:rPr>
        <w:t>， </w:t>
      </w:r>
      <w:r>
        <w:rPr>
          <w:w w:val="95"/>
        </w:rPr>
        <w:t>未獲升</w:t>
      </w:r>
    </w:p>
    <w:p>
      <w:pPr>
        <w:pStyle w:val="BodyText"/>
        <w:spacing w:line="328" w:lineRule="auto" w:before="107"/>
        <w:ind w:left="301" w:right="511" w:firstLine="1"/>
        <w:jc w:val="both"/>
        <w:rPr>
          <w:rFonts w:ascii="Times New Roman" w:eastAsia="Times New Roman"/>
          <w:sz w:val="16"/>
        </w:rPr>
      </w:pPr>
      <w:r>
        <w:rPr>
          <w:w w:val="110"/>
        </w:rPr>
        <w:t>任維長，向保訓會循公務人員保障法所定復審程序提超救濟。保訓會謂：</w:t>
      </w:r>
      <w:r>
        <w:rPr>
          <w:spacing w:val="-136"/>
          <w:w w:val="110"/>
        </w:rPr>
        <w:t> </w:t>
      </w:r>
      <w:r>
        <w:rPr>
          <w:w w:val="110"/>
        </w:rPr>
        <w:t>復審人是否得陞任維長，核屬機關首長考量審認權限事項，為求人與事之適切配合，該校未將復審人陞任組長之決定，核難謂有何違法之處，且該</w:t>
      </w:r>
      <w:r>
        <w:rPr>
          <w:spacing w:val="7"/>
        </w:rPr>
        <w:t>職缺已核派他人 </w:t>
      </w:r>
      <w:r>
        <w:rPr>
          <w:spacing w:val="-34"/>
          <w:w w:val="85"/>
        </w:rPr>
        <w:t>， </w:t>
      </w:r>
      <w:r>
        <w:rPr>
          <w:spacing w:val="14"/>
        </w:rPr>
        <w:t>所提救濟亦已無實益 </w:t>
      </w:r>
      <w:r>
        <w:rPr>
          <w:spacing w:val="-37"/>
          <w:w w:val="85"/>
        </w:rPr>
        <w:t>， </w:t>
      </w:r>
      <w:r>
        <w:rPr>
          <w:spacing w:val="-2"/>
        </w:rPr>
        <w:t>原處分應予維持 。</w:t>
      </w:r>
      <w:r>
        <w:rPr>
          <w:rFonts w:ascii="Times New Roman" w:eastAsia="Times New Roman"/>
          <w:w w:val="85"/>
          <w:sz w:val="16"/>
        </w:rPr>
        <w:t>88</w:t>
      </w:r>
    </w:p>
    <w:p>
      <w:pPr>
        <w:pStyle w:val="BodyText"/>
        <w:spacing w:line="331" w:lineRule="auto" w:before="8"/>
        <w:ind w:left="306" w:right="513" w:firstLine="568"/>
        <w:jc w:val="both"/>
      </w:pPr>
      <w:r>
        <w:rPr>
          <w:w w:val="110"/>
        </w:rPr>
        <w:t>綜上所述，為完整建構公務員法上競爭者爭訟之制度，俾加強公務員法上競爭者爭訟之權利保護功能，實應背定消極競爭者爭訟之合法性，使復審人直接對於陞任、陞遷、留任等授益他人之行政處分提超救濟，以阻止該處分之效力確定，避免造成系爭職缺已核派他人，對於噹事人之侵益處分已了結，所提復審欠缺權利保護必要而無從獲得有效救濟之結果。</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r>
        <w:rPr/>
        <w:pict>
          <v:shape style="position:absolute;margin-left:95.174004pt;margin-top:12.093114pt;width:144.25pt;height:.1pt;mso-position-horizontal-relative:page;mso-position-vertical-relative:paragraph;z-index:-15623680;mso-wrap-distance-left:0;mso-wrap-distance-right:0" coordorigin="1903,242" coordsize="2885,0" path="m1903,242l4788,242e" filled="false" stroked="true" strokeweight=".480547pt" strokecolor="#000000">
            <v:path arrowok="t"/>
            <v:stroke dashstyle="solid"/>
            <w10:wrap type="topAndBottom"/>
          </v:shape>
        </w:pict>
      </w:r>
    </w:p>
    <w:p>
      <w:pPr>
        <w:pStyle w:val="BodyText"/>
        <w:spacing w:before="12"/>
        <w:rPr>
          <w:sz w:val="8"/>
        </w:rPr>
      </w:pPr>
    </w:p>
    <w:p>
      <w:pPr>
        <w:pStyle w:val="BodyText"/>
        <w:spacing w:before="92"/>
        <w:ind w:left="298"/>
        <w:rPr>
          <w:rFonts w:ascii="Arial"/>
        </w:rPr>
      </w:pPr>
      <w:r>
        <w:rPr>
          <w:rFonts w:ascii="Times New Roman"/>
          <w:w w:val="90"/>
          <w:position w:val="8"/>
          <w:sz w:val="13"/>
        </w:rPr>
        <w:t>87</w:t>
      </w:r>
      <w:r>
        <w:rPr>
          <w:rFonts w:ascii="Times New Roman"/>
          <w:spacing w:val="5"/>
          <w:w w:val="90"/>
          <w:position w:val="8"/>
          <w:sz w:val="13"/>
        </w:rPr>
        <w:t> </w:t>
      </w:r>
      <w:r>
        <w:rPr>
          <w:rFonts w:ascii="Arial"/>
          <w:w w:val="90"/>
        </w:rPr>
        <w:t>BVerwGE</w:t>
      </w:r>
      <w:r>
        <w:rPr>
          <w:rFonts w:ascii="Arial"/>
          <w:spacing w:val="33"/>
          <w:w w:val="90"/>
        </w:rPr>
        <w:t> </w:t>
      </w:r>
      <w:r>
        <w:rPr>
          <w:rFonts w:ascii="Arial"/>
          <w:w w:val="90"/>
        </w:rPr>
        <w:t>80,</w:t>
      </w:r>
      <w:r>
        <w:rPr>
          <w:rFonts w:ascii="Arial"/>
          <w:spacing w:val="60"/>
          <w:w w:val="90"/>
        </w:rPr>
        <w:t> </w:t>
      </w:r>
      <w:r>
        <w:rPr>
          <w:rFonts w:ascii="Arial"/>
          <w:w w:val="90"/>
        </w:rPr>
        <w:t>127</w:t>
      </w:r>
      <w:r>
        <w:rPr>
          <w:rFonts w:ascii="Arial"/>
          <w:spacing w:val="26"/>
          <w:w w:val="90"/>
        </w:rPr>
        <w:t> </w:t>
      </w:r>
      <w:r>
        <w:rPr>
          <w:rFonts w:ascii="Arial"/>
          <w:w w:val="90"/>
          <w:sz w:val="19"/>
        </w:rPr>
        <w:t>=</w:t>
      </w:r>
      <w:r>
        <w:rPr>
          <w:rFonts w:ascii="Arial"/>
          <w:spacing w:val="24"/>
          <w:w w:val="90"/>
          <w:sz w:val="19"/>
        </w:rPr>
        <w:t> </w:t>
      </w:r>
      <w:r>
        <w:rPr>
          <w:rFonts w:ascii="Arial"/>
          <w:w w:val="90"/>
        </w:rPr>
        <w:t>NVwZ</w:t>
      </w:r>
      <w:r>
        <w:rPr>
          <w:rFonts w:ascii="Arial"/>
          <w:spacing w:val="27"/>
          <w:w w:val="90"/>
        </w:rPr>
        <w:t> </w:t>
      </w:r>
      <w:r>
        <w:rPr>
          <w:rFonts w:ascii="Arial"/>
          <w:w w:val="90"/>
        </w:rPr>
        <w:t>1989,</w:t>
      </w:r>
      <w:r>
        <w:rPr>
          <w:rFonts w:ascii="Arial"/>
          <w:spacing w:val="4"/>
          <w:w w:val="90"/>
        </w:rPr>
        <w:t> </w:t>
      </w:r>
      <w:r>
        <w:rPr>
          <w:rFonts w:ascii="Arial"/>
          <w:w w:val="90"/>
        </w:rPr>
        <w:t>158</w:t>
      </w:r>
      <w:r>
        <w:rPr>
          <w:rFonts w:ascii="Arial"/>
          <w:spacing w:val="28"/>
          <w:w w:val="90"/>
        </w:rPr>
        <w:t> </w:t>
      </w:r>
      <w:r>
        <w:rPr>
          <w:rFonts w:ascii="Arial"/>
          <w:w w:val="90"/>
          <w:sz w:val="19"/>
        </w:rPr>
        <w:t>=</w:t>
      </w:r>
      <w:r>
        <w:rPr>
          <w:rFonts w:ascii="Arial"/>
          <w:spacing w:val="28"/>
          <w:w w:val="90"/>
          <w:sz w:val="19"/>
        </w:rPr>
        <w:t> </w:t>
      </w:r>
      <w:r>
        <w:rPr>
          <w:rFonts w:ascii="Arial"/>
          <w:w w:val="90"/>
        </w:rPr>
        <w:t>NJW</w:t>
      </w:r>
      <w:r>
        <w:rPr>
          <w:rFonts w:ascii="Arial"/>
          <w:spacing w:val="26"/>
          <w:w w:val="90"/>
        </w:rPr>
        <w:t> </w:t>
      </w:r>
      <w:r>
        <w:rPr>
          <w:rFonts w:ascii="Arial"/>
          <w:w w:val="90"/>
        </w:rPr>
        <w:t>1989,</w:t>
      </w:r>
      <w:r>
        <w:rPr>
          <w:rFonts w:ascii="Arial"/>
          <w:spacing w:val="8"/>
          <w:w w:val="90"/>
        </w:rPr>
        <w:t> </w:t>
      </w:r>
      <w:r>
        <w:rPr>
          <w:rFonts w:ascii="Arial"/>
          <w:w w:val="90"/>
        </w:rPr>
        <w:t>997.</w:t>
      </w:r>
    </w:p>
    <w:p>
      <w:pPr>
        <w:spacing w:before="16"/>
        <w:ind w:left="298" w:right="0" w:firstLine="0"/>
        <w:jc w:val="left"/>
        <w:rPr>
          <w:sz w:val="21"/>
        </w:rPr>
      </w:pPr>
      <w:r>
        <w:rPr>
          <w:rFonts w:ascii="Times New Roman" w:eastAsia="Times New Roman"/>
          <w:w w:val="95"/>
          <w:position w:val="8"/>
          <w:sz w:val="13"/>
        </w:rPr>
        <w:t>88</w:t>
      </w:r>
      <w:r>
        <w:rPr>
          <w:rFonts w:ascii="Times New Roman" w:eastAsia="Times New Roman"/>
          <w:spacing w:val="66"/>
          <w:position w:val="8"/>
          <w:sz w:val="13"/>
        </w:rPr>
        <w:t> </w:t>
      </w:r>
      <w:r>
        <w:rPr>
          <w:spacing w:val="-3"/>
          <w:w w:val="95"/>
          <w:sz w:val="21"/>
        </w:rPr>
        <w:t>類此理由 ， 尚可參考： </w:t>
      </w:r>
      <w:r>
        <w:rPr>
          <w:rFonts w:ascii="Arial" w:eastAsia="Arial"/>
          <w:w w:val="95"/>
          <w:sz w:val="25"/>
        </w:rPr>
        <w:t>94</w:t>
      </w:r>
      <w:r>
        <w:rPr>
          <w:rFonts w:ascii="Arial" w:eastAsia="Arial"/>
          <w:spacing w:val="-32"/>
          <w:w w:val="95"/>
          <w:sz w:val="25"/>
        </w:rPr>
        <w:t> </w:t>
      </w:r>
      <w:r>
        <w:rPr>
          <w:spacing w:val="23"/>
          <w:w w:val="95"/>
          <w:sz w:val="21"/>
        </w:rPr>
        <w:t>年公審決字第</w:t>
      </w:r>
      <w:r>
        <w:rPr>
          <w:rFonts w:ascii="Arial" w:eastAsia="Arial"/>
          <w:w w:val="95"/>
          <w:sz w:val="25"/>
        </w:rPr>
        <w:t>0037</w:t>
      </w:r>
      <w:r>
        <w:rPr>
          <w:rFonts w:ascii="Arial" w:eastAsia="Arial"/>
          <w:spacing w:val="25"/>
          <w:w w:val="95"/>
          <w:sz w:val="25"/>
        </w:rPr>
        <w:t> </w:t>
      </w:r>
      <w:r>
        <w:rPr>
          <w:spacing w:val="-19"/>
          <w:w w:val="95"/>
          <w:sz w:val="21"/>
        </w:rPr>
        <w:t>號 、</w:t>
      </w:r>
      <w:r>
        <w:rPr>
          <w:rFonts w:ascii="Arial" w:eastAsia="Arial"/>
          <w:w w:val="95"/>
          <w:sz w:val="25"/>
        </w:rPr>
        <w:t>95</w:t>
      </w:r>
      <w:r>
        <w:rPr>
          <w:rFonts w:ascii="Arial" w:eastAsia="Arial"/>
          <w:spacing w:val="-32"/>
          <w:w w:val="95"/>
          <w:sz w:val="25"/>
        </w:rPr>
        <w:t> </w:t>
      </w:r>
      <w:r>
        <w:rPr>
          <w:spacing w:val="21"/>
          <w:w w:val="95"/>
          <w:sz w:val="21"/>
        </w:rPr>
        <w:t>年公審決字第</w:t>
      </w:r>
      <w:r>
        <w:rPr>
          <w:rFonts w:ascii="Arial" w:eastAsia="Arial"/>
          <w:w w:val="95"/>
          <w:sz w:val="25"/>
        </w:rPr>
        <w:t>0454</w:t>
      </w:r>
      <w:r>
        <w:rPr>
          <w:rFonts w:ascii="Arial" w:eastAsia="Arial"/>
          <w:spacing w:val="26"/>
          <w:w w:val="95"/>
          <w:sz w:val="25"/>
        </w:rPr>
        <w:t> </w:t>
      </w:r>
      <w:r>
        <w:rPr>
          <w:spacing w:val="3"/>
          <w:w w:val="95"/>
          <w:sz w:val="21"/>
        </w:rPr>
        <w:t>號復審決定 。</w:t>
      </w:r>
    </w:p>
    <w:p>
      <w:pPr>
        <w:spacing w:after="0"/>
        <w:jc w:val="left"/>
        <w:rPr>
          <w:sz w:val="21"/>
        </w:rPr>
        <w:sectPr>
          <w:pgSz w:w="11910" w:h="16840"/>
          <w:pgMar w:header="862" w:footer="1017" w:top="1060" w:bottom="1200" w:left="1120" w:right="1060"/>
        </w:sectPr>
      </w:pPr>
    </w:p>
    <w:p>
      <w:pPr>
        <w:pStyle w:val="BodyText"/>
        <w:spacing w:line="240" w:lineRule="exact"/>
        <w:ind w:left="7209"/>
        <w:rPr>
          <w:sz w:val="20"/>
        </w:rPr>
      </w:pPr>
      <w:r>
        <w:rPr>
          <w:position w:val="-4"/>
          <w:sz w:val="20"/>
        </w:rPr>
        <w:drawing>
          <wp:inline distT="0" distB="0" distL="0" distR="0">
            <wp:extent cx="1524380" cy="152400"/>
            <wp:effectExtent l="0" t="0" r="0" b="0"/>
            <wp:docPr id="317" name="image140.png"/>
            <wp:cNvGraphicFramePr>
              <a:graphicFrameLocks noChangeAspect="1"/>
            </wp:cNvGraphicFramePr>
            <a:graphic>
              <a:graphicData uri="http://schemas.openxmlformats.org/drawingml/2006/picture">
                <pic:pic>
                  <pic:nvPicPr>
                    <pic:cNvPr id="318" name="image140.png"/>
                    <pic:cNvPicPr/>
                  </pic:nvPicPr>
                  <pic:blipFill>
                    <a:blip r:embed="rId146" cstate="print"/>
                    <a:stretch>
                      <a:fillRect/>
                    </a:stretch>
                  </pic:blipFill>
                  <pic:spPr>
                    <a:xfrm>
                      <a:off x="0" y="0"/>
                      <a:ext cx="1524380" cy="152400"/>
                    </a:xfrm>
                    <a:prstGeom prst="rect">
                      <a:avLst/>
                    </a:prstGeom>
                  </pic:spPr>
                </pic:pic>
              </a:graphicData>
            </a:graphic>
          </wp:inline>
        </w:drawing>
      </w:r>
      <w:r>
        <w:rPr>
          <w:position w:val="-4"/>
          <w:sz w:val="20"/>
        </w:rPr>
      </w:r>
    </w:p>
    <w:p>
      <w:pPr>
        <w:pStyle w:val="BodyText"/>
        <w:rPr>
          <w:sz w:val="20"/>
        </w:rPr>
      </w:pPr>
    </w:p>
    <w:p>
      <w:pPr>
        <w:pStyle w:val="BodyText"/>
        <w:spacing w:before="1"/>
        <w:rPr>
          <w:sz w:val="16"/>
        </w:rPr>
      </w:pPr>
      <w:r>
        <w:rPr/>
        <w:drawing>
          <wp:anchor distT="0" distB="0" distL="0" distR="0" allowOverlap="1" layoutInCell="1" locked="0" behindDoc="0" simplePos="0" relativeHeight="206">
            <wp:simplePos x="0" y="0"/>
            <wp:positionH relativeFrom="page">
              <wp:posOffset>1513586</wp:posOffset>
            </wp:positionH>
            <wp:positionV relativeFrom="paragraph">
              <wp:posOffset>156051</wp:posOffset>
            </wp:positionV>
            <wp:extent cx="914400" cy="228600"/>
            <wp:effectExtent l="0" t="0" r="0" b="0"/>
            <wp:wrapTopAndBottom/>
            <wp:docPr id="319" name="image353.png"/>
            <wp:cNvGraphicFramePr>
              <a:graphicFrameLocks noChangeAspect="1"/>
            </wp:cNvGraphicFramePr>
            <a:graphic>
              <a:graphicData uri="http://schemas.openxmlformats.org/drawingml/2006/picture">
                <pic:pic>
                  <pic:nvPicPr>
                    <pic:cNvPr id="320" name="image353.png"/>
                    <pic:cNvPicPr/>
                  </pic:nvPicPr>
                  <pic:blipFill>
                    <a:blip r:embed="rId387" cstate="print"/>
                    <a:stretch>
                      <a:fillRect/>
                    </a:stretch>
                  </pic:blipFill>
                  <pic:spPr>
                    <a:xfrm>
                      <a:off x="0" y="0"/>
                      <a:ext cx="914400" cy="228600"/>
                    </a:xfrm>
                    <a:prstGeom prst="rect">
                      <a:avLst/>
                    </a:prstGeom>
                  </pic:spPr>
                </pic:pic>
              </a:graphicData>
            </a:graphic>
          </wp:anchor>
        </w:drawing>
      </w:r>
      <w:r>
        <w:rPr/>
        <w:drawing>
          <wp:anchor distT="0" distB="0" distL="0" distR="0" allowOverlap="1" layoutInCell="1" locked="0" behindDoc="0" simplePos="0" relativeHeight="207">
            <wp:simplePos x="0" y="0"/>
            <wp:positionH relativeFrom="page">
              <wp:posOffset>2495423</wp:posOffset>
            </wp:positionH>
            <wp:positionV relativeFrom="paragraph">
              <wp:posOffset>156051</wp:posOffset>
            </wp:positionV>
            <wp:extent cx="3661537" cy="228600"/>
            <wp:effectExtent l="0" t="0" r="0" b="0"/>
            <wp:wrapTopAndBottom/>
            <wp:docPr id="321" name="image354.png"/>
            <wp:cNvGraphicFramePr>
              <a:graphicFrameLocks noChangeAspect="1"/>
            </wp:cNvGraphicFramePr>
            <a:graphic>
              <a:graphicData uri="http://schemas.openxmlformats.org/drawingml/2006/picture">
                <pic:pic>
                  <pic:nvPicPr>
                    <pic:cNvPr id="322" name="image354.png"/>
                    <pic:cNvPicPr/>
                  </pic:nvPicPr>
                  <pic:blipFill>
                    <a:blip r:embed="rId388" cstate="print"/>
                    <a:stretch>
                      <a:fillRect/>
                    </a:stretch>
                  </pic:blipFill>
                  <pic:spPr>
                    <a:xfrm>
                      <a:off x="0" y="0"/>
                      <a:ext cx="3661537" cy="228600"/>
                    </a:xfrm>
                    <a:prstGeom prst="rect">
                      <a:avLst/>
                    </a:prstGeom>
                  </pic:spPr>
                </pic:pic>
              </a:graphicData>
            </a:graphic>
          </wp:anchor>
        </w:drawing>
      </w:r>
      <w:r>
        <w:rPr/>
        <w:pict>
          <v:group style="position:absolute;margin-left:98.903999pt;margin-top:45.647499pt;width:430.15pt;height:14.05pt;mso-position-horizontal-relative:page;mso-position-vertical-relative:paragraph;z-index:-15622144;mso-wrap-distance-left:0;mso-wrap-distance-right:0" coordorigin="1978,913" coordsize="8603,281">
            <v:shape style="position:absolute;left:1978;top:912;width:3276;height:281" type="#_x0000_t75" stroked="false">
              <v:imagedata r:id="rId389" o:title=""/>
            </v:shape>
            <v:shape style="position:absolute;left:4981;top:912;width:5600;height:281" type="#_x0000_t75" stroked="false">
              <v:imagedata r:id="rId390" o:title=""/>
            </v:shape>
            <w10:wrap type="topAndBottom"/>
          </v:group>
        </w:pict>
      </w:r>
      <w:r>
        <w:rPr/>
        <w:pict>
          <v:group style="position:absolute;margin-left:70.944pt;margin-top:67.607498pt;width:458pt;height:14.05pt;mso-position-horizontal-relative:page;mso-position-vertical-relative:paragraph;z-index:-15621632;mso-wrap-distance-left:0;mso-wrap-distance-right:0" coordorigin="1419,1352" coordsize="9160,281">
            <v:shape style="position:absolute;left:1418;top:1352;width:1933;height:281" type="#_x0000_t75" stroked="false">
              <v:imagedata r:id="rId391" o:title=""/>
            </v:shape>
            <v:shape style="position:absolute;left:3074;top:1352;width:557;height:281" type="#_x0000_t75" stroked="false">
              <v:imagedata r:id="rId392" o:title=""/>
            </v:shape>
            <v:shape style="position:absolute;left:3353;top:1352;width:7225;height:281" type="#_x0000_t75" stroked="false">
              <v:imagedata r:id="rId393" o:title=""/>
            </v:shape>
            <w10:wrap type="topAndBottom"/>
          </v:group>
        </w:pict>
      </w:r>
      <w:r>
        <w:rPr/>
        <w:pict>
          <v:group style="position:absolute;margin-left:70.944pt;margin-top:89.6875pt;width:457.9pt;height:14.05pt;mso-position-horizontal-relative:page;mso-position-vertical-relative:paragraph;z-index:-15621120;mso-wrap-distance-left:0;mso-wrap-distance-right:0" coordorigin="1419,1794" coordsize="9158,281">
            <v:shape style="position:absolute;left:1418;top:1793;width:3082;height:281" type="#_x0000_t75" stroked="false">
              <v:imagedata r:id="rId394" o:title=""/>
            </v:shape>
            <v:shape style="position:absolute;left:4220;top:1793;width:6357;height:281" type="#_x0000_t75" stroked="false">
              <v:imagedata r:id="rId395" o:title=""/>
            </v:shape>
            <w10:wrap type="topAndBottom"/>
          </v:group>
        </w:pict>
      </w:r>
      <w:r>
        <w:rPr/>
        <w:pict>
          <v:group style="position:absolute;margin-left:70.944pt;margin-top:111.647499pt;width:458.15pt;height:14.05pt;mso-position-horizontal-relative:page;mso-position-vertical-relative:paragraph;z-index:-15620608;mso-wrap-distance-left:0;mso-wrap-distance-right:0" coordorigin="1419,2233" coordsize="9163,281">
            <v:shape style="position:absolute;left:1418;top:2232;width:8878;height:281" type="#_x0000_t75" stroked="false">
              <v:imagedata r:id="rId396" o:title=""/>
            </v:shape>
            <v:shape style="position:absolute;left:10019;top:2232;width:562;height:281" type="#_x0000_t75" stroked="false">
              <v:imagedata r:id="rId397" o:title=""/>
            </v:shape>
            <w10:wrap type="topAndBottom"/>
          </v:group>
        </w:pict>
      </w:r>
      <w:r>
        <w:rPr/>
        <w:pict>
          <v:group style="position:absolute;margin-left:70.944pt;margin-top:133.607498pt;width:458.1pt;height:14.05pt;mso-position-horizontal-relative:page;mso-position-vertical-relative:paragraph;z-index:-15620096;mso-wrap-distance-left:0;mso-wrap-distance-right:0" coordorigin="1419,2672" coordsize="9162,281">
            <v:shape style="position:absolute;left:1418;top:2672;width:6641;height:281" type="#_x0000_t75" stroked="false">
              <v:imagedata r:id="rId398" o:title=""/>
            </v:shape>
            <v:shape style="position:absolute;left:7782;top:2672;width:836;height:281" type="#_x0000_t75" stroked="false">
              <v:imagedata r:id="rId399" o:title=""/>
            </v:shape>
            <v:shape style="position:absolute;left:8339;top:2672;width:2242;height:281" type="#_x0000_t75" stroked="false">
              <v:imagedata r:id="rId400" o:title=""/>
            </v:shape>
            <w10:wrap type="topAndBottom"/>
          </v:group>
        </w:pict>
      </w:r>
      <w:r>
        <w:rPr/>
        <w:drawing>
          <wp:anchor distT="0" distB="0" distL="0" distR="0" allowOverlap="1" layoutInCell="1" locked="0" behindDoc="0" simplePos="0" relativeHeight="213">
            <wp:simplePos x="0" y="0"/>
            <wp:positionH relativeFrom="page">
              <wp:posOffset>900988</wp:posOffset>
            </wp:positionH>
            <wp:positionV relativeFrom="paragraph">
              <wp:posOffset>1977231</wp:posOffset>
            </wp:positionV>
            <wp:extent cx="1066558" cy="178307"/>
            <wp:effectExtent l="0" t="0" r="0" b="0"/>
            <wp:wrapTopAndBottom/>
            <wp:docPr id="323" name="image367.png"/>
            <wp:cNvGraphicFramePr>
              <a:graphicFrameLocks noChangeAspect="1"/>
            </wp:cNvGraphicFramePr>
            <a:graphic>
              <a:graphicData uri="http://schemas.openxmlformats.org/drawingml/2006/picture">
                <pic:pic>
                  <pic:nvPicPr>
                    <pic:cNvPr id="324" name="image367.png"/>
                    <pic:cNvPicPr/>
                  </pic:nvPicPr>
                  <pic:blipFill>
                    <a:blip r:embed="rId401" cstate="print"/>
                    <a:stretch>
                      <a:fillRect/>
                    </a:stretch>
                  </pic:blipFill>
                  <pic:spPr>
                    <a:xfrm>
                      <a:off x="0" y="0"/>
                      <a:ext cx="1066558" cy="178307"/>
                    </a:xfrm>
                    <a:prstGeom prst="rect">
                      <a:avLst/>
                    </a:prstGeom>
                  </pic:spPr>
                </pic:pic>
              </a:graphicData>
            </a:graphic>
          </wp:anchor>
        </w:drawing>
      </w:r>
      <w:r>
        <w:rPr/>
        <w:drawing>
          <wp:anchor distT="0" distB="0" distL="0" distR="0" allowOverlap="1" layoutInCell="1" locked="0" behindDoc="0" simplePos="0" relativeHeight="214">
            <wp:simplePos x="0" y="0"/>
            <wp:positionH relativeFrom="page">
              <wp:posOffset>2042414</wp:posOffset>
            </wp:positionH>
            <wp:positionV relativeFrom="paragraph">
              <wp:posOffset>2303748</wp:posOffset>
            </wp:positionV>
            <wp:extent cx="812799" cy="202692"/>
            <wp:effectExtent l="0" t="0" r="0" b="0"/>
            <wp:wrapTopAndBottom/>
            <wp:docPr id="325" name="image368.png"/>
            <wp:cNvGraphicFramePr>
              <a:graphicFrameLocks noChangeAspect="1"/>
            </wp:cNvGraphicFramePr>
            <a:graphic>
              <a:graphicData uri="http://schemas.openxmlformats.org/drawingml/2006/picture">
                <pic:pic>
                  <pic:nvPicPr>
                    <pic:cNvPr id="326" name="image368.png"/>
                    <pic:cNvPicPr/>
                  </pic:nvPicPr>
                  <pic:blipFill>
                    <a:blip r:embed="rId402" cstate="print"/>
                    <a:stretch>
                      <a:fillRect/>
                    </a:stretch>
                  </pic:blipFill>
                  <pic:spPr>
                    <a:xfrm>
                      <a:off x="0" y="0"/>
                      <a:ext cx="812799" cy="202692"/>
                    </a:xfrm>
                    <a:prstGeom prst="rect">
                      <a:avLst/>
                    </a:prstGeom>
                  </pic:spPr>
                </pic:pic>
              </a:graphicData>
            </a:graphic>
          </wp:anchor>
        </w:drawing>
      </w:r>
      <w:r>
        <w:rPr/>
        <w:pict>
          <v:group style="position:absolute;margin-left:232.850006pt;margin-top:181.397507pt;width:208.1pt;height:16pt;mso-position-horizontal-relative:page;mso-position-vertical-relative:paragraph;z-index:-15618560;mso-wrap-distance-left:0;mso-wrap-distance-right:0" coordorigin="4657,3628" coordsize="4162,320">
            <v:shape style="position:absolute;left:4657;top:3627;width:2885;height:320" type="#_x0000_t75" stroked="false">
              <v:imagedata r:id="rId403" o:title=""/>
            </v:shape>
            <v:shape style="position:absolute;left:7220;top:3627;width:962;height:320" type="#_x0000_t75" stroked="false">
              <v:imagedata r:id="rId404" o:title=""/>
            </v:shape>
            <v:shape style="position:absolute;left:7861;top:3627;width:958;height:320" type="#_x0000_t75" stroked="false">
              <v:imagedata r:id="rId405" o:title=""/>
            </v:shape>
            <w10:wrap type="topAndBottom"/>
          </v:group>
        </w:pict>
      </w:r>
      <w:r>
        <w:rPr/>
        <w:pict>
          <v:group style="position:absolute;margin-left:98.903999pt;margin-top:213.677505pt;width:429.8pt;height:14.05pt;mso-position-horizontal-relative:page;mso-position-vertical-relative:paragraph;z-index:-15618048;mso-wrap-distance-left:0;mso-wrap-distance-right:0" coordorigin="1978,4274" coordsize="8596,281">
            <v:shape style="position:absolute;left:1978;top:4273;width:843;height:281" type="#_x0000_t75" stroked="false">
              <v:imagedata r:id="rId406" o:title=""/>
            </v:shape>
            <v:shape style="position:absolute;left:2539;top:4273;width:1680;height:281" type="#_x0000_t75" stroked="false">
              <v:imagedata r:id="rId407" o:title=""/>
            </v:shape>
            <v:shape style="position:absolute;left:3939;top:4273;width:3079;height:281" type="#_x0000_t75" stroked="false">
              <v:imagedata r:id="rId408" o:title=""/>
            </v:shape>
            <v:shape style="position:absolute;left:6738;top:4273;width:562;height:281" type="#_x0000_t75" stroked="false">
              <v:imagedata r:id="rId409" o:title=""/>
            </v:shape>
            <v:shape style="position:absolute;left:7019;top:4273;width:3555;height:281" type="#_x0000_t75" stroked="false">
              <v:imagedata r:id="rId410" o:title=""/>
            </v:shape>
            <w10:wrap type="topAndBottom"/>
          </v:group>
        </w:pict>
      </w:r>
      <w:r>
        <w:rPr/>
        <w:pict>
          <v:group style="position:absolute;margin-left:70.944pt;margin-top:235.637497pt;width:457.65pt;height:14.05pt;mso-position-horizontal-relative:page;mso-position-vertical-relative:paragraph;z-index:-15617536;mso-wrap-distance-left:0;mso-wrap-distance-right:0" coordorigin="1419,4713" coordsize="9153,281">
            <v:shape style="position:absolute;left:1418;top:4712;width:4760;height:281" type="#_x0000_t75" stroked="false">
              <v:imagedata r:id="rId411" o:title=""/>
            </v:shape>
            <v:shape style="position:absolute;left:5897;top:4712;width:3865;height:281" type="#_x0000_t75" stroked="false">
              <v:imagedata r:id="rId412" o:title=""/>
            </v:shape>
            <v:shape style="position:absolute;left:9486;top:4712;width:1085;height:281" type="#_x0000_t75" stroked="false">
              <v:imagedata r:id="rId413" o:title=""/>
            </v:shape>
            <w10:wrap type="topAndBottom"/>
          </v:group>
        </w:pict>
      </w:r>
      <w:r>
        <w:rPr/>
        <w:pict>
          <v:group style="position:absolute;margin-left:70.944pt;margin-top:257.717499pt;width:458.1pt;height:14.05pt;mso-position-horizontal-relative:page;mso-position-vertical-relative:paragraph;z-index:-15617024;mso-wrap-distance-left:0;mso-wrap-distance-right:0" coordorigin="1419,5154" coordsize="9162,281">
            <v:shape style="position:absolute;left:1418;top:5154;width:8319;height:281" type="#_x0000_t75" stroked="false">
              <v:imagedata r:id="rId414" o:title=""/>
            </v:shape>
            <v:shape style="position:absolute;left:9460;top:5154;width:1120;height:281" type="#_x0000_t75" stroked="false">
              <v:imagedata r:id="rId415" o:title=""/>
            </v:shape>
            <w10:wrap type="topAndBottom"/>
          </v:group>
        </w:pict>
      </w:r>
      <w:r>
        <w:rPr/>
        <w:pict>
          <v:group style="position:absolute;margin-left:70.944pt;margin-top:279.677490pt;width:457.95pt;height:14.05pt;mso-position-horizontal-relative:page;mso-position-vertical-relative:paragraph;z-index:-15616512;mso-wrap-distance-left:0;mso-wrap-distance-right:0" coordorigin="1419,5594" coordsize="9159,281">
            <v:shape style="position:absolute;left:1418;top:5593;width:843;height:281" type="#_x0000_t75" stroked="false">
              <v:imagedata r:id="rId416" o:title=""/>
            </v:shape>
            <v:shape style="position:absolute;left:1970;top:5593;width:8607;height:281" type="#_x0000_t75" stroked="false">
              <v:imagedata r:id="rId417" o:title=""/>
            </v:shape>
            <w10:wrap type="topAndBottom"/>
          </v:group>
        </w:pict>
      </w:r>
      <w:r>
        <w:rPr/>
        <w:drawing>
          <wp:anchor distT="0" distB="0" distL="0" distR="0" allowOverlap="1" layoutInCell="1" locked="0" behindDoc="0" simplePos="0" relativeHeight="220">
            <wp:simplePos x="0" y="0"/>
            <wp:positionH relativeFrom="page">
              <wp:posOffset>900988</wp:posOffset>
            </wp:positionH>
            <wp:positionV relativeFrom="paragraph">
              <wp:posOffset>3830796</wp:posOffset>
            </wp:positionV>
            <wp:extent cx="2667126" cy="178308"/>
            <wp:effectExtent l="0" t="0" r="0" b="0"/>
            <wp:wrapTopAndBottom/>
            <wp:docPr id="327" name="image384.png"/>
            <wp:cNvGraphicFramePr>
              <a:graphicFrameLocks noChangeAspect="1"/>
            </wp:cNvGraphicFramePr>
            <a:graphic>
              <a:graphicData uri="http://schemas.openxmlformats.org/drawingml/2006/picture">
                <pic:pic>
                  <pic:nvPicPr>
                    <pic:cNvPr id="328" name="image384.png"/>
                    <pic:cNvPicPr/>
                  </pic:nvPicPr>
                  <pic:blipFill>
                    <a:blip r:embed="rId418" cstate="print"/>
                    <a:stretch>
                      <a:fillRect/>
                    </a:stretch>
                  </pic:blipFill>
                  <pic:spPr>
                    <a:xfrm>
                      <a:off x="0" y="0"/>
                      <a:ext cx="2667126" cy="178308"/>
                    </a:xfrm>
                    <a:prstGeom prst="rect">
                      <a:avLst/>
                    </a:prstGeom>
                  </pic:spPr>
                </pic:pic>
              </a:graphicData>
            </a:graphic>
          </wp:anchor>
        </w:drawing>
      </w:r>
      <w:r>
        <w:rPr/>
        <w:pict>
          <v:group style="position:absolute;margin-left:98.903999pt;margin-top:323.717499pt;width:429.95pt;height:14.05pt;mso-position-horizontal-relative:page;mso-position-vertical-relative:paragraph;z-index:-15615488;mso-wrap-distance-left:0;mso-wrap-distance-right:0" coordorigin="1978,6474" coordsize="8599,281">
            <v:shape style="position:absolute;left:1978;top:6474;width:3082;height:281" type="#_x0000_t75" stroked="false">
              <v:imagedata r:id="rId419" o:title=""/>
            </v:shape>
            <v:shape style="position:absolute;left:4779;top:6474;width:5797;height:281" type="#_x0000_t75" stroked="false">
              <v:imagedata r:id="rId420" o:title=""/>
            </v:shape>
            <w10:wrap type="topAndBottom"/>
          </v:group>
        </w:pict>
      </w:r>
      <w:r>
        <w:rPr/>
        <w:pict>
          <v:group style="position:absolute;margin-left:70.944pt;margin-top:345.69751pt;width:457.95pt;height:14.05pt;mso-position-horizontal-relative:page;mso-position-vertical-relative:paragraph;z-index:-15614976;mso-wrap-distance-left:0;mso-wrap-distance-right:0" coordorigin="1419,6914" coordsize="9159,281">
            <v:shape style="position:absolute;left:1418;top:6913;width:2801;height:281" type="#_x0000_t75" stroked="false">
              <v:imagedata r:id="rId421" o:title=""/>
            </v:shape>
            <v:shape style="position:absolute;left:3939;top:6913;width:3880;height:281" type="#_x0000_t75" stroked="false">
              <v:imagedata r:id="rId422" o:title=""/>
            </v:shape>
            <v:shape style="position:absolute;left:7532;top:6913;width:3045;height:281" type="#_x0000_t75" stroked="false">
              <v:imagedata r:id="rId423" o:title=""/>
            </v:shape>
            <w10:wrap type="topAndBottom"/>
          </v:group>
        </w:pict>
      </w:r>
      <w:r>
        <w:rPr/>
        <w:pict>
          <v:group style="position:absolute;margin-left:70.944pt;margin-top:367.657501pt;width:455.1pt;height:14.05pt;mso-position-horizontal-relative:page;mso-position-vertical-relative:paragraph;z-index:-15614464;mso-wrap-distance-left:0;mso-wrap-distance-right:0" coordorigin="1419,7353" coordsize="9102,281">
            <v:shape style="position:absolute;left:1418;top:7353;width:2045;height:281" type="#_x0000_t75" stroked="false">
              <v:imagedata r:id="rId424" o:title=""/>
            </v:shape>
            <v:shape style="position:absolute;left:3170;top:7353;width:522;height:281" type="#_x0000_t75" stroked="false">
              <v:imagedata r:id="rId425" o:title=""/>
            </v:shape>
            <v:shape style="position:absolute;left:3518;top:7353;width:7002;height:281" type="#_x0000_t75" stroked="false">
              <v:imagedata r:id="rId426" o:title=""/>
            </v:shape>
            <w10:wrap type="topAndBottom"/>
          </v:group>
        </w:pict>
      </w:r>
      <w:r>
        <w:rPr/>
        <w:drawing>
          <wp:anchor distT="0" distB="0" distL="0" distR="0" allowOverlap="1" layoutInCell="1" locked="0" behindDoc="0" simplePos="0" relativeHeight="224">
            <wp:simplePos x="0" y="0"/>
            <wp:positionH relativeFrom="page">
              <wp:posOffset>900988</wp:posOffset>
            </wp:positionH>
            <wp:positionV relativeFrom="paragraph">
              <wp:posOffset>4949666</wp:posOffset>
            </wp:positionV>
            <wp:extent cx="5816218" cy="178308"/>
            <wp:effectExtent l="0" t="0" r="0" b="0"/>
            <wp:wrapTopAndBottom/>
            <wp:docPr id="329" name="image393.png"/>
            <wp:cNvGraphicFramePr>
              <a:graphicFrameLocks noChangeAspect="1"/>
            </wp:cNvGraphicFramePr>
            <a:graphic>
              <a:graphicData uri="http://schemas.openxmlformats.org/drawingml/2006/picture">
                <pic:pic>
                  <pic:nvPicPr>
                    <pic:cNvPr id="330" name="image393.png"/>
                    <pic:cNvPicPr/>
                  </pic:nvPicPr>
                  <pic:blipFill>
                    <a:blip r:embed="rId427"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225">
            <wp:simplePos x="0" y="0"/>
            <wp:positionH relativeFrom="page">
              <wp:posOffset>900988</wp:posOffset>
            </wp:positionH>
            <wp:positionV relativeFrom="paragraph">
              <wp:posOffset>5228558</wp:posOffset>
            </wp:positionV>
            <wp:extent cx="5816218" cy="178308"/>
            <wp:effectExtent l="0" t="0" r="0" b="0"/>
            <wp:wrapTopAndBottom/>
            <wp:docPr id="331" name="image394.png"/>
            <wp:cNvGraphicFramePr>
              <a:graphicFrameLocks noChangeAspect="1"/>
            </wp:cNvGraphicFramePr>
            <a:graphic>
              <a:graphicData uri="http://schemas.openxmlformats.org/drawingml/2006/picture">
                <pic:pic>
                  <pic:nvPicPr>
                    <pic:cNvPr id="332" name="image394.png"/>
                    <pic:cNvPicPr/>
                  </pic:nvPicPr>
                  <pic:blipFill>
                    <a:blip r:embed="rId428" cstate="print"/>
                    <a:stretch>
                      <a:fillRect/>
                    </a:stretch>
                  </pic:blipFill>
                  <pic:spPr>
                    <a:xfrm>
                      <a:off x="0" y="0"/>
                      <a:ext cx="5816218" cy="178308"/>
                    </a:xfrm>
                    <a:prstGeom prst="rect">
                      <a:avLst/>
                    </a:prstGeom>
                  </pic:spPr>
                </pic:pic>
              </a:graphicData>
            </a:graphic>
          </wp:anchor>
        </w:drawing>
      </w:r>
      <w:r>
        <w:rPr/>
        <w:pict>
          <v:group style="position:absolute;margin-left:159.860001pt;margin-top:438.337494pt;width:304.25pt;height:14.05pt;mso-position-horizontal-relative:page;mso-position-vertical-relative:paragraph;z-index:-15612928;mso-wrap-distance-left:0;mso-wrap-distance-right:0" coordorigin="3197,8767" coordsize="6085,281">
            <v:shape style="position:absolute;left:3197;top:8766;width:562;height:281" type="#_x0000_t75" stroked="false">
              <v:imagedata r:id="rId429" o:title=""/>
            </v:shape>
            <v:shape style="position:absolute;left:3677;top:8766;width:5605;height:281" type="#_x0000_t75" stroked="false">
              <v:imagedata r:id="rId430" o:title=""/>
            </v:shape>
            <w10:wrap type="topAndBottom"/>
          </v:group>
        </w:pict>
      </w:r>
      <w:r>
        <w:rPr/>
        <w:pict>
          <v:group style="position:absolute;margin-left:98.903999pt;margin-top:469.657501pt;width:427pt;height:14.05pt;mso-position-horizontal-relative:page;mso-position-vertical-relative:paragraph;z-index:-15612416;mso-wrap-distance-left:0;mso-wrap-distance-right:0" coordorigin="1978,9393" coordsize="8540,281">
            <v:shape style="position:absolute;left:1978;top:9393;width:3999;height:281" type="#_x0000_t75" stroked="false">
              <v:imagedata r:id="rId431" o:title=""/>
            </v:shape>
            <v:shape style="position:absolute;left:5691;top:9393;width:522;height:281" type="#_x0000_t75" stroked="false">
              <v:imagedata r:id="rId425" o:title=""/>
            </v:shape>
            <v:shape style="position:absolute;left:6039;top:9393;width:4479;height:281" type="#_x0000_t75" stroked="false">
              <v:imagedata r:id="rId432" o:title=""/>
            </v:shape>
            <w10:wrap type="topAndBottom"/>
          </v:group>
        </w:pict>
      </w:r>
      <w:r>
        <w:rPr/>
        <w:pict>
          <v:group style="position:absolute;margin-left:70.944pt;margin-top:491.767487pt;width:457.85pt;height:14.05pt;mso-position-horizontal-relative:page;mso-position-vertical-relative:paragraph;z-index:-15611904;mso-wrap-distance-left:0;mso-wrap-distance-right:0" coordorigin="1419,9835" coordsize="9157,281">
            <v:shape style="position:absolute;left:1418;top:9835;width:6515;height:281" type="#_x0000_t75" stroked="false">
              <v:imagedata r:id="rId433" o:title=""/>
            </v:shape>
            <v:shape style="position:absolute;left:7662;top:9835;width:1679;height:281" type="#_x0000_t75" stroked="false">
              <v:imagedata r:id="rId434" o:title=""/>
            </v:shape>
            <v:shape style="position:absolute;left:9201;top:9835;width:1374;height:281" type="#_x0000_t75" stroked="false">
              <v:imagedata r:id="rId435" o:title=""/>
            </v:shape>
            <w10:wrap type="topAndBottom"/>
          </v:group>
        </w:pict>
      </w:r>
      <w:r>
        <w:rPr/>
        <w:pict>
          <v:group style="position:absolute;margin-left:70.944pt;margin-top:512.527527pt;width:455pt;height:15.25pt;mso-position-horizontal-relative:page;mso-position-vertical-relative:paragraph;z-index:-15611392;mso-wrap-distance-left:0;mso-wrap-distance-right:0" coordorigin="1419,10251" coordsize="9100,305">
            <v:shape style="position:absolute;left:1418;top:10274;width:843;height:281" type="#_x0000_t75" stroked="false">
              <v:imagedata r:id="rId436" o:title=""/>
            </v:shape>
            <v:shape style="position:absolute;left:1980;top:10274;width:1818;height:281" type="#_x0000_t75" stroked="false">
              <v:imagedata r:id="rId437" o:title=""/>
            </v:shape>
            <v:shape style="position:absolute;left:3658;top:10274;width:1683;height:281" type="#_x0000_t75" stroked="false">
              <v:imagedata r:id="rId438" o:title=""/>
            </v:shape>
            <v:shape style="position:absolute;left:5060;top:10274;width:3917;height:281" type="#_x0000_t75" stroked="false">
              <v:imagedata r:id="rId439" o:title=""/>
            </v:shape>
            <v:shape style="position:absolute;left:8696;top:10250;width:209;height:140" type="#_x0000_t75" stroked="false">
              <v:imagedata r:id="rId440" o:title=""/>
            </v:shape>
            <v:shape style="position:absolute;left:8835;top:10274;width:1683;height:281" type="#_x0000_t75" stroked="false">
              <v:imagedata r:id="rId441" o:title=""/>
            </v:shape>
            <w10:wrap type="topAndBottom"/>
          </v:group>
        </w:pict>
      </w:r>
      <w:r>
        <w:rPr/>
        <w:drawing>
          <wp:anchor distT="0" distB="0" distL="0" distR="0" allowOverlap="1" layoutInCell="1" locked="0" behindDoc="0" simplePos="0" relativeHeight="230">
            <wp:simplePos x="0" y="0"/>
            <wp:positionH relativeFrom="page">
              <wp:posOffset>900988</wp:posOffset>
            </wp:positionH>
            <wp:positionV relativeFrom="paragraph">
              <wp:posOffset>6803231</wp:posOffset>
            </wp:positionV>
            <wp:extent cx="5776722" cy="178307"/>
            <wp:effectExtent l="0" t="0" r="0" b="0"/>
            <wp:wrapTopAndBottom/>
            <wp:docPr id="333" name="image408.png"/>
            <wp:cNvGraphicFramePr>
              <a:graphicFrameLocks noChangeAspect="1"/>
            </wp:cNvGraphicFramePr>
            <a:graphic>
              <a:graphicData uri="http://schemas.openxmlformats.org/drawingml/2006/picture">
                <pic:pic>
                  <pic:nvPicPr>
                    <pic:cNvPr id="334" name="image408.png"/>
                    <pic:cNvPicPr/>
                  </pic:nvPicPr>
                  <pic:blipFill>
                    <a:blip r:embed="rId442" cstate="print"/>
                    <a:stretch>
                      <a:fillRect/>
                    </a:stretch>
                  </pic:blipFill>
                  <pic:spPr>
                    <a:xfrm>
                      <a:off x="0" y="0"/>
                      <a:ext cx="5776722" cy="178307"/>
                    </a:xfrm>
                    <a:prstGeom prst="rect">
                      <a:avLst/>
                    </a:prstGeom>
                  </pic:spPr>
                </pic:pic>
              </a:graphicData>
            </a:graphic>
          </wp:anchor>
        </w:drawing>
      </w:r>
      <w:r>
        <w:rPr/>
        <w:drawing>
          <wp:anchor distT="0" distB="0" distL="0" distR="0" allowOverlap="1" layoutInCell="1" locked="0" behindDoc="0" simplePos="0" relativeHeight="231">
            <wp:simplePos x="0" y="0"/>
            <wp:positionH relativeFrom="page">
              <wp:posOffset>900988</wp:posOffset>
            </wp:positionH>
            <wp:positionV relativeFrom="paragraph">
              <wp:posOffset>7083647</wp:posOffset>
            </wp:positionV>
            <wp:extent cx="5816219" cy="178307"/>
            <wp:effectExtent l="0" t="0" r="0" b="0"/>
            <wp:wrapTopAndBottom/>
            <wp:docPr id="335" name="image409.png"/>
            <wp:cNvGraphicFramePr>
              <a:graphicFrameLocks noChangeAspect="1"/>
            </wp:cNvGraphicFramePr>
            <a:graphic>
              <a:graphicData uri="http://schemas.openxmlformats.org/drawingml/2006/picture">
                <pic:pic>
                  <pic:nvPicPr>
                    <pic:cNvPr id="336" name="image409.png"/>
                    <pic:cNvPicPr/>
                  </pic:nvPicPr>
                  <pic:blipFill>
                    <a:blip r:embed="rId443"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232">
            <wp:simplePos x="0" y="0"/>
            <wp:positionH relativeFrom="page">
              <wp:posOffset>900988</wp:posOffset>
            </wp:positionH>
            <wp:positionV relativeFrom="paragraph">
              <wp:posOffset>7362538</wp:posOffset>
            </wp:positionV>
            <wp:extent cx="5816219" cy="178307"/>
            <wp:effectExtent l="0" t="0" r="0" b="0"/>
            <wp:wrapTopAndBottom/>
            <wp:docPr id="337" name="image410.png"/>
            <wp:cNvGraphicFramePr>
              <a:graphicFrameLocks noChangeAspect="1"/>
            </wp:cNvGraphicFramePr>
            <a:graphic>
              <a:graphicData uri="http://schemas.openxmlformats.org/drawingml/2006/picture">
                <pic:pic>
                  <pic:nvPicPr>
                    <pic:cNvPr id="338" name="image410.png"/>
                    <pic:cNvPicPr/>
                  </pic:nvPicPr>
                  <pic:blipFill>
                    <a:blip r:embed="rId444" cstate="print"/>
                    <a:stretch>
                      <a:fillRect/>
                    </a:stretch>
                  </pic:blipFill>
                  <pic:spPr>
                    <a:xfrm>
                      <a:off x="0" y="0"/>
                      <a:ext cx="5816219" cy="178307"/>
                    </a:xfrm>
                    <a:prstGeom prst="rect">
                      <a:avLst/>
                    </a:prstGeom>
                  </pic:spPr>
                </pic:pic>
              </a:graphicData>
            </a:graphic>
          </wp:anchor>
        </w:drawing>
      </w:r>
      <w:r>
        <w:rPr/>
        <w:drawing>
          <wp:anchor distT="0" distB="0" distL="0" distR="0" allowOverlap="1" layoutInCell="1" locked="0" behindDoc="0" simplePos="0" relativeHeight="233">
            <wp:simplePos x="0" y="0"/>
            <wp:positionH relativeFrom="page">
              <wp:posOffset>900988</wp:posOffset>
            </wp:positionH>
            <wp:positionV relativeFrom="paragraph">
              <wp:posOffset>7641431</wp:posOffset>
            </wp:positionV>
            <wp:extent cx="5241417" cy="178307"/>
            <wp:effectExtent l="0" t="0" r="0" b="0"/>
            <wp:wrapTopAndBottom/>
            <wp:docPr id="339" name="image411.png"/>
            <wp:cNvGraphicFramePr>
              <a:graphicFrameLocks noChangeAspect="1"/>
            </wp:cNvGraphicFramePr>
            <a:graphic>
              <a:graphicData uri="http://schemas.openxmlformats.org/drawingml/2006/picture">
                <pic:pic>
                  <pic:nvPicPr>
                    <pic:cNvPr id="340" name="image411.png"/>
                    <pic:cNvPicPr/>
                  </pic:nvPicPr>
                  <pic:blipFill>
                    <a:blip r:embed="rId445" cstate="print"/>
                    <a:stretch>
                      <a:fillRect/>
                    </a:stretch>
                  </pic:blipFill>
                  <pic:spPr>
                    <a:xfrm>
                      <a:off x="0" y="0"/>
                      <a:ext cx="5241417" cy="178307"/>
                    </a:xfrm>
                    <a:prstGeom prst="rect">
                      <a:avLst/>
                    </a:prstGeom>
                  </pic:spPr>
                </pic:pic>
              </a:graphicData>
            </a:graphic>
          </wp:anchor>
        </w:drawing>
      </w:r>
      <w:r>
        <w:rPr/>
        <w:pict>
          <v:group style="position:absolute;margin-left:70.944pt;margin-top:622.567505pt;width:458.1pt;height:15.25pt;mso-position-horizontal-relative:page;mso-position-vertical-relative:paragraph;z-index:-15608832;mso-wrap-distance-left:0;mso-wrap-distance-right:0" coordorigin="1419,12451" coordsize="9162,305">
            <v:shape style="position:absolute;left:1418;top:12475;width:562;height:281" type="#_x0000_t75" stroked="false">
              <v:imagedata r:id="rId446" o:title=""/>
            </v:shape>
            <v:shape style="position:absolute;left:1699;top:12475;width:4409;height:281" type="#_x0000_t75" stroked="false">
              <v:imagedata r:id="rId447" o:title=""/>
            </v:shape>
            <v:shape style="position:absolute;left:5969;top:12475;width:552;height:281" type="#_x0000_t75" stroked="false">
              <v:imagedata r:id="rId448" o:title=""/>
            </v:shape>
            <v:shape style="position:absolute;left:6245;top:12451;width:209;height:140" type="#_x0000_t75" stroked="false">
              <v:imagedata r:id="rId449" o:title=""/>
            </v:shape>
            <v:shape style="position:absolute;left:6383;top:12475;width:4198;height:281" type="#_x0000_t75" stroked="false">
              <v:imagedata r:id="rId450" o:title=""/>
            </v:shape>
            <w10:wrap type="topAndBottom"/>
          </v:group>
        </w:pict>
      </w:r>
      <w:r>
        <w:rPr/>
        <w:pict>
          <v:rect style="position:absolute;margin-left:94.944pt;margin-top:657.967468pt;width:144.020pt;height:.60004pt;mso-position-horizontal-relative:page;mso-position-vertical-relative:paragraph;z-index:-15608320;mso-wrap-distance-left:0;mso-wrap-distance-right:0" filled="true" fillcolor="#000000" stroked="false">
            <v:fill type="solid"/>
            <w10:wrap type="topAndBottom"/>
          </v:rect>
        </w:pict>
      </w:r>
    </w:p>
    <w:p>
      <w:pPr>
        <w:pStyle w:val="BodyText"/>
        <w:spacing w:before="8"/>
        <w:rPr>
          <w:sz w:val="18"/>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spacing w:before="11"/>
        <w:rPr>
          <w:sz w:val="12"/>
        </w:rPr>
      </w:pPr>
    </w:p>
    <w:p>
      <w:pPr>
        <w:pStyle w:val="BodyText"/>
        <w:spacing w:before="2"/>
        <w:rPr>
          <w:sz w:val="20"/>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spacing w:before="1"/>
        <w:rPr>
          <w:sz w:val="7"/>
        </w:rPr>
      </w:pPr>
    </w:p>
    <w:p>
      <w:pPr>
        <w:pStyle w:val="BodyText"/>
        <w:rPr>
          <w:sz w:val="7"/>
        </w:rPr>
      </w:pPr>
    </w:p>
    <w:p>
      <w:pPr>
        <w:pStyle w:val="BodyText"/>
        <w:spacing w:before="3"/>
        <w:rPr>
          <w:sz w:val="7"/>
        </w:rPr>
      </w:pPr>
    </w:p>
    <w:p>
      <w:pPr>
        <w:pStyle w:val="BodyText"/>
        <w:rPr>
          <w:sz w:val="7"/>
        </w:rPr>
      </w:pPr>
    </w:p>
    <w:p>
      <w:pPr>
        <w:pStyle w:val="BodyText"/>
        <w:spacing w:before="4"/>
        <w:rPr>
          <w:sz w:val="14"/>
        </w:rPr>
      </w:pPr>
    </w:p>
    <w:p>
      <w:pPr>
        <w:pStyle w:val="BodyText"/>
        <w:spacing w:before="8"/>
        <w:rPr>
          <w:sz w:val="21"/>
        </w:rPr>
      </w:pPr>
    </w:p>
    <w:p>
      <w:pPr>
        <w:pStyle w:val="BodyText"/>
        <w:spacing w:before="3"/>
        <w:rPr>
          <w:sz w:val="7"/>
        </w:rPr>
      </w:pPr>
    </w:p>
    <w:p>
      <w:pPr>
        <w:pStyle w:val="BodyText"/>
        <w:spacing w:before="2"/>
        <w:rPr>
          <w:sz w:val="5"/>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4"/>
        <w:rPr>
          <w:sz w:val="5"/>
        </w:rPr>
      </w:pPr>
    </w:p>
    <w:p>
      <w:pPr>
        <w:pStyle w:val="BodyText"/>
        <w:spacing w:before="2"/>
        <w:rPr>
          <w:sz w:val="26"/>
        </w:rPr>
      </w:pPr>
    </w:p>
    <w:p>
      <w:pPr>
        <w:pStyle w:val="BodyText"/>
        <w:spacing w:before="7"/>
        <w:rPr>
          <w:sz w:val="9"/>
        </w:rPr>
      </w:pPr>
    </w:p>
    <w:p>
      <w:pPr>
        <w:spacing w:before="95"/>
        <w:ind w:left="298" w:right="0" w:firstLine="0"/>
        <w:jc w:val="left"/>
        <w:rPr>
          <w:rFonts w:ascii="Times New Roman"/>
          <w:sz w:val="13"/>
        </w:rPr>
      </w:pPr>
      <w:bookmarkStart w:name="_bookmark24" w:id="25"/>
      <w:bookmarkEnd w:id="25"/>
      <w:r>
        <w:rPr/>
      </w:r>
      <w:bookmarkStart w:name="_bookmark25" w:id="26"/>
      <w:bookmarkEnd w:id="26"/>
      <w:r>
        <w:rPr/>
      </w:r>
      <w:r>
        <w:rPr>
          <w:rFonts w:ascii="Times New Roman"/>
          <w:w w:val="95"/>
          <w:sz w:val="13"/>
        </w:rPr>
        <w:t>89</w:t>
      </w:r>
      <w:r>
        <w:rPr>
          <w:rFonts w:ascii="Times New Roman"/>
          <w:spacing w:val="14"/>
          <w:w w:val="95"/>
          <w:sz w:val="13"/>
        </w:rPr>
        <w:t> </w:t>
      </w:r>
      <w:r>
        <w:rPr>
          <w:rFonts w:ascii="Times New Roman"/>
          <w:spacing w:val="3"/>
          <w:position w:val="-13"/>
          <w:sz w:val="13"/>
        </w:rPr>
        <w:drawing>
          <wp:inline distT="0" distB="0" distL="0" distR="0">
            <wp:extent cx="4877689" cy="152400"/>
            <wp:effectExtent l="0" t="0" r="0" b="0"/>
            <wp:docPr id="341" name="image417.png"/>
            <wp:cNvGraphicFramePr>
              <a:graphicFrameLocks noChangeAspect="1"/>
            </wp:cNvGraphicFramePr>
            <a:graphic>
              <a:graphicData uri="http://schemas.openxmlformats.org/drawingml/2006/picture">
                <pic:pic>
                  <pic:nvPicPr>
                    <pic:cNvPr id="342" name="image417.png"/>
                    <pic:cNvPicPr/>
                  </pic:nvPicPr>
                  <pic:blipFill>
                    <a:blip r:embed="rId451" cstate="print"/>
                    <a:stretch>
                      <a:fillRect/>
                    </a:stretch>
                  </pic:blipFill>
                  <pic:spPr>
                    <a:xfrm>
                      <a:off x="0" y="0"/>
                      <a:ext cx="4877689" cy="152400"/>
                    </a:xfrm>
                    <a:prstGeom prst="rect">
                      <a:avLst/>
                    </a:prstGeom>
                  </pic:spPr>
                </pic:pic>
              </a:graphicData>
            </a:graphic>
          </wp:inline>
        </w:drawing>
      </w:r>
      <w:r>
        <w:rPr>
          <w:rFonts w:ascii="Times New Roman"/>
          <w:spacing w:val="3"/>
          <w:position w:val="-13"/>
          <w:sz w:val="13"/>
        </w:rPr>
      </w:r>
    </w:p>
    <w:p>
      <w:pPr>
        <w:spacing w:before="51"/>
        <w:ind w:left="298" w:right="0" w:firstLine="0"/>
        <w:jc w:val="left"/>
        <w:rPr>
          <w:rFonts w:ascii="Times New Roman"/>
          <w:sz w:val="13"/>
        </w:rPr>
      </w:pPr>
      <w:r>
        <w:rPr/>
        <w:pict>
          <v:group style="position:absolute;margin-left:82.463997pt;margin-top:3.578359pt;width:444.25pt;height:12pt;mso-position-horizontal-relative:page;mso-position-vertical-relative:paragraph;z-index:15849472" coordorigin="1649,72" coordsize="8885,240">
            <v:shape style="position:absolute;left:1649;top:71;width:2908;height:240" type="#_x0000_t75" stroked="false">
              <v:imagedata r:id="rId452" o:title=""/>
            </v:shape>
            <v:shape style="position:absolute;left:4441;top:71;width:240;height:240" type="#_x0000_t75" stroked="false">
              <v:imagedata r:id="rId453" o:title=""/>
            </v:shape>
            <v:shape style="position:absolute;left:4561;top:71;width:3707;height:240" type="#_x0000_t75" stroked="false">
              <v:imagedata r:id="rId454" o:title=""/>
            </v:shape>
            <v:shape style="position:absolute;left:8151;top:71;width:2382;height:240" type="#_x0000_t75" stroked="false">
              <v:imagedata r:id="rId455" o:title=""/>
            </v:shape>
            <w10:wrap type="none"/>
          </v:group>
        </w:pict>
      </w:r>
      <w:r>
        <w:rPr>
          <w:rFonts w:ascii="Times New Roman"/>
          <w:sz w:val="13"/>
        </w:rPr>
        <w:t>90</w:t>
      </w:r>
    </w:p>
    <w:p>
      <w:pPr>
        <w:spacing w:after="0"/>
        <w:jc w:val="left"/>
        <w:rPr>
          <w:rFonts w:ascii="Times New Roman"/>
          <w:sz w:val="13"/>
        </w:rPr>
        <w:sectPr>
          <w:headerReference w:type="default" r:id="rId385"/>
          <w:footerReference w:type="default" r:id="rId386"/>
          <w:pgSz w:w="11910" w:h="16840"/>
          <w:pgMar w:header="0" w:footer="1017" w:top="860" w:bottom="1200" w:left="1120" w:right="1060"/>
        </w:sectPr>
      </w:pPr>
    </w:p>
    <w:p>
      <w:pPr>
        <w:pStyle w:val="BodyText"/>
        <w:rPr>
          <w:rFonts w:ascii="Times New Roman"/>
          <w:sz w:val="20"/>
        </w:rPr>
      </w:pPr>
    </w:p>
    <w:p>
      <w:pPr>
        <w:pStyle w:val="BodyText"/>
        <w:spacing w:before="201"/>
        <w:ind w:left="310"/>
      </w:pPr>
      <w:r>
        <w:rPr>
          <w:w w:val="110"/>
        </w:rPr>
        <w:t>之相對人。以下就必要訴訟參加之要件分述之：</w:t>
      </w:r>
    </w:p>
    <w:p>
      <w:pPr>
        <w:pStyle w:val="BodyText"/>
        <w:rPr>
          <w:sz w:val="17"/>
        </w:rPr>
      </w:pPr>
    </w:p>
    <w:p>
      <w:pPr>
        <w:pStyle w:val="BodyText"/>
        <w:ind w:right="275"/>
        <w:jc w:val="center"/>
      </w:pPr>
      <w:r>
        <w:rPr>
          <w:rFonts w:ascii="Times New Roman" w:eastAsia="Times New Roman"/>
          <w:b/>
          <w:spacing w:val="20"/>
          <w:w w:val="110"/>
          <w:position w:val="-2"/>
          <w:sz w:val="28"/>
        </w:rPr>
        <w:t>(</w:t>
      </w:r>
      <w:r>
        <w:rPr>
          <w:w w:val="110"/>
        </w:rPr>
        <w:t>一</w:t>
      </w:r>
      <w:r>
        <w:rPr>
          <w:rFonts w:ascii="Times New Roman" w:eastAsia="Times New Roman"/>
          <w:b/>
          <w:spacing w:val="-69"/>
          <w:w w:val="110"/>
          <w:position w:val="-2"/>
          <w:sz w:val="28"/>
        </w:rPr>
        <w:t>)</w:t>
      </w:r>
      <w:r>
        <w:rPr>
          <w:w w:val="110"/>
        </w:rPr>
        <w:t>第三人受判決效力拘束</w:t>
      </w:r>
    </w:p>
    <w:p>
      <w:pPr>
        <w:pStyle w:val="BodyText"/>
        <w:spacing w:before="11"/>
        <w:rPr>
          <w:sz w:val="21"/>
        </w:rPr>
      </w:pPr>
    </w:p>
    <w:p>
      <w:pPr>
        <w:pStyle w:val="BodyText"/>
        <w:spacing w:line="324" w:lineRule="auto"/>
        <w:ind w:left="297" w:right="493" w:firstLine="596"/>
      </w:pPr>
      <w:r>
        <w:rPr/>
        <w:t>第三人並非訴訟噹事人，判決之效力原則上並不及之。第三人受判決   </w:t>
      </w:r>
      <w:r>
        <w:rPr>
          <w:spacing w:val="90"/>
        </w:rPr>
        <w:t> </w:t>
      </w:r>
      <w:r>
        <w:rPr>
          <w:w w:val="95"/>
        </w:rPr>
        <w:t>效力拘 束之情形 </w:t>
      </w:r>
      <w:r>
        <w:rPr>
          <w:w w:val="80"/>
        </w:rPr>
        <w:t>，</w:t>
      </w:r>
      <w:r>
        <w:rPr>
          <w:spacing w:val="2"/>
          <w:w w:val="95"/>
        </w:rPr>
        <w:t>主要 為法院判決具有「形成效力」</w:t>
      </w:r>
      <w:r>
        <w:rPr>
          <w:rFonts w:ascii="Times New Roman" w:eastAsia="Times New Roman"/>
          <w:w w:val="95"/>
          <w:sz w:val="29"/>
        </w:rPr>
        <w:t>( </w:t>
      </w:r>
      <w:r>
        <w:rPr>
          <w:rFonts w:ascii="Times New Roman" w:eastAsia="Times New Roman"/>
          <w:w w:val="80"/>
          <w:sz w:val="29"/>
        </w:rPr>
        <w:t>Ges</w:t>
      </w:r>
      <w:r>
        <w:rPr>
          <w:rFonts w:ascii="Times New Roman" w:eastAsia="Times New Roman"/>
          <w:spacing w:val="1"/>
          <w:w w:val="80"/>
          <w:sz w:val="29"/>
        </w:rPr>
        <w:t> </w:t>
      </w:r>
      <w:r>
        <w:rPr>
          <w:rFonts w:ascii="Times New Roman" w:eastAsia="Times New Roman"/>
          <w:w w:val="80"/>
          <w:sz w:val="29"/>
        </w:rPr>
        <w:t>t </w:t>
      </w:r>
      <w:r>
        <w:rPr>
          <w:rFonts w:ascii="Times New Roman" w:eastAsia="Times New Roman"/>
          <w:spacing w:val="15"/>
          <w:w w:val="95"/>
          <w:sz w:val="29"/>
        </w:rPr>
        <w:t>al </w:t>
      </w:r>
      <w:r>
        <w:rPr>
          <w:rFonts w:ascii="Times New Roman" w:eastAsia="Times New Roman"/>
          <w:w w:val="95"/>
          <w:sz w:val="29"/>
        </w:rPr>
        <w:t>t ungswi r kung )</w:t>
      </w:r>
      <w:r>
        <w:rPr>
          <w:rFonts w:ascii="Times New Roman" w:eastAsia="Times New Roman"/>
          <w:spacing w:val="-66"/>
          <w:w w:val="95"/>
          <w:sz w:val="29"/>
        </w:rPr>
        <w:t> </w:t>
      </w:r>
      <w:r>
        <w:rPr>
          <w:spacing w:val="-12"/>
          <w:w w:val="90"/>
        </w:rPr>
        <w:t>者</w:t>
      </w:r>
      <w:r>
        <w:rPr>
          <w:rFonts w:ascii="Times New Roman" w:eastAsia="Times New Roman"/>
          <w:spacing w:val="-12"/>
          <w:w w:val="80"/>
          <w:sz w:val="15"/>
        </w:rPr>
        <w:t>91</w:t>
      </w:r>
      <w:r>
        <w:rPr>
          <w:rFonts w:ascii="Times New Roman" w:eastAsia="Times New Roman"/>
          <w:spacing w:val="53"/>
          <w:sz w:val="15"/>
        </w:rPr>
        <w:t>  </w:t>
      </w:r>
      <w:r>
        <w:rPr>
          <w:spacing w:val="16"/>
          <w:w w:val="80"/>
        </w:rPr>
        <w:t>。 </w:t>
      </w:r>
      <w:r>
        <w:rPr>
          <w:spacing w:val="-5"/>
        </w:rPr>
        <w:t>噹原 告所提超者為撤 銷訴訟 </w:t>
      </w:r>
      <w:r>
        <w:rPr>
          <w:spacing w:val="-27"/>
          <w:w w:val="80"/>
        </w:rPr>
        <w:t>， </w:t>
      </w:r>
      <w:r>
        <w:rPr>
          <w:spacing w:val="11"/>
        </w:rPr>
        <w:t>且獲勝訴之璀定判決時 </w:t>
      </w:r>
      <w:r>
        <w:rPr>
          <w:spacing w:val="-30"/>
          <w:w w:val="80"/>
        </w:rPr>
        <w:t>， </w:t>
      </w:r>
      <w:r>
        <w:rPr>
          <w:spacing w:val="19"/>
        </w:rPr>
        <w:t>該判決具有</w:t>
      </w:r>
      <w:r>
        <w:rPr/>
        <w:t>形成效力。所謂判決之形成效力，係指判決產生創設、變更或撒銷特定法    </w:t>
      </w:r>
      <w:r>
        <w:rPr>
          <w:spacing w:val="44"/>
        </w:rPr>
        <w:t> </w:t>
      </w:r>
      <w:r>
        <w:rPr>
          <w:spacing w:val="10"/>
        </w:rPr>
        <w:t>律關係之結果 </w:t>
      </w:r>
      <w:r>
        <w:rPr>
          <w:w w:val="80"/>
        </w:rPr>
        <w:t>，並</w:t>
      </w:r>
      <w:r>
        <w:rPr>
          <w:spacing w:val="21"/>
        </w:rPr>
        <w:t> 具有對抗任何人之絕對效力而言</w:t>
      </w:r>
      <w:r>
        <w:rPr>
          <w:rFonts w:ascii="Times New Roman" w:eastAsia="Times New Roman"/>
          <w:w w:val="80"/>
          <w:sz w:val="15"/>
        </w:rPr>
        <w:t>92</w:t>
      </w:r>
      <w:r>
        <w:rPr>
          <w:rFonts w:ascii="Times New Roman" w:eastAsia="Times New Roman"/>
          <w:spacing w:val="23"/>
          <w:sz w:val="15"/>
        </w:rPr>
        <w:t>   </w:t>
      </w:r>
      <w:r>
        <w:rPr>
          <w:w w:val="80"/>
        </w:rPr>
        <w:t>。行</w:t>
      </w:r>
      <w:r>
        <w:rPr>
          <w:spacing w:val="94"/>
        </w:rPr>
        <w:t> </w:t>
      </w:r>
      <w:r>
        <w:rPr>
          <w:spacing w:val="13"/>
          <w:w w:val="90"/>
        </w:rPr>
        <w:t>政訴訟法第 </w:t>
      </w:r>
      <w:r>
        <w:rPr>
          <w:rFonts w:ascii="Times New Roman" w:eastAsia="Times New Roman"/>
          <w:w w:val="90"/>
          <w:sz w:val="30"/>
        </w:rPr>
        <w:t>215</w:t>
      </w:r>
      <w:r>
        <w:rPr>
          <w:rFonts w:ascii="Times New Roman" w:eastAsia="Times New Roman"/>
          <w:spacing w:val="1"/>
          <w:w w:val="90"/>
          <w:sz w:val="30"/>
        </w:rPr>
        <w:t> </w:t>
      </w:r>
      <w:r>
        <w:rPr/>
        <w:t>條規定：「撤銷或變更原處分或決定之判決，對第三人亦有效力」，即此之  </w:t>
      </w:r>
      <w:r>
        <w:rPr>
          <w:spacing w:val="66"/>
        </w:rPr>
        <w:t> </w:t>
      </w:r>
      <w:r>
        <w:rPr/>
        <w:t>謂。形成判決既具有對世效力而拘束任何人，非噹事人之第三人自亦受其    </w:t>
      </w:r>
      <w:r>
        <w:rPr>
          <w:spacing w:val="66"/>
        </w:rPr>
        <w:t> </w:t>
      </w:r>
      <w:r>
        <w:rPr/>
        <w:t>拘束而不得為相反之主張，故為判決效力所拘束。</w:t>
      </w:r>
    </w:p>
    <w:p>
      <w:pPr>
        <w:pStyle w:val="BodyText"/>
        <w:spacing w:before="95"/>
        <w:ind w:left="3378"/>
      </w:pPr>
      <w:r>
        <w:rPr>
          <w:rFonts w:ascii="Times New Roman" w:eastAsia="Times New Roman"/>
          <w:b/>
          <w:spacing w:val="13"/>
          <w:w w:val="115"/>
          <w:position w:val="-3"/>
          <w:sz w:val="28"/>
        </w:rPr>
        <w:t>(</w:t>
      </w:r>
      <w:r>
        <w:rPr>
          <w:w w:val="115"/>
        </w:rPr>
        <w:t>二</w:t>
      </w:r>
      <w:r>
        <w:rPr>
          <w:rFonts w:ascii="Times New Roman" w:eastAsia="Times New Roman"/>
          <w:b/>
          <w:spacing w:val="-71"/>
          <w:w w:val="115"/>
          <w:position w:val="-3"/>
          <w:sz w:val="28"/>
        </w:rPr>
        <w:t>)</w:t>
      </w:r>
      <w:r>
        <w:rPr>
          <w:w w:val="115"/>
        </w:rPr>
        <w:t>直接之第三人效杲</w:t>
      </w:r>
    </w:p>
    <w:p>
      <w:pPr>
        <w:pStyle w:val="BodyText"/>
        <w:spacing w:before="10"/>
        <w:rPr>
          <w:sz w:val="21"/>
        </w:rPr>
      </w:pPr>
    </w:p>
    <w:p>
      <w:pPr>
        <w:spacing w:line="328" w:lineRule="auto" w:before="0"/>
        <w:ind w:left="306" w:right="493" w:firstLine="587"/>
        <w:jc w:val="left"/>
        <w:rPr>
          <w:sz w:val="25"/>
        </w:rPr>
      </w:pPr>
      <w:r>
        <w:rPr>
          <w:w w:val="110"/>
          <w:sz w:val="25"/>
        </w:rPr>
        <w:t>第三人雖受判決效力拘束，如僅「權利或法律上利益將因訴訟之結果而受損害」，只符合普通參加人之資格。必要訴訟參加人，尚須與訴訟標的之法律關係具有更為密切之關連性，即所謂「直接之第三人效果」</w:t>
      </w:r>
      <w:r>
        <w:rPr>
          <w:rFonts w:ascii="Times New Roman" w:eastAsia="Times New Roman"/>
          <w:sz w:val="29"/>
        </w:rPr>
        <w:t>(unmittelbare</w:t>
      </w:r>
      <w:r>
        <w:rPr>
          <w:rFonts w:ascii="Times New Roman" w:eastAsia="Times New Roman"/>
          <w:spacing w:val="22"/>
          <w:sz w:val="29"/>
        </w:rPr>
        <w:t> </w:t>
      </w:r>
      <w:r>
        <w:rPr>
          <w:rFonts w:ascii="Times New Roman" w:eastAsia="Times New Roman"/>
          <w:sz w:val="29"/>
        </w:rPr>
        <w:t>Dr</w:t>
      </w:r>
      <w:r>
        <w:rPr>
          <w:rFonts w:ascii="Times New Roman" w:eastAsia="Times New Roman"/>
          <w:spacing w:val="34"/>
          <w:sz w:val="29"/>
        </w:rPr>
        <w:t> </w:t>
      </w:r>
      <w:r>
        <w:rPr>
          <w:rFonts w:ascii="Times New Roman" w:eastAsia="Times New Roman"/>
          <w:sz w:val="29"/>
        </w:rPr>
        <w:t>i</w:t>
      </w:r>
      <w:r>
        <w:rPr>
          <w:rFonts w:ascii="Times New Roman" w:eastAsia="Times New Roman"/>
          <w:spacing w:val="11"/>
          <w:sz w:val="29"/>
        </w:rPr>
        <w:t> </w:t>
      </w:r>
      <w:r>
        <w:rPr>
          <w:rFonts w:ascii="Times New Roman" w:eastAsia="Times New Roman"/>
          <w:sz w:val="29"/>
        </w:rPr>
        <w:t>t</w:t>
      </w:r>
      <w:r>
        <w:rPr>
          <w:rFonts w:ascii="Times New Roman" w:eastAsia="Times New Roman"/>
          <w:spacing w:val="16"/>
          <w:sz w:val="29"/>
        </w:rPr>
        <w:t> </w:t>
      </w:r>
      <w:r>
        <w:rPr>
          <w:rFonts w:ascii="Times New Roman" w:eastAsia="Times New Roman"/>
          <w:sz w:val="29"/>
        </w:rPr>
        <w:t>t</w:t>
      </w:r>
      <w:r>
        <w:rPr>
          <w:rFonts w:ascii="Times New Roman" w:eastAsia="Times New Roman"/>
          <w:spacing w:val="4"/>
          <w:sz w:val="29"/>
        </w:rPr>
        <w:t> </w:t>
      </w:r>
      <w:r>
        <w:rPr>
          <w:rFonts w:ascii="Times New Roman" w:eastAsia="Times New Roman"/>
          <w:sz w:val="29"/>
        </w:rPr>
        <w:t>bet</w:t>
      </w:r>
      <w:r>
        <w:rPr>
          <w:rFonts w:ascii="Times New Roman" w:eastAsia="Times New Roman"/>
          <w:spacing w:val="-15"/>
          <w:sz w:val="29"/>
        </w:rPr>
        <w:t> </w:t>
      </w:r>
      <w:r>
        <w:rPr>
          <w:rFonts w:ascii="Times New Roman" w:eastAsia="Times New Roman"/>
          <w:sz w:val="29"/>
        </w:rPr>
        <w:t>r</w:t>
      </w:r>
      <w:r>
        <w:rPr>
          <w:rFonts w:ascii="Times New Roman" w:eastAsia="Times New Roman"/>
          <w:spacing w:val="-35"/>
          <w:sz w:val="29"/>
        </w:rPr>
        <w:t> </w:t>
      </w:r>
      <w:r>
        <w:rPr>
          <w:rFonts w:ascii="Times New Roman" w:eastAsia="Times New Roman"/>
          <w:sz w:val="29"/>
        </w:rPr>
        <w:t>of</w:t>
      </w:r>
      <w:r>
        <w:rPr>
          <w:rFonts w:ascii="Times New Roman" w:eastAsia="Times New Roman"/>
          <w:spacing w:val="-24"/>
          <w:sz w:val="29"/>
        </w:rPr>
        <w:t> </w:t>
      </w:r>
      <w:r>
        <w:rPr>
          <w:rFonts w:ascii="Times New Roman" w:eastAsia="Times New Roman"/>
          <w:sz w:val="29"/>
        </w:rPr>
        <w:t>f</w:t>
      </w:r>
      <w:r>
        <w:rPr>
          <w:rFonts w:ascii="Times New Roman" w:eastAsia="Times New Roman"/>
          <w:spacing w:val="-25"/>
          <w:sz w:val="29"/>
        </w:rPr>
        <w:t> </w:t>
      </w:r>
      <w:r>
        <w:rPr>
          <w:rFonts w:ascii="Times New Roman" w:eastAsia="Times New Roman"/>
          <w:sz w:val="29"/>
        </w:rPr>
        <w:t>enh</w:t>
      </w:r>
      <w:r>
        <w:rPr>
          <w:rFonts w:ascii="Times New Roman" w:eastAsia="Times New Roman"/>
          <w:spacing w:val="-9"/>
          <w:sz w:val="29"/>
        </w:rPr>
        <w:t> </w:t>
      </w:r>
      <w:r>
        <w:rPr>
          <w:rFonts w:ascii="Times New Roman" w:eastAsia="Times New Roman"/>
          <w:spacing w:val="11"/>
          <w:sz w:val="29"/>
        </w:rPr>
        <w:t>ei</w:t>
      </w:r>
      <w:r>
        <w:rPr>
          <w:rFonts w:ascii="Times New Roman" w:eastAsia="Times New Roman"/>
          <w:spacing w:val="-28"/>
          <w:sz w:val="29"/>
        </w:rPr>
        <w:t> </w:t>
      </w:r>
      <w:r>
        <w:rPr>
          <w:rFonts w:ascii="Times New Roman" w:eastAsia="Times New Roman"/>
          <w:sz w:val="29"/>
        </w:rPr>
        <w:t>t</w:t>
      </w:r>
      <w:r>
        <w:rPr>
          <w:rFonts w:ascii="Times New Roman" w:eastAsia="Times New Roman"/>
          <w:spacing w:val="26"/>
          <w:sz w:val="29"/>
        </w:rPr>
        <w:t> ) </w:t>
      </w:r>
      <w:r>
        <w:rPr>
          <w:spacing w:val="5"/>
          <w:sz w:val="25"/>
        </w:rPr>
        <w:t>始足噹之 。</w:t>
      </w:r>
    </w:p>
    <w:p>
      <w:pPr>
        <w:pStyle w:val="BodyText"/>
        <w:spacing w:line="303" w:lineRule="exact"/>
        <w:ind w:left="869"/>
      </w:pPr>
      <w:r>
        <w:rPr>
          <w:w w:val="110"/>
        </w:rPr>
        <w:t>所謂「直接之第三人效果」，即「法院判決將直接且噹然地形成、變</w:t>
      </w:r>
    </w:p>
    <w:p>
      <w:pPr>
        <w:pStyle w:val="BodyText"/>
        <w:spacing w:line="328" w:lineRule="auto" w:before="122"/>
        <w:ind w:left="303" w:right="513" w:firstLine="25"/>
        <w:jc w:val="both"/>
        <w:rPr>
          <w:rFonts w:ascii="Times New Roman" w:eastAsia="Times New Roman"/>
          <w:sz w:val="29"/>
        </w:rPr>
      </w:pPr>
      <w:r>
        <w:rPr>
          <w:w w:val="105"/>
        </w:rPr>
        <w:t>更或消滅第三人權利」之情形。行政訴訟程序中，原、被告以外之第三人，</w:t>
      </w:r>
      <w:r>
        <w:rPr>
          <w:spacing w:val="1"/>
          <w:w w:val="105"/>
        </w:rPr>
        <w:t> </w:t>
      </w:r>
      <w:r>
        <w:rPr>
          <w:w w:val="110"/>
        </w:rPr>
        <w:t>如為爭訟行政處分之相對人，即具備必要參加人之資格。以撤銷訴訟之情形為例：原告如針對授益第三人之行政處分提超撒銷訴訟，撒銷訴訟之結果，既可能（如勝訴時）直接使第三人所獲得之投益處分溯及既往失其效力，該第三人雖非訴訟之原、被告，然而其「行政處分相對人」之地位，</w:t>
      </w:r>
      <w:r>
        <w:rPr>
          <w:spacing w:val="-136"/>
          <w:w w:val="110"/>
        </w:rPr>
        <w:t> </w:t>
      </w:r>
      <w:r>
        <w:rPr>
          <w:spacing w:val="2"/>
        </w:rPr>
        <w:t>即噹然轉 換為「 判決相對人」</w:t>
      </w:r>
      <w:r>
        <w:rPr>
          <w:rFonts w:ascii="Times New Roman" w:eastAsia="Times New Roman"/>
          <w:spacing w:val="-11"/>
          <w:sz w:val="29"/>
        </w:rPr>
        <w:t>( </w:t>
      </w:r>
      <w:r>
        <w:rPr>
          <w:rFonts w:ascii="Times New Roman" w:eastAsia="Times New Roman"/>
          <w:sz w:val="29"/>
        </w:rPr>
        <w:t>Adr</w:t>
      </w:r>
      <w:r>
        <w:rPr>
          <w:rFonts w:ascii="Times New Roman" w:eastAsia="Times New Roman"/>
          <w:spacing w:val="-19"/>
          <w:sz w:val="29"/>
        </w:rPr>
        <w:t> </w:t>
      </w:r>
      <w:r>
        <w:rPr>
          <w:rFonts w:ascii="Times New Roman" w:eastAsia="Times New Roman"/>
          <w:sz w:val="29"/>
        </w:rPr>
        <w:t>es</w:t>
      </w:r>
      <w:r>
        <w:rPr>
          <w:rFonts w:ascii="Times New Roman" w:eastAsia="Times New Roman"/>
          <w:spacing w:val="-20"/>
          <w:sz w:val="29"/>
        </w:rPr>
        <w:t> </w:t>
      </w:r>
      <w:r>
        <w:rPr>
          <w:rFonts w:ascii="Times New Roman" w:eastAsia="Times New Roman"/>
          <w:spacing w:val="16"/>
          <w:sz w:val="29"/>
        </w:rPr>
        <w:t>sat</w:t>
      </w:r>
      <w:r>
        <w:rPr>
          <w:rFonts w:ascii="Times New Roman" w:eastAsia="Times New Roman"/>
          <w:spacing w:val="40"/>
          <w:sz w:val="29"/>
        </w:rPr>
        <w:t> </w:t>
      </w:r>
      <w:r>
        <w:rPr>
          <w:rFonts w:ascii="Times New Roman" w:eastAsia="Times New Roman"/>
          <w:sz w:val="29"/>
        </w:rPr>
        <w:t>der</w:t>
      </w:r>
      <w:r>
        <w:rPr>
          <w:rFonts w:ascii="Times New Roman" w:eastAsia="Times New Roman"/>
          <w:spacing w:val="35"/>
          <w:sz w:val="29"/>
        </w:rPr>
        <w:t> </w:t>
      </w:r>
      <w:r>
        <w:rPr>
          <w:rFonts w:ascii="Times New Roman" w:eastAsia="Times New Roman"/>
          <w:sz w:val="29"/>
        </w:rPr>
        <w:t>gerichtlichen</w:t>
      </w:r>
    </w:p>
    <w:p>
      <w:pPr>
        <w:tabs>
          <w:tab w:pos="3239" w:val="left" w:leader="none"/>
        </w:tabs>
        <w:spacing w:line="300" w:lineRule="exact" w:before="0"/>
        <w:ind w:left="0" w:right="314" w:firstLine="0"/>
        <w:jc w:val="center"/>
        <w:rPr>
          <w:sz w:val="25"/>
        </w:rPr>
      </w:pPr>
      <w:r>
        <w:rPr>
          <w:rFonts w:ascii="Times New Roman" w:eastAsia="Times New Roman"/>
          <w:w w:val="90"/>
          <w:sz w:val="29"/>
        </w:rPr>
        <w:t>Ent</w:t>
      </w:r>
      <w:r>
        <w:rPr>
          <w:rFonts w:ascii="Times New Roman" w:eastAsia="Times New Roman"/>
          <w:spacing w:val="44"/>
          <w:w w:val="90"/>
          <w:sz w:val="29"/>
        </w:rPr>
        <w:t> </w:t>
      </w:r>
      <w:r>
        <w:rPr>
          <w:rFonts w:ascii="Times New Roman" w:eastAsia="Times New Roman"/>
          <w:w w:val="90"/>
          <w:sz w:val="29"/>
        </w:rPr>
        <w:t>s</w:t>
      </w:r>
      <w:r>
        <w:rPr>
          <w:rFonts w:ascii="Times New Roman" w:eastAsia="Times New Roman"/>
          <w:spacing w:val="-23"/>
          <w:w w:val="90"/>
          <w:sz w:val="29"/>
        </w:rPr>
        <w:t> </w:t>
      </w:r>
      <w:r>
        <w:rPr>
          <w:rFonts w:ascii="Times New Roman" w:eastAsia="Times New Roman"/>
          <w:w w:val="90"/>
          <w:sz w:val="29"/>
        </w:rPr>
        <w:t>che</w:t>
      </w:r>
      <w:r>
        <w:rPr>
          <w:rFonts w:ascii="Times New Roman" w:eastAsia="Times New Roman"/>
          <w:spacing w:val="25"/>
          <w:w w:val="90"/>
          <w:sz w:val="29"/>
        </w:rPr>
        <w:t> </w:t>
      </w:r>
      <w:r>
        <w:rPr>
          <w:rFonts w:ascii="Times New Roman" w:eastAsia="Times New Roman"/>
          <w:w w:val="90"/>
          <w:sz w:val="29"/>
        </w:rPr>
        <w:t>i</w:t>
      </w:r>
      <w:r>
        <w:rPr>
          <w:rFonts w:ascii="Times New Roman" w:eastAsia="Times New Roman"/>
          <w:spacing w:val="-27"/>
          <w:w w:val="90"/>
          <w:sz w:val="29"/>
        </w:rPr>
        <w:t> </w:t>
      </w:r>
      <w:r>
        <w:rPr>
          <w:rFonts w:ascii="Times New Roman" w:eastAsia="Times New Roman"/>
          <w:w w:val="90"/>
          <w:sz w:val="29"/>
        </w:rPr>
        <w:t>dung</w:t>
      </w:r>
      <w:r>
        <w:rPr>
          <w:rFonts w:ascii="Times New Roman" w:eastAsia="Times New Roman"/>
          <w:spacing w:val="-1"/>
          <w:w w:val="90"/>
          <w:sz w:val="29"/>
        </w:rPr>
        <w:t> </w:t>
      </w:r>
      <w:r>
        <w:rPr>
          <w:rFonts w:ascii="Times New Roman" w:eastAsia="Times New Roman"/>
          <w:w w:val="90"/>
          <w:sz w:val="29"/>
        </w:rPr>
        <w:t>)</w:t>
      </w:r>
      <w:r>
        <w:rPr>
          <w:rFonts w:ascii="Times New Roman" w:eastAsia="Times New Roman"/>
          <w:spacing w:val="67"/>
          <w:sz w:val="29"/>
        </w:rPr>
        <w:t> </w:t>
      </w:r>
      <w:r>
        <w:rPr>
          <w:spacing w:val="25"/>
          <w:w w:val="90"/>
          <w:sz w:val="25"/>
        </w:rPr>
        <w:t>之</w:t>
      </w:r>
      <w:r>
        <w:rPr>
          <w:w w:val="90"/>
          <w:sz w:val="25"/>
        </w:rPr>
        <w:t>地位</w:t>
      </w:r>
      <w:r>
        <w:rPr>
          <w:rFonts w:ascii="Times New Roman" w:eastAsia="Times New Roman"/>
          <w:w w:val="85"/>
          <w:sz w:val="16"/>
        </w:rPr>
        <w:t>93</w:t>
      </w:r>
      <w:r>
        <w:rPr>
          <w:rFonts w:ascii="Times New Roman" w:eastAsia="Times New Roman"/>
          <w:spacing w:val="40"/>
          <w:sz w:val="16"/>
        </w:rPr>
        <w:t> </w:t>
      </w:r>
      <w:r>
        <w:rPr>
          <w:rFonts w:ascii="Times New Roman" w:eastAsia="Times New Roman"/>
          <w:w w:val="90"/>
          <w:sz w:val="16"/>
        </w:rPr>
        <w:t>,</w:t>
        <w:tab/>
      </w:r>
      <w:r>
        <w:rPr>
          <w:w w:val="95"/>
          <w:sz w:val="25"/>
        </w:rPr>
        <w:t>法</w:t>
      </w:r>
      <w:r>
        <w:rPr>
          <w:spacing w:val="47"/>
          <w:w w:val="95"/>
          <w:sz w:val="25"/>
        </w:rPr>
        <w:t>院</w:t>
      </w:r>
      <w:r>
        <w:rPr>
          <w:spacing w:val="29"/>
          <w:w w:val="95"/>
          <w:sz w:val="25"/>
        </w:rPr>
        <w:t>判</w:t>
      </w:r>
      <w:r>
        <w:rPr>
          <w:spacing w:val="23"/>
          <w:w w:val="95"/>
          <w:sz w:val="25"/>
        </w:rPr>
        <w:t>決</w:t>
      </w:r>
      <w:r>
        <w:rPr>
          <w:spacing w:val="30"/>
          <w:w w:val="95"/>
          <w:sz w:val="25"/>
        </w:rPr>
        <w:t>將</w:t>
      </w:r>
      <w:r>
        <w:rPr>
          <w:w w:val="95"/>
          <w:sz w:val="25"/>
        </w:rPr>
        <w:t>直</w:t>
      </w:r>
      <w:r>
        <w:rPr>
          <w:spacing w:val="54"/>
          <w:w w:val="95"/>
          <w:sz w:val="25"/>
        </w:rPr>
        <w:t>接</w:t>
      </w:r>
      <w:r>
        <w:rPr>
          <w:spacing w:val="29"/>
          <w:w w:val="95"/>
          <w:sz w:val="25"/>
        </w:rPr>
        <w:t>且</w:t>
      </w:r>
      <w:r>
        <w:rPr>
          <w:spacing w:val="36"/>
          <w:w w:val="95"/>
          <w:sz w:val="25"/>
        </w:rPr>
        <w:t>噹</w:t>
      </w:r>
      <w:r>
        <w:rPr>
          <w:w w:val="95"/>
          <w:sz w:val="25"/>
        </w:rPr>
        <w:t>然地</w:t>
      </w:r>
      <w:r>
        <w:rPr>
          <w:spacing w:val="-19"/>
          <w:w w:val="95"/>
          <w:sz w:val="25"/>
        </w:rPr>
        <w:t> </w:t>
      </w:r>
      <w:r>
        <w:rPr>
          <w:spacing w:val="16"/>
          <w:w w:val="95"/>
          <w:sz w:val="25"/>
        </w:rPr>
        <w:t>形</w:t>
      </w:r>
      <w:r>
        <w:rPr>
          <w:w w:val="95"/>
          <w:sz w:val="25"/>
        </w:rPr>
        <w:t>成</w:t>
      </w:r>
      <w:r>
        <w:rPr>
          <w:spacing w:val="1"/>
          <w:w w:val="95"/>
          <w:sz w:val="25"/>
        </w:rPr>
        <w:t> </w:t>
      </w:r>
      <w:r>
        <w:rPr>
          <w:w w:val="95"/>
          <w:sz w:val="25"/>
        </w:rPr>
        <w:t>、變</w:t>
      </w:r>
      <w:r>
        <w:rPr>
          <w:spacing w:val="33"/>
          <w:w w:val="95"/>
          <w:sz w:val="25"/>
        </w:rPr>
        <w:t>更</w:t>
      </w:r>
      <w:r>
        <w:rPr>
          <w:spacing w:val="36"/>
          <w:w w:val="95"/>
          <w:sz w:val="25"/>
        </w:rPr>
        <w:t>或</w:t>
      </w:r>
      <w:r>
        <w:rPr>
          <w:w w:val="95"/>
          <w:sz w:val="25"/>
        </w:rPr>
        <w:t>消滅</w:t>
      </w:r>
      <w:r>
        <w:rPr>
          <w:spacing w:val="18"/>
          <w:w w:val="95"/>
          <w:sz w:val="25"/>
        </w:rPr>
        <w:t> </w:t>
      </w:r>
      <w:r>
        <w:rPr>
          <w:w w:val="95"/>
          <w:sz w:val="25"/>
        </w:rPr>
        <w:t>第</w:t>
      </w:r>
    </w:p>
    <w:p>
      <w:pPr>
        <w:pStyle w:val="BodyText"/>
        <w:rPr>
          <w:sz w:val="20"/>
        </w:rPr>
      </w:pPr>
    </w:p>
    <w:p>
      <w:pPr>
        <w:pStyle w:val="BodyText"/>
        <w:rPr>
          <w:sz w:val="20"/>
        </w:rPr>
      </w:pPr>
    </w:p>
    <w:p>
      <w:pPr>
        <w:pStyle w:val="BodyText"/>
        <w:spacing w:before="12"/>
        <w:rPr>
          <w:sz w:val="15"/>
        </w:rPr>
      </w:pPr>
    </w:p>
    <w:p>
      <w:pPr>
        <w:pStyle w:val="Heading6"/>
        <w:ind w:left="505"/>
      </w:pPr>
      <w:r>
        <w:rPr/>
        <w:pict>
          <v:line style="position:absolute;mso-position-horizontal-relative:page;mso-position-vertical-relative:paragraph;z-index:15849984" from="95.174004pt,-7.200519pt" to="549.89426pt,-7.200519pt" stroked="true" strokeweight=".480547pt" strokecolor="#000000">
            <v:stroke dashstyle="solid"/>
            <w10:wrap type="none"/>
          </v:line>
        </w:pict>
      </w:r>
      <w:r>
        <w:rPr/>
        <w:t>Rn.</w:t>
      </w:r>
      <w:r>
        <w:rPr>
          <w:spacing w:val="12"/>
        </w:rPr>
        <w:t> </w:t>
      </w:r>
      <w:r>
        <w:rPr/>
        <w:t>19.</w:t>
      </w:r>
    </w:p>
    <w:p>
      <w:pPr>
        <w:tabs>
          <w:tab w:pos="2316" w:val="left" w:leader="none"/>
        </w:tabs>
        <w:spacing w:line="256" w:lineRule="auto" w:before="9"/>
        <w:ind w:left="498" w:right="538" w:hanging="200"/>
        <w:jc w:val="left"/>
        <w:rPr>
          <w:sz w:val="21"/>
        </w:rPr>
      </w:pPr>
      <w:r>
        <w:rPr>
          <w:rFonts w:ascii="Times New Roman" w:eastAsia="Times New Roman"/>
          <w:position w:val="7"/>
          <w:sz w:val="13"/>
        </w:rPr>
        <w:t>91</w:t>
      </w:r>
      <w:r>
        <w:rPr>
          <w:rFonts w:ascii="Times New Roman" w:eastAsia="Times New Roman"/>
          <w:spacing w:val="11"/>
          <w:position w:val="7"/>
          <w:sz w:val="13"/>
        </w:rPr>
        <w:t> </w:t>
      </w:r>
      <w:r>
        <w:rPr>
          <w:spacing w:val="31"/>
          <w:sz w:val="21"/>
        </w:rPr>
        <w:t>第</w:t>
      </w:r>
      <w:r>
        <w:rPr>
          <w:spacing w:val="16"/>
          <w:sz w:val="21"/>
        </w:rPr>
        <w:t>三</w:t>
      </w:r>
      <w:r>
        <w:rPr>
          <w:spacing w:val="11"/>
          <w:sz w:val="21"/>
        </w:rPr>
        <w:t>人</w:t>
      </w:r>
      <w:r>
        <w:rPr>
          <w:spacing w:val="24"/>
          <w:sz w:val="21"/>
        </w:rPr>
        <w:t>受</w:t>
      </w:r>
      <w:r>
        <w:rPr>
          <w:spacing w:val="23"/>
          <w:sz w:val="21"/>
        </w:rPr>
        <w:t>判</w:t>
      </w:r>
      <w:r>
        <w:rPr>
          <w:spacing w:val="15"/>
          <w:sz w:val="21"/>
        </w:rPr>
        <w:t>決</w:t>
      </w:r>
      <w:r>
        <w:rPr>
          <w:spacing w:val="28"/>
          <w:sz w:val="21"/>
        </w:rPr>
        <w:t>效</w:t>
      </w:r>
      <w:r>
        <w:rPr>
          <w:sz w:val="21"/>
        </w:rPr>
        <w:t>力拘</w:t>
      </w:r>
      <w:r>
        <w:rPr>
          <w:spacing w:val="-20"/>
          <w:sz w:val="21"/>
        </w:rPr>
        <w:t> </w:t>
      </w:r>
      <w:r>
        <w:rPr>
          <w:spacing w:val="11"/>
          <w:sz w:val="21"/>
        </w:rPr>
        <w:t>束</w:t>
      </w:r>
      <w:r>
        <w:rPr>
          <w:spacing w:val="18"/>
          <w:sz w:val="21"/>
        </w:rPr>
        <w:t>之</w:t>
      </w:r>
      <w:r>
        <w:rPr>
          <w:sz w:val="21"/>
        </w:rPr>
        <w:t>情形</w:t>
      </w:r>
      <w:r>
        <w:rPr>
          <w:spacing w:val="-11"/>
          <w:sz w:val="21"/>
        </w:rPr>
        <w:t> </w:t>
      </w:r>
      <w:r>
        <w:rPr>
          <w:sz w:val="21"/>
        </w:rPr>
        <w:t>，</w:t>
      </w:r>
      <w:r>
        <w:rPr>
          <w:spacing w:val="-72"/>
          <w:sz w:val="21"/>
        </w:rPr>
        <w:t> </w:t>
      </w:r>
      <w:r>
        <w:rPr>
          <w:spacing w:val="22"/>
          <w:sz w:val="21"/>
        </w:rPr>
        <w:t>可</w:t>
      </w:r>
      <w:r>
        <w:rPr>
          <w:spacing w:val="13"/>
          <w:sz w:val="21"/>
        </w:rPr>
        <w:t>分</w:t>
      </w:r>
      <w:r>
        <w:rPr>
          <w:sz w:val="21"/>
        </w:rPr>
        <w:t>為「</w:t>
      </w:r>
      <w:r>
        <w:rPr>
          <w:spacing w:val="-55"/>
          <w:sz w:val="21"/>
        </w:rPr>
        <w:t> </w:t>
      </w:r>
      <w:r>
        <w:rPr>
          <w:spacing w:val="20"/>
          <w:sz w:val="21"/>
        </w:rPr>
        <w:t>形</w:t>
      </w:r>
      <w:r>
        <w:rPr>
          <w:spacing w:val="12"/>
          <w:sz w:val="21"/>
        </w:rPr>
        <w:t>成</w:t>
      </w:r>
      <w:r>
        <w:rPr>
          <w:spacing w:val="21"/>
          <w:sz w:val="21"/>
        </w:rPr>
        <w:t>效</w:t>
      </w:r>
      <w:r>
        <w:rPr>
          <w:spacing w:val="33"/>
          <w:sz w:val="21"/>
        </w:rPr>
        <w:t>力</w:t>
      </w:r>
      <w:r>
        <w:rPr>
          <w:sz w:val="21"/>
        </w:rPr>
        <w:t>」</w:t>
      </w:r>
      <w:r>
        <w:rPr>
          <w:spacing w:val="-64"/>
          <w:sz w:val="21"/>
        </w:rPr>
        <w:t> </w:t>
      </w:r>
      <w:r>
        <w:rPr>
          <w:sz w:val="21"/>
        </w:rPr>
        <w:t>及「</w:t>
      </w:r>
      <w:r>
        <w:rPr>
          <w:spacing w:val="-26"/>
          <w:sz w:val="21"/>
        </w:rPr>
        <w:t> </w:t>
      </w:r>
      <w:r>
        <w:rPr>
          <w:spacing w:val="45"/>
          <w:sz w:val="21"/>
        </w:rPr>
        <w:t>既</w:t>
      </w:r>
      <w:r>
        <w:rPr>
          <w:spacing w:val="23"/>
          <w:sz w:val="21"/>
        </w:rPr>
        <w:t>判</w:t>
      </w:r>
      <w:r>
        <w:rPr>
          <w:sz w:val="21"/>
        </w:rPr>
        <w:t>力擴</w:t>
      </w:r>
      <w:r>
        <w:rPr>
          <w:spacing w:val="-18"/>
          <w:sz w:val="21"/>
        </w:rPr>
        <w:t> </w:t>
      </w:r>
      <w:r>
        <w:rPr>
          <w:sz w:val="21"/>
        </w:rPr>
        <w:t>張</w:t>
      </w:r>
      <w:r>
        <w:rPr>
          <w:spacing w:val="22"/>
          <w:sz w:val="21"/>
        </w:rPr>
        <w:t>」</w:t>
      </w:r>
      <w:r>
        <w:rPr>
          <w:sz w:val="21"/>
        </w:rPr>
        <w:t>兩種； </w:t>
      </w:r>
      <w:r>
        <w:rPr>
          <w:rFonts w:ascii="Times New Roman" w:eastAsia="Times New Roman"/>
          <w:sz w:val="25"/>
        </w:rPr>
        <w:t>vg l.</w:t>
      </w:r>
      <w:r>
        <w:rPr>
          <w:rFonts w:ascii="Times New Roman" w:eastAsia="Times New Roman"/>
          <w:spacing w:val="1"/>
          <w:sz w:val="25"/>
        </w:rPr>
        <w:t> </w:t>
      </w:r>
      <w:r>
        <w:rPr>
          <w:rFonts w:ascii="Times New Roman" w:eastAsia="Times New Roman"/>
          <w:sz w:val="25"/>
        </w:rPr>
        <w:t>Bettermann,</w:t>
      </w:r>
      <w:r>
        <w:rPr>
          <w:rFonts w:ascii="Times New Roman" w:eastAsia="Times New Roman"/>
          <w:spacing w:val="1"/>
          <w:sz w:val="25"/>
        </w:rPr>
        <w:t> </w:t>
      </w:r>
      <w:r>
        <w:rPr>
          <w:rFonts w:ascii="Times New Roman" w:eastAsia="Times New Roman"/>
          <w:sz w:val="25"/>
        </w:rPr>
        <w:t>Uber die</w:t>
      </w:r>
      <w:r>
        <w:rPr>
          <w:rFonts w:ascii="Times New Roman" w:eastAsia="Times New Roman"/>
          <w:spacing w:val="1"/>
          <w:sz w:val="25"/>
        </w:rPr>
        <w:t> </w:t>
      </w:r>
      <w:r>
        <w:rPr>
          <w:rFonts w:ascii="Times New Roman" w:eastAsia="Times New Roman"/>
          <w:sz w:val="25"/>
        </w:rPr>
        <w:t>Bei ladung</w:t>
      </w:r>
      <w:r>
        <w:rPr>
          <w:rFonts w:ascii="Times New Roman" w:eastAsia="Times New Roman"/>
          <w:spacing w:val="1"/>
          <w:sz w:val="25"/>
        </w:rPr>
        <w:t> </w:t>
      </w:r>
      <w:r>
        <w:rPr>
          <w:rFonts w:ascii="Times New Roman" w:eastAsia="Times New Roman"/>
          <w:sz w:val="25"/>
        </w:rPr>
        <w:t>im Verwal tungsstrei tverfahren oder vom Nutzen</w:t>
      </w:r>
      <w:r>
        <w:rPr>
          <w:rFonts w:ascii="Times New Roman" w:eastAsia="Times New Roman"/>
          <w:spacing w:val="-60"/>
          <w:sz w:val="25"/>
        </w:rPr>
        <w:t> </w:t>
      </w:r>
      <w:r>
        <w:rPr>
          <w:rFonts w:ascii="Times New Roman" w:eastAsia="Times New Roman"/>
          <w:w w:val="105"/>
          <w:sz w:val="25"/>
        </w:rPr>
        <w:t>der </w:t>
      </w:r>
      <w:r>
        <w:rPr>
          <w:rFonts w:ascii="Times New Roman" w:eastAsia="Times New Roman"/>
          <w:spacing w:val="1"/>
          <w:w w:val="105"/>
          <w:sz w:val="25"/>
        </w:rPr>
        <w:t> </w:t>
      </w:r>
      <w:r>
        <w:rPr>
          <w:rFonts w:ascii="Times New Roman" w:eastAsia="Times New Roman"/>
          <w:w w:val="105"/>
          <w:sz w:val="25"/>
        </w:rPr>
        <w:t>Prozessvergleichung  und  einer </w:t>
      </w:r>
      <w:r>
        <w:rPr>
          <w:rFonts w:ascii="Times New Roman" w:eastAsia="Times New Roman"/>
          <w:spacing w:val="1"/>
          <w:w w:val="105"/>
          <w:sz w:val="25"/>
        </w:rPr>
        <w:t> </w:t>
      </w:r>
      <w:r>
        <w:rPr>
          <w:rFonts w:ascii="Times New Roman" w:eastAsia="Times New Roman"/>
          <w:w w:val="105"/>
          <w:sz w:val="25"/>
        </w:rPr>
        <w:t>allgemeinen </w:t>
      </w:r>
      <w:r>
        <w:rPr>
          <w:rFonts w:ascii="Times New Roman" w:eastAsia="Times New Roman"/>
          <w:spacing w:val="1"/>
          <w:w w:val="105"/>
          <w:sz w:val="25"/>
        </w:rPr>
        <w:t> </w:t>
      </w:r>
      <w:r>
        <w:rPr>
          <w:rFonts w:ascii="Times New Roman" w:eastAsia="Times New Roman"/>
          <w:w w:val="105"/>
          <w:sz w:val="25"/>
        </w:rPr>
        <w:t>Prozessrechtslehre, </w:t>
      </w:r>
      <w:r>
        <w:rPr>
          <w:rFonts w:ascii="Times New Roman" w:eastAsia="Times New Roman"/>
          <w:spacing w:val="1"/>
          <w:w w:val="105"/>
          <w:sz w:val="25"/>
        </w:rPr>
        <w:t> </w:t>
      </w:r>
      <w:r>
        <w:rPr>
          <w:rFonts w:ascii="Times New Roman" w:eastAsia="Times New Roman"/>
          <w:sz w:val="25"/>
        </w:rPr>
        <w:t>DVBl.</w:t>
      </w:r>
      <w:r>
        <w:rPr>
          <w:rFonts w:ascii="Times New Roman" w:eastAsia="Times New Roman"/>
          <w:spacing w:val="1"/>
          <w:sz w:val="25"/>
        </w:rPr>
        <w:t> </w:t>
      </w:r>
      <w:r>
        <w:rPr>
          <w:rFonts w:ascii="Times New Roman" w:eastAsia="Times New Roman"/>
          <w:w w:val="90"/>
          <w:sz w:val="26"/>
        </w:rPr>
        <w:t>1951,</w:t>
      </w:r>
      <w:r>
        <w:rPr>
          <w:rFonts w:ascii="Times New Roman" w:eastAsia="Times New Roman"/>
          <w:spacing w:val="139"/>
          <w:sz w:val="26"/>
        </w:rPr>
        <w:t> </w:t>
      </w:r>
      <w:r>
        <w:rPr>
          <w:rFonts w:ascii="Times New Roman" w:eastAsia="Times New Roman"/>
          <w:w w:val="90"/>
          <w:sz w:val="25"/>
        </w:rPr>
        <w:t>72</w:t>
      </w:r>
      <w:r>
        <w:rPr>
          <w:rFonts w:ascii="Times New Roman" w:eastAsia="Times New Roman"/>
          <w:spacing w:val="79"/>
          <w:sz w:val="25"/>
        </w:rPr>
        <w:t> </w:t>
      </w:r>
      <w:r>
        <w:rPr>
          <w:rFonts w:ascii="Times New Roman" w:eastAsia="Times New Roman"/>
          <w:w w:val="90"/>
          <w:sz w:val="25"/>
        </w:rPr>
        <w:t>(</w:t>
      </w:r>
      <w:r>
        <w:rPr>
          <w:rFonts w:ascii="Times New Roman" w:eastAsia="Times New Roman"/>
          <w:spacing w:val="-16"/>
          <w:w w:val="90"/>
          <w:sz w:val="25"/>
        </w:rPr>
        <w:t> </w:t>
      </w:r>
      <w:r>
        <w:rPr>
          <w:rFonts w:ascii="Times New Roman" w:eastAsia="Times New Roman"/>
          <w:w w:val="90"/>
          <w:sz w:val="25"/>
        </w:rPr>
        <w:t>74).</w:t>
        <w:tab/>
      </w:r>
      <w:r>
        <w:rPr>
          <w:sz w:val="21"/>
        </w:rPr>
        <w:t>惟</w:t>
      </w:r>
      <w:r>
        <w:rPr>
          <w:spacing w:val="25"/>
          <w:sz w:val="21"/>
        </w:rPr>
        <w:t>後</w:t>
      </w:r>
      <w:r>
        <w:rPr>
          <w:sz w:val="21"/>
        </w:rPr>
        <w:t>者</w:t>
      </w:r>
      <w:r>
        <w:rPr>
          <w:spacing w:val="12"/>
          <w:sz w:val="21"/>
        </w:rPr>
        <w:t>與</w:t>
      </w:r>
      <w:r>
        <w:rPr>
          <w:sz w:val="21"/>
        </w:rPr>
        <w:t>本</w:t>
      </w:r>
      <w:r>
        <w:rPr>
          <w:spacing w:val="37"/>
          <w:sz w:val="21"/>
        </w:rPr>
        <w:t>研</w:t>
      </w:r>
      <w:r>
        <w:rPr>
          <w:sz w:val="21"/>
        </w:rPr>
        <w:t>究並</w:t>
      </w:r>
      <w:r>
        <w:rPr>
          <w:spacing w:val="-44"/>
          <w:sz w:val="21"/>
        </w:rPr>
        <w:t> </w:t>
      </w:r>
      <w:r>
        <w:rPr>
          <w:spacing w:val="21"/>
          <w:sz w:val="21"/>
        </w:rPr>
        <w:t>無</w:t>
      </w:r>
      <w:r>
        <w:rPr>
          <w:sz w:val="21"/>
        </w:rPr>
        <w:t>直</w:t>
      </w:r>
      <w:r>
        <w:rPr>
          <w:spacing w:val="33"/>
          <w:sz w:val="21"/>
        </w:rPr>
        <w:t>接</w:t>
      </w:r>
      <w:r>
        <w:rPr>
          <w:spacing w:val="30"/>
          <w:sz w:val="21"/>
        </w:rPr>
        <w:t>之</w:t>
      </w:r>
      <w:r>
        <w:rPr>
          <w:sz w:val="21"/>
        </w:rPr>
        <w:t>關係</w:t>
      </w:r>
      <w:r>
        <w:rPr>
          <w:spacing w:val="28"/>
          <w:sz w:val="21"/>
        </w:rPr>
        <w:t> </w:t>
      </w:r>
      <w:r>
        <w:rPr>
          <w:sz w:val="21"/>
        </w:rPr>
        <w:t>，</w:t>
      </w:r>
      <w:r>
        <w:rPr>
          <w:spacing w:val="-67"/>
          <w:sz w:val="21"/>
        </w:rPr>
        <w:t> </w:t>
      </w:r>
      <w:r>
        <w:rPr>
          <w:sz w:val="21"/>
        </w:rPr>
        <w:t>故</w:t>
      </w:r>
      <w:r>
        <w:rPr>
          <w:spacing w:val="15"/>
          <w:sz w:val="21"/>
        </w:rPr>
        <w:t>本</w:t>
      </w:r>
      <w:r>
        <w:rPr>
          <w:sz w:val="21"/>
        </w:rPr>
        <w:t>文</w:t>
      </w:r>
      <w:r>
        <w:rPr>
          <w:spacing w:val="10"/>
          <w:sz w:val="21"/>
        </w:rPr>
        <w:t>未</w:t>
      </w:r>
      <w:r>
        <w:rPr>
          <w:sz w:val="21"/>
        </w:rPr>
        <w:t>予</w:t>
      </w:r>
      <w:r>
        <w:rPr>
          <w:spacing w:val="38"/>
          <w:sz w:val="21"/>
        </w:rPr>
        <w:t>以</w:t>
      </w:r>
      <w:r>
        <w:rPr>
          <w:spacing w:val="18"/>
          <w:sz w:val="21"/>
        </w:rPr>
        <w:t>討</w:t>
      </w:r>
      <w:r>
        <w:rPr>
          <w:sz w:val="21"/>
        </w:rPr>
        <w:t>論</w:t>
      </w:r>
      <w:r>
        <w:rPr>
          <w:spacing w:val="-5"/>
          <w:sz w:val="21"/>
        </w:rPr>
        <w:t> </w:t>
      </w:r>
      <w:r>
        <w:rPr>
          <w:sz w:val="21"/>
        </w:rPr>
        <w:t>。</w:t>
      </w:r>
    </w:p>
    <w:p>
      <w:pPr>
        <w:spacing w:before="3"/>
        <w:ind w:left="298" w:right="0" w:firstLine="0"/>
        <w:jc w:val="left"/>
        <w:rPr>
          <w:sz w:val="21"/>
        </w:rPr>
      </w:pPr>
      <w:r>
        <w:rPr>
          <w:rFonts w:ascii="Times New Roman" w:eastAsia="Times New Roman"/>
          <w:w w:val="85"/>
          <w:position w:val="7"/>
          <w:sz w:val="13"/>
        </w:rPr>
        <w:t>92</w:t>
      </w:r>
      <w:r>
        <w:rPr>
          <w:rFonts w:ascii="Times New Roman" w:eastAsia="Times New Roman"/>
          <w:spacing w:val="10"/>
          <w:w w:val="85"/>
          <w:position w:val="7"/>
          <w:sz w:val="13"/>
        </w:rPr>
        <w:t> </w:t>
      </w:r>
      <w:r>
        <w:rPr>
          <w:spacing w:val="1"/>
          <w:w w:val="85"/>
          <w:sz w:val="21"/>
        </w:rPr>
        <w:t>吳庚 ，行 政 爭 訟 法論 ， 頁</w:t>
      </w:r>
      <w:r>
        <w:rPr>
          <w:rFonts w:ascii="Times New Roman" w:eastAsia="Times New Roman"/>
          <w:w w:val="85"/>
          <w:sz w:val="25"/>
        </w:rPr>
        <w:t>279</w:t>
      </w:r>
      <w:r>
        <w:rPr>
          <w:rFonts w:ascii="Times New Roman" w:eastAsia="Times New Roman"/>
          <w:spacing w:val="47"/>
          <w:sz w:val="25"/>
        </w:rPr>
        <w:t> </w:t>
      </w:r>
      <w:r>
        <w:rPr>
          <w:spacing w:val="-12"/>
          <w:w w:val="85"/>
          <w:sz w:val="21"/>
        </w:rPr>
        <w:t>， 自版</w:t>
      </w:r>
      <w:r>
        <w:rPr>
          <w:spacing w:val="92"/>
          <w:sz w:val="21"/>
        </w:rPr>
        <w:t> </w:t>
      </w:r>
      <w:r>
        <w:rPr>
          <w:spacing w:val="-29"/>
          <w:w w:val="85"/>
          <w:sz w:val="21"/>
        </w:rPr>
        <w:t>， </w:t>
      </w:r>
      <w:r>
        <w:rPr>
          <w:rFonts w:ascii="Times New Roman" w:eastAsia="Times New Roman"/>
          <w:w w:val="85"/>
          <w:sz w:val="25"/>
        </w:rPr>
        <w:t>200</w:t>
      </w:r>
      <w:r>
        <w:rPr>
          <w:rFonts w:ascii="Times New Roman" w:eastAsia="Times New Roman"/>
          <w:spacing w:val="-25"/>
          <w:w w:val="85"/>
          <w:sz w:val="25"/>
        </w:rPr>
        <w:t> </w:t>
      </w:r>
      <w:r>
        <w:rPr>
          <w:rFonts w:ascii="Times New Roman" w:eastAsia="Times New Roman"/>
          <w:w w:val="85"/>
          <w:sz w:val="25"/>
        </w:rPr>
        <w:t>8</w:t>
      </w:r>
      <w:r>
        <w:rPr>
          <w:w w:val="85"/>
          <w:sz w:val="21"/>
        </w:rPr>
        <w:t>年</w:t>
      </w:r>
      <w:r>
        <w:rPr>
          <w:rFonts w:ascii="Times New Roman" w:eastAsia="Times New Roman"/>
          <w:spacing w:val="15"/>
          <w:w w:val="85"/>
          <w:sz w:val="25"/>
        </w:rPr>
        <w:t>3</w:t>
      </w:r>
      <w:r>
        <w:rPr>
          <w:spacing w:val="34"/>
          <w:w w:val="85"/>
          <w:sz w:val="21"/>
        </w:rPr>
        <w:t>月</w:t>
      </w:r>
      <w:r>
        <w:rPr>
          <w:rFonts w:ascii="Times New Roman" w:eastAsia="Times New Roman"/>
          <w:w w:val="85"/>
          <w:sz w:val="25"/>
        </w:rPr>
        <w:t>4</w:t>
      </w:r>
      <w:r>
        <w:rPr>
          <w:spacing w:val="8"/>
          <w:w w:val="85"/>
          <w:sz w:val="21"/>
        </w:rPr>
        <w:t>版 。</w:t>
      </w:r>
    </w:p>
    <w:p>
      <w:pPr>
        <w:pStyle w:val="BodyText"/>
        <w:spacing w:before="30"/>
        <w:ind w:left="298"/>
        <w:rPr>
          <w:rFonts w:ascii="Times New Roman" w:hAnsi="Times New Roman"/>
        </w:rPr>
      </w:pPr>
      <w:r>
        <w:rPr>
          <w:rFonts w:ascii="Times New Roman" w:hAnsi="Times New Roman"/>
          <w:position w:val="8"/>
          <w:sz w:val="13"/>
        </w:rPr>
        <w:t>93</w:t>
      </w:r>
      <w:r>
        <w:rPr>
          <w:rFonts w:ascii="Times New Roman" w:hAnsi="Times New Roman"/>
          <w:spacing w:val="21"/>
          <w:position w:val="8"/>
          <w:sz w:val="13"/>
        </w:rPr>
        <w:t> </w:t>
      </w:r>
      <w:r>
        <w:rPr>
          <w:rFonts w:ascii="Times New Roman" w:hAnsi="Times New Roman"/>
        </w:rPr>
        <w:t>Bier,</w:t>
      </w:r>
      <w:r>
        <w:rPr>
          <w:rFonts w:ascii="Times New Roman" w:hAnsi="Times New Roman"/>
          <w:spacing w:val="9"/>
        </w:rPr>
        <w:t> </w:t>
      </w:r>
      <w:r>
        <w:rPr>
          <w:rFonts w:ascii="Times New Roman" w:hAnsi="Times New Roman"/>
        </w:rPr>
        <w:t>in:</w:t>
      </w:r>
      <w:r>
        <w:rPr>
          <w:rFonts w:ascii="Times New Roman" w:hAnsi="Times New Roman"/>
          <w:spacing w:val="37"/>
        </w:rPr>
        <w:t> </w:t>
      </w:r>
      <w:r>
        <w:rPr>
          <w:rFonts w:ascii="Times New Roman" w:hAnsi="Times New Roman"/>
        </w:rPr>
        <w:t>Schoch/Schmidt-A13mann/Pietzner,</w:t>
      </w:r>
      <w:r>
        <w:rPr>
          <w:rFonts w:ascii="Times New Roman" w:hAnsi="Times New Roman"/>
          <w:spacing w:val="56"/>
        </w:rPr>
        <w:t> </w:t>
      </w:r>
      <w:r>
        <w:rPr>
          <w:rFonts w:ascii="Times New Roman" w:hAnsi="Times New Roman"/>
        </w:rPr>
        <w:t>VwGO,</w:t>
      </w:r>
      <w:r>
        <w:rPr>
          <w:rFonts w:ascii="Times New Roman" w:hAnsi="Times New Roman"/>
          <w:spacing w:val="52"/>
        </w:rPr>
        <w:t> </w:t>
      </w:r>
      <w:r>
        <w:rPr>
          <w:rFonts w:ascii="Times New Roman" w:hAnsi="Times New Roman"/>
        </w:rPr>
        <w:t>Stand:</w:t>
      </w:r>
      <w:r>
        <w:rPr>
          <w:rFonts w:ascii="Times New Roman" w:hAnsi="Times New Roman"/>
          <w:spacing w:val="18"/>
        </w:rPr>
        <w:t> </w:t>
      </w:r>
      <w:r>
        <w:rPr>
          <w:rFonts w:ascii="Times New Roman" w:hAnsi="Times New Roman"/>
        </w:rPr>
        <w:t>September</w:t>
      </w:r>
      <w:r>
        <w:rPr>
          <w:rFonts w:ascii="Times New Roman" w:hAnsi="Times New Roman"/>
          <w:spacing w:val="24"/>
        </w:rPr>
        <w:t> </w:t>
      </w:r>
      <w:r>
        <w:rPr>
          <w:rFonts w:ascii="Times New Roman" w:hAnsi="Times New Roman"/>
        </w:rPr>
        <w:t>2003,</w:t>
      </w:r>
      <w:r>
        <w:rPr>
          <w:rFonts w:ascii="Times New Roman" w:hAnsi="Times New Roman"/>
          <w:spacing w:val="56"/>
        </w:rPr>
        <w:t> </w:t>
      </w:r>
      <w:r>
        <w:rPr>
          <w:rFonts w:ascii="Arial" w:hAnsi="Arial"/>
          <w:sz w:val="20"/>
        </w:rPr>
        <w:t>§</w:t>
      </w:r>
      <w:r>
        <w:rPr>
          <w:rFonts w:ascii="Arial" w:hAnsi="Arial"/>
          <w:spacing w:val="25"/>
          <w:sz w:val="20"/>
        </w:rPr>
        <w:t> </w:t>
      </w:r>
      <w:r>
        <w:rPr>
          <w:rFonts w:ascii="Times New Roman" w:hAnsi="Times New Roman"/>
        </w:rPr>
        <w:t>65</w:t>
      </w:r>
    </w:p>
    <w:p>
      <w:pPr>
        <w:pStyle w:val="Heading6"/>
        <w:spacing w:before="16"/>
        <w:ind w:left="505"/>
      </w:pPr>
      <w:r>
        <w:rPr/>
        <w:t>Rn.</w:t>
      </w:r>
      <w:r>
        <w:rPr>
          <w:spacing w:val="12"/>
        </w:rPr>
        <w:t> </w:t>
      </w:r>
      <w:r>
        <w:rPr/>
        <w:t>19.</w:t>
      </w:r>
    </w:p>
    <w:p>
      <w:pPr>
        <w:spacing w:after="0"/>
        <w:sectPr>
          <w:headerReference w:type="default" r:id="rId456"/>
          <w:footerReference w:type="default" r:id="rId457"/>
          <w:pgSz w:w="11910" w:h="16840"/>
          <w:pgMar w:header="862" w:footer="1017" w:top="1060" w:bottom="1200" w:left="1120" w:right="1060"/>
        </w:sectPr>
      </w:pPr>
    </w:p>
    <w:p>
      <w:pPr>
        <w:pStyle w:val="BodyText"/>
        <w:rPr>
          <w:rFonts w:ascii="Times New Roman"/>
          <w:sz w:val="20"/>
        </w:rPr>
      </w:pPr>
    </w:p>
    <w:p>
      <w:pPr>
        <w:pStyle w:val="BodyText"/>
        <w:spacing w:before="201"/>
        <w:ind w:left="312"/>
      </w:pPr>
      <w:r>
        <w:rPr>
          <w:w w:val="110"/>
        </w:rPr>
        <w:t>三人權利，故該第三人為必要訴訟參加人。</w:t>
      </w:r>
    </w:p>
    <w:p>
      <w:pPr>
        <w:pStyle w:val="BodyText"/>
        <w:rPr>
          <w:sz w:val="17"/>
        </w:rPr>
      </w:pPr>
    </w:p>
    <w:p>
      <w:pPr>
        <w:spacing w:before="0"/>
        <w:ind w:left="0" w:right="348" w:firstLine="0"/>
        <w:jc w:val="center"/>
        <w:rPr>
          <w:sz w:val="25"/>
        </w:rPr>
      </w:pPr>
      <w:r>
        <w:rPr>
          <w:rFonts w:ascii="Times New Roman" w:eastAsia="Times New Roman"/>
          <w:b/>
          <w:spacing w:val="18"/>
          <w:w w:val="110"/>
          <w:position w:val="-2"/>
          <w:sz w:val="28"/>
        </w:rPr>
        <w:t>(</w:t>
      </w:r>
      <w:r>
        <w:rPr>
          <w:w w:val="110"/>
          <w:sz w:val="25"/>
        </w:rPr>
        <w:t>三</w:t>
      </w:r>
      <w:r>
        <w:rPr>
          <w:rFonts w:ascii="Times New Roman" w:eastAsia="Times New Roman"/>
          <w:b/>
          <w:spacing w:val="-81"/>
          <w:w w:val="110"/>
          <w:position w:val="-2"/>
          <w:sz w:val="28"/>
        </w:rPr>
        <w:t>)</w:t>
      </w:r>
      <w:r>
        <w:rPr>
          <w:w w:val="110"/>
          <w:sz w:val="25"/>
        </w:rPr>
        <w:t>小結</w:t>
      </w:r>
    </w:p>
    <w:p>
      <w:pPr>
        <w:pStyle w:val="BodyText"/>
        <w:spacing w:before="3"/>
        <w:rPr>
          <w:sz w:val="22"/>
        </w:rPr>
      </w:pPr>
    </w:p>
    <w:p>
      <w:pPr>
        <w:pStyle w:val="BodyText"/>
        <w:spacing w:line="331" w:lineRule="auto"/>
        <w:ind w:left="301" w:right="506" w:firstLine="579"/>
        <w:jc w:val="both"/>
      </w:pPr>
      <w:r>
        <w:rPr>
          <w:w w:val="110"/>
        </w:rPr>
        <w:t>分析上述行政訴訟法上必要參加之要件，在公務人員之消極競爭者爭訟中，復審人請求撒銷人事主管機關對於該競爭者所作成陞任、陞遷、留任等授益處分，其情形與行政訴訟法上必要參加之要件均相符合。</w:t>
      </w:r>
    </w:p>
    <w:p>
      <w:pPr>
        <w:pStyle w:val="BodyText"/>
        <w:spacing w:line="331" w:lineRule="auto"/>
        <w:ind w:left="305" w:right="388" w:firstLine="562"/>
      </w:pPr>
      <w:r>
        <w:rPr>
          <w:w w:val="105"/>
        </w:rPr>
        <w:t>詳言之，保訓會對於消極競爭者爭訟審理之結果，如認為復審有理   </w:t>
      </w:r>
      <w:r>
        <w:rPr>
          <w:spacing w:val="76"/>
          <w:w w:val="105"/>
        </w:rPr>
        <w:t> </w:t>
      </w:r>
      <w:r>
        <w:rPr>
          <w:w w:val="105"/>
        </w:rPr>
        <w:t>由，將對於該競爭者所作成之投益處分撒銷，該撒銷之復審決定亦有形成 </w:t>
      </w:r>
      <w:r>
        <w:rPr>
          <w:spacing w:val="126"/>
          <w:w w:val="105"/>
        </w:rPr>
        <w:t> </w:t>
      </w:r>
      <w:r>
        <w:rPr>
          <w:spacing w:val="3"/>
          <w:w w:val="95"/>
        </w:rPr>
        <w:t>效力 而拘束任何人</w:t>
      </w:r>
      <w:r>
        <w:rPr>
          <w:rFonts w:ascii="Times New Roman" w:eastAsia="Times New Roman"/>
          <w:w w:val="80"/>
          <w:sz w:val="15"/>
        </w:rPr>
        <w:t>94</w:t>
      </w:r>
      <w:r>
        <w:rPr>
          <w:rFonts w:ascii="Times New Roman" w:eastAsia="Times New Roman"/>
          <w:spacing w:val="21"/>
          <w:w w:val="80"/>
          <w:sz w:val="15"/>
        </w:rPr>
        <w:t> </w:t>
      </w:r>
      <w:r>
        <w:rPr>
          <w:spacing w:val="22"/>
          <w:w w:val="80"/>
        </w:rPr>
        <w:t>。</w:t>
      </w:r>
      <w:r>
        <w:rPr>
          <w:spacing w:val="8"/>
          <w:w w:val="95"/>
        </w:rPr>
        <w:t>無論第三 人是否參加 復審 </w:t>
      </w:r>
      <w:r>
        <w:rPr>
          <w:w w:val="80"/>
        </w:rPr>
        <w:t>，</w:t>
      </w:r>
      <w:r>
        <w:rPr>
          <w:spacing w:val="12"/>
          <w:w w:val="95"/>
        </w:rPr>
        <w:t>均為復審決定效力所 及 。</w:t>
      </w:r>
      <w:r>
        <w:rPr>
          <w:w w:val="105"/>
        </w:rPr>
        <w:t>又該第三人雖非復審程序之噹事人，然而其「行政處分相對人」之地位， </w:t>
      </w:r>
      <w:r>
        <w:rPr>
          <w:spacing w:val="113"/>
          <w:w w:val="105"/>
        </w:rPr>
        <w:t> </w:t>
      </w:r>
      <w:r>
        <w:rPr>
          <w:w w:val="105"/>
        </w:rPr>
        <w:t>即噹然轉換為「復審決定相對人」之地位，故其亦噹然成為該決定之對象。</w:t>
      </w:r>
      <w:r>
        <w:rPr>
          <w:spacing w:val="1"/>
          <w:w w:val="105"/>
        </w:rPr>
        <w:t> </w:t>
      </w:r>
      <w:r>
        <w:rPr>
          <w:w w:val="105"/>
        </w:rPr>
        <w:t>復審決定既將直接且當然地形成、變更或消滅第三人権利，保訓會自應使 </w:t>
      </w:r>
      <w:r>
        <w:rPr>
          <w:spacing w:val="113"/>
          <w:w w:val="105"/>
        </w:rPr>
        <w:t> </w:t>
      </w:r>
      <w:r>
        <w:rPr>
          <w:w w:val="105"/>
        </w:rPr>
        <w:t>其參加復審，籍以影零保訓會之決定，保障其權益。</w:t>
      </w:r>
    </w:p>
    <w:p>
      <w:pPr>
        <w:pStyle w:val="BodyText"/>
        <w:spacing w:before="77"/>
        <w:ind w:left="2091"/>
      </w:pPr>
      <w:r>
        <w:rPr>
          <w:w w:val="115"/>
        </w:rPr>
        <w:t>二行政訴訟法上必要訴訟參加制度案例之分析</w:t>
      </w:r>
    </w:p>
    <w:p>
      <w:pPr>
        <w:pStyle w:val="BodyText"/>
        <w:spacing w:before="2"/>
        <w:rPr>
          <w:sz w:val="24"/>
        </w:rPr>
      </w:pPr>
    </w:p>
    <w:p>
      <w:pPr>
        <w:pStyle w:val="BodyText"/>
        <w:spacing w:line="331" w:lineRule="auto"/>
        <w:ind w:left="310" w:right="519" w:firstLine="557"/>
        <w:jc w:val="both"/>
      </w:pPr>
      <w:r>
        <w:rPr>
          <w:w w:val="110"/>
        </w:rPr>
        <w:t>依行政訴訟法上學說及實務之見解，第三人與訴訟標的之法律關係具有密切關連性，符合「直接之第三人效果」要件，應命該第三人參加訴訟之最主要案例類型，即為「原告針對授益第三人之處分提超撒銷訴訟」之情形。舉例說明如下：</w:t>
      </w:r>
    </w:p>
    <w:p>
      <w:pPr>
        <w:pStyle w:val="BodyText"/>
        <w:spacing w:line="328" w:lineRule="auto"/>
        <w:ind w:left="301" w:right="511" w:firstLine="569"/>
      </w:pPr>
      <w:r>
        <w:rPr>
          <w:w w:val="110"/>
        </w:rPr>
        <w:t>超造人取得建築主管機關所核發之建造執照，其鄰人以建築主管機關</w:t>
      </w:r>
      <w:r>
        <w:rPr>
          <w:spacing w:val="-6"/>
        </w:rPr>
        <w:t>為被 告 </w:t>
      </w:r>
      <w:r>
        <w:rPr>
          <w:spacing w:val="31"/>
          <w:w w:val="80"/>
        </w:rPr>
        <w:t>，提 </w:t>
      </w:r>
      <w:r>
        <w:rPr>
          <w:spacing w:val="4"/>
        </w:rPr>
        <w:t>超撒銷訴訟時 </w:t>
      </w:r>
      <w:r>
        <w:rPr>
          <w:spacing w:val="-26"/>
          <w:w w:val="80"/>
        </w:rPr>
        <w:t>， </w:t>
      </w:r>
      <w:r>
        <w:rPr>
          <w:spacing w:val="8"/>
        </w:rPr>
        <w:t>該超造人為必要訴訟參加人</w:t>
      </w:r>
      <w:r>
        <w:rPr>
          <w:rFonts w:ascii="Times New Roman" w:eastAsia="Times New Roman"/>
          <w:w w:val="80"/>
          <w:sz w:val="16"/>
        </w:rPr>
        <w:t>95</w:t>
      </w:r>
      <w:r>
        <w:rPr>
          <w:rFonts w:ascii="Times New Roman" w:eastAsia="Times New Roman"/>
          <w:spacing w:val="51"/>
          <w:sz w:val="16"/>
        </w:rPr>
        <w:t>  </w:t>
      </w:r>
      <w:r>
        <w:rPr>
          <w:spacing w:val="-2"/>
          <w:w w:val="80"/>
        </w:rPr>
        <w:t>。 </w:t>
      </w:r>
      <w:r>
        <w:rPr>
          <w:spacing w:val="8"/>
          <w:w w:val="85"/>
        </w:rPr>
        <w:t>在此案例 中 </w:t>
      </w:r>
      <w:r>
        <w:rPr>
          <w:w w:val="80"/>
        </w:rPr>
        <w:t>，</w:t>
      </w:r>
      <w:r>
        <w:rPr>
          <w:spacing w:val="1"/>
          <w:w w:val="80"/>
        </w:rPr>
        <w:t> </w:t>
      </w:r>
      <w:r>
        <w:rPr>
          <w:w w:val="110"/>
        </w:rPr>
        <w:t>為訴訟標的之法律關係為附第三人效力之行政處分，鄰人雖以建築主管機關為被告，如其獲得勝訴判決時，該判決為形成判決，具有形成效力，無論超造人是否參加訴訟，均為判決效力所及，即訴訟標的對於超造人（第三人）及噹事人之一造（建築主管機關）必須合一裁判，故其亦噹然成為該判決之對象。為維護超造人實體法上之權益，自應賦予其一定之訴訟法上地位，使其參加訴訟，籍以影攀行政法院判決之結果。是以行政法院應</w:t>
      </w:r>
    </w:p>
    <w:p>
      <w:pPr>
        <w:pStyle w:val="BodyText"/>
        <w:spacing w:before="12"/>
        <w:rPr>
          <w:sz w:val="11"/>
        </w:rPr>
      </w:pPr>
      <w:r>
        <w:rPr/>
        <w:pict>
          <v:shape style="position:absolute;margin-left:95.174004pt;margin-top:9.996984pt;width:144.25pt;height:.1pt;mso-position-horizontal-relative:page;mso-position-vertical-relative:paragraph;z-index:-15606784;mso-wrap-distance-left:0;mso-wrap-distance-right:0" coordorigin="1903,200" coordsize="2885,0" path="m1903,200l4788,200e" filled="false" stroked="true" strokeweight=".720821pt" strokecolor="#000000">
            <v:path arrowok="t"/>
            <v:stroke dashstyle="solid"/>
            <w10:wrap type="topAndBottom"/>
          </v:shape>
        </w:pict>
      </w:r>
    </w:p>
    <w:p>
      <w:pPr>
        <w:pStyle w:val="BodyText"/>
        <w:spacing w:before="2"/>
        <w:rPr>
          <w:sz w:val="7"/>
        </w:rPr>
      </w:pPr>
    </w:p>
    <w:p>
      <w:pPr>
        <w:spacing w:line="278" w:lineRule="auto" w:before="85"/>
        <w:ind w:left="508" w:right="420" w:hanging="210"/>
        <w:jc w:val="left"/>
        <w:rPr>
          <w:sz w:val="21"/>
        </w:rPr>
      </w:pPr>
      <w:r>
        <w:rPr>
          <w:rFonts w:ascii="Times New Roman" w:eastAsia="Times New Roman"/>
          <w:position w:val="7"/>
          <w:sz w:val="13"/>
        </w:rPr>
        <w:t>94</w:t>
      </w:r>
      <w:r>
        <w:rPr>
          <w:rFonts w:ascii="Times New Roman" w:eastAsia="Times New Roman"/>
          <w:spacing w:val="26"/>
          <w:position w:val="7"/>
          <w:sz w:val="13"/>
        </w:rPr>
        <w:t> </w:t>
      </w:r>
      <w:r>
        <w:rPr>
          <w:spacing w:val="10"/>
          <w:sz w:val="21"/>
        </w:rPr>
        <w:t>行政訴</w:t>
      </w:r>
      <w:r>
        <w:rPr>
          <w:spacing w:val="29"/>
          <w:w w:val="105"/>
          <w:sz w:val="21"/>
        </w:rPr>
        <w:t>訟法</w:t>
      </w:r>
      <w:r>
        <w:rPr>
          <w:spacing w:val="36"/>
          <w:sz w:val="21"/>
        </w:rPr>
        <w:t>第</w:t>
      </w:r>
      <w:r>
        <w:rPr>
          <w:rFonts w:ascii="Times New Roman" w:eastAsia="Times New Roman"/>
          <w:sz w:val="26"/>
        </w:rPr>
        <w:t>215</w:t>
      </w:r>
      <w:r>
        <w:rPr>
          <w:rFonts w:ascii="Times New Roman" w:eastAsia="Times New Roman"/>
          <w:spacing w:val="-24"/>
          <w:sz w:val="26"/>
        </w:rPr>
        <w:t> </w:t>
      </w:r>
      <w:r>
        <w:rPr>
          <w:spacing w:val="22"/>
          <w:sz w:val="21"/>
        </w:rPr>
        <w:t>條規定：</w:t>
      </w:r>
      <w:r>
        <w:rPr>
          <w:spacing w:val="-3"/>
          <w:sz w:val="21"/>
        </w:rPr>
        <w:t>「撤銷或變更原 處分或決定之判決 ，對第 三人亦有效 力」。</w:t>
      </w:r>
      <w:r>
        <w:rPr>
          <w:sz w:val="21"/>
        </w:rPr>
        <w:t>公務人員保障法上雖無類此規定，惟就撤銷決定之性質而言，其亦應具有對世效力，      </w:t>
      </w:r>
      <w:r>
        <w:rPr>
          <w:spacing w:val="88"/>
          <w:sz w:val="21"/>
        </w:rPr>
        <w:t> </w:t>
      </w:r>
      <w:r>
        <w:rPr>
          <w:sz w:val="21"/>
        </w:rPr>
        <w:t>與撤銷判決並蕪不同。</w:t>
      </w:r>
    </w:p>
    <w:p>
      <w:pPr>
        <w:pStyle w:val="Heading6"/>
        <w:tabs>
          <w:tab w:pos="1289" w:val="left" w:leader="none"/>
        </w:tabs>
        <w:spacing w:line="282" w:lineRule="exact" w:before="0"/>
        <w:rPr>
          <w:rFonts w:ascii="Arial" w:hAnsi="Arial"/>
          <w:sz w:val="20"/>
        </w:rPr>
      </w:pPr>
      <w:r>
        <w:rPr>
          <w:position w:val="8"/>
          <w:sz w:val="13"/>
        </w:rPr>
        <w:t>95   </w:t>
      </w:r>
      <w:r>
        <w:rPr>
          <w:spacing w:val="1"/>
          <w:position w:val="8"/>
          <w:sz w:val="13"/>
        </w:rPr>
        <w:t> </w:t>
      </w:r>
      <w:r>
        <w:rPr/>
        <w:t>Bier,</w:t>
        <w:tab/>
      </w:r>
      <w:r>
        <w:rPr>
          <w:w w:val="95"/>
        </w:rPr>
        <w:t>in:</w:t>
      </w:r>
      <w:r>
        <w:rPr>
          <w:spacing w:val="75"/>
        </w:rPr>
        <w:t> </w:t>
      </w:r>
      <w:r>
        <w:rPr>
          <w:w w:val="95"/>
        </w:rPr>
        <w:t>Schoch/Schmidt-A13mann/Pietzner,</w:t>
      </w:r>
      <w:r>
        <w:rPr>
          <w:spacing w:val="71"/>
        </w:rPr>
        <w:t> </w:t>
      </w:r>
      <w:r>
        <w:rPr>
          <w:w w:val="95"/>
        </w:rPr>
        <w:t>VwGO,</w:t>
      </w:r>
      <w:r>
        <w:rPr>
          <w:spacing w:val="95"/>
        </w:rPr>
        <w:t> </w:t>
      </w:r>
      <w:r>
        <w:rPr>
          <w:w w:val="95"/>
        </w:rPr>
        <w:t>Stand:</w:t>
      </w:r>
      <w:r>
        <w:rPr>
          <w:spacing w:val="53"/>
          <w:w w:val="95"/>
        </w:rPr>
        <w:t> </w:t>
      </w:r>
      <w:r>
        <w:rPr>
          <w:w w:val="95"/>
        </w:rPr>
        <w:t>September</w:t>
      </w:r>
      <w:r>
        <w:rPr>
          <w:spacing w:val="62"/>
        </w:rPr>
        <w:t> </w:t>
      </w:r>
      <w:r>
        <w:rPr>
          <w:w w:val="95"/>
        </w:rPr>
        <w:t>2003,</w:t>
      </w:r>
      <w:r>
        <w:rPr>
          <w:spacing w:val="92"/>
        </w:rPr>
        <w:t> </w:t>
      </w:r>
      <w:r>
        <w:rPr>
          <w:rFonts w:ascii="Arial" w:hAnsi="Arial"/>
          <w:w w:val="95"/>
          <w:sz w:val="20"/>
        </w:rPr>
        <w:t>§</w:t>
      </w:r>
    </w:p>
    <w:p>
      <w:pPr>
        <w:spacing w:line="249" w:lineRule="auto" w:before="13"/>
        <w:ind w:left="505" w:right="569" w:firstLine="2"/>
        <w:jc w:val="left"/>
        <w:rPr>
          <w:rFonts w:ascii="Times New Roman" w:hAnsi="Times New Roman"/>
          <w:sz w:val="26"/>
        </w:rPr>
      </w:pPr>
      <w:r>
        <w:rPr>
          <w:rFonts w:ascii="Times New Roman" w:hAnsi="Times New Roman"/>
          <w:w w:val="90"/>
          <w:sz w:val="26"/>
        </w:rPr>
        <w:t>65</w:t>
      </w:r>
      <w:r>
        <w:rPr>
          <w:rFonts w:ascii="Times New Roman" w:hAnsi="Times New Roman"/>
          <w:spacing w:val="52"/>
          <w:sz w:val="26"/>
        </w:rPr>
        <w:t> </w:t>
      </w:r>
      <w:r>
        <w:rPr>
          <w:rFonts w:ascii="Times New Roman" w:hAnsi="Times New Roman"/>
          <w:w w:val="90"/>
          <w:sz w:val="26"/>
        </w:rPr>
        <w:t>Rn.</w:t>
      </w:r>
      <w:r>
        <w:rPr>
          <w:rFonts w:ascii="Times New Roman" w:hAnsi="Times New Roman"/>
          <w:spacing w:val="53"/>
          <w:sz w:val="26"/>
        </w:rPr>
        <w:t> </w:t>
      </w:r>
      <w:r>
        <w:rPr>
          <w:rFonts w:ascii="Times New Roman" w:hAnsi="Times New Roman"/>
          <w:w w:val="90"/>
          <w:sz w:val="26"/>
        </w:rPr>
        <w:t>17;</w:t>
      </w:r>
      <w:r>
        <w:rPr>
          <w:rFonts w:ascii="Times New Roman" w:hAnsi="Times New Roman"/>
          <w:spacing w:val="52"/>
          <w:sz w:val="26"/>
        </w:rPr>
        <w:t> </w:t>
      </w:r>
      <w:r>
        <w:rPr>
          <w:rFonts w:ascii="Times New Roman" w:hAnsi="Times New Roman"/>
          <w:w w:val="90"/>
          <w:sz w:val="26"/>
        </w:rPr>
        <w:t>Redeker Ivon</w:t>
      </w:r>
      <w:r>
        <w:rPr>
          <w:rFonts w:ascii="Times New Roman" w:hAnsi="Times New Roman"/>
          <w:spacing w:val="52"/>
          <w:sz w:val="26"/>
        </w:rPr>
        <w:t> </w:t>
      </w:r>
      <w:r>
        <w:rPr>
          <w:rFonts w:ascii="Times New Roman" w:hAnsi="Times New Roman"/>
          <w:w w:val="90"/>
          <w:sz w:val="26"/>
        </w:rPr>
        <w:t>Oertzen,</w:t>
      </w:r>
      <w:r>
        <w:rPr>
          <w:rFonts w:ascii="Times New Roman" w:hAnsi="Times New Roman"/>
          <w:spacing w:val="53"/>
          <w:sz w:val="26"/>
        </w:rPr>
        <w:t> </w:t>
      </w:r>
      <w:r>
        <w:rPr>
          <w:rFonts w:ascii="Times New Roman" w:hAnsi="Times New Roman"/>
          <w:w w:val="90"/>
          <w:sz w:val="26"/>
        </w:rPr>
        <w:t>VwGO,</w:t>
      </w:r>
      <w:r>
        <w:rPr>
          <w:rFonts w:ascii="Times New Roman" w:hAnsi="Times New Roman"/>
          <w:spacing w:val="53"/>
          <w:sz w:val="26"/>
        </w:rPr>
        <w:t> </w:t>
      </w:r>
      <w:r>
        <w:rPr>
          <w:rFonts w:ascii="Times New Roman" w:hAnsi="Times New Roman"/>
          <w:w w:val="90"/>
          <w:sz w:val="26"/>
        </w:rPr>
        <w:t>13.</w:t>
      </w:r>
      <w:r>
        <w:rPr>
          <w:rFonts w:ascii="Times New Roman" w:hAnsi="Times New Roman"/>
          <w:spacing w:val="53"/>
          <w:sz w:val="26"/>
        </w:rPr>
        <w:t> </w:t>
      </w:r>
      <w:r>
        <w:rPr>
          <w:rFonts w:ascii="Times New Roman" w:hAnsi="Times New Roman"/>
          <w:w w:val="90"/>
          <w:sz w:val="26"/>
        </w:rPr>
        <w:t>Aufl.,</w:t>
      </w:r>
      <w:r>
        <w:rPr>
          <w:rFonts w:ascii="Times New Roman" w:hAnsi="Times New Roman"/>
          <w:spacing w:val="53"/>
          <w:sz w:val="26"/>
        </w:rPr>
        <w:t> </w:t>
      </w:r>
      <w:r>
        <w:rPr>
          <w:rFonts w:ascii="Times New Roman" w:hAnsi="Times New Roman"/>
          <w:w w:val="90"/>
          <w:sz w:val="26"/>
        </w:rPr>
        <w:t>2000,</w:t>
      </w:r>
      <w:r>
        <w:rPr>
          <w:rFonts w:ascii="Times New Roman" w:hAnsi="Times New Roman"/>
          <w:spacing w:val="110"/>
          <w:sz w:val="26"/>
        </w:rPr>
        <w:t> </w:t>
      </w:r>
      <w:r>
        <w:rPr>
          <w:rFonts w:ascii="Arial" w:hAnsi="Arial"/>
          <w:w w:val="90"/>
          <w:sz w:val="20"/>
        </w:rPr>
        <w:t>§</w:t>
      </w:r>
      <w:r>
        <w:rPr>
          <w:rFonts w:ascii="Arial" w:hAnsi="Arial"/>
          <w:spacing w:val="94"/>
          <w:sz w:val="20"/>
        </w:rPr>
        <w:t> </w:t>
      </w:r>
      <w:r>
        <w:rPr>
          <w:rFonts w:ascii="Times New Roman" w:hAnsi="Times New Roman"/>
          <w:w w:val="90"/>
          <w:sz w:val="26"/>
        </w:rPr>
        <w:t>65</w:t>
      </w:r>
      <w:r>
        <w:rPr>
          <w:rFonts w:ascii="Times New Roman" w:hAnsi="Times New Roman"/>
          <w:spacing w:val="52"/>
          <w:sz w:val="26"/>
        </w:rPr>
        <w:t> </w:t>
      </w:r>
      <w:r>
        <w:rPr>
          <w:rFonts w:ascii="Times New Roman" w:hAnsi="Times New Roman"/>
          <w:w w:val="90"/>
          <w:sz w:val="26"/>
        </w:rPr>
        <w:t>Rn.</w:t>
      </w:r>
      <w:r>
        <w:rPr>
          <w:rFonts w:ascii="Times New Roman" w:hAnsi="Times New Roman"/>
          <w:spacing w:val="111"/>
          <w:sz w:val="26"/>
        </w:rPr>
        <w:t> </w:t>
      </w:r>
      <w:r>
        <w:rPr>
          <w:rFonts w:ascii="Times New Roman" w:hAnsi="Times New Roman"/>
          <w:w w:val="90"/>
          <w:sz w:val="26"/>
        </w:rPr>
        <w:t>9;</w:t>
      </w:r>
      <w:r>
        <w:rPr>
          <w:rFonts w:ascii="Times New Roman" w:hAnsi="Times New Roman"/>
          <w:spacing w:val="52"/>
          <w:sz w:val="26"/>
        </w:rPr>
        <w:t> </w:t>
      </w:r>
      <w:r>
        <w:rPr>
          <w:rFonts w:ascii="Times New Roman" w:hAnsi="Times New Roman"/>
          <w:w w:val="90"/>
          <w:sz w:val="26"/>
        </w:rPr>
        <w:t>Konrad,</w:t>
      </w:r>
      <w:r>
        <w:rPr>
          <w:rFonts w:ascii="Times New Roman" w:hAnsi="Times New Roman"/>
          <w:spacing w:val="-56"/>
          <w:w w:val="90"/>
          <w:sz w:val="26"/>
        </w:rPr>
        <w:t> </w:t>
      </w:r>
      <w:r>
        <w:rPr>
          <w:rFonts w:ascii="Times New Roman" w:hAnsi="Times New Roman"/>
          <w:sz w:val="26"/>
        </w:rPr>
        <w:t>Die</w:t>
      </w:r>
      <w:r>
        <w:rPr>
          <w:rFonts w:ascii="Times New Roman" w:hAnsi="Times New Roman"/>
          <w:spacing w:val="28"/>
          <w:sz w:val="26"/>
        </w:rPr>
        <w:t> </w:t>
      </w:r>
      <w:r>
        <w:rPr>
          <w:rFonts w:ascii="Times New Roman" w:hAnsi="Times New Roman"/>
          <w:sz w:val="26"/>
        </w:rPr>
        <w:t>Notwendigkeit</w:t>
      </w:r>
      <w:r>
        <w:rPr>
          <w:rFonts w:ascii="Times New Roman" w:hAnsi="Times New Roman"/>
          <w:spacing w:val="35"/>
          <w:sz w:val="26"/>
        </w:rPr>
        <w:t> </w:t>
      </w:r>
      <w:r>
        <w:rPr>
          <w:rFonts w:ascii="Times New Roman" w:hAnsi="Times New Roman"/>
          <w:sz w:val="26"/>
        </w:rPr>
        <w:t>der</w:t>
      </w:r>
      <w:r>
        <w:rPr>
          <w:rFonts w:ascii="Times New Roman" w:hAnsi="Times New Roman"/>
          <w:spacing w:val="23"/>
          <w:sz w:val="26"/>
        </w:rPr>
        <w:t> </w:t>
      </w:r>
      <w:r>
        <w:rPr>
          <w:rFonts w:ascii="Times New Roman" w:hAnsi="Times New Roman"/>
          <w:sz w:val="26"/>
        </w:rPr>
        <w:t>Beiladung</w:t>
      </w:r>
      <w:r>
        <w:rPr>
          <w:rFonts w:ascii="Times New Roman" w:hAnsi="Times New Roman"/>
          <w:spacing w:val="39"/>
          <w:sz w:val="26"/>
        </w:rPr>
        <w:t> </w:t>
      </w:r>
      <w:r>
        <w:rPr>
          <w:rFonts w:ascii="Times New Roman" w:hAnsi="Times New Roman"/>
          <w:sz w:val="26"/>
        </w:rPr>
        <w:t>im</w:t>
      </w:r>
      <w:r>
        <w:rPr>
          <w:rFonts w:ascii="Times New Roman" w:hAnsi="Times New Roman"/>
          <w:spacing w:val="15"/>
          <w:sz w:val="26"/>
        </w:rPr>
        <w:t> </w:t>
      </w:r>
      <w:r>
        <w:rPr>
          <w:rFonts w:ascii="Times New Roman" w:hAnsi="Times New Roman"/>
          <w:sz w:val="26"/>
        </w:rPr>
        <w:t>Verwaltungsprozess,</w:t>
      </w:r>
      <w:r>
        <w:rPr>
          <w:rFonts w:ascii="Times New Roman" w:hAnsi="Times New Roman"/>
          <w:spacing w:val="63"/>
          <w:sz w:val="26"/>
        </w:rPr>
        <w:t> </w:t>
      </w:r>
      <w:r>
        <w:rPr>
          <w:rFonts w:ascii="Times New Roman" w:hAnsi="Times New Roman"/>
          <w:sz w:val="26"/>
        </w:rPr>
        <w:t>BayVBl,</w:t>
      </w:r>
      <w:r>
        <w:rPr>
          <w:rFonts w:ascii="Times New Roman" w:hAnsi="Times New Roman"/>
          <w:spacing w:val="67"/>
          <w:sz w:val="26"/>
        </w:rPr>
        <w:t> </w:t>
      </w:r>
      <w:r>
        <w:rPr>
          <w:rFonts w:ascii="Times New Roman" w:hAnsi="Times New Roman"/>
          <w:sz w:val="26"/>
        </w:rPr>
        <w:t>1982,</w:t>
      </w:r>
      <w:r>
        <w:rPr>
          <w:rFonts w:ascii="Times New Roman" w:hAnsi="Times New Roman"/>
          <w:spacing w:val="71"/>
          <w:sz w:val="26"/>
        </w:rPr>
        <w:t> </w:t>
      </w:r>
      <w:r>
        <w:rPr>
          <w:rFonts w:ascii="Times New Roman" w:hAnsi="Times New Roman"/>
          <w:sz w:val="26"/>
        </w:rPr>
        <w:t>481.</w:t>
      </w:r>
    </w:p>
    <w:p>
      <w:pPr>
        <w:spacing w:after="0" w:line="249" w:lineRule="auto"/>
        <w:jc w:val="left"/>
        <w:rPr>
          <w:rFonts w:ascii="Times New Roman" w:hAnsi="Times New Roman"/>
          <w:sz w:val="26"/>
        </w:rPr>
        <w:sectPr>
          <w:pgSz w:w="11910" w:h="16840"/>
          <w:pgMar w:header="862" w:footer="1017" w:top="1060" w:bottom="1200" w:left="1120" w:right="1060"/>
        </w:sectPr>
      </w:pPr>
    </w:p>
    <w:p>
      <w:pPr>
        <w:pStyle w:val="BodyText"/>
        <w:spacing w:before="10"/>
        <w:rPr>
          <w:rFonts w:ascii="Times New Roman"/>
          <w:sz w:val="26"/>
        </w:rPr>
      </w:pPr>
    </w:p>
    <w:p>
      <w:pPr>
        <w:pStyle w:val="BodyText"/>
        <w:spacing w:before="88"/>
        <w:ind w:left="300"/>
      </w:pPr>
      <w:r>
        <w:rPr>
          <w:spacing w:val="9"/>
        </w:rPr>
        <w:t>依行政訴訟法第 </w:t>
      </w:r>
      <w:r>
        <w:rPr>
          <w:rFonts w:ascii="Times New Roman" w:eastAsia="Times New Roman"/>
          <w:sz w:val="31"/>
        </w:rPr>
        <w:t>41</w:t>
      </w:r>
      <w:r>
        <w:rPr>
          <w:rFonts w:ascii="Times New Roman" w:eastAsia="Times New Roman"/>
          <w:spacing w:val="11"/>
          <w:sz w:val="31"/>
        </w:rPr>
        <w:t> </w:t>
      </w:r>
      <w:r>
        <w:rPr>
          <w:spacing w:val="1"/>
        </w:rPr>
        <w:t>條之規定 </w:t>
      </w:r>
      <w:r>
        <w:rPr>
          <w:spacing w:val="24"/>
          <w:w w:val="95"/>
        </w:rPr>
        <w:t>，以 </w:t>
      </w:r>
      <w:r>
        <w:rPr>
          <w:spacing w:val="7"/>
        </w:rPr>
        <w:t>裁定命其參加訴訟 。</w:t>
      </w:r>
    </w:p>
    <w:p>
      <w:pPr>
        <w:pStyle w:val="BodyText"/>
        <w:spacing w:line="331" w:lineRule="auto" w:before="117"/>
        <w:ind w:left="331" w:right="500" w:firstLine="546"/>
        <w:jc w:val="right"/>
      </w:pPr>
      <w:r>
        <w:rPr>
          <w:w w:val="110"/>
        </w:rPr>
        <w:t>我國司法實務上，「原告針對授益第三人之處分提超撤銷訴訟時，該</w:t>
      </w:r>
      <w:r>
        <w:rPr>
          <w:w w:val="105"/>
        </w:rPr>
        <w:t>第三人為必要參加人」之案例，亦為必要訴訟參加之主要案例類型。例如：</w:t>
      </w:r>
      <w:r>
        <w:rPr>
          <w:spacing w:val="1"/>
          <w:w w:val="105"/>
        </w:rPr>
        <w:t> </w:t>
      </w:r>
      <w:r>
        <w:rPr>
          <w:w w:val="110"/>
        </w:rPr>
        <w:t>主管機關核准專利権人之申請，舉發人不服，訴請撤銷時，該專利權</w:t>
      </w:r>
    </w:p>
    <w:p>
      <w:pPr>
        <w:pStyle w:val="BodyText"/>
        <w:spacing w:line="311" w:lineRule="exact"/>
        <w:ind w:left="319"/>
      </w:pPr>
      <w:r>
        <w:rPr>
          <w:w w:val="105"/>
        </w:rPr>
        <w:t>人為必要訴訟參加人。</w:t>
      </w:r>
    </w:p>
    <w:p>
      <w:pPr>
        <w:pStyle w:val="BodyText"/>
        <w:spacing w:line="321" w:lineRule="auto" w:before="101"/>
        <w:ind w:left="301" w:right="500" w:firstLine="574"/>
        <w:jc w:val="both"/>
      </w:pPr>
      <w:r>
        <w:rPr>
          <w:spacing w:val="-1"/>
        </w:rPr>
        <w:t>最高行 政法院 </w:t>
      </w:r>
      <w:r>
        <w:rPr>
          <w:rFonts w:ascii="Times New Roman" w:hAnsi="Times New Roman" w:eastAsia="Times New Roman"/>
          <w:sz w:val="30"/>
        </w:rPr>
        <w:t>90</w:t>
      </w:r>
      <w:r>
        <w:rPr>
          <w:rFonts w:ascii="Times New Roman" w:hAnsi="Times New Roman" w:eastAsia="Times New Roman"/>
          <w:spacing w:val="42"/>
          <w:sz w:val="30"/>
        </w:rPr>
        <w:t> </w:t>
      </w:r>
      <w:r>
        <w:rPr>
          <w:spacing w:val="12"/>
        </w:rPr>
        <w:t>年度判字第 </w:t>
      </w:r>
      <w:r>
        <w:rPr>
          <w:rFonts w:ascii="Times New Roman" w:hAnsi="Times New Roman" w:eastAsia="Times New Roman"/>
          <w:sz w:val="30"/>
        </w:rPr>
        <w:t>1899</w:t>
      </w:r>
      <w:r>
        <w:rPr>
          <w:rFonts w:ascii="Times New Roman" w:hAnsi="Times New Roman" w:eastAsia="Times New Roman"/>
          <w:spacing w:val="-1"/>
          <w:sz w:val="30"/>
        </w:rPr>
        <w:t> </w:t>
      </w:r>
      <w:r>
        <w:rPr>
          <w:spacing w:val="-1"/>
        </w:rPr>
        <w:t>號判決謂：「…本件參加人為發 明</w:t>
      </w:r>
      <w:r>
        <w:rPr>
          <w:w w:val="105"/>
        </w:rPr>
        <w:t>專利申請案之專利權人，該專利申請前經原告以違反申請時專利法第二條 </w:t>
      </w:r>
      <w:r>
        <w:rPr>
          <w:spacing w:val="5"/>
          <w:w w:val="105"/>
        </w:rPr>
        <w:t> </w:t>
      </w:r>
      <w:r>
        <w:rPr>
          <w:w w:val="105"/>
        </w:rPr>
        <w:t>第一項第一款、第四款及第二條第二項之規定，向被告經濟部智慧財產局 </w:t>
      </w:r>
      <w:r>
        <w:rPr>
          <w:spacing w:val="5"/>
          <w:w w:val="105"/>
        </w:rPr>
        <w:t> </w:t>
      </w:r>
      <w:r>
        <w:rPr>
          <w:w w:val="105"/>
        </w:rPr>
        <w:t>提出舉發，請求撒銷該專利申請案之專利権，是該撤銷訴訟勝訴與否，攸 </w:t>
      </w:r>
      <w:r>
        <w:rPr>
          <w:spacing w:val="5"/>
          <w:w w:val="105"/>
        </w:rPr>
        <w:t> </w:t>
      </w:r>
      <w:r>
        <w:rPr>
          <w:w w:val="105"/>
        </w:rPr>
        <w:t>關參加人前述專利權之存續，…參加人請求參加訴訟，自應准許，特先敘 </w:t>
      </w:r>
      <w:r>
        <w:rPr>
          <w:spacing w:val="5"/>
          <w:w w:val="105"/>
        </w:rPr>
        <w:t> </w:t>
      </w:r>
      <w:r>
        <w:rPr>
          <w:w w:val="105"/>
        </w:rPr>
        <w:t>明。...」。</w:t>
      </w:r>
    </w:p>
    <w:p>
      <w:pPr>
        <w:pStyle w:val="BodyText"/>
        <w:spacing w:line="271" w:lineRule="auto" w:before="29"/>
        <w:ind w:left="322" w:right="529" w:firstLine="561"/>
        <w:jc w:val="both"/>
      </w:pPr>
      <w:r>
        <w:rPr>
          <w:spacing w:val="-6"/>
          <w:w w:val="95"/>
        </w:rPr>
        <w:t>此外 ， 最高行 政法院 </w:t>
      </w:r>
      <w:r>
        <w:rPr>
          <w:rFonts w:ascii="Times New Roman" w:eastAsia="Times New Roman"/>
          <w:w w:val="95"/>
          <w:sz w:val="30"/>
        </w:rPr>
        <w:t>90</w:t>
      </w:r>
      <w:r>
        <w:rPr>
          <w:rFonts w:ascii="Times New Roman" w:eastAsia="Times New Roman"/>
          <w:spacing w:val="63"/>
          <w:w w:val="95"/>
          <w:sz w:val="30"/>
        </w:rPr>
        <w:t> </w:t>
      </w:r>
      <w:r>
        <w:rPr>
          <w:spacing w:val="20"/>
          <w:w w:val="95"/>
        </w:rPr>
        <w:t>年度判字第 </w:t>
      </w:r>
      <w:r>
        <w:rPr>
          <w:rFonts w:ascii="Times New Roman" w:eastAsia="Times New Roman"/>
          <w:w w:val="95"/>
          <w:sz w:val="30"/>
        </w:rPr>
        <w:t>2129</w:t>
      </w:r>
      <w:r>
        <w:rPr>
          <w:rFonts w:ascii="Times New Roman" w:eastAsia="Times New Roman"/>
          <w:spacing w:val="25"/>
          <w:w w:val="95"/>
          <w:sz w:val="30"/>
        </w:rPr>
        <w:t> </w:t>
      </w:r>
      <w:r>
        <w:rPr>
          <w:spacing w:val="11"/>
          <w:w w:val="95"/>
        </w:rPr>
        <w:t>號判決亦為類似案例 。本件</w:t>
      </w:r>
      <w:r>
        <w:rPr>
          <w:spacing w:val="8"/>
          <w:w w:val="95"/>
        </w:rPr>
        <w:t>案例 事實略為：參加人甲</w:t>
      </w:r>
      <w:r>
        <w:rPr>
          <w:rFonts w:ascii="Times New Roman" w:eastAsia="Times New Roman"/>
          <w:spacing w:val="34"/>
          <w:w w:val="95"/>
          <w:sz w:val="34"/>
        </w:rPr>
        <w:t>O</w:t>
      </w:r>
      <w:r>
        <w:rPr>
          <w:spacing w:val="15"/>
          <w:w w:val="95"/>
        </w:rPr>
        <w:t>職棒事業股 份有限公司於 八 十三 年五月二十六</w:t>
      </w:r>
      <w:r>
        <w:rPr>
          <w:spacing w:val="-4"/>
          <w:w w:val="95"/>
        </w:rPr>
        <w:t>日 以「甲</w:t>
      </w:r>
      <w:r>
        <w:rPr>
          <w:rFonts w:ascii="Times New Roman" w:eastAsia="Times New Roman"/>
          <w:spacing w:val="38"/>
          <w:w w:val="95"/>
          <w:sz w:val="34"/>
        </w:rPr>
        <w:t>O</w:t>
      </w:r>
      <w:r>
        <w:rPr>
          <w:spacing w:val="9"/>
          <w:w w:val="95"/>
        </w:rPr>
        <w:t>職棒事業股 份有限公司標章」商標 ， 挂定使用於 行 為時商標法</w:t>
      </w:r>
    </w:p>
    <w:p>
      <w:pPr>
        <w:pStyle w:val="BodyText"/>
        <w:spacing w:line="328" w:lineRule="auto" w:before="68"/>
        <w:ind w:left="297" w:right="395" w:hanging="2"/>
      </w:pPr>
      <w:r>
        <w:rPr>
          <w:w w:val="105"/>
        </w:rPr>
        <w:t>紇行鈿則第二十四條第五十三類之紀念章、胸章、運動獎章、徽章、錦旗丶</w:t>
      </w:r>
      <w:r>
        <w:rPr>
          <w:spacing w:val="1"/>
          <w:w w:val="105"/>
        </w:rPr>
        <w:t> </w:t>
      </w:r>
      <w:r>
        <w:rPr>
          <w:w w:val="110"/>
        </w:rPr>
        <w:t>獎杯商品申請註冊，經被告經濟部智慧財產局審查核准。嗣原告美商．美國棒球聯盟股份有限公司以系爭商標有違行為時商標法第三十七條第－</w:t>
      </w:r>
      <w:r>
        <w:rPr>
          <w:spacing w:val="101"/>
          <w:w w:val="110"/>
        </w:rPr>
        <w:t> </w:t>
      </w:r>
      <w:r>
        <w:rPr>
          <w:w w:val="110"/>
        </w:rPr>
        <w:t>項第七款之規定，對之提出異議，案經被告撤銷系爭「中華職棒事業股份有限公司標章」商標之審定，參加人訴經經濟部以訴願決定將原處分撒</w:t>
      </w:r>
      <w:r>
        <w:rPr>
          <w:spacing w:val="101"/>
          <w:w w:val="110"/>
        </w:rPr>
        <w:t> </w:t>
      </w:r>
      <w:r>
        <w:rPr>
          <w:w w:val="110"/>
        </w:rPr>
        <w:t>銷，由被告重為異議不成立之審定。原告提超訴願，經經濟部訴願決定予以駁回，訴經行政院以再訴願決定，將原決定及原處分均撤銷，被告再以商標異議審定書，為異議成立之處分，參加人不服，提超訴願、再訴願，</w:t>
      </w:r>
      <w:r>
        <w:rPr>
          <w:spacing w:val="1"/>
          <w:w w:val="110"/>
        </w:rPr>
        <w:t> </w:t>
      </w:r>
      <w:r>
        <w:rPr>
          <w:spacing w:val="8"/>
        </w:rPr>
        <w:t>遞遭決定駁回 </w:t>
      </w:r>
      <w:r>
        <w:rPr>
          <w:spacing w:val="-9"/>
          <w:w w:val="90"/>
        </w:rPr>
        <w:t>， 乃提 </w:t>
      </w:r>
      <w:r>
        <w:rPr>
          <w:spacing w:val="2"/>
        </w:rPr>
        <w:t>超行政訴訟 </w:t>
      </w:r>
      <w:r>
        <w:rPr>
          <w:spacing w:val="-36"/>
          <w:w w:val="90"/>
        </w:rPr>
        <w:t>， </w:t>
      </w:r>
      <w:r>
        <w:rPr/>
        <w:t>本</w:t>
      </w:r>
      <w:r>
        <w:rPr>
          <w:rFonts w:ascii="Arial" w:eastAsia="Arial"/>
          <w:w w:val="90"/>
          <w:sz w:val="27"/>
        </w:rPr>
        <w:t>F</w:t>
      </w:r>
      <w:r>
        <w:rPr>
          <w:spacing w:val="16"/>
          <w:w w:val="90"/>
        </w:rPr>
        <w:t>完</w:t>
      </w:r>
      <w:r>
        <w:rPr>
          <w:spacing w:val="13"/>
        </w:rPr>
        <w:t>將一再訴願決定及原處分均撒銷 。</w:t>
      </w:r>
      <w:r>
        <w:rPr>
          <w:w w:val="110"/>
        </w:rPr>
        <w:t>被告重為處分，為異議不成立之審定。原告不服，提超訴願、再訴願，遞遭決定駁回，遂提超行政訴訟。</w:t>
      </w:r>
    </w:p>
    <w:p>
      <w:pPr>
        <w:pStyle w:val="BodyText"/>
        <w:spacing w:line="321" w:lineRule="auto" w:before="14"/>
        <w:ind w:left="315" w:right="516" w:firstLine="561"/>
        <w:rPr>
          <w:rFonts w:ascii="Times New Roman" w:hAnsi="Times New Roman" w:eastAsia="Times New Roman"/>
          <w:sz w:val="16"/>
        </w:rPr>
      </w:pPr>
      <w:r>
        <w:rPr>
          <w:w w:val="110"/>
        </w:rPr>
        <w:t>最高行政法院於該判決中謂：「本件參加人雖未具狀陳明參加訴訟，</w:t>
      </w:r>
      <w:r>
        <w:rPr>
          <w:spacing w:val="-135"/>
          <w:w w:val="110"/>
        </w:rPr>
        <w:t> </w:t>
      </w:r>
      <w:r>
        <w:rPr>
          <w:w w:val="110"/>
        </w:rPr>
        <w:t>惟本院業經依行政訴訟法…規定，命參加人參加訴訟，其自為合法之參加</w:t>
      </w:r>
      <w:r>
        <w:rPr>
          <w:spacing w:val="-16"/>
          <w:w w:val="95"/>
        </w:rPr>
        <w:t>人 </w:t>
      </w:r>
      <w:r>
        <w:rPr>
          <w:spacing w:val="-22"/>
          <w:w w:val="80"/>
        </w:rPr>
        <w:t>， </w:t>
      </w:r>
      <w:r>
        <w:rPr>
          <w:spacing w:val="15"/>
          <w:w w:val="95"/>
        </w:rPr>
        <w:t>先予敘明」</w:t>
      </w:r>
      <w:r>
        <w:rPr>
          <w:spacing w:val="-172"/>
          <w:w w:val="95"/>
        </w:rPr>
        <w:t>。</w:t>
      </w:r>
      <w:r>
        <w:rPr>
          <w:rFonts w:ascii="Times New Roman" w:hAnsi="Times New Roman" w:eastAsia="Times New Roman"/>
          <w:w w:val="80"/>
          <w:sz w:val="16"/>
        </w:rPr>
        <w:t>96</w:t>
      </w:r>
    </w:p>
    <w:p>
      <w:pPr>
        <w:pStyle w:val="BodyText"/>
        <w:rPr>
          <w:rFonts w:ascii="Times New Roman"/>
          <w:sz w:val="20"/>
        </w:rPr>
      </w:pPr>
    </w:p>
    <w:p>
      <w:pPr>
        <w:pStyle w:val="BodyText"/>
        <w:spacing w:before="3"/>
        <w:rPr>
          <w:rFonts w:ascii="Times New Roman"/>
          <w:sz w:val="11"/>
        </w:rPr>
      </w:pPr>
      <w:r>
        <w:rPr/>
        <w:pict>
          <v:shape style="position:absolute;margin-left:95.174004pt;margin-top:8.705891pt;width:144.25pt;height:.1pt;mso-position-horizontal-relative:page;mso-position-vertical-relative:paragraph;z-index:-15606272;mso-wrap-distance-left:0;mso-wrap-distance-right:0" coordorigin="1903,174" coordsize="2885,0" path="m1903,174l4788,174e" filled="false" stroked="true" strokeweight=".480547pt" strokecolor="#000000">
            <v:path arrowok="t"/>
            <v:stroke dashstyle="solid"/>
            <w10:wrap type="topAndBottom"/>
          </v:shape>
        </w:pict>
      </w:r>
    </w:p>
    <w:p>
      <w:pPr>
        <w:pStyle w:val="BodyText"/>
        <w:spacing w:before="3"/>
        <w:rPr>
          <w:rFonts w:ascii="Times New Roman"/>
          <w:sz w:val="12"/>
        </w:rPr>
      </w:pPr>
    </w:p>
    <w:p>
      <w:pPr>
        <w:spacing w:line="259" w:lineRule="auto" w:before="76"/>
        <w:ind w:left="511" w:right="541" w:hanging="213"/>
        <w:jc w:val="both"/>
        <w:rPr>
          <w:sz w:val="21"/>
        </w:rPr>
      </w:pPr>
      <w:r>
        <w:rPr>
          <w:rFonts w:ascii="Times New Roman" w:eastAsia="Times New Roman"/>
          <w:sz w:val="21"/>
          <w:vertAlign w:val="superscript"/>
        </w:rPr>
        <w:t>96</w:t>
      </w:r>
      <w:r>
        <w:rPr>
          <w:rFonts w:ascii="Times New Roman" w:eastAsia="Times New Roman"/>
          <w:sz w:val="21"/>
          <w:vertAlign w:val="baseline"/>
        </w:rPr>
        <w:t>                   </w:t>
      </w:r>
      <w:r>
        <w:rPr>
          <w:sz w:val="21"/>
          <w:vertAlign w:val="baseline"/>
        </w:rPr>
        <w:t>主管機關核准專利權人之申請，舉發人不服，訴請撒銷時，該專利權人為必要訴訟</w:t>
      </w:r>
      <w:r>
        <w:rPr>
          <w:spacing w:val="10"/>
          <w:sz w:val="21"/>
          <w:vertAlign w:val="baseline"/>
        </w:rPr>
        <w:t>參加人。此種必要訴訟參加之案例 </w:t>
      </w:r>
      <w:r>
        <w:rPr>
          <w:spacing w:val="25"/>
          <w:w w:val="90"/>
          <w:sz w:val="21"/>
          <w:vertAlign w:val="baseline"/>
        </w:rPr>
        <w:t>，在 </w:t>
      </w:r>
      <w:r>
        <w:rPr>
          <w:sz w:val="21"/>
          <w:vertAlign w:val="baseline"/>
        </w:rPr>
        <w:t>司法實務上極多 。除前逑最高行 政 法</w:t>
      </w:r>
      <w:r>
        <w:rPr>
          <w:rFonts w:ascii="Arial" w:eastAsia="Arial"/>
          <w:w w:val="90"/>
          <w:sz w:val="24"/>
          <w:vertAlign w:val="baseline"/>
        </w:rPr>
        <w:t>F</w:t>
      </w:r>
      <w:r>
        <w:rPr>
          <w:spacing w:val="-3"/>
          <w:sz w:val="21"/>
          <w:vertAlign w:val="baseline"/>
        </w:rPr>
        <w:t>完之 裁</w:t>
      </w:r>
      <w:r>
        <w:rPr>
          <w:spacing w:val="17"/>
          <w:w w:val="95"/>
          <w:sz w:val="21"/>
          <w:vertAlign w:val="baseline"/>
        </w:rPr>
        <w:t>判外 </w:t>
      </w:r>
      <w:r>
        <w:rPr>
          <w:spacing w:val="17"/>
          <w:w w:val="90"/>
          <w:sz w:val="21"/>
          <w:vertAlign w:val="baseline"/>
        </w:rPr>
        <w:t>，</w:t>
      </w:r>
      <w:r>
        <w:rPr>
          <w:w w:val="95"/>
          <w:sz w:val="21"/>
          <w:vertAlign w:val="baseline"/>
        </w:rPr>
        <w:t>例見： 最高行 政 法浣</w:t>
      </w:r>
      <w:r>
        <w:rPr>
          <w:rFonts w:ascii="Times New Roman" w:eastAsia="Times New Roman"/>
          <w:spacing w:val="10"/>
          <w:w w:val="95"/>
          <w:sz w:val="26"/>
          <w:vertAlign w:val="baseline"/>
        </w:rPr>
        <w:t>90</w:t>
      </w:r>
      <w:r>
        <w:rPr>
          <w:spacing w:val="30"/>
          <w:w w:val="95"/>
          <w:sz w:val="21"/>
          <w:vertAlign w:val="baseline"/>
        </w:rPr>
        <w:t>年判字第</w:t>
      </w:r>
      <w:r>
        <w:rPr>
          <w:rFonts w:ascii="Times New Roman" w:eastAsia="Times New Roman"/>
          <w:w w:val="95"/>
          <w:sz w:val="26"/>
          <w:vertAlign w:val="baseline"/>
        </w:rPr>
        <w:t>2131</w:t>
      </w:r>
      <w:r>
        <w:rPr>
          <w:rFonts w:ascii="Times New Roman" w:eastAsia="Times New Roman"/>
          <w:spacing w:val="29"/>
          <w:w w:val="95"/>
          <w:sz w:val="26"/>
          <w:vertAlign w:val="baseline"/>
        </w:rPr>
        <w:t> </w:t>
      </w:r>
      <w:r>
        <w:rPr>
          <w:spacing w:val="-6"/>
          <w:w w:val="95"/>
          <w:sz w:val="21"/>
          <w:vertAlign w:val="baseline"/>
        </w:rPr>
        <w:t>號判決 、</w:t>
      </w:r>
      <w:r>
        <w:rPr>
          <w:rFonts w:ascii="Times New Roman" w:eastAsia="Times New Roman"/>
          <w:spacing w:val="10"/>
          <w:w w:val="95"/>
          <w:sz w:val="26"/>
          <w:vertAlign w:val="baseline"/>
        </w:rPr>
        <w:t>91</w:t>
      </w:r>
      <w:r>
        <w:rPr>
          <w:spacing w:val="7"/>
          <w:w w:val="95"/>
          <w:sz w:val="21"/>
          <w:vertAlign w:val="baseline"/>
        </w:rPr>
        <w:t>年判字 第</w:t>
      </w:r>
      <w:r>
        <w:rPr>
          <w:rFonts w:ascii="Times New Roman" w:eastAsia="Times New Roman"/>
          <w:w w:val="95"/>
          <w:sz w:val="26"/>
          <w:vertAlign w:val="baseline"/>
        </w:rPr>
        <w:t>127</w:t>
      </w:r>
      <w:r>
        <w:rPr>
          <w:w w:val="95"/>
          <w:sz w:val="21"/>
          <w:vertAlign w:val="baseline"/>
        </w:rPr>
        <w:t>號判決 。另請參</w:t>
      </w:r>
    </w:p>
    <w:p>
      <w:pPr>
        <w:spacing w:after="0" w:line="259" w:lineRule="auto"/>
        <w:jc w:val="both"/>
        <w:rPr>
          <w:sz w:val="21"/>
        </w:rPr>
        <w:sectPr>
          <w:pgSz w:w="11910" w:h="16840"/>
          <w:pgMar w:header="862" w:footer="1017" w:top="1060" w:bottom="1200" w:left="1120" w:right="1060"/>
        </w:sectPr>
      </w:pPr>
    </w:p>
    <w:p>
      <w:pPr>
        <w:pStyle w:val="BodyText"/>
        <w:spacing w:before="12"/>
        <w:rPr>
          <w:sz w:val="28"/>
        </w:rPr>
      </w:pPr>
    </w:p>
    <w:p>
      <w:pPr>
        <w:pStyle w:val="BodyText"/>
        <w:spacing w:line="328" w:lineRule="auto" w:before="65"/>
        <w:ind w:left="301" w:right="512" w:firstLine="564"/>
        <w:jc w:val="both"/>
      </w:pPr>
      <w:r>
        <w:rPr>
          <w:w w:val="110"/>
        </w:rPr>
        <w:t>在公務人員消極競爭者爭訟，復審人於人事主管機關對於其他競爭者作成陞任、陞遷、留任等授益處分後，向保訓會提超撒銷復審，請求撤銷人事主管機關對於該競爭者所作成之投益處分。此一案例類型完全符合上逑行政訴訟法上「原告針對授益第三人之處分提超撤銷訴訟時，該第三人為必要參加人」之結構，依前述行政訴訟法之法理，為維護該競爭者實體法上之権益，自應賦予其一定之程序地位，使其參加復審，籍以影零保訓會復審決定。故該已獲人事主管機關陞任、陞遷、留任等授益處分之競爭者應參加復審程序。</w:t>
      </w:r>
    </w:p>
    <w:p>
      <w:pPr>
        <w:tabs>
          <w:tab w:pos="1412" w:val="left" w:leader="none"/>
        </w:tabs>
        <w:spacing w:before="63"/>
        <w:ind w:left="0" w:right="240" w:firstLine="0"/>
        <w:jc w:val="center"/>
        <w:rPr>
          <w:sz w:val="29"/>
        </w:rPr>
      </w:pPr>
      <w:bookmarkStart w:name="_bookmark26" w:id="27"/>
      <w:bookmarkEnd w:id="27"/>
      <w:r>
        <w:rPr/>
      </w:r>
      <w:r>
        <w:rPr>
          <w:w w:val="105"/>
          <w:sz w:val="31"/>
        </w:rPr>
        <w:t>第二節</w:t>
        <w:tab/>
      </w:r>
      <w:r>
        <w:rPr>
          <w:w w:val="105"/>
          <w:sz w:val="29"/>
        </w:rPr>
        <w:t>積極競爭者爭訟之復審參加</w:t>
      </w:r>
    </w:p>
    <w:p>
      <w:pPr>
        <w:pStyle w:val="BodyText"/>
        <w:spacing w:before="4"/>
        <w:rPr>
          <w:sz w:val="21"/>
        </w:rPr>
      </w:pPr>
    </w:p>
    <w:p>
      <w:pPr>
        <w:pStyle w:val="BodyText"/>
        <w:spacing w:line="331" w:lineRule="auto"/>
        <w:ind w:left="301" w:right="515" w:firstLine="572"/>
      </w:pPr>
      <w:r>
        <w:rPr>
          <w:w w:val="110"/>
        </w:rPr>
        <w:t>有關公務員法上積極競爭者爭訟之復審參加問題，又可區分為以下二牙重情形加以探討：</w:t>
      </w:r>
    </w:p>
    <w:p>
      <w:pPr>
        <w:pStyle w:val="BodyText"/>
        <w:spacing w:before="96"/>
        <w:ind w:left="3644"/>
      </w:pPr>
      <w:r>
        <w:rPr>
          <w:w w:val="115"/>
        </w:rPr>
        <w:t>一提超課予義務復審</w:t>
      </w:r>
    </w:p>
    <w:p>
      <w:pPr>
        <w:pStyle w:val="BodyText"/>
        <w:spacing w:before="5"/>
        <w:rPr>
          <w:sz w:val="23"/>
        </w:rPr>
      </w:pPr>
    </w:p>
    <w:p>
      <w:pPr>
        <w:pStyle w:val="BodyText"/>
        <w:spacing w:line="331" w:lineRule="auto"/>
        <w:ind w:left="298" w:right="521" w:firstLine="567"/>
        <w:jc w:val="both"/>
      </w:pPr>
      <w:r>
        <w:rPr>
          <w:w w:val="110"/>
        </w:rPr>
        <w:t>在積極競爭者爭訟，機關對於復審人依法申請之案件，於法定期間內應作為而不作為，損害其権利或利益者，復審人得向保訓會提超課予義務復審，請求命怠為處分之機關應對其作成處分。此時，與復審人競爭該職務之第三人，應否及如何參與復審程序，以影攀復審決定並保障其權益？</w:t>
      </w:r>
      <w:r>
        <w:rPr>
          <w:spacing w:val="-136"/>
          <w:w w:val="110"/>
        </w:rPr>
        <w:t> </w:t>
      </w:r>
      <w:r>
        <w:rPr>
          <w:w w:val="110"/>
        </w:rPr>
        <w:t>以下，先就行政訴訟法上之相關學說及實務見解探討之。</w:t>
      </w:r>
    </w:p>
    <w:p>
      <w:pPr>
        <w:pStyle w:val="BodyText"/>
        <w:spacing w:before="87"/>
        <w:ind w:right="226"/>
        <w:jc w:val="center"/>
      </w:pPr>
      <w:r>
        <w:rPr>
          <w:rFonts w:ascii="Times New Roman" w:eastAsia="Times New Roman"/>
          <w:b/>
          <w:spacing w:val="21"/>
          <w:w w:val="115"/>
          <w:position w:val="-2"/>
          <w:sz w:val="28"/>
        </w:rPr>
        <w:t>(</w:t>
      </w:r>
      <w:r>
        <w:rPr>
          <w:w w:val="115"/>
        </w:rPr>
        <w:t>一</w:t>
      </w:r>
      <w:r>
        <w:rPr>
          <w:rFonts w:ascii="Times New Roman" w:eastAsia="Times New Roman"/>
          <w:b/>
          <w:spacing w:val="-68"/>
          <w:w w:val="115"/>
          <w:position w:val="-2"/>
          <w:sz w:val="28"/>
        </w:rPr>
        <w:t>)</w:t>
      </w:r>
      <w:r>
        <w:rPr>
          <w:w w:val="115"/>
        </w:rPr>
        <w:t>行政訴訟法上必要訴訟參加制度要件之分析</w:t>
      </w:r>
    </w:p>
    <w:p>
      <w:pPr>
        <w:pStyle w:val="BodyText"/>
        <w:spacing w:before="7"/>
        <w:rPr>
          <w:sz w:val="22"/>
        </w:rPr>
      </w:pPr>
    </w:p>
    <w:p>
      <w:pPr>
        <w:pStyle w:val="BodyText"/>
        <w:spacing w:line="324" w:lineRule="auto"/>
        <w:ind w:left="302" w:right="515" w:firstLine="571"/>
      </w:pPr>
      <w:r>
        <w:rPr>
          <w:w w:val="110"/>
        </w:rPr>
        <w:t>有關行政訴訟法上課予義務訴訟中，必要參加之要件，可分以下二點加以探討：</w:t>
      </w:r>
    </w:p>
    <w:p>
      <w:pPr>
        <w:pStyle w:val="ListParagraph"/>
        <w:numPr>
          <w:ilvl w:val="0"/>
          <w:numId w:val="3"/>
        </w:numPr>
        <w:tabs>
          <w:tab w:pos="1154" w:val="left" w:leader="none"/>
        </w:tabs>
        <w:spacing w:line="240" w:lineRule="auto" w:before="106" w:after="0"/>
        <w:ind w:left="1153" w:right="0" w:hanging="376"/>
        <w:jc w:val="left"/>
        <w:rPr>
          <w:sz w:val="25"/>
        </w:rPr>
      </w:pPr>
      <w:r>
        <w:rPr>
          <w:w w:val="105"/>
          <w:sz w:val="25"/>
        </w:rPr>
        <w:t>類似之形成效力</w:t>
      </w:r>
    </w:p>
    <w:p>
      <w:pPr>
        <w:pStyle w:val="BodyText"/>
        <w:spacing w:before="6"/>
        <w:rPr>
          <w:sz w:val="17"/>
        </w:rPr>
      </w:pPr>
    </w:p>
    <w:p>
      <w:pPr>
        <w:pStyle w:val="BodyText"/>
        <w:spacing w:line="331" w:lineRule="auto" w:before="65"/>
        <w:ind w:left="303" w:right="500" w:firstLine="557"/>
        <w:jc w:val="both"/>
      </w:pPr>
      <w:r>
        <w:rPr>
          <w:w w:val="110"/>
        </w:rPr>
        <w:t>行政訴訟法上有關必要訴訟參加要件之研究中，有一重要問題，即：</w:t>
      </w:r>
      <w:r>
        <w:rPr>
          <w:spacing w:val="-136"/>
          <w:w w:val="110"/>
        </w:rPr>
        <w:t> </w:t>
      </w:r>
      <w:r>
        <w:rPr>
          <w:w w:val="110"/>
        </w:rPr>
        <w:t>在課予義務訴訟中，是否亦有必要訴訟參加之適用？蓋課予義務訴訟之性質並非形成訴訟，而是特別給付訴訟。噹原告提超課予義務訴訟勝訴，法院作成課予義務之判決時，被告機關雖負有作成行政處分之義務，然而在</w:t>
      </w:r>
    </w:p>
    <w:p>
      <w:pPr>
        <w:pStyle w:val="BodyText"/>
        <w:rPr>
          <w:sz w:val="24"/>
        </w:rPr>
      </w:pPr>
    </w:p>
    <w:p>
      <w:pPr>
        <w:spacing w:line="249" w:lineRule="auto" w:before="166"/>
        <w:ind w:left="516" w:right="633" w:firstLine="12"/>
        <w:jc w:val="both"/>
        <w:rPr>
          <w:sz w:val="21"/>
        </w:rPr>
      </w:pPr>
      <w:r>
        <w:rPr/>
        <w:pict>
          <v:line style="position:absolute;mso-position-horizontal-relative:page;mso-position-vertical-relative:paragraph;z-index:15851520" from="95.174004pt,-2.869991pt" to="549.89426pt,-2.869991pt" stroked="true" strokeweight=".480547pt" strokecolor="#000000">
            <v:stroke dashstyle="solid"/>
            <w10:wrap type="none"/>
          </v:line>
        </w:pict>
      </w:r>
      <w:r>
        <w:rPr>
          <w:spacing w:val="-4"/>
          <w:w w:val="95"/>
          <w:sz w:val="21"/>
        </w:rPr>
        <w:t>見： 臺北 高等行 政法浣</w:t>
      </w:r>
      <w:r>
        <w:rPr>
          <w:rFonts w:ascii="Times New Roman" w:hAnsi="Times New Roman" w:eastAsia="Times New Roman"/>
          <w:spacing w:val="10"/>
          <w:w w:val="95"/>
          <w:sz w:val="26"/>
        </w:rPr>
        <w:t>92</w:t>
      </w:r>
      <w:r>
        <w:rPr>
          <w:w w:val="95"/>
          <w:sz w:val="20"/>
        </w:rPr>
        <w:t>年 度 訴 字第</w:t>
      </w:r>
      <w:r>
        <w:rPr>
          <w:rFonts w:ascii="Times New Roman" w:hAnsi="Times New Roman" w:eastAsia="Times New Roman"/>
          <w:w w:val="95"/>
          <w:sz w:val="26"/>
        </w:rPr>
        <w:t>5379</w:t>
      </w:r>
      <w:r>
        <w:rPr>
          <w:spacing w:val="-2"/>
          <w:w w:val="95"/>
          <w:sz w:val="21"/>
        </w:rPr>
        <w:t>號判決 、</w:t>
      </w:r>
      <w:r>
        <w:rPr>
          <w:rFonts w:ascii="Times New Roman" w:hAnsi="Times New Roman" w:eastAsia="Times New Roman"/>
          <w:spacing w:val="10"/>
          <w:w w:val="95"/>
          <w:sz w:val="26"/>
        </w:rPr>
        <w:t>92</w:t>
      </w:r>
      <w:r>
        <w:rPr>
          <w:w w:val="95"/>
          <w:sz w:val="20"/>
        </w:rPr>
        <w:t>年 度 訴 字第</w:t>
      </w:r>
      <w:r>
        <w:rPr>
          <w:rFonts w:ascii="Times New Roman" w:hAnsi="Times New Roman" w:eastAsia="Times New Roman"/>
          <w:w w:val="95"/>
          <w:sz w:val="26"/>
        </w:rPr>
        <w:t>5309</w:t>
      </w:r>
      <w:r>
        <w:rPr>
          <w:spacing w:val="-2"/>
          <w:w w:val="95"/>
          <w:sz w:val="21"/>
        </w:rPr>
        <w:t>號判決 、</w:t>
      </w:r>
      <w:r>
        <w:rPr>
          <w:rFonts w:ascii="Times New Roman" w:hAnsi="Times New Roman" w:eastAsia="Times New Roman"/>
          <w:spacing w:val="10"/>
          <w:w w:val="95"/>
          <w:sz w:val="26"/>
        </w:rPr>
        <w:t>92</w:t>
      </w:r>
      <w:r>
        <w:rPr>
          <w:w w:val="95"/>
          <w:sz w:val="20"/>
        </w:rPr>
        <w:t>年</w:t>
      </w:r>
      <w:r>
        <w:rPr>
          <w:spacing w:val="2"/>
          <w:w w:val="95"/>
          <w:sz w:val="20"/>
        </w:rPr>
        <w:t>度 訴 字第</w:t>
      </w:r>
      <w:r>
        <w:rPr>
          <w:rFonts w:ascii="Times New Roman" w:hAnsi="Times New Roman" w:eastAsia="Times New Roman"/>
          <w:w w:val="95"/>
          <w:sz w:val="26"/>
        </w:rPr>
        <w:t>4315</w:t>
      </w:r>
      <w:r>
        <w:rPr>
          <w:rFonts w:ascii="Times New Roman" w:hAnsi="Times New Roman" w:eastAsia="Times New Roman"/>
          <w:spacing w:val="-35"/>
          <w:w w:val="95"/>
          <w:sz w:val="26"/>
        </w:rPr>
        <w:t> </w:t>
      </w:r>
      <w:r>
        <w:rPr>
          <w:spacing w:val="-2"/>
          <w:w w:val="95"/>
          <w:sz w:val="21"/>
        </w:rPr>
        <w:t>號判決 、</w:t>
      </w:r>
      <w:r>
        <w:rPr>
          <w:rFonts w:ascii="Times New Roman" w:hAnsi="Times New Roman" w:eastAsia="Times New Roman"/>
          <w:spacing w:val="10"/>
          <w:w w:val="95"/>
          <w:sz w:val="26"/>
        </w:rPr>
        <w:t>92</w:t>
      </w:r>
      <w:r>
        <w:rPr>
          <w:spacing w:val="-2"/>
          <w:w w:val="95"/>
          <w:sz w:val="20"/>
        </w:rPr>
        <w:t>年 度 訴 字第</w:t>
      </w:r>
      <w:r>
        <w:rPr>
          <w:rFonts w:ascii="Times New Roman" w:hAnsi="Times New Roman" w:eastAsia="Times New Roman"/>
          <w:w w:val="95"/>
          <w:sz w:val="26"/>
        </w:rPr>
        <w:t>5433</w:t>
      </w:r>
      <w:r>
        <w:rPr>
          <w:spacing w:val="-2"/>
          <w:w w:val="95"/>
          <w:sz w:val="21"/>
        </w:rPr>
        <w:t>號判決 、</w:t>
      </w:r>
      <w:r>
        <w:rPr>
          <w:rFonts w:ascii="Times New Roman" w:hAnsi="Times New Roman" w:eastAsia="Times New Roman"/>
          <w:spacing w:val="10"/>
          <w:w w:val="95"/>
          <w:sz w:val="26"/>
        </w:rPr>
        <w:t>92</w:t>
      </w:r>
      <w:r>
        <w:rPr>
          <w:spacing w:val="-2"/>
          <w:w w:val="95"/>
          <w:sz w:val="20"/>
        </w:rPr>
        <w:t>年 度 訴 字第</w:t>
      </w:r>
      <w:r>
        <w:rPr>
          <w:rFonts w:ascii="Times New Roman" w:hAnsi="Times New Roman" w:eastAsia="Times New Roman"/>
          <w:w w:val="95"/>
          <w:sz w:val="26"/>
        </w:rPr>
        <w:t>5455</w:t>
      </w:r>
      <w:r>
        <w:rPr>
          <w:spacing w:val="-14"/>
          <w:w w:val="95"/>
          <w:sz w:val="21"/>
        </w:rPr>
        <w:t>號裁定 、</w:t>
      </w:r>
      <w:r>
        <w:rPr>
          <w:rFonts w:ascii="Times New Roman" w:hAnsi="Times New Roman" w:eastAsia="Times New Roman"/>
          <w:spacing w:val="10"/>
          <w:w w:val="95"/>
          <w:sz w:val="26"/>
        </w:rPr>
        <w:t>92</w:t>
      </w:r>
      <w:r>
        <w:rPr>
          <w:w w:val="95"/>
          <w:sz w:val="20"/>
        </w:rPr>
        <w:t>年</w:t>
      </w:r>
      <w:r>
        <w:rPr>
          <w:spacing w:val="8"/>
          <w:w w:val="95"/>
          <w:sz w:val="20"/>
        </w:rPr>
        <w:t>度 訴 字第</w:t>
      </w:r>
      <w:r>
        <w:rPr>
          <w:rFonts w:ascii="Times New Roman" w:hAnsi="Times New Roman" w:eastAsia="Times New Roman"/>
          <w:w w:val="95"/>
          <w:sz w:val="26"/>
        </w:rPr>
        <w:t>5188</w:t>
      </w:r>
      <w:r>
        <w:rPr>
          <w:spacing w:val="-13"/>
          <w:w w:val="95"/>
          <w:sz w:val="21"/>
        </w:rPr>
        <w:t>號裁定 、</w:t>
      </w:r>
      <w:r>
        <w:rPr>
          <w:rFonts w:ascii="Times New Roman" w:hAnsi="Times New Roman" w:eastAsia="Times New Roman"/>
          <w:spacing w:val="10"/>
          <w:w w:val="95"/>
          <w:sz w:val="26"/>
        </w:rPr>
        <w:t>92</w:t>
      </w:r>
      <w:r>
        <w:rPr>
          <w:spacing w:val="5"/>
          <w:w w:val="95"/>
          <w:sz w:val="20"/>
        </w:rPr>
        <w:t>年 度 訴 字第</w:t>
      </w:r>
      <w:r>
        <w:rPr>
          <w:rFonts w:ascii="Times New Roman" w:hAnsi="Times New Roman" w:eastAsia="Times New Roman"/>
          <w:w w:val="95"/>
          <w:sz w:val="26"/>
        </w:rPr>
        <w:t>5461</w:t>
      </w:r>
      <w:r>
        <w:rPr>
          <w:spacing w:val="-13"/>
          <w:w w:val="95"/>
          <w:sz w:val="21"/>
        </w:rPr>
        <w:t>號裁定 、</w:t>
      </w:r>
      <w:r>
        <w:rPr>
          <w:rFonts w:ascii="Times New Roman" w:hAnsi="Times New Roman" w:eastAsia="Times New Roman"/>
          <w:spacing w:val="10"/>
          <w:w w:val="95"/>
          <w:sz w:val="26"/>
        </w:rPr>
        <w:t>92</w:t>
      </w:r>
      <w:r>
        <w:rPr>
          <w:spacing w:val="5"/>
          <w:w w:val="95"/>
          <w:sz w:val="20"/>
        </w:rPr>
        <w:t>年 度 訴 字第</w:t>
      </w:r>
      <w:r>
        <w:rPr>
          <w:rFonts w:ascii="Times New Roman" w:hAnsi="Times New Roman" w:eastAsia="Times New Roman"/>
          <w:w w:val="95"/>
          <w:sz w:val="26"/>
        </w:rPr>
        <w:t>5604</w:t>
      </w:r>
      <w:r>
        <w:rPr>
          <w:spacing w:val="-13"/>
          <w:w w:val="95"/>
          <w:sz w:val="21"/>
        </w:rPr>
        <w:t>號裁定 、</w:t>
      </w:r>
      <w:r>
        <w:rPr>
          <w:rFonts w:ascii="Times New Roman" w:hAnsi="Times New Roman" w:eastAsia="Times New Roman"/>
          <w:spacing w:val="10"/>
          <w:w w:val="95"/>
          <w:sz w:val="26"/>
        </w:rPr>
        <w:t>92</w:t>
      </w:r>
      <w:r>
        <w:rPr>
          <w:w w:val="95"/>
          <w:sz w:val="20"/>
        </w:rPr>
        <w:t>年</w:t>
      </w:r>
      <w:r>
        <w:rPr>
          <w:spacing w:val="7"/>
          <w:w w:val="95"/>
          <w:sz w:val="20"/>
        </w:rPr>
        <w:t>度 訴 字第</w:t>
      </w:r>
      <w:r>
        <w:rPr>
          <w:rFonts w:ascii="Times New Roman" w:hAnsi="Times New Roman" w:eastAsia="Times New Roman"/>
          <w:w w:val="95"/>
          <w:sz w:val="26"/>
        </w:rPr>
        <w:t>5379</w:t>
      </w:r>
      <w:r>
        <w:rPr>
          <w:spacing w:val="-14"/>
          <w:w w:val="95"/>
          <w:sz w:val="21"/>
        </w:rPr>
        <w:t>號裁定 、</w:t>
      </w:r>
      <w:r>
        <w:rPr>
          <w:rFonts w:ascii="Times New Roman" w:hAnsi="Times New Roman" w:eastAsia="Times New Roman"/>
          <w:spacing w:val="10"/>
          <w:w w:val="95"/>
          <w:sz w:val="26"/>
        </w:rPr>
        <w:t>92</w:t>
      </w:r>
      <w:r>
        <w:rPr>
          <w:spacing w:val="2"/>
          <w:w w:val="95"/>
          <w:sz w:val="20"/>
        </w:rPr>
        <w:t>年 度 訴 字第</w:t>
      </w:r>
      <w:r>
        <w:rPr>
          <w:rFonts w:ascii="Times New Roman" w:hAnsi="Times New Roman" w:eastAsia="Times New Roman"/>
          <w:w w:val="95"/>
          <w:sz w:val="26"/>
        </w:rPr>
        <w:t>5449</w:t>
      </w:r>
      <w:r>
        <w:rPr>
          <w:spacing w:val="-9"/>
          <w:w w:val="95"/>
          <w:sz w:val="21"/>
        </w:rPr>
        <w:t>號裁定… 等 。</w:t>
      </w:r>
    </w:p>
    <w:p>
      <w:pPr>
        <w:spacing w:after="0" w:line="249" w:lineRule="auto"/>
        <w:jc w:val="both"/>
        <w:rPr>
          <w:sz w:val="21"/>
        </w:rPr>
        <w:sectPr>
          <w:pgSz w:w="11910" w:h="16840"/>
          <w:pgMar w:header="862" w:footer="1017" w:top="1060" w:bottom="1200" w:left="1120" w:right="1060"/>
        </w:sectPr>
      </w:pPr>
    </w:p>
    <w:p>
      <w:pPr>
        <w:pStyle w:val="BodyText"/>
        <w:spacing w:before="11"/>
        <w:rPr>
          <w:sz w:val="28"/>
        </w:rPr>
      </w:pPr>
    </w:p>
    <w:p>
      <w:pPr>
        <w:pStyle w:val="BodyText"/>
        <w:spacing w:line="328" w:lineRule="auto" w:before="65"/>
        <w:ind w:left="306" w:right="525" w:hanging="9"/>
        <w:jc w:val="both"/>
      </w:pPr>
      <w:r>
        <w:rPr>
          <w:w w:val="105"/>
        </w:rPr>
        <w:t>被告機關實際作成該行政處分之前，並未發生権利義務變動之效果，與撤</w:t>
      </w:r>
      <w:r>
        <w:rPr>
          <w:spacing w:val="115"/>
          <w:w w:val="105"/>
        </w:rPr>
        <w:t> </w:t>
      </w:r>
      <w:r>
        <w:rPr>
          <w:w w:val="105"/>
        </w:rPr>
        <w:t>銷訴訟一經法院作成撒銷判決（形成判決）時，直接發生権利義務變動效</w:t>
      </w:r>
      <w:r>
        <w:rPr>
          <w:spacing w:val="131"/>
          <w:w w:val="105"/>
        </w:rPr>
        <w:t> </w:t>
      </w:r>
      <w:r>
        <w:rPr>
          <w:spacing w:val="4"/>
          <w:w w:val="95"/>
        </w:rPr>
        <w:t>果有所不同 。因此 </w:t>
      </w:r>
      <w:r>
        <w:rPr>
          <w:spacing w:val="-25"/>
          <w:w w:val="80"/>
        </w:rPr>
        <w:t>， </w:t>
      </w:r>
      <w:r>
        <w:rPr>
          <w:spacing w:val="17"/>
          <w:w w:val="95"/>
        </w:rPr>
        <w:t>昔日德國多數 見解</w:t>
      </w:r>
      <w:r>
        <w:rPr>
          <w:rFonts w:ascii="Times New Roman" w:eastAsia="Times New Roman"/>
          <w:w w:val="80"/>
          <w:sz w:val="16"/>
        </w:rPr>
        <w:t>97</w:t>
      </w:r>
      <w:r>
        <w:rPr>
          <w:rFonts w:ascii="Times New Roman" w:eastAsia="Times New Roman"/>
          <w:spacing w:val="25"/>
          <w:w w:val="80"/>
          <w:sz w:val="16"/>
        </w:rPr>
        <w:t> </w:t>
      </w:r>
      <w:r>
        <w:rPr>
          <w:spacing w:val="35"/>
          <w:w w:val="80"/>
        </w:rPr>
        <w:t>認 </w:t>
      </w:r>
      <w:r>
        <w:rPr>
          <w:spacing w:val="-1"/>
          <w:w w:val="95"/>
        </w:rPr>
        <w:t>為 </w:t>
      </w:r>
      <w:r>
        <w:rPr>
          <w:spacing w:val="-32"/>
          <w:w w:val="80"/>
        </w:rPr>
        <w:t>， </w:t>
      </w:r>
      <w:r>
        <w:rPr>
          <w:spacing w:val="6"/>
          <w:w w:val="95"/>
        </w:rPr>
        <w:t>在課予義務 訴訟中 </w:t>
      </w:r>
      <w:r>
        <w:rPr>
          <w:spacing w:val="-30"/>
          <w:w w:val="80"/>
        </w:rPr>
        <w:t>， </w:t>
      </w:r>
      <w:r>
        <w:rPr>
          <w:spacing w:val="6"/>
          <w:w w:val="95"/>
        </w:rPr>
        <w:t>並無</w:t>
      </w:r>
      <w:r>
        <w:rPr>
          <w:w w:val="105"/>
        </w:rPr>
        <w:t>必要訴訟參加之適用。</w:t>
      </w:r>
    </w:p>
    <w:p>
      <w:pPr>
        <w:pStyle w:val="BodyText"/>
        <w:tabs>
          <w:tab w:pos="2396" w:val="left" w:leader="none"/>
          <w:tab w:pos="4940" w:val="left" w:leader="none"/>
        </w:tabs>
        <w:spacing w:line="326" w:lineRule="auto"/>
        <w:ind w:left="301" w:right="501" w:firstLine="568"/>
      </w:pPr>
      <w:r>
        <w:rPr>
          <w:spacing w:val="14"/>
          <w:w w:val="95"/>
        </w:rPr>
        <w:t>課</w:t>
      </w:r>
      <w:r>
        <w:rPr>
          <w:spacing w:val="40"/>
          <w:w w:val="95"/>
        </w:rPr>
        <w:t>予</w:t>
      </w:r>
      <w:r>
        <w:rPr>
          <w:w w:val="95"/>
        </w:rPr>
        <w:t>義務</w:t>
      </w:r>
      <w:r>
        <w:rPr>
          <w:spacing w:val="25"/>
          <w:w w:val="95"/>
        </w:rPr>
        <w:t> </w:t>
      </w:r>
      <w:r>
        <w:rPr>
          <w:spacing w:val="13"/>
          <w:w w:val="95"/>
        </w:rPr>
        <w:t>訴</w:t>
      </w:r>
      <w:r>
        <w:rPr>
          <w:spacing w:val="27"/>
          <w:w w:val="95"/>
        </w:rPr>
        <w:t>訟</w:t>
      </w:r>
      <w:r>
        <w:rPr>
          <w:spacing w:val="20"/>
          <w:w w:val="95"/>
        </w:rPr>
        <w:t>之</w:t>
      </w:r>
      <w:r>
        <w:rPr>
          <w:spacing w:val="10"/>
          <w:w w:val="95"/>
        </w:rPr>
        <w:t>課</w:t>
      </w:r>
      <w:r>
        <w:rPr>
          <w:spacing w:val="40"/>
          <w:w w:val="95"/>
        </w:rPr>
        <w:t>予</w:t>
      </w:r>
      <w:r>
        <w:rPr>
          <w:spacing w:val="27"/>
          <w:w w:val="95"/>
        </w:rPr>
        <w:t>義</w:t>
      </w:r>
      <w:r>
        <w:rPr>
          <w:spacing w:val="17"/>
          <w:w w:val="95"/>
        </w:rPr>
        <w:t>務</w:t>
      </w:r>
      <w:r>
        <w:rPr>
          <w:spacing w:val="29"/>
          <w:w w:val="95"/>
        </w:rPr>
        <w:t>判</w:t>
      </w:r>
      <w:r>
        <w:rPr>
          <w:w w:val="95"/>
        </w:rPr>
        <w:t>決</w:t>
      </w:r>
      <w:r>
        <w:rPr>
          <w:rFonts w:ascii="Times New Roman" w:eastAsia="Times New Roman"/>
          <w:w w:val="85"/>
          <w:sz w:val="16"/>
        </w:rPr>
        <w:t>98</w:t>
      </w:r>
      <w:r>
        <w:rPr>
          <w:rFonts w:ascii="Times New Roman" w:eastAsia="Times New Roman"/>
          <w:spacing w:val="29"/>
          <w:sz w:val="16"/>
        </w:rPr>
        <w:t> </w:t>
      </w:r>
      <w:r>
        <w:rPr>
          <w:rFonts w:ascii="Times New Roman" w:eastAsia="Times New Roman"/>
          <w:spacing w:val="29"/>
          <w:sz w:val="16"/>
        </w:rPr>
        <w:t> </w:t>
      </w:r>
      <w:r>
        <w:rPr>
          <w:rFonts w:ascii="Times New Roman" w:eastAsia="Times New Roman"/>
          <w:w w:val="95"/>
          <w:sz w:val="16"/>
        </w:rPr>
        <w:t>,</w:t>
        <w:tab/>
      </w:r>
      <w:r>
        <w:rPr>
          <w:spacing w:val="16"/>
        </w:rPr>
        <w:t>其</w:t>
      </w:r>
      <w:r>
        <w:rPr>
          <w:spacing w:val="32"/>
        </w:rPr>
        <w:t>效</w:t>
      </w:r>
      <w:r>
        <w:rPr/>
        <w:t>力與</w:t>
      </w:r>
      <w:r>
        <w:rPr>
          <w:spacing w:val="22"/>
        </w:rPr>
        <w:t> </w:t>
      </w:r>
      <w:r>
        <w:rPr>
          <w:spacing w:val="21"/>
        </w:rPr>
        <w:t>撤</w:t>
      </w:r>
      <w:r>
        <w:rPr>
          <w:spacing w:val="10"/>
        </w:rPr>
        <w:t>銷</w:t>
      </w:r>
      <w:r>
        <w:rPr>
          <w:spacing w:val="13"/>
        </w:rPr>
        <w:t>訴</w:t>
      </w:r>
      <w:r>
        <w:rPr>
          <w:spacing w:val="22"/>
        </w:rPr>
        <w:t>訟</w:t>
      </w:r>
      <w:r>
        <w:rPr/>
        <w:t>之撒</w:t>
      </w:r>
      <w:r>
        <w:rPr>
          <w:spacing w:val="16"/>
        </w:rPr>
        <w:t>銷</w:t>
      </w:r>
      <w:r>
        <w:rPr>
          <w:spacing w:val="33"/>
        </w:rPr>
        <w:t>判</w:t>
      </w:r>
      <w:r>
        <w:rPr>
          <w:spacing w:val="22"/>
        </w:rPr>
        <w:t>決</w:t>
      </w:r>
      <w:r>
        <w:rPr/>
        <w:t>具有形成效力固不相同，並不直接發生權利義務變動之效果。然而，課予義務    </w:t>
      </w:r>
      <w:r>
        <w:rPr>
          <w:spacing w:val="54"/>
        </w:rPr>
        <w:t> </w:t>
      </w:r>
      <w:r>
        <w:rPr/>
        <w:t>訴訟之被告機關為有作成行政處分権限之公權力主體，受依法行政原則之    </w:t>
      </w:r>
      <w:r>
        <w:rPr>
          <w:spacing w:val="54"/>
        </w:rPr>
        <w:t> </w:t>
      </w:r>
      <w:r>
        <w:rPr/>
        <w:t>拘束。行政法院作成課予義務判決後，被告機關拒不遵行之情形，並不多    </w:t>
      </w:r>
      <w:r>
        <w:rPr>
          <w:spacing w:val="54"/>
        </w:rPr>
        <w:t> </w:t>
      </w:r>
      <w:r>
        <w:rPr/>
        <w:t>見。被告機關既因課予義務判決而負有對第三人作成行政處分之義務，則    </w:t>
      </w:r>
      <w:r>
        <w:rPr>
          <w:spacing w:val="33"/>
        </w:rPr>
        <w:t> </w:t>
      </w:r>
      <w:r>
        <w:rPr>
          <w:spacing w:val="21"/>
        </w:rPr>
        <w:t>上</w:t>
      </w:r>
      <w:r>
        <w:rPr/>
        <w:t>逑「直</w:t>
      </w:r>
      <w:r>
        <w:rPr>
          <w:spacing w:val="43"/>
        </w:rPr>
        <w:t>接</w:t>
      </w:r>
      <w:r>
        <w:rPr>
          <w:spacing w:val="24"/>
        </w:rPr>
        <w:t>效</w:t>
      </w:r>
      <w:r>
        <w:rPr/>
        <w:t>力之</w:t>
      </w:r>
      <w:r>
        <w:rPr>
          <w:spacing w:val="-16"/>
        </w:rPr>
        <w:t> </w:t>
      </w:r>
      <w:r>
        <w:rPr/>
        <w:t>欠</w:t>
      </w:r>
      <w:r>
        <w:rPr>
          <w:spacing w:val="43"/>
        </w:rPr>
        <w:t>缺</w:t>
      </w:r>
      <w:r>
        <w:rPr/>
        <w:t>」</w:t>
      </w:r>
      <w:r>
        <w:rPr>
          <w:rFonts w:ascii="Times New Roman" w:eastAsia="Times New Roman"/>
          <w:sz w:val="29"/>
        </w:rPr>
        <w:t>(</w:t>
      </w:r>
      <w:r>
        <w:rPr>
          <w:rFonts w:ascii="Times New Roman" w:eastAsia="Times New Roman"/>
          <w:spacing w:val="-16"/>
          <w:sz w:val="29"/>
        </w:rPr>
        <w:t> </w:t>
      </w:r>
      <w:r>
        <w:rPr>
          <w:rFonts w:ascii="Times New Roman" w:eastAsia="Times New Roman"/>
          <w:sz w:val="29"/>
        </w:rPr>
        <w:t>Unmi</w:t>
      </w:r>
      <w:r>
        <w:rPr>
          <w:rFonts w:ascii="Times New Roman" w:eastAsia="Times New Roman"/>
          <w:spacing w:val="-23"/>
          <w:sz w:val="29"/>
        </w:rPr>
        <w:t> </w:t>
      </w:r>
      <w:r>
        <w:rPr>
          <w:rFonts w:ascii="Times New Roman" w:eastAsia="Times New Roman"/>
          <w:sz w:val="29"/>
        </w:rPr>
        <w:t>t</w:t>
      </w:r>
      <w:r>
        <w:rPr>
          <w:rFonts w:ascii="Times New Roman" w:eastAsia="Times New Roman"/>
          <w:spacing w:val="-13"/>
          <w:sz w:val="29"/>
        </w:rPr>
        <w:t> </w:t>
      </w:r>
      <w:r>
        <w:rPr>
          <w:rFonts w:ascii="Times New Roman" w:eastAsia="Times New Roman"/>
          <w:sz w:val="29"/>
        </w:rPr>
        <w:t>t</w:t>
      </w:r>
      <w:r>
        <w:rPr>
          <w:rFonts w:ascii="Times New Roman" w:eastAsia="Times New Roman"/>
          <w:spacing w:val="-21"/>
          <w:sz w:val="29"/>
        </w:rPr>
        <w:t> </w:t>
      </w:r>
      <w:r>
        <w:rPr>
          <w:rFonts w:ascii="Times New Roman" w:eastAsia="Times New Roman"/>
          <w:spacing w:val="15"/>
          <w:sz w:val="29"/>
        </w:rPr>
        <w:t>elbar</w:t>
      </w:r>
      <w:r>
        <w:rPr>
          <w:rFonts w:ascii="Times New Roman" w:eastAsia="Times New Roman"/>
          <w:spacing w:val="-26"/>
          <w:sz w:val="29"/>
        </w:rPr>
        <w:t> </w:t>
      </w:r>
      <w:r>
        <w:rPr>
          <w:rFonts w:ascii="Times New Roman" w:eastAsia="Times New Roman"/>
          <w:sz w:val="29"/>
        </w:rPr>
        <w:t>ke</w:t>
      </w:r>
      <w:r>
        <w:rPr>
          <w:rFonts w:ascii="Times New Roman" w:eastAsia="Times New Roman"/>
          <w:spacing w:val="-19"/>
          <w:sz w:val="29"/>
        </w:rPr>
        <w:t> </w:t>
      </w:r>
      <w:r>
        <w:rPr>
          <w:rFonts w:ascii="Times New Roman" w:eastAsia="Times New Roman"/>
          <w:sz w:val="29"/>
        </w:rPr>
        <w:t>i</w:t>
      </w:r>
      <w:r>
        <w:rPr>
          <w:rFonts w:ascii="Times New Roman" w:eastAsia="Times New Roman"/>
          <w:spacing w:val="-28"/>
          <w:sz w:val="29"/>
        </w:rPr>
        <w:t> </w:t>
      </w:r>
      <w:r>
        <w:rPr>
          <w:rFonts w:ascii="Times New Roman" w:eastAsia="Times New Roman"/>
          <w:sz w:val="29"/>
        </w:rPr>
        <w:t>t</w:t>
      </w:r>
      <w:r>
        <w:rPr>
          <w:rFonts w:ascii="Times New Roman" w:eastAsia="Times New Roman"/>
          <w:spacing w:val="-36"/>
          <w:sz w:val="29"/>
        </w:rPr>
        <w:t> </w:t>
      </w:r>
      <w:r>
        <w:rPr>
          <w:rFonts w:ascii="Times New Roman" w:eastAsia="Times New Roman"/>
          <w:sz w:val="29"/>
        </w:rPr>
        <w:t>sdef</w:t>
      </w:r>
      <w:r>
        <w:rPr>
          <w:rFonts w:ascii="Times New Roman" w:eastAsia="Times New Roman"/>
          <w:spacing w:val="-2"/>
          <w:sz w:val="29"/>
        </w:rPr>
        <w:t> </w:t>
      </w:r>
      <w:r>
        <w:rPr>
          <w:rFonts w:ascii="Times New Roman" w:eastAsia="Times New Roman"/>
          <w:sz w:val="29"/>
        </w:rPr>
        <w:t>i</w:t>
      </w:r>
      <w:r>
        <w:rPr>
          <w:rFonts w:ascii="Times New Roman" w:eastAsia="Times New Roman"/>
          <w:spacing w:val="-16"/>
          <w:sz w:val="29"/>
        </w:rPr>
        <w:t> </w:t>
      </w:r>
      <w:r>
        <w:rPr>
          <w:rFonts w:ascii="Times New Roman" w:eastAsia="Times New Roman"/>
          <w:spacing w:val="13"/>
          <w:sz w:val="29"/>
        </w:rPr>
        <w:t>zi</w:t>
      </w:r>
      <w:r>
        <w:rPr>
          <w:rFonts w:ascii="Times New Roman" w:eastAsia="Times New Roman"/>
          <w:spacing w:val="-23"/>
          <w:sz w:val="29"/>
        </w:rPr>
        <w:t> </w:t>
      </w:r>
      <w:r>
        <w:rPr>
          <w:rFonts w:ascii="Times New Roman" w:eastAsia="Times New Roman"/>
          <w:sz w:val="29"/>
        </w:rPr>
        <w:t>t</w:t>
      </w:r>
      <w:r>
        <w:rPr>
          <w:rFonts w:ascii="Times New Roman" w:eastAsia="Times New Roman"/>
          <w:spacing w:val="17"/>
          <w:sz w:val="29"/>
        </w:rPr>
        <w:t> </w:t>
      </w:r>
      <w:r>
        <w:rPr>
          <w:rFonts w:ascii="Times New Roman" w:eastAsia="Times New Roman"/>
          <w:sz w:val="29"/>
        </w:rPr>
        <w:t>)</w:t>
      </w:r>
      <w:r>
        <w:rPr>
          <w:rFonts w:ascii="Times New Roman" w:eastAsia="Times New Roman"/>
          <w:spacing w:val="53"/>
          <w:sz w:val="29"/>
        </w:rPr>
        <w:t> </w:t>
      </w:r>
      <w:r>
        <w:rPr>
          <w:spacing w:val="15"/>
        </w:rPr>
        <w:t>可</w:t>
      </w:r>
      <w:r>
        <w:rPr>
          <w:spacing w:val="12"/>
        </w:rPr>
        <w:t>籍</w:t>
      </w:r>
      <w:r>
        <w:rPr/>
        <w:t>由</w:t>
      </w:r>
      <w:r>
        <w:rPr>
          <w:spacing w:val="24"/>
        </w:rPr>
        <w:t>被</w:t>
      </w:r>
      <w:r>
        <w:rPr>
          <w:spacing w:val="14"/>
        </w:rPr>
        <w:t>告</w:t>
      </w:r>
      <w:r>
        <w:rPr/>
        <w:t>之</w:t>
      </w:r>
      <w:r>
        <w:rPr>
          <w:spacing w:val="26"/>
        </w:rPr>
        <w:t>作</w:t>
      </w:r>
      <w:r>
        <w:rPr/>
        <w:t>為</w:t>
      </w:r>
      <w:r>
        <w:rPr>
          <w:w w:val="90"/>
        </w:rPr>
        <w:t>義務</w:t>
      </w:r>
      <w:r>
        <w:rPr>
          <w:spacing w:val="-28"/>
          <w:w w:val="90"/>
        </w:rPr>
        <w:t> </w:t>
      </w:r>
      <w:r>
        <w:rPr>
          <w:spacing w:val="51"/>
          <w:w w:val="90"/>
        </w:rPr>
        <w:t>獲</w:t>
      </w:r>
      <w:r>
        <w:rPr>
          <w:spacing w:val="57"/>
          <w:w w:val="90"/>
        </w:rPr>
        <w:t>得</w:t>
      </w:r>
      <w:r>
        <w:rPr>
          <w:w w:val="90"/>
        </w:rPr>
        <w:t>填補</w:t>
      </w:r>
      <w:r>
        <w:rPr>
          <w:rFonts w:ascii="Times New Roman" w:eastAsia="Times New Roman"/>
          <w:w w:val="85"/>
          <w:sz w:val="16"/>
        </w:rPr>
        <w:t>99</w:t>
      </w:r>
      <w:r>
        <w:rPr>
          <w:rFonts w:ascii="Times New Roman" w:eastAsia="Times New Roman"/>
          <w:spacing w:val="44"/>
          <w:sz w:val="16"/>
        </w:rPr>
        <w:t> </w:t>
      </w:r>
      <w:r>
        <w:rPr>
          <w:rFonts w:ascii="Times New Roman" w:eastAsia="Times New Roman"/>
          <w:w w:val="90"/>
          <w:sz w:val="16"/>
        </w:rPr>
        <w:t>,</w:t>
        <w:tab/>
      </w:r>
      <w:r>
        <w:rPr>
          <w:spacing w:val="15"/>
        </w:rPr>
        <w:t>故</w:t>
      </w:r>
      <w:r>
        <w:rPr>
          <w:spacing w:val="19"/>
        </w:rPr>
        <w:t>可</w:t>
      </w:r>
      <w:r>
        <w:rPr>
          <w:spacing w:val="29"/>
        </w:rPr>
        <w:t>謂</w:t>
      </w:r>
      <w:r>
        <w:rPr>
          <w:spacing w:val="10"/>
        </w:rPr>
        <w:t>課</w:t>
      </w:r>
      <w:r>
        <w:rPr>
          <w:spacing w:val="40"/>
        </w:rPr>
        <w:t>予</w:t>
      </w:r>
      <w:r>
        <w:rPr/>
        <w:t>義務</w:t>
      </w:r>
      <w:r>
        <w:rPr>
          <w:spacing w:val="-26"/>
        </w:rPr>
        <w:t> </w:t>
      </w:r>
      <w:r>
        <w:rPr>
          <w:spacing w:val="29"/>
        </w:rPr>
        <w:t>判</w:t>
      </w:r>
      <w:r>
        <w:rPr>
          <w:spacing w:val="22"/>
        </w:rPr>
        <w:t>決</w:t>
      </w:r>
      <w:r>
        <w:rPr>
          <w:spacing w:val="12"/>
        </w:rPr>
        <w:t>具</w:t>
      </w:r>
      <w:r>
        <w:rPr/>
        <w:t>有「</w:t>
      </w:r>
      <w:r>
        <w:rPr>
          <w:spacing w:val="-51"/>
        </w:rPr>
        <w:t> </w:t>
      </w:r>
      <w:r>
        <w:rPr/>
        <w:t>類</w:t>
      </w:r>
      <w:r>
        <w:rPr>
          <w:spacing w:val="44"/>
        </w:rPr>
        <w:t>似</w:t>
      </w:r>
      <w:r>
        <w:rPr/>
        <w:t>之</w:t>
      </w:r>
      <w:r>
        <w:rPr>
          <w:spacing w:val="21"/>
        </w:rPr>
        <w:t>形</w:t>
      </w:r>
      <w:r>
        <w:rPr/>
        <w:t>成</w:t>
      </w:r>
      <w:r>
        <w:rPr>
          <w:spacing w:val="44"/>
        </w:rPr>
        <w:t>效</w:t>
      </w:r>
      <w:r>
        <w:rPr>
          <w:spacing w:val="43"/>
        </w:rPr>
        <w:t>力</w:t>
      </w:r>
      <w:r>
        <w:rPr/>
        <w:t>」</w:t>
      </w:r>
    </w:p>
    <w:p>
      <w:pPr>
        <w:spacing w:line="319" w:lineRule="auto" w:before="0"/>
        <w:ind w:left="303" w:right="515" w:firstLine="126"/>
        <w:jc w:val="both"/>
        <w:rPr>
          <w:sz w:val="25"/>
        </w:rPr>
      </w:pPr>
      <w:r>
        <w:rPr>
          <w:rFonts w:ascii="Times New Roman" w:eastAsia="Times New Roman"/>
          <w:sz w:val="29"/>
        </w:rPr>
        <w:t>(Quasi-Gestal</w:t>
      </w:r>
      <w:r>
        <w:rPr>
          <w:rFonts w:ascii="Times New Roman" w:eastAsia="Times New Roman"/>
          <w:spacing w:val="14"/>
          <w:sz w:val="29"/>
        </w:rPr>
        <w:t> </w:t>
      </w:r>
      <w:r>
        <w:rPr>
          <w:rFonts w:ascii="Times New Roman" w:eastAsia="Times New Roman"/>
          <w:sz w:val="29"/>
        </w:rPr>
        <w:t>tungswirkung</w:t>
      </w:r>
      <w:r>
        <w:rPr>
          <w:rFonts w:ascii="Times New Roman" w:eastAsia="Times New Roman"/>
          <w:spacing w:val="25"/>
          <w:sz w:val="29"/>
        </w:rPr>
        <w:t>) </w:t>
      </w:r>
      <w:r>
        <w:rPr>
          <w:rFonts w:ascii="Times New Roman" w:eastAsia="Times New Roman"/>
          <w:w w:val="75"/>
          <w:sz w:val="16"/>
        </w:rPr>
        <w:t>100</w:t>
      </w:r>
      <w:r>
        <w:rPr>
          <w:rFonts w:ascii="Times New Roman" w:eastAsia="Times New Roman"/>
          <w:spacing w:val="53"/>
          <w:sz w:val="16"/>
        </w:rPr>
        <w:t> </w:t>
      </w:r>
      <w:r>
        <w:rPr>
          <w:spacing w:val="8"/>
          <w:w w:val="75"/>
          <w:sz w:val="25"/>
        </w:rPr>
        <w:t>。 </w:t>
      </w:r>
      <w:r>
        <w:rPr>
          <w:spacing w:val="-4"/>
          <w:sz w:val="25"/>
        </w:rPr>
        <w:t>況且 </w:t>
      </w:r>
      <w:r>
        <w:rPr>
          <w:spacing w:val="-23"/>
          <w:w w:val="75"/>
          <w:sz w:val="25"/>
        </w:rPr>
        <w:t>， </w:t>
      </w:r>
      <w:r>
        <w:rPr>
          <w:spacing w:val="13"/>
          <w:sz w:val="25"/>
        </w:rPr>
        <w:t>課予義務 判決之所以不具有直</w:t>
      </w:r>
      <w:r>
        <w:rPr>
          <w:w w:val="105"/>
          <w:sz w:val="25"/>
        </w:rPr>
        <w:t>接變動権利義務之效果，並非事理上之必然，而是基於權力分立原理，司</w:t>
      </w:r>
      <w:r>
        <w:rPr>
          <w:spacing w:val="119"/>
          <w:w w:val="105"/>
          <w:sz w:val="25"/>
        </w:rPr>
        <w:t> </w:t>
      </w:r>
      <w:r>
        <w:rPr>
          <w:w w:val="105"/>
          <w:sz w:val="25"/>
        </w:rPr>
        <w:t>法権尊重行政権之考慮，故仍由行政機關自行作成行政處分以形成該法律</w:t>
      </w:r>
      <w:r>
        <w:rPr>
          <w:spacing w:val="119"/>
          <w:w w:val="105"/>
          <w:sz w:val="25"/>
        </w:rPr>
        <w:t> </w:t>
      </w:r>
      <w:r>
        <w:rPr>
          <w:w w:val="105"/>
          <w:sz w:val="25"/>
        </w:rPr>
        <w:t>關係 。考量「訴訟經濟」、</w:t>
      </w:r>
      <w:r>
        <w:rPr>
          <w:spacing w:val="-268"/>
          <w:w w:val="105"/>
          <w:sz w:val="25"/>
        </w:rPr>
        <w:t>「</w:t>
      </w:r>
      <w:r>
        <w:rPr>
          <w:spacing w:val="9"/>
          <w:w w:val="105"/>
          <w:sz w:val="25"/>
        </w:rPr>
        <w:t>噹事人權利有效且快速保護」</w:t>
      </w:r>
      <w:r>
        <w:rPr>
          <w:rFonts w:ascii="Times New Roman" w:eastAsia="Times New Roman"/>
          <w:spacing w:val="-15"/>
          <w:w w:val="105"/>
          <w:sz w:val="29"/>
        </w:rPr>
        <w:t>( </w:t>
      </w:r>
      <w:r>
        <w:rPr>
          <w:rFonts w:ascii="Times New Roman" w:eastAsia="Times New Roman"/>
          <w:w w:val="105"/>
          <w:sz w:val="29"/>
        </w:rPr>
        <w:t>ef</w:t>
      </w:r>
      <w:r>
        <w:rPr>
          <w:rFonts w:ascii="Times New Roman" w:eastAsia="Times New Roman"/>
          <w:spacing w:val="-21"/>
          <w:w w:val="105"/>
          <w:sz w:val="29"/>
        </w:rPr>
        <w:t> </w:t>
      </w:r>
      <w:r>
        <w:rPr>
          <w:rFonts w:ascii="Times New Roman" w:eastAsia="Times New Roman"/>
          <w:w w:val="105"/>
          <w:sz w:val="29"/>
        </w:rPr>
        <w:t>fekti</w:t>
      </w:r>
      <w:r>
        <w:rPr>
          <w:rFonts w:ascii="Times New Roman" w:eastAsia="Times New Roman"/>
          <w:spacing w:val="-40"/>
          <w:w w:val="105"/>
          <w:sz w:val="29"/>
        </w:rPr>
        <w:t> </w:t>
      </w:r>
      <w:r>
        <w:rPr>
          <w:rFonts w:ascii="Times New Roman" w:eastAsia="Times New Roman"/>
          <w:w w:val="105"/>
          <w:sz w:val="29"/>
        </w:rPr>
        <w:t>ver</w:t>
      </w:r>
      <w:r>
        <w:rPr>
          <w:rFonts w:ascii="Times New Roman" w:eastAsia="Times New Roman"/>
          <w:spacing w:val="15"/>
          <w:w w:val="105"/>
          <w:sz w:val="29"/>
        </w:rPr>
        <w:t> </w:t>
      </w:r>
      <w:r>
        <w:rPr>
          <w:rFonts w:ascii="Times New Roman" w:eastAsia="Times New Roman"/>
          <w:w w:val="105"/>
          <w:sz w:val="29"/>
        </w:rPr>
        <w:t>und</w:t>
      </w:r>
      <w:r>
        <w:rPr>
          <w:rFonts w:ascii="Times New Roman" w:eastAsia="Times New Roman"/>
          <w:spacing w:val="-73"/>
          <w:w w:val="105"/>
          <w:sz w:val="29"/>
        </w:rPr>
        <w:t> </w:t>
      </w:r>
      <w:r>
        <w:rPr>
          <w:rFonts w:ascii="Times New Roman" w:eastAsia="Times New Roman"/>
          <w:sz w:val="29"/>
        </w:rPr>
        <w:t>rascher</w:t>
      </w:r>
      <w:r>
        <w:rPr>
          <w:rFonts w:ascii="Times New Roman" w:eastAsia="Times New Roman"/>
          <w:spacing w:val="16"/>
          <w:sz w:val="29"/>
        </w:rPr>
        <w:t> </w:t>
      </w:r>
      <w:r>
        <w:rPr>
          <w:rFonts w:ascii="Times New Roman" w:eastAsia="Times New Roman"/>
          <w:sz w:val="29"/>
        </w:rPr>
        <w:t>Recht</w:t>
      </w:r>
      <w:r>
        <w:rPr>
          <w:rFonts w:ascii="Times New Roman" w:eastAsia="Times New Roman"/>
          <w:spacing w:val="-31"/>
          <w:sz w:val="29"/>
        </w:rPr>
        <w:t> </w:t>
      </w:r>
      <w:r>
        <w:rPr>
          <w:rFonts w:ascii="Times New Roman" w:eastAsia="Times New Roman"/>
          <w:sz w:val="29"/>
        </w:rPr>
        <w:t>s</w:t>
      </w:r>
      <w:r>
        <w:rPr>
          <w:rFonts w:ascii="Times New Roman" w:eastAsia="Times New Roman"/>
          <w:spacing w:val="-39"/>
          <w:sz w:val="29"/>
        </w:rPr>
        <w:t> </w:t>
      </w:r>
      <w:r>
        <w:rPr>
          <w:rFonts w:ascii="Times New Roman" w:eastAsia="Times New Roman"/>
          <w:sz w:val="29"/>
        </w:rPr>
        <w:t>s</w:t>
      </w:r>
      <w:r>
        <w:rPr>
          <w:rFonts w:ascii="Times New Roman" w:eastAsia="Times New Roman"/>
          <w:spacing w:val="-35"/>
          <w:sz w:val="29"/>
        </w:rPr>
        <w:t> </w:t>
      </w:r>
      <w:r>
        <w:rPr>
          <w:rFonts w:ascii="Times New Roman" w:eastAsia="Times New Roman"/>
          <w:sz w:val="29"/>
        </w:rPr>
        <w:t>chut</w:t>
      </w:r>
      <w:r>
        <w:rPr>
          <w:rFonts w:ascii="Times New Roman" w:eastAsia="Times New Roman"/>
          <w:spacing w:val="25"/>
          <w:sz w:val="29"/>
        </w:rPr>
        <w:t> </w:t>
      </w:r>
      <w:r>
        <w:rPr>
          <w:rFonts w:ascii="Times New Roman" w:eastAsia="Times New Roman"/>
          <w:sz w:val="29"/>
        </w:rPr>
        <w:t>z</w:t>
      </w:r>
      <w:r>
        <w:rPr>
          <w:rFonts w:ascii="Times New Roman" w:eastAsia="Times New Roman"/>
          <w:spacing w:val="12"/>
          <w:sz w:val="29"/>
        </w:rPr>
        <w:t> ) </w:t>
      </w:r>
      <w:r>
        <w:rPr>
          <w:sz w:val="25"/>
        </w:rPr>
        <w:t>以及「防止裁判歧異」 等因 素</w:t>
      </w:r>
      <w:r>
        <w:rPr>
          <w:rFonts w:ascii="Times New Roman" w:eastAsia="Times New Roman"/>
          <w:w w:val="75"/>
          <w:sz w:val="16"/>
        </w:rPr>
        <w:t>101</w:t>
      </w:r>
      <w:r>
        <w:rPr>
          <w:rFonts w:ascii="Times New Roman" w:eastAsia="Times New Roman"/>
          <w:spacing w:val="19"/>
          <w:w w:val="75"/>
          <w:sz w:val="16"/>
        </w:rPr>
        <w:t> </w:t>
      </w:r>
      <w:r>
        <w:rPr>
          <w:rFonts w:ascii="Times New Roman" w:eastAsia="Times New Roman"/>
          <w:spacing w:val="18"/>
          <w:sz w:val="16"/>
        </w:rPr>
        <w:t>, </w:t>
      </w:r>
      <w:r>
        <w:rPr>
          <w:spacing w:val="2"/>
          <w:sz w:val="25"/>
        </w:rPr>
        <w:t>現今之多數 見</w:t>
      </w:r>
    </w:p>
    <w:p>
      <w:pPr>
        <w:pStyle w:val="BodyText"/>
        <w:spacing w:line="333" w:lineRule="exact"/>
        <w:ind w:left="308"/>
        <w:jc w:val="both"/>
        <w:rPr>
          <w:rFonts w:ascii="Times New Roman" w:eastAsia="Times New Roman"/>
          <w:sz w:val="16"/>
        </w:rPr>
      </w:pPr>
      <w:r>
        <w:rPr>
          <w:spacing w:val="14"/>
          <w:w w:val="95"/>
          <w:sz w:val="29"/>
        </w:rPr>
        <w:t>算</w:t>
      </w:r>
      <w:r>
        <w:rPr>
          <w:rFonts w:ascii="Times New Roman" w:eastAsia="Times New Roman"/>
          <w:w w:val="65"/>
          <w:sz w:val="16"/>
        </w:rPr>
        <w:t>02</w:t>
      </w:r>
      <w:r>
        <w:rPr>
          <w:rFonts w:ascii="Times New Roman" w:eastAsia="Times New Roman"/>
          <w:spacing w:val="5"/>
          <w:w w:val="65"/>
          <w:sz w:val="16"/>
        </w:rPr>
        <w:t> </w:t>
      </w:r>
      <w:r>
        <w:rPr>
          <w:spacing w:val="17"/>
          <w:w w:val="65"/>
        </w:rPr>
        <w:t>認 </w:t>
      </w:r>
      <w:r>
        <w:rPr>
          <w:spacing w:val="7"/>
          <w:w w:val="95"/>
        </w:rPr>
        <w:t>為 </w:t>
      </w:r>
      <w:r>
        <w:rPr>
          <w:spacing w:val="-20"/>
          <w:w w:val="65"/>
        </w:rPr>
        <w:t>， </w:t>
      </w:r>
      <w:r>
        <w:rPr>
          <w:spacing w:val="9"/>
          <w:w w:val="95"/>
        </w:rPr>
        <w:t>在課予義務 訴訟中 </w:t>
      </w:r>
      <w:r>
        <w:rPr>
          <w:spacing w:val="-7"/>
          <w:w w:val="65"/>
        </w:rPr>
        <w:t>， </w:t>
      </w:r>
      <w:r>
        <w:rPr>
          <w:spacing w:val="7"/>
          <w:w w:val="95"/>
        </w:rPr>
        <w:t>亦有必要訴訟參加之適用 。</w:t>
      </w:r>
      <w:r>
        <w:rPr>
          <w:rFonts w:ascii="Times New Roman" w:eastAsia="Times New Roman"/>
          <w:w w:val="65"/>
          <w:sz w:val="16"/>
        </w:rPr>
        <w:t>103</w:t>
      </w:r>
    </w:p>
    <w:p>
      <w:pPr>
        <w:pStyle w:val="BodyText"/>
        <w:spacing w:before="9"/>
        <w:rPr>
          <w:rFonts w:ascii="Times New Roman"/>
          <w:sz w:val="24"/>
        </w:rPr>
      </w:pPr>
      <w:r>
        <w:rPr/>
        <w:pict>
          <v:shape style="position:absolute;margin-left:95.174004pt;margin-top:16.490673pt;width:144.25pt;height:.1pt;mso-position-horizontal-relative:page;mso-position-vertical-relative:paragraph;z-index:-15605248;mso-wrap-distance-left:0;mso-wrap-distance-right:0" coordorigin="1903,330" coordsize="2885,0" path="m1903,330l4788,330e" filled="false" stroked="true" strokeweight=".480547pt" strokecolor="#000000">
            <v:path arrowok="t"/>
            <v:stroke dashstyle="solid"/>
            <w10:wrap type="topAndBottom"/>
          </v:shape>
        </w:pict>
      </w:r>
    </w:p>
    <w:p>
      <w:pPr>
        <w:pStyle w:val="BodyText"/>
        <w:spacing w:before="6"/>
        <w:rPr>
          <w:rFonts w:ascii="Times New Roman"/>
          <w:sz w:val="9"/>
        </w:rPr>
      </w:pPr>
    </w:p>
    <w:p>
      <w:pPr>
        <w:pStyle w:val="Heading6"/>
        <w:spacing w:line="252" w:lineRule="auto"/>
        <w:ind w:left="500" w:right="497" w:hanging="202"/>
      </w:pPr>
      <w:r>
        <w:rPr>
          <w:w w:val="95"/>
          <w:position w:val="8"/>
          <w:sz w:val="13"/>
        </w:rPr>
        <w:t>97</w:t>
      </w:r>
      <w:r>
        <w:rPr>
          <w:spacing w:val="8"/>
          <w:w w:val="95"/>
          <w:position w:val="8"/>
          <w:sz w:val="13"/>
        </w:rPr>
        <w:t> </w:t>
      </w:r>
      <w:r>
        <w:rPr>
          <w:w w:val="95"/>
        </w:rPr>
        <w:t>BVerwGDOV1975,</w:t>
      </w:r>
      <w:r>
        <w:rPr>
          <w:spacing w:val="27"/>
          <w:w w:val="95"/>
        </w:rPr>
        <w:t> </w:t>
      </w:r>
      <w:r>
        <w:rPr>
          <w:w w:val="95"/>
        </w:rPr>
        <w:t>99;</w:t>
      </w:r>
      <w:r>
        <w:rPr>
          <w:spacing w:val="3"/>
          <w:w w:val="95"/>
        </w:rPr>
        <w:t> </w:t>
      </w:r>
      <w:r>
        <w:rPr>
          <w:w w:val="95"/>
        </w:rPr>
        <w:t>VGHMannheimNJW1977,</w:t>
      </w:r>
      <w:r>
        <w:rPr>
          <w:spacing w:val="5"/>
          <w:w w:val="95"/>
        </w:rPr>
        <w:t> </w:t>
      </w:r>
      <w:r>
        <w:rPr>
          <w:w w:val="95"/>
        </w:rPr>
        <w:t>1308f.;</w:t>
      </w:r>
      <w:r>
        <w:rPr>
          <w:spacing w:val="-4"/>
          <w:w w:val="95"/>
        </w:rPr>
        <w:t> </w:t>
      </w:r>
      <w:r>
        <w:rPr>
          <w:w w:val="95"/>
        </w:rPr>
        <w:t>Konrad,</w:t>
      </w:r>
      <w:r>
        <w:rPr>
          <w:spacing w:val="32"/>
          <w:w w:val="95"/>
        </w:rPr>
        <w:t> </w:t>
      </w:r>
      <w:r>
        <w:rPr>
          <w:w w:val="95"/>
        </w:rPr>
        <w:t>DieNotwendigkeit</w:t>
      </w:r>
      <w:r>
        <w:rPr>
          <w:spacing w:val="-59"/>
          <w:w w:val="95"/>
        </w:rPr>
        <w:t> </w:t>
      </w:r>
      <w:r>
        <w:rPr/>
        <w:t>der</w:t>
      </w:r>
      <w:r>
        <w:rPr>
          <w:spacing w:val="1"/>
        </w:rPr>
        <w:t> </w:t>
      </w:r>
      <w:r>
        <w:rPr/>
        <w:t>Beiladung</w:t>
      </w:r>
      <w:r>
        <w:rPr>
          <w:spacing w:val="1"/>
        </w:rPr>
        <w:t> </w:t>
      </w:r>
      <w:r>
        <w:rPr/>
        <w:t>im</w:t>
      </w:r>
      <w:r>
        <w:rPr>
          <w:spacing w:val="1"/>
        </w:rPr>
        <w:t> </w:t>
      </w:r>
      <w:r>
        <w:rPr/>
        <w:t>Verwaltungsprozess,</w:t>
      </w:r>
      <w:r>
        <w:rPr>
          <w:spacing w:val="1"/>
        </w:rPr>
        <w:t> </w:t>
      </w:r>
      <w:r>
        <w:rPr/>
        <w:t>BayVBl</w:t>
      </w:r>
      <w:r>
        <w:rPr>
          <w:spacing w:val="1"/>
        </w:rPr>
        <w:t> </w:t>
      </w:r>
      <w:r>
        <w:rPr/>
        <w:t>1982,</w:t>
      </w:r>
      <w:r>
        <w:rPr>
          <w:spacing w:val="1"/>
        </w:rPr>
        <w:t> </w:t>
      </w:r>
      <w:r>
        <w:rPr/>
        <w:t>517</w:t>
      </w:r>
      <w:r>
        <w:rPr>
          <w:spacing w:val="1"/>
        </w:rPr>
        <w:t> </w:t>
      </w:r>
      <w:r>
        <w:rPr/>
        <w:t>(520);</w:t>
      </w:r>
      <w:r>
        <w:rPr>
          <w:spacing w:val="1"/>
        </w:rPr>
        <w:t> </w:t>
      </w:r>
      <w:r>
        <w:rPr/>
        <w:t>Grunsky,</w:t>
      </w:r>
      <w:r>
        <w:rPr>
          <w:spacing w:val="1"/>
        </w:rPr>
        <w:t> </w:t>
      </w:r>
      <w:r>
        <w:rPr/>
        <w:t>Grundlagen</w:t>
      </w:r>
      <w:r>
        <w:rPr>
          <w:spacing w:val="13"/>
        </w:rPr>
        <w:t> </w:t>
      </w:r>
      <w:r>
        <w:rPr/>
        <w:t>des</w:t>
      </w:r>
      <w:r>
        <w:rPr>
          <w:spacing w:val="57"/>
        </w:rPr>
        <w:t> </w:t>
      </w:r>
      <w:r>
        <w:rPr/>
        <w:t>Verfahrensrechts,</w:t>
      </w:r>
      <w:r>
        <w:rPr>
          <w:spacing w:val="50"/>
        </w:rPr>
        <w:t> </w:t>
      </w:r>
      <w:r>
        <w:rPr/>
        <w:t>2.</w:t>
      </w:r>
      <w:r>
        <w:rPr>
          <w:spacing w:val="47"/>
        </w:rPr>
        <w:t> </w:t>
      </w:r>
      <w:r>
        <w:rPr/>
        <w:t>Aufl.,</w:t>
      </w:r>
      <w:r>
        <w:rPr>
          <w:spacing w:val="47"/>
        </w:rPr>
        <w:t> </w:t>
      </w:r>
      <w:r>
        <w:rPr/>
        <w:t>1974,</w:t>
      </w:r>
      <w:r>
        <w:rPr>
          <w:spacing w:val="52"/>
        </w:rPr>
        <w:t> </w:t>
      </w:r>
      <w:r>
        <w:rPr/>
        <w:t>S.</w:t>
      </w:r>
      <w:r>
        <w:rPr>
          <w:spacing w:val="56"/>
        </w:rPr>
        <w:t> </w:t>
      </w:r>
      <w:r>
        <w:rPr/>
        <w:t>292.</w:t>
      </w:r>
    </w:p>
    <w:p>
      <w:pPr>
        <w:spacing w:line="266" w:lineRule="auto" w:before="9"/>
        <w:ind w:left="497" w:right="549" w:hanging="199"/>
        <w:jc w:val="left"/>
        <w:rPr>
          <w:sz w:val="22"/>
        </w:rPr>
      </w:pPr>
      <w:r>
        <w:rPr>
          <w:rFonts w:ascii="Times New Roman" w:eastAsia="Times New Roman"/>
          <w:w w:val="105"/>
          <w:sz w:val="22"/>
          <w:vertAlign w:val="superscript"/>
        </w:rPr>
        <w:t>98</w:t>
      </w:r>
      <w:r>
        <w:rPr>
          <w:rFonts w:ascii="Times New Roman" w:eastAsia="Times New Roman"/>
          <w:spacing w:val="40"/>
          <w:w w:val="105"/>
          <w:sz w:val="22"/>
          <w:vertAlign w:val="baseline"/>
        </w:rPr>
        <w:t> </w:t>
      </w:r>
      <w:r>
        <w:rPr>
          <w:w w:val="105"/>
          <w:sz w:val="22"/>
          <w:vertAlign w:val="baseline"/>
        </w:rPr>
        <w:t>所謂課予義務訴訟之「課予義務判決」，係指原告勝訴，行政法院判命被告機關應為</w:t>
      </w:r>
      <w:r>
        <w:rPr>
          <w:w w:val="110"/>
          <w:sz w:val="22"/>
          <w:vertAlign w:val="baseline"/>
        </w:rPr>
        <w:t>行政處分或應為特定內容之行政處分之判決。如原告提超課予義務訴訟受敗訴判決，該判決之性質為確認判決，確認原告之請求權不存在。</w:t>
      </w:r>
    </w:p>
    <w:p>
      <w:pPr>
        <w:pStyle w:val="Heading6"/>
        <w:spacing w:line="289" w:lineRule="exact" w:before="0"/>
      </w:pPr>
      <w:r>
        <w:rPr>
          <w:position w:val="8"/>
          <w:sz w:val="13"/>
        </w:rPr>
        <w:t>99</w:t>
      </w:r>
      <w:r>
        <w:rPr>
          <w:spacing w:val="7"/>
          <w:position w:val="8"/>
          <w:sz w:val="13"/>
        </w:rPr>
        <w:t> </w:t>
      </w:r>
      <w:r>
        <w:rPr/>
        <w:t>Nottbusch,</w:t>
      </w:r>
      <w:r>
        <w:rPr>
          <w:spacing w:val="43"/>
        </w:rPr>
        <w:t> </w:t>
      </w:r>
      <w:r>
        <w:rPr/>
        <w:t>Die</w:t>
      </w:r>
      <w:r>
        <w:rPr>
          <w:spacing w:val="46"/>
        </w:rPr>
        <w:t> </w:t>
      </w:r>
      <w:r>
        <w:rPr/>
        <w:t>Beiladung</w:t>
      </w:r>
      <w:r>
        <w:rPr>
          <w:spacing w:val="71"/>
        </w:rPr>
        <w:t> </w:t>
      </w:r>
      <w:r>
        <w:rPr/>
        <w:t>im</w:t>
      </w:r>
      <w:r>
        <w:rPr>
          <w:spacing w:val="42"/>
        </w:rPr>
        <w:t> </w:t>
      </w:r>
      <w:r>
        <w:rPr/>
        <w:t>Verwaltungsprozess,</w:t>
      </w:r>
      <w:r>
        <w:rPr>
          <w:spacing w:val="74"/>
        </w:rPr>
        <w:t> </w:t>
      </w:r>
      <w:r>
        <w:rPr/>
        <w:t>1995,</w:t>
      </w:r>
      <w:r>
        <w:rPr>
          <w:spacing w:val="95"/>
        </w:rPr>
        <w:t> </w:t>
      </w:r>
      <w:r>
        <w:rPr/>
        <w:t>S.</w:t>
      </w:r>
      <w:r>
        <w:rPr>
          <w:spacing w:val="97"/>
        </w:rPr>
        <w:t> </w:t>
      </w:r>
      <w:r>
        <w:rPr/>
        <w:t>97.</w:t>
      </w:r>
    </w:p>
    <w:p>
      <w:pPr>
        <w:spacing w:before="13"/>
        <w:ind w:left="298" w:right="0" w:firstLine="0"/>
        <w:jc w:val="left"/>
        <w:rPr>
          <w:rFonts w:ascii="Arial" w:hAnsi="Arial"/>
          <w:sz w:val="20"/>
        </w:rPr>
      </w:pPr>
      <w:r>
        <w:rPr>
          <w:rFonts w:ascii="Times New Roman" w:hAnsi="Times New Roman"/>
          <w:position w:val="8"/>
          <w:sz w:val="13"/>
        </w:rPr>
        <w:t>100</w:t>
      </w:r>
      <w:r>
        <w:rPr>
          <w:rFonts w:ascii="Times New Roman" w:hAnsi="Times New Roman"/>
          <w:spacing w:val="10"/>
          <w:position w:val="8"/>
          <w:sz w:val="13"/>
        </w:rPr>
        <w:t> </w:t>
      </w:r>
      <w:r>
        <w:rPr>
          <w:rFonts w:ascii="Times New Roman" w:hAnsi="Times New Roman"/>
          <w:sz w:val="26"/>
        </w:rPr>
        <w:t>Bier,</w:t>
      </w:r>
      <w:r>
        <w:rPr>
          <w:rFonts w:ascii="Times New Roman" w:hAnsi="Times New Roman"/>
          <w:spacing w:val="7"/>
          <w:sz w:val="26"/>
        </w:rPr>
        <w:t> </w:t>
      </w:r>
      <w:r>
        <w:rPr>
          <w:rFonts w:ascii="Times New Roman" w:hAnsi="Times New Roman"/>
          <w:sz w:val="26"/>
        </w:rPr>
        <w:t>in:</w:t>
      </w:r>
      <w:r>
        <w:rPr>
          <w:rFonts w:ascii="Times New Roman" w:hAnsi="Times New Roman"/>
          <w:spacing w:val="43"/>
          <w:sz w:val="26"/>
        </w:rPr>
        <w:t> </w:t>
      </w:r>
      <w:r>
        <w:rPr>
          <w:rFonts w:ascii="Times New Roman" w:hAnsi="Times New Roman"/>
          <w:sz w:val="26"/>
        </w:rPr>
        <w:t>Schoch/Schmidt-ABmann/Pietzner,</w:t>
      </w:r>
      <w:r>
        <w:rPr>
          <w:rFonts w:ascii="Times New Roman" w:hAnsi="Times New Roman"/>
          <w:spacing w:val="47"/>
          <w:sz w:val="26"/>
        </w:rPr>
        <w:t> </w:t>
      </w:r>
      <w:r>
        <w:rPr>
          <w:rFonts w:ascii="Times New Roman" w:hAnsi="Times New Roman"/>
          <w:sz w:val="26"/>
        </w:rPr>
        <w:t>VwGO,</w:t>
      </w:r>
      <w:r>
        <w:rPr>
          <w:rFonts w:ascii="Times New Roman" w:hAnsi="Times New Roman"/>
          <w:spacing w:val="64"/>
          <w:sz w:val="26"/>
        </w:rPr>
        <w:t> </w:t>
      </w:r>
      <w:r>
        <w:rPr>
          <w:rFonts w:ascii="Times New Roman" w:hAnsi="Times New Roman"/>
          <w:sz w:val="26"/>
        </w:rPr>
        <w:t>Stand:</w:t>
      </w:r>
      <w:r>
        <w:rPr>
          <w:rFonts w:ascii="Times New Roman" w:hAnsi="Times New Roman"/>
          <w:spacing w:val="29"/>
          <w:sz w:val="26"/>
        </w:rPr>
        <w:t> </w:t>
      </w:r>
      <w:r>
        <w:rPr>
          <w:rFonts w:ascii="Times New Roman" w:hAnsi="Times New Roman"/>
          <w:sz w:val="26"/>
        </w:rPr>
        <w:t>September</w:t>
      </w:r>
      <w:r>
        <w:rPr>
          <w:rFonts w:ascii="Times New Roman" w:hAnsi="Times New Roman"/>
          <w:spacing w:val="34"/>
          <w:sz w:val="26"/>
        </w:rPr>
        <w:t> </w:t>
      </w:r>
      <w:r>
        <w:rPr>
          <w:rFonts w:ascii="Times New Roman" w:hAnsi="Times New Roman"/>
          <w:sz w:val="26"/>
        </w:rPr>
        <w:t>2003,</w:t>
      </w:r>
      <w:r>
        <w:rPr>
          <w:rFonts w:ascii="Times New Roman" w:hAnsi="Times New Roman"/>
          <w:spacing w:val="60"/>
          <w:sz w:val="26"/>
        </w:rPr>
        <w:t> </w:t>
      </w:r>
      <w:r>
        <w:rPr>
          <w:rFonts w:ascii="Arial" w:hAnsi="Arial"/>
          <w:sz w:val="20"/>
        </w:rPr>
        <w:t>§</w:t>
      </w:r>
    </w:p>
    <w:p>
      <w:pPr>
        <w:pStyle w:val="Heading6"/>
        <w:spacing w:before="13"/>
        <w:ind w:left="507"/>
      </w:pPr>
      <w:r>
        <w:rPr/>
        <w:t>65</w:t>
      </w:r>
      <w:r>
        <w:rPr>
          <w:spacing w:val="27"/>
        </w:rPr>
        <w:t> </w:t>
      </w:r>
      <w:r>
        <w:rPr/>
        <w:t>Rn.</w:t>
      </w:r>
      <w:r>
        <w:rPr>
          <w:spacing w:val="21"/>
        </w:rPr>
        <w:t> </w:t>
      </w:r>
      <w:r>
        <w:rPr/>
        <w:t>22.</w:t>
      </w:r>
    </w:p>
    <w:p>
      <w:pPr>
        <w:spacing w:before="14"/>
        <w:ind w:left="298" w:right="0" w:firstLine="0"/>
        <w:jc w:val="left"/>
        <w:rPr>
          <w:rFonts w:ascii="Times New Roman"/>
          <w:sz w:val="26"/>
        </w:rPr>
      </w:pPr>
      <w:r>
        <w:rPr>
          <w:rFonts w:ascii="Times New Roman"/>
          <w:position w:val="8"/>
          <w:sz w:val="13"/>
        </w:rPr>
        <w:t>101</w:t>
      </w:r>
      <w:r>
        <w:rPr>
          <w:rFonts w:ascii="Times New Roman"/>
          <w:spacing w:val="2"/>
          <w:position w:val="8"/>
          <w:sz w:val="13"/>
        </w:rPr>
        <w:t> </w:t>
      </w:r>
      <w:r>
        <w:rPr>
          <w:rFonts w:ascii="Times New Roman"/>
          <w:sz w:val="26"/>
        </w:rPr>
        <w:t>Wlirtenberger,</w:t>
      </w:r>
      <w:r>
        <w:rPr>
          <w:rFonts w:ascii="Times New Roman"/>
          <w:spacing w:val="43"/>
          <w:sz w:val="26"/>
        </w:rPr>
        <w:t> </w:t>
      </w:r>
      <w:r>
        <w:rPr>
          <w:rFonts w:ascii="Times New Roman"/>
          <w:sz w:val="26"/>
        </w:rPr>
        <w:t>Verwaltungsprozessrecht,</w:t>
      </w:r>
      <w:r>
        <w:rPr>
          <w:rFonts w:ascii="Times New Roman"/>
          <w:spacing w:val="106"/>
          <w:sz w:val="26"/>
        </w:rPr>
        <w:t> </w:t>
      </w:r>
      <w:r>
        <w:rPr>
          <w:rFonts w:ascii="Times New Roman"/>
          <w:sz w:val="26"/>
        </w:rPr>
        <w:t>2.</w:t>
      </w:r>
      <w:r>
        <w:rPr>
          <w:rFonts w:ascii="Times New Roman"/>
          <w:spacing w:val="103"/>
          <w:sz w:val="26"/>
        </w:rPr>
        <w:t> </w:t>
      </w:r>
      <w:r>
        <w:rPr>
          <w:rFonts w:ascii="Times New Roman"/>
          <w:sz w:val="26"/>
        </w:rPr>
        <w:t>Aufl.,</w:t>
      </w:r>
      <w:r>
        <w:rPr>
          <w:rFonts w:ascii="Times New Roman"/>
          <w:spacing w:val="117"/>
          <w:sz w:val="26"/>
        </w:rPr>
        <w:t> </w:t>
      </w:r>
      <w:r>
        <w:rPr>
          <w:rFonts w:ascii="Times New Roman"/>
          <w:sz w:val="26"/>
        </w:rPr>
        <w:t>2006,</w:t>
      </w:r>
      <w:r>
        <w:rPr>
          <w:rFonts w:ascii="Times New Roman"/>
          <w:spacing w:val="116"/>
          <w:sz w:val="26"/>
        </w:rPr>
        <w:t> </w:t>
      </w:r>
      <w:r>
        <w:rPr>
          <w:rFonts w:ascii="Times New Roman"/>
          <w:sz w:val="26"/>
        </w:rPr>
        <w:t>Rn.</w:t>
      </w:r>
      <w:r>
        <w:rPr>
          <w:rFonts w:ascii="Times New Roman"/>
          <w:spacing w:val="116"/>
          <w:sz w:val="26"/>
        </w:rPr>
        <w:t> </w:t>
      </w:r>
      <w:r>
        <w:rPr>
          <w:rFonts w:ascii="Times New Roman"/>
          <w:sz w:val="26"/>
        </w:rPr>
        <w:t>227.</w:t>
      </w:r>
    </w:p>
    <w:p>
      <w:pPr>
        <w:pStyle w:val="Heading6"/>
        <w:spacing w:before="13"/>
        <w:rPr>
          <w:rFonts w:ascii="Arial" w:hAnsi="Arial"/>
          <w:sz w:val="20"/>
        </w:rPr>
      </w:pPr>
      <w:r>
        <w:rPr>
          <w:position w:val="8"/>
          <w:sz w:val="13"/>
        </w:rPr>
        <w:t>102</w:t>
      </w:r>
      <w:r>
        <w:rPr>
          <w:spacing w:val="11"/>
          <w:position w:val="8"/>
          <w:sz w:val="13"/>
        </w:rPr>
        <w:t> </w:t>
      </w:r>
      <w:r>
        <w:rPr/>
        <w:t>Bier,</w:t>
      </w:r>
      <w:r>
        <w:rPr>
          <w:spacing w:val="8"/>
        </w:rPr>
        <w:t> </w:t>
      </w:r>
      <w:r>
        <w:rPr/>
        <w:t>in:</w:t>
      </w:r>
      <w:r>
        <w:rPr>
          <w:spacing w:val="44"/>
        </w:rPr>
        <w:t> </w:t>
      </w:r>
      <w:r>
        <w:rPr/>
        <w:t>Schoch/Schmidt-ABmann/Pietzner,</w:t>
      </w:r>
      <w:r>
        <w:rPr>
          <w:spacing w:val="48"/>
        </w:rPr>
        <w:t> </w:t>
      </w:r>
      <w:r>
        <w:rPr/>
        <w:t>VwGO,</w:t>
      </w:r>
      <w:r>
        <w:rPr>
          <w:spacing w:val="64"/>
        </w:rPr>
        <w:t> </w:t>
      </w:r>
      <w:r>
        <w:rPr/>
        <w:t>Stand:</w:t>
      </w:r>
      <w:r>
        <w:rPr>
          <w:spacing w:val="30"/>
        </w:rPr>
        <w:t> </w:t>
      </w:r>
      <w:r>
        <w:rPr/>
        <w:t>September</w:t>
      </w:r>
      <w:r>
        <w:rPr>
          <w:spacing w:val="34"/>
        </w:rPr>
        <w:t> </w:t>
      </w:r>
      <w:r>
        <w:rPr/>
        <w:t>2003,</w:t>
      </w:r>
      <w:r>
        <w:rPr>
          <w:spacing w:val="56"/>
        </w:rPr>
        <w:t> </w:t>
      </w:r>
      <w:r>
        <w:rPr>
          <w:rFonts w:ascii="Arial" w:hAnsi="Arial"/>
          <w:sz w:val="20"/>
        </w:rPr>
        <w:t>§</w:t>
      </w:r>
    </w:p>
    <w:p>
      <w:pPr>
        <w:spacing w:before="14"/>
        <w:ind w:left="507" w:right="0" w:firstLine="0"/>
        <w:jc w:val="left"/>
        <w:rPr>
          <w:rFonts w:ascii="Times New Roman"/>
          <w:sz w:val="26"/>
        </w:rPr>
      </w:pPr>
      <w:r>
        <w:rPr>
          <w:rFonts w:ascii="Times New Roman"/>
          <w:sz w:val="26"/>
        </w:rPr>
        <w:t>65</w:t>
      </w:r>
      <w:r>
        <w:rPr>
          <w:rFonts w:ascii="Times New Roman"/>
          <w:spacing w:val="37"/>
          <w:sz w:val="26"/>
        </w:rPr>
        <w:t> </w:t>
      </w:r>
      <w:r>
        <w:rPr>
          <w:rFonts w:ascii="Times New Roman"/>
          <w:sz w:val="26"/>
        </w:rPr>
        <w:t>Rn.</w:t>
      </w:r>
      <w:r>
        <w:rPr>
          <w:rFonts w:ascii="Times New Roman"/>
          <w:spacing w:val="36"/>
          <w:sz w:val="26"/>
        </w:rPr>
        <w:t> </w:t>
      </w:r>
      <w:r>
        <w:rPr>
          <w:rFonts w:ascii="Times New Roman"/>
          <w:sz w:val="26"/>
        </w:rPr>
        <w:t>22;</w:t>
      </w:r>
      <w:r>
        <w:rPr>
          <w:rFonts w:ascii="Times New Roman"/>
          <w:spacing w:val="14"/>
          <w:sz w:val="26"/>
        </w:rPr>
        <w:t> </w:t>
      </w:r>
      <w:r>
        <w:rPr>
          <w:rFonts w:ascii="Times New Roman"/>
          <w:sz w:val="26"/>
        </w:rPr>
        <w:t>Nottbusch,</w:t>
      </w:r>
      <w:r>
        <w:rPr>
          <w:rFonts w:ascii="Times New Roman"/>
          <w:spacing w:val="38"/>
          <w:sz w:val="26"/>
        </w:rPr>
        <w:t> </w:t>
      </w:r>
      <w:r>
        <w:rPr>
          <w:rFonts w:ascii="Times New Roman"/>
          <w:sz w:val="26"/>
        </w:rPr>
        <w:t>Die</w:t>
      </w:r>
      <w:r>
        <w:rPr>
          <w:rFonts w:ascii="Times New Roman"/>
          <w:spacing w:val="43"/>
          <w:sz w:val="26"/>
        </w:rPr>
        <w:t> </w:t>
      </w:r>
      <w:r>
        <w:rPr>
          <w:rFonts w:ascii="Times New Roman"/>
          <w:sz w:val="26"/>
        </w:rPr>
        <w:t>Beiladung</w:t>
      </w:r>
      <w:r>
        <w:rPr>
          <w:rFonts w:ascii="Times New Roman"/>
          <w:spacing w:val="2"/>
          <w:sz w:val="26"/>
        </w:rPr>
        <w:t> </w:t>
      </w:r>
      <w:r>
        <w:rPr>
          <w:rFonts w:ascii="Times New Roman"/>
          <w:sz w:val="26"/>
        </w:rPr>
        <w:t>im</w:t>
      </w:r>
      <w:r>
        <w:rPr>
          <w:rFonts w:ascii="Times New Roman"/>
          <w:spacing w:val="39"/>
          <w:sz w:val="26"/>
        </w:rPr>
        <w:t> </w:t>
      </w:r>
      <w:r>
        <w:rPr>
          <w:rFonts w:ascii="Times New Roman"/>
          <w:sz w:val="26"/>
        </w:rPr>
        <w:t>Verwaltungsprozess,</w:t>
      </w:r>
      <w:r>
        <w:rPr>
          <w:rFonts w:ascii="Times New Roman"/>
          <w:spacing w:val="84"/>
          <w:sz w:val="26"/>
        </w:rPr>
        <w:t> </w:t>
      </w:r>
      <w:r>
        <w:rPr>
          <w:rFonts w:ascii="Times New Roman"/>
          <w:sz w:val="26"/>
        </w:rPr>
        <w:t>1995,</w:t>
      </w:r>
      <w:r>
        <w:rPr>
          <w:rFonts w:ascii="Times New Roman"/>
          <w:spacing w:val="90"/>
          <w:sz w:val="26"/>
        </w:rPr>
        <w:t> </w:t>
      </w:r>
      <w:r>
        <w:rPr>
          <w:rFonts w:ascii="Times New Roman"/>
          <w:sz w:val="26"/>
        </w:rPr>
        <w:t>S.</w:t>
      </w:r>
      <w:r>
        <w:rPr>
          <w:rFonts w:ascii="Times New Roman"/>
          <w:spacing w:val="92"/>
          <w:sz w:val="26"/>
        </w:rPr>
        <w:t> </w:t>
      </w:r>
      <w:r>
        <w:rPr>
          <w:rFonts w:ascii="Times New Roman"/>
          <w:sz w:val="26"/>
        </w:rPr>
        <w:t>97;</w:t>
      </w:r>
    </w:p>
    <w:p>
      <w:pPr>
        <w:pStyle w:val="Heading6"/>
        <w:spacing w:line="249" w:lineRule="auto" w:before="13"/>
        <w:ind w:left="501" w:right="568" w:hanging="8"/>
      </w:pPr>
      <w:r>
        <w:rPr/>
        <w:t>Schenke,</w:t>
      </w:r>
      <w:r>
        <w:rPr>
          <w:spacing w:val="1"/>
        </w:rPr>
        <w:t> </w:t>
      </w:r>
      <w:r>
        <w:rPr/>
        <w:t>Verwaltungsprozessrecht,</w:t>
      </w:r>
      <w:r>
        <w:rPr>
          <w:spacing w:val="1"/>
        </w:rPr>
        <w:t> </w:t>
      </w:r>
      <w:r>
        <w:rPr/>
        <w:t>9.</w:t>
      </w:r>
      <w:r>
        <w:rPr>
          <w:spacing w:val="1"/>
        </w:rPr>
        <w:t> </w:t>
      </w:r>
      <w:r>
        <w:rPr/>
        <w:t>Aufl.,</w:t>
      </w:r>
      <w:r>
        <w:rPr>
          <w:spacing w:val="66"/>
        </w:rPr>
        <w:t> </w:t>
      </w:r>
      <w:r>
        <w:rPr/>
        <w:t>2004,</w:t>
      </w:r>
      <w:r>
        <w:rPr>
          <w:spacing w:val="66"/>
        </w:rPr>
        <w:t> </w:t>
      </w:r>
      <w:r>
        <w:rPr/>
        <w:t>Rn.</w:t>
      </w:r>
      <w:r>
        <w:rPr>
          <w:spacing w:val="66"/>
        </w:rPr>
        <w:t> </w:t>
      </w:r>
      <w:r>
        <w:rPr/>
        <w:t>471;</w:t>
      </w:r>
      <w:r>
        <w:rPr>
          <w:spacing w:val="65"/>
        </w:rPr>
        <w:t> </w:t>
      </w:r>
      <w:r>
        <w:rPr/>
        <w:t>Schmidt-PreuB,</w:t>
      </w:r>
      <w:r>
        <w:rPr>
          <w:spacing w:val="-62"/>
        </w:rPr>
        <w:t> </w:t>
      </w:r>
      <w:r>
        <w:rPr/>
        <w:t>Koll idierende</w:t>
      </w:r>
      <w:r>
        <w:rPr>
          <w:spacing w:val="1"/>
        </w:rPr>
        <w:t> </w:t>
      </w:r>
      <w:r>
        <w:rPr/>
        <w:t>Pri vatinteressen</w:t>
      </w:r>
      <w:r>
        <w:rPr>
          <w:spacing w:val="1"/>
        </w:rPr>
        <w:t> </w:t>
      </w:r>
      <w:r>
        <w:rPr/>
        <w:t>im</w:t>
      </w:r>
      <w:r>
        <w:rPr>
          <w:spacing w:val="1"/>
        </w:rPr>
        <w:t> </w:t>
      </w:r>
      <w:r>
        <w:rPr/>
        <w:t>Verwal tungsrecht,</w:t>
      </w:r>
      <w:r>
        <w:rPr>
          <w:spacing w:val="1"/>
        </w:rPr>
        <w:t> </w:t>
      </w:r>
      <w:r>
        <w:rPr/>
        <w:t>1992,</w:t>
      </w:r>
      <w:r>
        <w:rPr>
          <w:spacing w:val="1"/>
        </w:rPr>
        <w:t> </w:t>
      </w:r>
      <w:r>
        <w:rPr/>
        <w:t>S.</w:t>
      </w:r>
      <w:r>
        <w:rPr>
          <w:spacing w:val="1"/>
        </w:rPr>
        <w:t> </w:t>
      </w:r>
      <w:r>
        <w:rPr/>
        <w:t>570</w:t>
      </w:r>
      <w:r>
        <w:rPr>
          <w:spacing w:val="1"/>
        </w:rPr>
        <w:t> </w:t>
      </w:r>
      <w:r>
        <w:rPr/>
        <w:t>ff.</w:t>
      </w:r>
      <w:r>
        <w:rPr>
          <w:spacing w:val="1"/>
        </w:rPr>
        <w:t> </w:t>
      </w:r>
      <w:r>
        <w:rPr/>
        <w:t>;</w:t>
      </w:r>
      <w:r>
        <w:rPr>
          <w:spacing w:val="1"/>
        </w:rPr>
        <w:t> </w:t>
      </w:r>
      <w:r>
        <w:rPr>
          <w:spacing w:val="-1"/>
        </w:rPr>
        <w:t>Wlirtenberger,</w:t>
      </w:r>
      <w:r>
        <w:rPr/>
        <w:t> </w:t>
      </w:r>
      <w:r>
        <w:rPr>
          <w:spacing w:val="-1"/>
        </w:rPr>
        <w:t>Verwal tungsprozessrecht,</w:t>
      </w:r>
      <w:r>
        <w:rPr/>
        <w:t> 2.</w:t>
      </w:r>
      <w:r>
        <w:rPr>
          <w:spacing w:val="1"/>
        </w:rPr>
        <w:t> </w:t>
      </w:r>
      <w:r>
        <w:rPr/>
        <w:t>Aufl.,</w:t>
      </w:r>
      <w:r>
        <w:rPr>
          <w:spacing w:val="1"/>
        </w:rPr>
        <w:t> </w:t>
      </w:r>
      <w:r>
        <w:rPr/>
        <w:t>2006,</w:t>
      </w:r>
      <w:r>
        <w:rPr>
          <w:spacing w:val="1"/>
        </w:rPr>
        <w:t> </w:t>
      </w:r>
      <w:r>
        <w:rPr/>
        <w:t>Rn.</w:t>
      </w:r>
      <w:r>
        <w:rPr>
          <w:spacing w:val="1"/>
        </w:rPr>
        <w:t> </w:t>
      </w:r>
      <w:r>
        <w:rPr/>
        <w:t>227;</w:t>
      </w:r>
      <w:r>
        <w:rPr>
          <w:spacing w:val="1"/>
        </w:rPr>
        <w:t> </w:t>
      </w:r>
      <w:r>
        <w:rPr/>
        <w:t>vgl.</w:t>
      </w:r>
      <w:r>
        <w:rPr>
          <w:spacing w:val="1"/>
        </w:rPr>
        <w:t> </w:t>
      </w:r>
      <w:r>
        <w:rPr/>
        <w:t>in der</w:t>
      </w:r>
      <w:r>
        <w:rPr>
          <w:spacing w:val="-62"/>
        </w:rPr>
        <w:t> </w:t>
      </w:r>
      <w:r>
        <w:rPr/>
        <w:t>Rechtsprechung:</w:t>
      </w:r>
      <w:r>
        <w:rPr>
          <w:spacing w:val="62"/>
        </w:rPr>
        <w:t> </w:t>
      </w:r>
      <w:r>
        <w:rPr/>
        <w:t>BVerwG</w:t>
      </w:r>
      <w:r>
        <w:rPr>
          <w:spacing w:val="6"/>
        </w:rPr>
        <w:t> </w:t>
      </w:r>
      <w:r>
        <w:rPr/>
        <w:t>NJW</w:t>
      </w:r>
      <w:r>
        <w:rPr>
          <w:spacing w:val="42"/>
        </w:rPr>
        <w:t> </w:t>
      </w:r>
      <w:r>
        <w:rPr/>
        <w:t>1993,</w:t>
      </w:r>
      <w:r>
        <w:rPr>
          <w:spacing w:val="48"/>
        </w:rPr>
        <w:t> </w:t>
      </w:r>
      <w:r>
        <w:rPr/>
        <w:t>79.</w:t>
      </w:r>
    </w:p>
    <w:p>
      <w:pPr>
        <w:spacing w:line="266" w:lineRule="auto" w:before="14"/>
        <w:ind w:left="504" w:right="553" w:hanging="206"/>
        <w:jc w:val="both"/>
        <w:rPr>
          <w:sz w:val="22"/>
        </w:rPr>
      </w:pPr>
      <w:r>
        <w:rPr>
          <w:rFonts w:ascii="Times New Roman" w:eastAsia="Times New Roman"/>
          <w:w w:val="105"/>
          <w:sz w:val="22"/>
          <w:vertAlign w:val="superscript"/>
        </w:rPr>
        <w:t>103</w:t>
      </w:r>
      <w:r>
        <w:rPr>
          <w:rFonts w:ascii="Times New Roman" w:eastAsia="Times New Roman"/>
          <w:spacing w:val="26"/>
          <w:w w:val="105"/>
          <w:sz w:val="22"/>
          <w:vertAlign w:val="baseline"/>
        </w:rPr>
        <w:t>  </w:t>
      </w:r>
      <w:r>
        <w:rPr>
          <w:w w:val="105"/>
          <w:sz w:val="22"/>
          <w:vertAlign w:val="baseline"/>
        </w:rPr>
        <w:t>晚近德國學說及實務上之見解，已大幅放寬必要訴訟參加有關判決效力之要件，非僅在撤銷訴訟與課予義務訴訟，即在一般給付之訴與確認之訴中，亦承認有必要訴</w:t>
      </w:r>
      <w:r>
        <w:rPr>
          <w:spacing w:val="1"/>
          <w:w w:val="105"/>
          <w:sz w:val="22"/>
          <w:vertAlign w:val="baseline"/>
        </w:rPr>
        <w:t> </w:t>
      </w:r>
      <w:r>
        <w:rPr>
          <w:w w:val="110"/>
          <w:sz w:val="22"/>
          <w:vertAlign w:val="baseline"/>
        </w:rPr>
        <w:t>訟參加之案例。</w:t>
      </w:r>
    </w:p>
    <w:p>
      <w:pPr>
        <w:spacing w:after="0" w:line="266" w:lineRule="auto"/>
        <w:jc w:val="both"/>
        <w:rPr>
          <w:sz w:val="22"/>
        </w:rPr>
        <w:sectPr>
          <w:pgSz w:w="11910" w:h="16840"/>
          <w:pgMar w:header="862" w:footer="1017" w:top="1060" w:bottom="1200" w:left="1120" w:right="1060"/>
        </w:sectPr>
      </w:pPr>
    </w:p>
    <w:p>
      <w:pPr>
        <w:pStyle w:val="BodyText"/>
        <w:rPr>
          <w:sz w:val="20"/>
        </w:rPr>
      </w:pPr>
    </w:p>
    <w:p>
      <w:pPr>
        <w:pStyle w:val="BodyText"/>
        <w:spacing w:before="9"/>
        <w:rPr>
          <w:sz w:val="15"/>
        </w:rPr>
      </w:pPr>
    </w:p>
    <w:p>
      <w:pPr>
        <w:pStyle w:val="ListParagraph"/>
        <w:numPr>
          <w:ilvl w:val="0"/>
          <w:numId w:val="3"/>
        </w:numPr>
        <w:tabs>
          <w:tab w:pos="1162" w:val="left" w:leader="none"/>
        </w:tabs>
        <w:spacing w:line="240" w:lineRule="auto" w:before="65" w:after="0"/>
        <w:ind w:left="1161" w:right="0" w:hanging="384"/>
        <w:jc w:val="left"/>
        <w:rPr>
          <w:sz w:val="25"/>
        </w:rPr>
      </w:pPr>
      <w:r>
        <w:rPr>
          <w:w w:val="110"/>
          <w:sz w:val="25"/>
        </w:rPr>
        <w:t>直接之第三人效杲</w:t>
      </w:r>
    </w:p>
    <w:p>
      <w:pPr>
        <w:pStyle w:val="BodyText"/>
        <w:spacing w:before="1"/>
        <w:rPr>
          <w:sz w:val="17"/>
        </w:rPr>
      </w:pPr>
    </w:p>
    <w:p>
      <w:pPr>
        <w:pStyle w:val="BodyText"/>
        <w:spacing w:line="328" w:lineRule="auto" w:before="65"/>
        <w:ind w:left="262" w:right="511" w:firstLine="598"/>
      </w:pPr>
      <w:r>
        <w:rPr>
          <w:w w:val="110"/>
        </w:rPr>
        <w:t>行政訴訟法上有關課予義務訴訟之必要參加問題，學說及實務上見</w:t>
      </w:r>
      <w:r>
        <w:rPr>
          <w:spacing w:val="1"/>
          <w:w w:val="110"/>
        </w:rPr>
        <w:t> </w:t>
      </w:r>
      <w:r>
        <w:rPr>
          <w:w w:val="110"/>
        </w:rPr>
        <w:t>解，向來不承認「原告提超課予義務訴訟，訴請判命被告機關對己作成投益處分時，因該處分將受不利益之第三人為必要訴訟參加人」之案例類型</w:t>
      </w:r>
      <w:r>
        <w:rPr>
          <w:spacing w:val="1"/>
          <w:w w:val="110"/>
        </w:rPr>
        <w:t> </w:t>
      </w:r>
      <w:r>
        <w:rPr>
          <w:rFonts w:ascii="Times New Roman" w:eastAsia="Times New Roman"/>
          <w:w w:val="50"/>
          <w:sz w:val="15"/>
        </w:rPr>
        <w:t>1</w:t>
      </w:r>
      <w:r>
        <w:rPr>
          <w:rFonts w:ascii="Times New Roman" w:eastAsia="Times New Roman"/>
          <w:spacing w:val="11"/>
          <w:w w:val="50"/>
          <w:sz w:val="15"/>
        </w:rPr>
        <w:t> </w:t>
      </w:r>
      <w:r>
        <w:rPr>
          <w:rFonts w:ascii="Times New Roman" w:eastAsia="Times New Roman"/>
          <w:w w:val="50"/>
          <w:sz w:val="15"/>
        </w:rPr>
        <w:t>04</w:t>
      </w:r>
      <w:r>
        <w:rPr>
          <w:rFonts w:ascii="Times New Roman" w:eastAsia="Times New Roman"/>
          <w:spacing w:val="7"/>
          <w:sz w:val="15"/>
        </w:rPr>
        <w:t>    </w:t>
      </w:r>
      <w:r>
        <w:rPr>
          <w:spacing w:val="-4"/>
          <w:w w:val="75"/>
        </w:rPr>
        <w:t>。 </w:t>
      </w:r>
      <w:r>
        <w:rPr>
          <w:spacing w:val="9"/>
        </w:rPr>
        <w:t>例如：原告</w:t>
      </w:r>
      <w:r>
        <w:rPr/>
        <w:t>（</w:t>
      </w:r>
      <w:r>
        <w:rPr>
          <w:spacing w:val="-1"/>
        </w:rPr>
        <w:t> 超造人</w:t>
      </w:r>
      <w:r>
        <w:rPr/>
        <w:t>）</w:t>
      </w:r>
      <w:r>
        <w:rPr>
          <w:spacing w:val="15"/>
        </w:rPr>
        <w:t>提超課予義務訴訟 </w:t>
      </w:r>
      <w:r>
        <w:rPr>
          <w:spacing w:val="-13"/>
          <w:w w:val="75"/>
        </w:rPr>
        <w:t>， </w:t>
      </w:r>
      <w:r>
        <w:rPr>
          <w:spacing w:val="16"/>
        </w:rPr>
        <w:t>請求核發建造執照 </w:t>
      </w:r>
      <w:r>
        <w:rPr>
          <w:spacing w:val="-8"/>
          <w:w w:val="75"/>
        </w:rPr>
        <w:t>， </w:t>
      </w:r>
      <w:r>
        <w:rPr/>
        <w:t>惟該</w:t>
      </w:r>
      <w:r>
        <w:rPr>
          <w:w w:val="110"/>
        </w:rPr>
        <w:t>建造執照之內容可能損及鄰人之権益時，該鄰人並非為必要參加人。</w:t>
      </w:r>
    </w:p>
    <w:p>
      <w:pPr>
        <w:spacing w:line="319" w:lineRule="auto" w:before="7"/>
        <w:ind w:left="306" w:right="514" w:firstLine="566"/>
        <w:jc w:val="left"/>
        <w:rPr>
          <w:rFonts w:ascii="Times New Roman" w:eastAsia="Times New Roman"/>
          <w:sz w:val="29"/>
        </w:rPr>
      </w:pPr>
      <w:r>
        <w:rPr>
          <w:w w:val="105"/>
          <w:sz w:val="25"/>
        </w:rPr>
        <w:t>上述情形，該第三人之所以並非必要參加人，主要原因在於課予義務</w:t>
      </w:r>
      <w:r>
        <w:rPr>
          <w:spacing w:val="75"/>
          <w:w w:val="105"/>
          <w:sz w:val="25"/>
        </w:rPr>
        <w:t> </w:t>
      </w:r>
      <w:r>
        <w:rPr>
          <w:spacing w:val="7"/>
          <w:sz w:val="25"/>
        </w:rPr>
        <w:t>訴訟之判決對其而言 並不具有「 直接之第三人效果」</w:t>
      </w:r>
      <w:r>
        <w:rPr>
          <w:rFonts w:ascii="Times New Roman" w:eastAsia="Times New Roman"/>
          <w:spacing w:val="-10"/>
          <w:sz w:val="29"/>
        </w:rPr>
        <w:t>( </w:t>
      </w:r>
      <w:r>
        <w:rPr>
          <w:rFonts w:ascii="Times New Roman" w:eastAsia="Times New Roman"/>
          <w:sz w:val="29"/>
        </w:rPr>
        <w:t>unmi</w:t>
      </w:r>
      <w:r>
        <w:rPr>
          <w:rFonts w:ascii="Times New Roman" w:eastAsia="Times New Roman"/>
          <w:spacing w:val="-23"/>
          <w:sz w:val="29"/>
        </w:rPr>
        <w:t> </w:t>
      </w:r>
      <w:r>
        <w:rPr>
          <w:rFonts w:ascii="Times New Roman" w:eastAsia="Times New Roman"/>
          <w:sz w:val="29"/>
        </w:rPr>
        <w:t>t</w:t>
      </w:r>
      <w:r>
        <w:rPr>
          <w:rFonts w:ascii="Times New Roman" w:eastAsia="Times New Roman"/>
          <w:spacing w:val="-14"/>
          <w:sz w:val="29"/>
        </w:rPr>
        <w:t> </w:t>
      </w:r>
      <w:r>
        <w:rPr>
          <w:rFonts w:ascii="Times New Roman" w:eastAsia="Times New Roman"/>
          <w:sz w:val="29"/>
        </w:rPr>
        <w:t>t</w:t>
      </w:r>
      <w:r>
        <w:rPr>
          <w:rFonts w:ascii="Times New Roman" w:eastAsia="Times New Roman"/>
          <w:spacing w:val="-27"/>
          <w:sz w:val="29"/>
        </w:rPr>
        <w:t> </w:t>
      </w:r>
      <w:r>
        <w:rPr>
          <w:rFonts w:ascii="Times New Roman" w:eastAsia="Times New Roman"/>
          <w:sz w:val="29"/>
        </w:rPr>
        <w:t>e</w:t>
      </w:r>
      <w:r>
        <w:rPr>
          <w:rFonts w:ascii="Times New Roman" w:eastAsia="Times New Roman"/>
          <w:spacing w:val="-32"/>
          <w:sz w:val="29"/>
        </w:rPr>
        <w:t> </w:t>
      </w:r>
      <w:r>
        <w:rPr>
          <w:rFonts w:ascii="Times New Roman" w:eastAsia="Times New Roman"/>
          <w:spacing w:val="12"/>
          <w:sz w:val="29"/>
        </w:rPr>
        <w:t>lbar</w:t>
      </w:r>
      <w:r>
        <w:rPr>
          <w:rFonts w:ascii="Times New Roman" w:eastAsia="Times New Roman"/>
          <w:spacing w:val="-34"/>
          <w:sz w:val="29"/>
        </w:rPr>
        <w:t> </w:t>
      </w:r>
      <w:r>
        <w:rPr>
          <w:rFonts w:ascii="Times New Roman" w:eastAsia="Times New Roman"/>
          <w:sz w:val="29"/>
        </w:rPr>
        <w:t>e</w:t>
      </w:r>
    </w:p>
    <w:p>
      <w:pPr>
        <w:pStyle w:val="BodyText"/>
        <w:spacing w:line="328" w:lineRule="auto"/>
        <w:ind w:left="298" w:right="512" w:firstLine="3"/>
      </w:pPr>
      <w:r>
        <w:rPr>
          <w:rFonts w:ascii="Times New Roman" w:eastAsia="Times New Roman"/>
          <w:w w:val="75"/>
          <w:sz w:val="29"/>
        </w:rPr>
        <w:t>Dr</w:t>
      </w:r>
      <w:r>
        <w:rPr>
          <w:rFonts w:ascii="Times New Roman" w:eastAsia="Times New Roman"/>
          <w:spacing w:val="9"/>
          <w:w w:val="75"/>
          <w:sz w:val="29"/>
        </w:rPr>
        <w:t> </w:t>
      </w:r>
      <w:r>
        <w:rPr>
          <w:rFonts w:ascii="Times New Roman" w:eastAsia="Times New Roman"/>
          <w:w w:val="75"/>
          <w:sz w:val="29"/>
        </w:rPr>
        <w:t>i</w:t>
      </w:r>
      <w:r>
        <w:rPr>
          <w:rFonts w:ascii="Times New Roman" w:eastAsia="Times New Roman"/>
          <w:spacing w:val="32"/>
          <w:w w:val="75"/>
          <w:sz w:val="29"/>
        </w:rPr>
        <w:t> </w:t>
      </w:r>
      <w:r>
        <w:rPr>
          <w:rFonts w:ascii="Times New Roman" w:eastAsia="Times New Roman"/>
          <w:w w:val="75"/>
          <w:sz w:val="29"/>
        </w:rPr>
        <w:t>t</w:t>
      </w:r>
      <w:r>
        <w:rPr>
          <w:rFonts w:ascii="Times New Roman" w:eastAsia="Times New Roman"/>
          <w:spacing w:val="42"/>
          <w:w w:val="75"/>
          <w:sz w:val="29"/>
        </w:rPr>
        <w:t> </w:t>
      </w:r>
      <w:r>
        <w:rPr>
          <w:rFonts w:ascii="Times New Roman" w:eastAsia="Times New Roman"/>
          <w:w w:val="75"/>
          <w:sz w:val="29"/>
        </w:rPr>
        <w:t>t</w:t>
      </w:r>
      <w:r>
        <w:rPr>
          <w:rFonts w:ascii="Times New Roman" w:eastAsia="Times New Roman"/>
          <w:spacing w:val="36"/>
          <w:w w:val="75"/>
          <w:sz w:val="29"/>
        </w:rPr>
        <w:t> </w:t>
      </w:r>
      <w:r>
        <w:rPr>
          <w:rFonts w:ascii="Times New Roman" w:eastAsia="Times New Roman"/>
          <w:sz w:val="29"/>
        </w:rPr>
        <w:t>bet</w:t>
      </w:r>
      <w:r>
        <w:rPr>
          <w:rFonts w:ascii="Times New Roman" w:eastAsia="Times New Roman"/>
          <w:spacing w:val="-19"/>
          <w:sz w:val="29"/>
        </w:rPr>
        <w:t> </w:t>
      </w:r>
      <w:r>
        <w:rPr>
          <w:rFonts w:ascii="Times New Roman" w:eastAsia="Times New Roman"/>
          <w:spacing w:val="12"/>
          <w:sz w:val="29"/>
        </w:rPr>
        <w:t>rof</w:t>
      </w:r>
      <w:r>
        <w:rPr>
          <w:rFonts w:ascii="Times New Roman" w:eastAsia="Times New Roman"/>
          <w:spacing w:val="-5"/>
          <w:sz w:val="29"/>
        </w:rPr>
        <w:t> </w:t>
      </w:r>
      <w:r>
        <w:rPr>
          <w:rFonts w:ascii="Times New Roman" w:eastAsia="Times New Roman"/>
          <w:sz w:val="29"/>
        </w:rPr>
        <w:t>f</w:t>
      </w:r>
      <w:r>
        <w:rPr>
          <w:rFonts w:ascii="Times New Roman" w:eastAsia="Times New Roman"/>
          <w:spacing w:val="-20"/>
          <w:sz w:val="29"/>
        </w:rPr>
        <w:t> </w:t>
      </w:r>
      <w:r>
        <w:rPr>
          <w:rFonts w:ascii="Times New Roman" w:eastAsia="Times New Roman"/>
          <w:sz w:val="29"/>
        </w:rPr>
        <w:t>enhe</w:t>
      </w:r>
      <w:r>
        <w:rPr>
          <w:rFonts w:ascii="Times New Roman" w:eastAsia="Times New Roman"/>
          <w:spacing w:val="84"/>
          <w:sz w:val="29"/>
        </w:rPr>
        <w:t> </w:t>
      </w:r>
      <w:r>
        <w:rPr>
          <w:rFonts w:ascii="Times New Roman" w:eastAsia="Times New Roman"/>
          <w:sz w:val="29"/>
        </w:rPr>
        <w:t>i</w:t>
      </w:r>
      <w:r>
        <w:rPr>
          <w:rFonts w:ascii="Times New Roman" w:eastAsia="Times New Roman"/>
          <w:spacing w:val="-31"/>
          <w:sz w:val="29"/>
        </w:rPr>
        <w:t> </w:t>
      </w:r>
      <w:r>
        <w:rPr>
          <w:rFonts w:ascii="Times New Roman" w:eastAsia="Times New Roman"/>
          <w:sz w:val="29"/>
        </w:rPr>
        <w:t>t</w:t>
      </w:r>
      <w:r>
        <w:rPr>
          <w:rFonts w:ascii="Times New Roman" w:eastAsia="Times New Roman"/>
          <w:spacing w:val="5"/>
          <w:sz w:val="29"/>
        </w:rPr>
        <w:t> ) </w:t>
      </w:r>
      <w:r>
        <w:rPr>
          <w:spacing w:val="-10"/>
        </w:rPr>
        <w:t>。換言之 </w:t>
      </w:r>
      <w:r>
        <w:rPr>
          <w:spacing w:val="-23"/>
          <w:w w:val="75"/>
        </w:rPr>
        <w:t>， </w:t>
      </w:r>
      <w:r>
        <w:rPr>
          <w:spacing w:val="11"/>
        </w:rPr>
        <w:t>即其並非原告訴之磬明所請行政處分之</w:t>
      </w:r>
      <w:r>
        <w:rPr/>
        <w:t>相對人。蓋原告訴靖行政法院命原處分機關作成陞遷處分，其本人為所請    </w:t>
      </w:r>
      <w:r>
        <w:rPr>
          <w:spacing w:val="46"/>
        </w:rPr>
        <w:t> </w:t>
      </w:r>
      <w:r>
        <w:rPr/>
        <w:t>行政處分之相對人，固無疑間。該處分縱然實際上可能損及第三人之權      </w:t>
      </w:r>
      <w:r>
        <w:rPr>
          <w:spacing w:val="46"/>
        </w:rPr>
        <w:t> </w:t>
      </w:r>
      <w:r>
        <w:rPr/>
        <w:t>益，若謂該第三人亦為該處分之相對人，不啻挂原告請求作成陞遷處分之    </w:t>
      </w:r>
      <w:r>
        <w:rPr>
          <w:spacing w:val="46"/>
        </w:rPr>
        <w:t> </w:t>
      </w:r>
      <w:r>
        <w:rPr>
          <w:spacing w:val="2"/>
        </w:rPr>
        <w:t>目 的在於損害第三 人之權益 </w:t>
      </w:r>
      <w:r>
        <w:rPr>
          <w:spacing w:val="-12"/>
          <w:w w:val="75"/>
        </w:rPr>
        <w:t>， </w:t>
      </w:r>
      <w:r>
        <w:rPr>
          <w:spacing w:val="13"/>
        </w:rPr>
        <w:t>此一說法在法律上似無存在之空間</w:t>
      </w:r>
      <w:r>
        <w:rPr>
          <w:rFonts w:ascii="Times New Roman" w:eastAsia="Times New Roman"/>
          <w:w w:val="75"/>
          <w:sz w:val="15"/>
        </w:rPr>
        <w:t>1</w:t>
      </w:r>
      <w:r>
        <w:rPr>
          <w:rFonts w:ascii="Times New Roman" w:eastAsia="Times New Roman"/>
          <w:spacing w:val="13"/>
          <w:w w:val="75"/>
          <w:sz w:val="15"/>
        </w:rPr>
        <w:t> </w:t>
      </w:r>
      <w:r>
        <w:rPr>
          <w:rFonts w:ascii="Times New Roman" w:eastAsia="Times New Roman"/>
          <w:w w:val="75"/>
          <w:sz w:val="15"/>
        </w:rPr>
        <w:t>05</w:t>
      </w:r>
      <w:r>
        <w:rPr>
          <w:rFonts w:ascii="Times New Roman" w:eastAsia="Times New Roman"/>
          <w:spacing w:val="21"/>
          <w:sz w:val="15"/>
        </w:rPr>
        <w:t>   </w:t>
      </w:r>
      <w:r>
        <w:rPr>
          <w:w w:val="70"/>
        </w:rPr>
        <w:t>。</w:t>
      </w:r>
      <w:r>
        <w:rPr>
          <w:spacing w:val="87"/>
        </w:rPr>
        <w:t> </w:t>
      </w:r>
      <w:r>
        <w:rPr>
          <w:w w:val="70"/>
        </w:rPr>
        <w:t>因</w:t>
      </w:r>
      <w:r>
        <w:rPr/>
        <w:t>此，原告提超課予義務訴訟，訴請判命被告機關對己作成授益處分時，因     該處分將受不利益之第三人或可經行政法院之許可而參加訴訟（</w:t>
      </w:r>
      <w:r>
        <w:rPr>
          <w:spacing w:val="4"/>
        </w:rPr>
        <w:t>普通參加     人</w:t>
      </w:r>
      <w:r>
        <w:rPr/>
        <w:t>），惟其並非必要訴訟參加人。</w:t>
      </w:r>
    </w:p>
    <w:p>
      <w:pPr>
        <w:pStyle w:val="ListParagraph"/>
        <w:numPr>
          <w:ilvl w:val="0"/>
          <w:numId w:val="3"/>
        </w:numPr>
        <w:tabs>
          <w:tab w:pos="1153" w:val="left" w:leader="none"/>
        </w:tabs>
        <w:spacing w:line="240" w:lineRule="auto" w:before="94" w:after="0"/>
        <w:ind w:left="1152" w:right="0" w:hanging="375"/>
        <w:jc w:val="left"/>
        <w:rPr>
          <w:sz w:val="24"/>
        </w:rPr>
      </w:pPr>
      <w:r>
        <w:rPr>
          <w:w w:val="105"/>
          <w:sz w:val="24"/>
        </w:rPr>
        <w:t>小結</w:t>
      </w:r>
    </w:p>
    <w:p>
      <w:pPr>
        <w:pStyle w:val="BodyText"/>
        <w:spacing w:before="6"/>
        <w:rPr>
          <w:sz w:val="17"/>
        </w:rPr>
      </w:pPr>
    </w:p>
    <w:p>
      <w:pPr>
        <w:pStyle w:val="BodyText"/>
        <w:spacing w:line="328" w:lineRule="auto" w:before="66"/>
        <w:ind w:left="298" w:right="511" w:firstLine="577"/>
        <w:jc w:val="both"/>
      </w:pPr>
      <w:r>
        <w:rPr>
          <w:w w:val="110"/>
        </w:rPr>
        <w:t>分析上述行政訴訟法上必要參加之要件，在公務人員之積極競爭者爭訟中，復審人請求機關對其作成陞任、陞遷、留任等授益處分，其情形與行政訴訟法上必要參加之要件並不相符。</w:t>
      </w:r>
    </w:p>
    <w:p>
      <w:pPr>
        <w:pStyle w:val="BodyText"/>
        <w:spacing w:line="324" w:lineRule="auto" w:before="5"/>
        <w:ind w:left="305" w:right="525" w:firstLine="562"/>
      </w:pPr>
      <w:r>
        <w:rPr>
          <w:w w:val="105"/>
        </w:rPr>
        <w:t>詳言之，保訓會對於積極競爭者爭訟審理之結果，如認為復審有理  </w:t>
      </w:r>
      <w:r>
        <w:rPr>
          <w:spacing w:val="70"/>
          <w:w w:val="105"/>
        </w:rPr>
        <w:t> </w:t>
      </w:r>
      <w:r>
        <w:rPr>
          <w:w w:val="105"/>
        </w:rPr>
        <w:t>由，將命機關對復審人作成投益處分。該課予義務之復審決定具有「類似 </w:t>
      </w:r>
      <w:r>
        <w:rPr>
          <w:spacing w:val="1"/>
          <w:w w:val="105"/>
        </w:rPr>
        <w:t> </w:t>
      </w:r>
      <w:r>
        <w:rPr>
          <w:spacing w:val="17"/>
          <w:w w:val="95"/>
        </w:rPr>
        <w:t>之形成效力」</w:t>
      </w:r>
      <w:r>
        <w:rPr>
          <w:rFonts w:ascii="Times New Roman" w:eastAsia="Times New Roman"/>
          <w:spacing w:val="5"/>
          <w:w w:val="95"/>
          <w:sz w:val="29"/>
        </w:rPr>
        <w:t>( </w:t>
      </w:r>
      <w:r>
        <w:rPr>
          <w:rFonts w:ascii="Times New Roman" w:eastAsia="Times New Roman"/>
          <w:w w:val="95"/>
          <w:sz w:val="29"/>
        </w:rPr>
        <w:t>Quas</w:t>
      </w:r>
      <w:r>
        <w:rPr>
          <w:rFonts w:ascii="Times New Roman" w:eastAsia="Times New Roman"/>
          <w:spacing w:val="48"/>
          <w:w w:val="95"/>
          <w:sz w:val="29"/>
        </w:rPr>
        <w:t> </w:t>
      </w:r>
      <w:r>
        <w:rPr>
          <w:rFonts w:ascii="Times New Roman" w:eastAsia="Times New Roman"/>
          <w:spacing w:val="12"/>
          <w:w w:val="95"/>
          <w:sz w:val="29"/>
        </w:rPr>
        <w:t>i</w:t>
      </w:r>
      <w:r>
        <w:rPr>
          <w:rFonts w:ascii="Times New Roman" w:eastAsia="Times New Roman"/>
          <w:spacing w:val="-9"/>
          <w:w w:val="95"/>
          <w:sz w:val="29"/>
        </w:rPr>
        <w:t>- </w:t>
      </w:r>
      <w:r>
        <w:rPr>
          <w:rFonts w:ascii="Times New Roman" w:eastAsia="Times New Roman"/>
          <w:w w:val="95"/>
          <w:sz w:val="29"/>
        </w:rPr>
        <w:t>Ges</w:t>
      </w:r>
      <w:r>
        <w:rPr>
          <w:rFonts w:ascii="Times New Roman" w:eastAsia="Times New Roman"/>
          <w:spacing w:val="52"/>
          <w:w w:val="95"/>
          <w:sz w:val="29"/>
        </w:rPr>
        <w:t> </w:t>
      </w:r>
      <w:r>
        <w:rPr>
          <w:rFonts w:ascii="Times New Roman" w:eastAsia="Times New Roman"/>
          <w:w w:val="95"/>
          <w:sz w:val="29"/>
        </w:rPr>
        <w:t>t</w:t>
      </w:r>
      <w:r>
        <w:rPr>
          <w:rFonts w:ascii="Times New Roman" w:eastAsia="Times New Roman"/>
          <w:spacing w:val="21"/>
          <w:w w:val="95"/>
          <w:sz w:val="29"/>
        </w:rPr>
        <w:t> </w:t>
      </w:r>
      <w:r>
        <w:rPr>
          <w:rFonts w:ascii="Times New Roman" w:eastAsia="Times New Roman"/>
          <w:spacing w:val="15"/>
          <w:w w:val="95"/>
          <w:sz w:val="29"/>
        </w:rPr>
        <w:t>al</w:t>
      </w:r>
      <w:r>
        <w:rPr>
          <w:rFonts w:ascii="Times New Roman" w:eastAsia="Times New Roman"/>
          <w:spacing w:val="-18"/>
          <w:w w:val="95"/>
          <w:sz w:val="29"/>
        </w:rPr>
        <w:t> </w:t>
      </w:r>
      <w:r>
        <w:rPr>
          <w:rFonts w:ascii="Times New Roman" w:eastAsia="Times New Roman"/>
          <w:w w:val="95"/>
          <w:sz w:val="29"/>
        </w:rPr>
        <w:t>t</w:t>
      </w:r>
      <w:r>
        <w:rPr>
          <w:rFonts w:ascii="Times New Roman" w:eastAsia="Times New Roman"/>
          <w:spacing w:val="-10"/>
          <w:w w:val="95"/>
          <w:sz w:val="29"/>
        </w:rPr>
        <w:t> </w:t>
      </w:r>
      <w:r>
        <w:rPr>
          <w:rFonts w:ascii="Times New Roman" w:eastAsia="Times New Roman"/>
          <w:w w:val="95"/>
          <w:sz w:val="29"/>
        </w:rPr>
        <w:t>ungswi</w:t>
      </w:r>
      <w:r>
        <w:rPr>
          <w:rFonts w:ascii="Times New Roman" w:eastAsia="Times New Roman"/>
          <w:spacing w:val="-11"/>
          <w:w w:val="95"/>
          <w:sz w:val="29"/>
        </w:rPr>
        <w:t> </w:t>
      </w:r>
      <w:r>
        <w:rPr>
          <w:rFonts w:ascii="Times New Roman" w:eastAsia="Times New Roman"/>
          <w:w w:val="95"/>
          <w:sz w:val="29"/>
        </w:rPr>
        <w:t>r</w:t>
      </w:r>
      <w:r>
        <w:rPr>
          <w:rFonts w:ascii="Times New Roman" w:eastAsia="Times New Roman"/>
          <w:spacing w:val="-18"/>
          <w:w w:val="95"/>
          <w:sz w:val="29"/>
        </w:rPr>
        <w:t> </w:t>
      </w:r>
      <w:r>
        <w:rPr>
          <w:rFonts w:ascii="Times New Roman" w:eastAsia="Times New Roman"/>
          <w:w w:val="95"/>
          <w:sz w:val="29"/>
        </w:rPr>
        <w:t>kung</w:t>
      </w:r>
      <w:r>
        <w:rPr>
          <w:rFonts w:ascii="Times New Roman" w:eastAsia="Times New Roman"/>
          <w:spacing w:val="1"/>
          <w:w w:val="95"/>
          <w:sz w:val="29"/>
        </w:rPr>
        <w:t> ) </w:t>
      </w:r>
      <w:r>
        <w:rPr>
          <w:spacing w:val="3"/>
          <w:w w:val="95"/>
        </w:rPr>
        <w:t>， 第三人</w:t>
      </w:r>
      <w:r>
        <w:rPr>
          <w:w w:val="95"/>
        </w:rPr>
        <w:t>（</w:t>
      </w:r>
      <w:r>
        <w:rPr>
          <w:spacing w:val="11"/>
          <w:w w:val="95"/>
        </w:rPr>
        <w:t>競爭者</w:t>
      </w:r>
      <w:r>
        <w:rPr>
          <w:w w:val="95"/>
        </w:rPr>
        <w:t>）雖未參加</w:t>
      </w:r>
      <w:r>
        <w:rPr>
          <w:w w:val="105"/>
        </w:rPr>
        <w:t>復審，可謂亦為復審決定效力所拘束。惟復審人請求保訓會命原處分機關</w:t>
      </w:r>
      <w:r>
        <w:rPr>
          <w:spacing w:val="107"/>
          <w:w w:val="105"/>
        </w:rPr>
        <w:t> </w:t>
      </w:r>
      <w:r>
        <w:rPr>
          <w:w w:val="105"/>
        </w:rPr>
        <w:t>對其作成陞任、陞遷丶留任等授益處分，其本人為所請行政處分之相對人，</w:t>
      </w:r>
    </w:p>
    <w:p>
      <w:pPr>
        <w:pStyle w:val="BodyText"/>
        <w:spacing w:before="4"/>
        <w:rPr>
          <w:sz w:val="12"/>
        </w:rPr>
      </w:pPr>
      <w:r>
        <w:rPr/>
        <w:pict>
          <v:shape style="position:absolute;margin-left:95.174004pt;margin-top:10.286596pt;width:144.25pt;height:.1pt;mso-position-horizontal-relative:page;mso-position-vertical-relative:paragraph;z-index:-15604736;mso-wrap-distance-left:0;mso-wrap-distance-right:0" coordorigin="1903,206" coordsize="2885,0" path="m1903,206l4788,206e" filled="false" stroked="true" strokeweight=".720821pt" strokecolor="#000000">
            <v:path arrowok="t"/>
            <v:stroke dashstyle="solid"/>
            <w10:wrap type="topAndBottom"/>
          </v:shape>
        </w:pict>
      </w:r>
    </w:p>
    <w:p>
      <w:pPr>
        <w:pStyle w:val="BodyText"/>
        <w:spacing w:before="4"/>
        <w:rPr>
          <w:sz w:val="8"/>
        </w:rPr>
      </w:pPr>
    </w:p>
    <w:p>
      <w:pPr>
        <w:pStyle w:val="Heading6"/>
        <w:spacing w:line="247" w:lineRule="auto"/>
        <w:ind w:left="517" w:right="526" w:hanging="219"/>
        <w:jc w:val="both"/>
      </w:pPr>
      <w:r>
        <w:rPr>
          <w:w w:val="95"/>
          <w:position w:val="9"/>
          <w:sz w:val="13"/>
        </w:rPr>
        <w:t>104</w:t>
      </w:r>
      <w:r>
        <w:rPr>
          <w:spacing w:val="1"/>
          <w:w w:val="95"/>
          <w:position w:val="9"/>
          <w:sz w:val="13"/>
        </w:rPr>
        <w:t> </w:t>
      </w:r>
      <w:r>
        <w:rPr>
          <w:w w:val="95"/>
        </w:rPr>
        <w:t>BVerwG</w:t>
      </w:r>
      <w:r>
        <w:rPr>
          <w:spacing w:val="1"/>
          <w:w w:val="95"/>
        </w:rPr>
        <w:t> </w:t>
      </w:r>
      <w:r>
        <w:rPr>
          <w:w w:val="95"/>
        </w:rPr>
        <w:t>DOV</w:t>
      </w:r>
      <w:r>
        <w:rPr>
          <w:spacing w:val="1"/>
          <w:w w:val="95"/>
        </w:rPr>
        <w:t> </w:t>
      </w:r>
      <w:r>
        <w:rPr>
          <w:w w:val="95"/>
        </w:rPr>
        <w:t>1975,</w:t>
      </w:r>
      <w:r>
        <w:rPr>
          <w:spacing w:val="1"/>
          <w:w w:val="95"/>
        </w:rPr>
        <w:t> </w:t>
      </w:r>
      <w:r>
        <w:rPr>
          <w:w w:val="95"/>
        </w:rPr>
        <w:t>99;</w:t>
      </w:r>
      <w:r>
        <w:rPr>
          <w:spacing w:val="1"/>
          <w:w w:val="95"/>
        </w:rPr>
        <w:t> </w:t>
      </w:r>
      <w:r>
        <w:rPr>
          <w:w w:val="95"/>
        </w:rPr>
        <w:t>BVerwG</w:t>
      </w:r>
      <w:r>
        <w:rPr>
          <w:spacing w:val="1"/>
          <w:w w:val="95"/>
        </w:rPr>
        <w:t> </w:t>
      </w:r>
      <w:r>
        <w:rPr>
          <w:w w:val="95"/>
        </w:rPr>
        <w:t>NJW</w:t>
      </w:r>
      <w:r>
        <w:rPr>
          <w:spacing w:val="1"/>
          <w:w w:val="95"/>
        </w:rPr>
        <w:t> </w:t>
      </w:r>
      <w:r>
        <w:rPr>
          <w:w w:val="95"/>
        </w:rPr>
        <w:t>1978,</w:t>
      </w:r>
      <w:r>
        <w:rPr>
          <w:spacing w:val="1"/>
          <w:w w:val="95"/>
        </w:rPr>
        <w:t> </w:t>
      </w:r>
      <w:r>
        <w:rPr>
          <w:w w:val="95"/>
        </w:rPr>
        <w:t>64;</w:t>
      </w:r>
      <w:r>
        <w:rPr>
          <w:spacing w:val="1"/>
          <w:w w:val="95"/>
        </w:rPr>
        <w:t> </w:t>
      </w:r>
      <w:r>
        <w:rPr>
          <w:w w:val="95"/>
        </w:rPr>
        <w:t>zustimmend</w:t>
      </w:r>
      <w:r>
        <w:rPr>
          <w:spacing w:val="1"/>
          <w:w w:val="95"/>
        </w:rPr>
        <w:t> </w:t>
      </w:r>
      <w:r>
        <w:rPr>
          <w:w w:val="95"/>
        </w:rPr>
        <w:t>Konrad,</w:t>
      </w:r>
      <w:r>
        <w:rPr>
          <w:spacing w:val="1"/>
          <w:w w:val="95"/>
        </w:rPr>
        <w:t> </w:t>
      </w:r>
      <w:r>
        <w:rPr>
          <w:w w:val="95"/>
        </w:rPr>
        <w:t>Die</w:t>
      </w:r>
      <w:r>
        <w:rPr>
          <w:spacing w:val="1"/>
          <w:w w:val="95"/>
        </w:rPr>
        <w:t> </w:t>
      </w:r>
      <w:r>
        <w:rPr/>
        <w:t>Notwendigkeit</w:t>
      </w:r>
      <w:r>
        <w:rPr>
          <w:spacing w:val="26"/>
        </w:rPr>
        <w:t> </w:t>
      </w:r>
      <w:r>
        <w:rPr/>
        <w:t>der</w:t>
      </w:r>
      <w:r>
        <w:rPr>
          <w:spacing w:val="14"/>
        </w:rPr>
        <w:t> </w:t>
      </w:r>
      <w:r>
        <w:rPr/>
        <w:t>Beiladung</w:t>
      </w:r>
      <w:r>
        <w:rPr>
          <w:spacing w:val="26"/>
        </w:rPr>
        <w:t> </w:t>
      </w:r>
      <w:r>
        <w:rPr/>
        <w:t>im</w:t>
      </w:r>
      <w:r>
        <w:rPr>
          <w:spacing w:val="7"/>
        </w:rPr>
        <w:t> </w:t>
      </w:r>
      <w:r>
        <w:rPr/>
        <w:t>Verwaltungsprozess,</w:t>
      </w:r>
      <w:r>
        <w:rPr>
          <w:spacing w:val="50"/>
        </w:rPr>
        <w:t> </w:t>
      </w:r>
      <w:r>
        <w:rPr/>
        <w:t>BayVBl</w:t>
      </w:r>
      <w:r>
        <w:rPr>
          <w:spacing w:val="29"/>
        </w:rPr>
        <w:t> </w:t>
      </w:r>
      <w:r>
        <w:rPr/>
        <w:t>1982,</w:t>
      </w:r>
      <w:r>
        <w:rPr>
          <w:spacing w:val="62"/>
        </w:rPr>
        <w:t> </w:t>
      </w:r>
      <w:r>
        <w:rPr/>
        <w:t>481</w:t>
      </w:r>
      <w:r>
        <w:rPr>
          <w:spacing w:val="20"/>
        </w:rPr>
        <w:t> </w:t>
      </w:r>
      <w:r>
        <w:rPr/>
        <w:t>(520).</w:t>
      </w:r>
    </w:p>
    <w:p>
      <w:pPr>
        <w:spacing w:line="247" w:lineRule="auto" w:before="9"/>
        <w:ind w:left="493" w:right="477" w:hanging="195"/>
        <w:jc w:val="both"/>
        <w:rPr>
          <w:sz w:val="21"/>
        </w:rPr>
      </w:pPr>
      <w:r>
        <w:rPr>
          <w:rFonts w:ascii="Times New Roman" w:hAnsi="Times New Roman" w:eastAsia="Times New Roman"/>
          <w:w w:val="90"/>
          <w:position w:val="8"/>
          <w:sz w:val="13"/>
        </w:rPr>
        <w:t>105</w:t>
      </w:r>
      <w:r>
        <w:rPr>
          <w:rFonts w:ascii="Times New Roman" w:hAnsi="Times New Roman" w:eastAsia="Times New Roman"/>
          <w:spacing w:val="26"/>
          <w:position w:val="8"/>
          <w:sz w:val="13"/>
        </w:rPr>
        <w:t>  </w:t>
      </w:r>
      <w:r>
        <w:rPr>
          <w:rFonts w:ascii="Times New Roman" w:hAnsi="Times New Roman" w:eastAsia="Times New Roman"/>
          <w:w w:val="90"/>
          <w:sz w:val="26"/>
        </w:rPr>
        <w:t>Konrad,</w:t>
      </w:r>
      <w:r>
        <w:rPr>
          <w:rFonts w:ascii="Times New Roman" w:hAnsi="Times New Roman" w:eastAsia="Times New Roman"/>
          <w:spacing w:val="110"/>
          <w:sz w:val="26"/>
        </w:rPr>
        <w:t> </w:t>
      </w:r>
      <w:r>
        <w:rPr>
          <w:rFonts w:ascii="Times New Roman" w:hAnsi="Times New Roman" w:eastAsia="Times New Roman"/>
          <w:w w:val="90"/>
          <w:sz w:val="26"/>
        </w:rPr>
        <w:t>Die Notwendigkei t</w:t>
      </w:r>
      <w:r>
        <w:rPr>
          <w:rFonts w:ascii="Times New Roman" w:hAnsi="Times New Roman" w:eastAsia="Times New Roman"/>
          <w:spacing w:val="52"/>
          <w:sz w:val="26"/>
        </w:rPr>
        <w:t> </w:t>
      </w:r>
      <w:r>
        <w:rPr>
          <w:rFonts w:ascii="Times New Roman" w:hAnsi="Times New Roman" w:eastAsia="Times New Roman"/>
          <w:w w:val="90"/>
          <w:sz w:val="26"/>
        </w:rPr>
        <w:t>der Bei ladung</w:t>
      </w:r>
      <w:r>
        <w:rPr>
          <w:rFonts w:ascii="Times New Roman" w:hAnsi="Times New Roman" w:eastAsia="Times New Roman"/>
          <w:spacing w:val="52"/>
          <w:sz w:val="26"/>
        </w:rPr>
        <w:t> </w:t>
      </w:r>
      <w:r>
        <w:rPr>
          <w:rFonts w:ascii="Times New Roman" w:hAnsi="Times New Roman" w:eastAsia="Times New Roman"/>
          <w:w w:val="90"/>
          <w:sz w:val="26"/>
        </w:rPr>
        <w:t>im Verwal tungsprozess,</w:t>
      </w:r>
      <w:r>
        <w:rPr>
          <w:rFonts w:ascii="Times New Roman" w:hAnsi="Times New Roman" w:eastAsia="Times New Roman"/>
          <w:spacing w:val="111"/>
          <w:sz w:val="26"/>
        </w:rPr>
        <w:t> </w:t>
      </w:r>
      <w:r>
        <w:rPr>
          <w:rFonts w:ascii="Times New Roman" w:hAnsi="Times New Roman" w:eastAsia="Times New Roman"/>
          <w:w w:val="90"/>
          <w:sz w:val="26"/>
        </w:rPr>
        <w:t>BayVBl</w:t>
      </w:r>
      <w:r>
        <w:rPr>
          <w:rFonts w:ascii="Times New Roman" w:hAnsi="Times New Roman" w:eastAsia="Times New Roman"/>
          <w:spacing w:val="52"/>
          <w:sz w:val="26"/>
        </w:rPr>
        <w:t> </w:t>
      </w:r>
      <w:r>
        <w:rPr>
          <w:rFonts w:ascii="Times New Roman" w:hAnsi="Times New Roman" w:eastAsia="Times New Roman"/>
          <w:w w:val="90"/>
          <w:sz w:val="26"/>
        </w:rPr>
        <w:t>1982,</w:t>
      </w:r>
      <w:r>
        <w:rPr>
          <w:rFonts w:ascii="Times New Roman" w:hAnsi="Times New Roman" w:eastAsia="Times New Roman"/>
          <w:spacing w:val="1"/>
          <w:w w:val="90"/>
          <w:sz w:val="26"/>
        </w:rPr>
        <w:t> </w:t>
      </w:r>
      <w:r>
        <w:rPr>
          <w:rFonts w:ascii="Times New Roman" w:hAnsi="Times New Roman" w:eastAsia="Times New Roman"/>
          <w:sz w:val="26"/>
        </w:rPr>
        <w:t>481 (520); vgl. auch Bier, in: Schoch/Schmidt-A13mann/Pietzner, VwGO, Stand:</w:t>
      </w:r>
      <w:r>
        <w:rPr>
          <w:rFonts w:ascii="Times New Roman" w:hAnsi="Times New Roman" w:eastAsia="Times New Roman"/>
          <w:spacing w:val="1"/>
          <w:sz w:val="26"/>
        </w:rPr>
        <w:t> </w:t>
      </w:r>
      <w:r>
        <w:rPr>
          <w:rFonts w:ascii="Times New Roman" w:hAnsi="Times New Roman" w:eastAsia="Times New Roman"/>
          <w:w w:val="95"/>
          <w:sz w:val="26"/>
        </w:rPr>
        <w:t>September</w:t>
      </w:r>
      <w:r>
        <w:rPr>
          <w:rFonts w:ascii="Times New Roman" w:hAnsi="Times New Roman" w:eastAsia="Times New Roman"/>
          <w:spacing w:val="32"/>
          <w:w w:val="95"/>
          <w:sz w:val="26"/>
        </w:rPr>
        <w:t> </w:t>
      </w:r>
      <w:r>
        <w:rPr>
          <w:rFonts w:ascii="Times New Roman" w:hAnsi="Times New Roman" w:eastAsia="Times New Roman"/>
          <w:w w:val="95"/>
          <w:sz w:val="26"/>
        </w:rPr>
        <w:t>2003,</w:t>
      </w:r>
      <w:r>
        <w:rPr>
          <w:rFonts w:ascii="Times New Roman" w:hAnsi="Times New Roman" w:eastAsia="Times New Roman"/>
          <w:spacing w:val="11"/>
          <w:w w:val="95"/>
          <w:sz w:val="26"/>
        </w:rPr>
        <w:t> </w:t>
      </w:r>
      <w:r>
        <w:rPr>
          <w:rFonts w:ascii="Arial" w:hAnsi="Arial" w:eastAsia="Arial"/>
          <w:w w:val="95"/>
          <w:sz w:val="20"/>
        </w:rPr>
        <w:t>§</w:t>
      </w:r>
      <w:r>
        <w:rPr>
          <w:rFonts w:ascii="Arial" w:hAnsi="Arial" w:eastAsia="Arial"/>
          <w:spacing w:val="45"/>
          <w:w w:val="95"/>
          <w:sz w:val="20"/>
        </w:rPr>
        <w:t> </w:t>
      </w:r>
      <w:r>
        <w:rPr>
          <w:rFonts w:ascii="Times New Roman" w:hAnsi="Times New Roman" w:eastAsia="Times New Roman"/>
          <w:w w:val="95"/>
          <w:sz w:val="26"/>
        </w:rPr>
        <w:t>65</w:t>
      </w:r>
      <w:r>
        <w:rPr>
          <w:rFonts w:ascii="Times New Roman" w:hAnsi="Times New Roman" w:eastAsia="Times New Roman"/>
          <w:spacing w:val="4"/>
          <w:w w:val="95"/>
          <w:sz w:val="26"/>
        </w:rPr>
        <w:t> </w:t>
      </w:r>
      <w:r>
        <w:rPr>
          <w:rFonts w:ascii="Times New Roman" w:hAnsi="Times New Roman" w:eastAsia="Times New Roman"/>
          <w:w w:val="95"/>
          <w:sz w:val="26"/>
        </w:rPr>
        <w:t>Rn</w:t>
      </w:r>
      <w:r>
        <w:rPr>
          <w:rFonts w:ascii="Times New Roman" w:hAnsi="Times New Roman" w:eastAsia="Times New Roman"/>
          <w:spacing w:val="6"/>
          <w:w w:val="95"/>
          <w:sz w:val="26"/>
        </w:rPr>
        <w:t>. </w:t>
      </w:r>
      <w:r>
        <w:rPr>
          <w:rFonts w:ascii="Times New Roman" w:hAnsi="Times New Roman" w:eastAsia="Times New Roman"/>
          <w:w w:val="95"/>
          <w:sz w:val="26"/>
        </w:rPr>
        <w:t>24.</w:t>
      </w:r>
      <w:r>
        <w:rPr>
          <w:rFonts w:ascii="Times New Roman" w:hAnsi="Times New Roman" w:eastAsia="Times New Roman"/>
          <w:spacing w:val="24"/>
          <w:w w:val="95"/>
          <w:sz w:val="26"/>
        </w:rPr>
        <w:t> </w:t>
      </w:r>
      <w:r>
        <w:rPr>
          <w:spacing w:val="-4"/>
          <w:w w:val="95"/>
          <w:sz w:val="21"/>
        </w:rPr>
        <w:t>劉建宏 ，公 務 員 法上之競爭訴訟與訴訟參加 ， 載：</w:t>
      </w:r>
    </w:p>
    <w:p>
      <w:pPr>
        <w:tabs>
          <w:tab w:pos="5210" w:val="left" w:leader="none"/>
        </w:tabs>
        <w:spacing w:line="298" w:lineRule="exact" w:before="0"/>
        <w:ind w:left="510" w:right="0" w:firstLine="0"/>
        <w:jc w:val="left"/>
        <w:rPr>
          <w:sz w:val="20"/>
        </w:rPr>
      </w:pPr>
      <w:r>
        <w:rPr>
          <w:spacing w:val="10"/>
          <w:sz w:val="21"/>
        </w:rPr>
        <w:t>基</w:t>
      </w:r>
      <w:r>
        <w:rPr>
          <w:spacing w:val="19"/>
          <w:sz w:val="21"/>
        </w:rPr>
        <w:t>本</w:t>
      </w:r>
      <w:r>
        <w:rPr>
          <w:sz w:val="21"/>
        </w:rPr>
        <w:t>人權</w:t>
      </w:r>
      <w:r>
        <w:rPr>
          <w:spacing w:val="19"/>
          <w:sz w:val="21"/>
        </w:rPr>
        <w:t>保</w:t>
      </w:r>
      <w:r>
        <w:rPr>
          <w:sz w:val="21"/>
        </w:rPr>
        <w:t>障與</w:t>
      </w:r>
      <w:r>
        <w:rPr>
          <w:spacing w:val="25"/>
          <w:sz w:val="21"/>
        </w:rPr>
        <w:t>行</w:t>
      </w:r>
      <w:r>
        <w:rPr>
          <w:sz w:val="21"/>
        </w:rPr>
        <w:t>政</w:t>
      </w:r>
      <w:r>
        <w:rPr>
          <w:spacing w:val="18"/>
          <w:sz w:val="21"/>
        </w:rPr>
        <w:t>救</w:t>
      </w:r>
      <w:r>
        <w:rPr>
          <w:sz w:val="21"/>
        </w:rPr>
        <w:t>濟途徨</w:t>
      </w:r>
      <w:r>
        <w:rPr>
          <w:spacing w:val="-17"/>
          <w:sz w:val="21"/>
        </w:rPr>
        <w:t> </w:t>
      </w:r>
      <w:r>
        <w:rPr>
          <w:sz w:val="21"/>
        </w:rPr>
        <w:t>，</w:t>
      </w:r>
      <w:r>
        <w:rPr>
          <w:spacing w:val="-60"/>
          <w:sz w:val="21"/>
        </w:rPr>
        <w:t> </w:t>
      </w:r>
      <w:r>
        <w:rPr>
          <w:spacing w:val="35"/>
          <w:sz w:val="21"/>
        </w:rPr>
        <w:t>頁</w:t>
      </w:r>
      <w:r>
        <w:rPr>
          <w:rFonts w:ascii="Times New Roman" w:eastAsia="Times New Roman"/>
          <w:sz w:val="26"/>
        </w:rPr>
        <w:t>211-</w:t>
      </w:r>
      <w:r>
        <w:rPr>
          <w:rFonts w:ascii="Times New Roman" w:eastAsia="Times New Roman"/>
          <w:spacing w:val="-8"/>
          <w:sz w:val="26"/>
        </w:rPr>
        <w:t> </w:t>
      </w:r>
      <w:r>
        <w:rPr>
          <w:rFonts w:ascii="Times New Roman" w:eastAsia="Times New Roman"/>
          <w:sz w:val="26"/>
        </w:rPr>
        <w:t>23,1</w:t>
        <w:tab/>
      </w:r>
      <w:r>
        <w:rPr>
          <w:w w:val="90"/>
          <w:sz w:val="21"/>
        </w:rPr>
        <w:t>元</w:t>
      </w:r>
      <w:r>
        <w:rPr>
          <w:spacing w:val="45"/>
          <w:w w:val="90"/>
          <w:sz w:val="21"/>
        </w:rPr>
        <w:t>照</w:t>
      </w:r>
      <w:r>
        <w:rPr>
          <w:w w:val="90"/>
          <w:sz w:val="21"/>
        </w:rPr>
        <w:t>出版</w:t>
      </w:r>
      <w:r>
        <w:rPr>
          <w:spacing w:val="-15"/>
          <w:w w:val="90"/>
          <w:sz w:val="21"/>
        </w:rPr>
        <w:t> </w:t>
      </w:r>
      <w:r>
        <w:rPr>
          <w:w w:val="90"/>
          <w:sz w:val="21"/>
        </w:rPr>
        <w:t>公</w:t>
      </w:r>
      <w:r>
        <w:rPr>
          <w:spacing w:val="-23"/>
          <w:w w:val="90"/>
          <w:sz w:val="21"/>
        </w:rPr>
        <w:t> </w:t>
      </w:r>
      <w:r>
        <w:rPr>
          <w:w w:val="90"/>
          <w:sz w:val="21"/>
        </w:rPr>
        <w:t>司</w:t>
      </w:r>
      <w:r>
        <w:rPr>
          <w:spacing w:val="19"/>
          <w:w w:val="90"/>
          <w:sz w:val="21"/>
        </w:rPr>
        <w:t> </w:t>
      </w:r>
      <w:r>
        <w:rPr>
          <w:w w:val="90"/>
          <w:sz w:val="21"/>
        </w:rPr>
        <w:t>，</w:t>
      </w:r>
      <w:r>
        <w:rPr>
          <w:spacing w:val="-63"/>
          <w:w w:val="90"/>
          <w:sz w:val="21"/>
        </w:rPr>
        <w:t> </w:t>
      </w:r>
      <w:r>
        <w:rPr>
          <w:rFonts w:ascii="Times New Roman" w:eastAsia="Times New Roman"/>
          <w:w w:val="90"/>
          <w:sz w:val="26"/>
        </w:rPr>
        <w:t>2007 </w:t>
      </w:r>
      <w:r>
        <w:rPr>
          <w:w w:val="90"/>
          <w:sz w:val="21"/>
        </w:rPr>
        <w:t>年</w:t>
      </w:r>
      <w:r>
        <w:rPr>
          <w:rFonts w:ascii="Times New Roman" w:eastAsia="Times New Roman"/>
          <w:w w:val="90"/>
          <w:sz w:val="26"/>
        </w:rPr>
        <w:t>9</w:t>
      </w:r>
      <w:r>
        <w:rPr>
          <w:rFonts w:ascii="Times New Roman" w:eastAsia="Times New Roman"/>
          <w:spacing w:val="-33"/>
          <w:w w:val="90"/>
          <w:sz w:val="26"/>
        </w:rPr>
        <w:t> </w:t>
      </w:r>
      <w:r>
        <w:rPr>
          <w:w w:val="90"/>
          <w:sz w:val="20"/>
        </w:rPr>
        <w:t>月</w:t>
      </w:r>
      <w:r>
        <w:rPr>
          <w:spacing w:val="9"/>
          <w:w w:val="90"/>
          <w:sz w:val="20"/>
        </w:rPr>
        <w:t> </w:t>
      </w:r>
      <w:r>
        <w:rPr>
          <w:w w:val="90"/>
          <w:sz w:val="20"/>
        </w:rPr>
        <w:t>。</w:t>
      </w:r>
    </w:p>
    <w:p>
      <w:pPr>
        <w:spacing w:after="0" w:line="298" w:lineRule="exact"/>
        <w:jc w:val="left"/>
        <w:rPr>
          <w:sz w:val="20"/>
        </w:rPr>
        <w:sectPr>
          <w:pgSz w:w="11910" w:h="16840"/>
          <w:pgMar w:header="862" w:footer="1017" w:top="1060" w:bottom="1200" w:left="1120" w:right="1060"/>
        </w:sectPr>
      </w:pPr>
    </w:p>
    <w:p>
      <w:pPr>
        <w:pStyle w:val="BodyText"/>
        <w:spacing w:before="11"/>
        <w:rPr>
          <w:sz w:val="28"/>
        </w:rPr>
      </w:pPr>
    </w:p>
    <w:p>
      <w:pPr>
        <w:spacing w:line="316" w:lineRule="auto" w:before="65"/>
        <w:ind w:left="306" w:right="525" w:firstLine="0"/>
        <w:jc w:val="left"/>
        <w:rPr>
          <w:rFonts w:ascii="Times New Roman" w:eastAsia="Times New Roman"/>
          <w:sz w:val="29"/>
        </w:rPr>
      </w:pPr>
      <w:r>
        <w:rPr>
          <w:w w:val="105"/>
          <w:sz w:val="25"/>
        </w:rPr>
        <w:t>該第三人（競爭者）並非復審罄明所請行政處分之相對人，故該課予義務</w:t>
      </w:r>
      <w:r>
        <w:rPr>
          <w:spacing w:val="118"/>
          <w:w w:val="105"/>
          <w:sz w:val="25"/>
        </w:rPr>
        <w:t> </w:t>
      </w:r>
      <w:r>
        <w:rPr>
          <w:spacing w:val="11"/>
          <w:sz w:val="25"/>
        </w:rPr>
        <w:t>復審之決定對其而言並不具有「 直接之第三人效果」</w:t>
      </w:r>
      <w:r>
        <w:rPr>
          <w:rFonts w:ascii="Times New Roman" w:eastAsia="Times New Roman"/>
          <w:spacing w:val="-9"/>
          <w:sz w:val="29"/>
        </w:rPr>
        <w:t>( </w:t>
      </w:r>
      <w:r>
        <w:rPr>
          <w:rFonts w:ascii="Times New Roman" w:eastAsia="Times New Roman"/>
          <w:sz w:val="29"/>
        </w:rPr>
        <w:t>unmi</w:t>
      </w:r>
      <w:r>
        <w:rPr>
          <w:rFonts w:ascii="Times New Roman" w:eastAsia="Times New Roman"/>
          <w:spacing w:val="-21"/>
          <w:sz w:val="29"/>
        </w:rPr>
        <w:t> </w:t>
      </w:r>
      <w:r>
        <w:rPr>
          <w:rFonts w:ascii="Times New Roman" w:eastAsia="Times New Roman"/>
          <w:sz w:val="29"/>
        </w:rPr>
        <w:t>t</w:t>
      </w:r>
      <w:r>
        <w:rPr>
          <w:rFonts w:ascii="Times New Roman" w:eastAsia="Times New Roman"/>
          <w:spacing w:val="-12"/>
          <w:sz w:val="29"/>
        </w:rPr>
        <w:t> </w:t>
      </w:r>
      <w:r>
        <w:rPr>
          <w:rFonts w:ascii="Times New Roman" w:eastAsia="Times New Roman"/>
          <w:sz w:val="29"/>
        </w:rPr>
        <w:t>t</w:t>
      </w:r>
      <w:r>
        <w:rPr>
          <w:rFonts w:ascii="Times New Roman" w:eastAsia="Times New Roman"/>
          <w:spacing w:val="-25"/>
          <w:sz w:val="29"/>
        </w:rPr>
        <w:t> </w:t>
      </w:r>
      <w:r>
        <w:rPr>
          <w:rFonts w:ascii="Times New Roman" w:eastAsia="Times New Roman"/>
          <w:sz w:val="29"/>
        </w:rPr>
        <w:t>e</w:t>
      </w:r>
      <w:r>
        <w:rPr>
          <w:rFonts w:ascii="Times New Roman" w:eastAsia="Times New Roman"/>
          <w:spacing w:val="-31"/>
          <w:sz w:val="29"/>
        </w:rPr>
        <w:t> </w:t>
      </w:r>
      <w:r>
        <w:rPr>
          <w:rFonts w:ascii="Times New Roman" w:eastAsia="Times New Roman"/>
          <w:spacing w:val="12"/>
          <w:sz w:val="29"/>
        </w:rPr>
        <w:t>lbar</w:t>
      </w:r>
      <w:r>
        <w:rPr>
          <w:rFonts w:ascii="Times New Roman" w:eastAsia="Times New Roman"/>
          <w:spacing w:val="-33"/>
          <w:sz w:val="29"/>
        </w:rPr>
        <w:t> </w:t>
      </w:r>
      <w:r>
        <w:rPr>
          <w:rFonts w:ascii="Times New Roman" w:eastAsia="Times New Roman"/>
          <w:sz w:val="29"/>
        </w:rPr>
        <w:t>e</w:t>
      </w:r>
    </w:p>
    <w:p>
      <w:pPr>
        <w:spacing w:line="321" w:lineRule="auto" w:before="0"/>
        <w:ind w:left="311" w:right="601" w:hanging="9"/>
        <w:jc w:val="left"/>
        <w:rPr>
          <w:sz w:val="25"/>
        </w:rPr>
      </w:pPr>
      <w:r>
        <w:rPr>
          <w:rFonts w:ascii="Times New Roman" w:eastAsia="Times New Roman"/>
          <w:w w:val="95"/>
          <w:sz w:val="29"/>
        </w:rPr>
        <w:t>Dr</w:t>
      </w:r>
      <w:r>
        <w:rPr>
          <w:rFonts w:ascii="Times New Roman" w:eastAsia="Times New Roman"/>
          <w:spacing w:val="43"/>
          <w:w w:val="95"/>
          <w:sz w:val="29"/>
        </w:rPr>
        <w:t> </w:t>
      </w:r>
      <w:r>
        <w:rPr>
          <w:rFonts w:ascii="Times New Roman" w:eastAsia="Times New Roman"/>
          <w:w w:val="95"/>
          <w:sz w:val="29"/>
        </w:rPr>
        <w:t>i</w:t>
      </w:r>
      <w:r>
        <w:rPr>
          <w:rFonts w:ascii="Times New Roman" w:eastAsia="Times New Roman"/>
          <w:spacing w:val="14"/>
          <w:w w:val="95"/>
          <w:sz w:val="29"/>
        </w:rPr>
        <w:t> </w:t>
      </w:r>
      <w:r>
        <w:rPr>
          <w:rFonts w:ascii="Times New Roman" w:eastAsia="Times New Roman"/>
          <w:w w:val="95"/>
          <w:sz w:val="29"/>
        </w:rPr>
        <w:t>t</w:t>
      </w:r>
      <w:r>
        <w:rPr>
          <w:rFonts w:ascii="Times New Roman" w:eastAsia="Times New Roman"/>
          <w:spacing w:val="24"/>
          <w:w w:val="95"/>
          <w:sz w:val="29"/>
        </w:rPr>
        <w:t> </w:t>
      </w:r>
      <w:r>
        <w:rPr>
          <w:rFonts w:ascii="Times New Roman" w:eastAsia="Times New Roman"/>
          <w:w w:val="95"/>
          <w:sz w:val="29"/>
        </w:rPr>
        <w:t>t</w:t>
      </w:r>
      <w:r>
        <w:rPr>
          <w:rFonts w:ascii="Times New Roman" w:eastAsia="Times New Roman"/>
          <w:spacing w:val="18"/>
          <w:w w:val="95"/>
          <w:sz w:val="29"/>
        </w:rPr>
        <w:t> </w:t>
      </w:r>
      <w:r>
        <w:rPr>
          <w:rFonts w:ascii="Times New Roman" w:eastAsia="Times New Roman"/>
          <w:w w:val="95"/>
          <w:sz w:val="29"/>
        </w:rPr>
        <w:t>bet</w:t>
      </w:r>
      <w:r>
        <w:rPr>
          <w:rFonts w:ascii="Times New Roman" w:eastAsia="Times New Roman"/>
          <w:spacing w:val="-17"/>
          <w:w w:val="95"/>
          <w:sz w:val="29"/>
        </w:rPr>
        <w:t> </w:t>
      </w:r>
      <w:r>
        <w:rPr>
          <w:rFonts w:ascii="Times New Roman" w:eastAsia="Times New Roman"/>
          <w:spacing w:val="10"/>
          <w:w w:val="95"/>
          <w:sz w:val="29"/>
        </w:rPr>
        <w:t>rof</w:t>
      </w:r>
      <w:r>
        <w:rPr>
          <w:rFonts w:ascii="Times New Roman" w:eastAsia="Times New Roman"/>
          <w:spacing w:val="-4"/>
          <w:w w:val="95"/>
          <w:sz w:val="29"/>
        </w:rPr>
        <w:t> </w:t>
      </w:r>
      <w:r>
        <w:rPr>
          <w:rFonts w:ascii="Times New Roman" w:eastAsia="Times New Roman"/>
          <w:w w:val="95"/>
          <w:sz w:val="29"/>
        </w:rPr>
        <w:t>f</w:t>
      </w:r>
      <w:r>
        <w:rPr>
          <w:rFonts w:ascii="Times New Roman" w:eastAsia="Times New Roman"/>
          <w:spacing w:val="-19"/>
          <w:w w:val="95"/>
          <w:sz w:val="29"/>
        </w:rPr>
        <w:t> </w:t>
      </w:r>
      <w:r>
        <w:rPr>
          <w:rFonts w:ascii="Times New Roman" w:eastAsia="Times New Roman"/>
          <w:w w:val="95"/>
          <w:sz w:val="29"/>
        </w:rPr>
        <w:t>enhe</w:t>
      </w:r>
      <w:r>
        <w:rPr>
          <w:rFonts w:ascii="Times New Roman" w:eastAsia="Times New Roman"/>
          <w:spacing w:val="19"/>
          <w:w w:val="95"/>
          <w:sz w:val="29"/>
        </w:rPr>
        <w:t> </w:t>
      </w:r>
      <w:r>
        <w:rPr>
          <w:rFonts w:ascii="Times New Roman" w:eastAsia="Times New Roman"/>
          <w:w w:val="95"/>
          <w:sz w:val="29"/>
        </w:rPr>
        <w:t>i</w:t>
      </w:r>
      <w:r>
        <w:rPr>
          <w:rFonts w:ascii="Times New Roman" w:eastAsia="Times New Roman"/>
          <w:spacing w:val="-9"/>
          <w:w w:val="95"/>
          <w:sz w:val="29"/>
        </w:rPr>
        <w:t> </w:t>
      </w:r>
      <w:r>
        <w:rPr>
          <w:rFonts w:ascii="Times New Roman" w:eastAsia="Times New Roman"/>
          <w:w w:val="95"/>
          <w:sz w:val="29"/>
        </w:rPr>
        <w:t>t</w:t>
      </w:r>
      <w:r>
        <w:rPr>
          <w:rFonts w:ascii="Times New Roman" w:eastAsia="Times New Roman"/>
          <w:spacing w:val="12"/>
          <w:w w:val="95"/>
          <w:sz w:val="29"/>
        </w:rPr>
        <w:t> ) </w:t>
      </w:r>
      <w:r>
        <w:rPr>
          <w:spacing w:val="2"/>
          <w:w w:val="95"/>
          <w:sz w:val="25"/>
        </w:rPr>
        <w:t>。復審決定既未直接且噹然地形 成 、變更或消滅 該</w:t>
      </w:r>
      <w:r>
        <w:rPr>
          <w:sz w:val="25"/>
        </w:rPr>
        <w:t>競爭者権利，則其並非必要復審參加人。</w:t>
      </w:r>
    </w:p>
    <w:p>
      <w:pPr>
        <w:pStyle w:val="BodyText"/>
        <w:spacing w:before="96"/>
        <w:ind w:left="1837"/>
      </w:pPr>
      <w:r>
        <w:rPr>
          <w:rFonts w:ascii="Times New Roman" w:eastAsia="Times New Roman"/>
          <w:b/>
          <w:spacing w:val="11"/>
          <w:w w:val="115"/>
          <w:position w:val="-3"/>
          <w:sz w:val="28"/>
        </w:rPr>
        <w:t>(</w:t>
      </w:r>
      <w:r>
        <w:rPr>
          <w:w w:val="115"/>
        </w:rPr>
        <w:t>二</w:t>
      </w:r>
      <w:r>
        <w:rPr>
          <w:rFonts w:ascii="Times New Roman" w:eastAsia="Times New Roman"/>
          <w:b/>
          <w:spacing w:val="-78"/>
          <w:w w:val="115"/>
          <w:position w:val="-3"/>
          <w:sz w:val="28"/>
        </w:rPr>
        <w:t>)</w:t>
      </w:r>
      <w:r>
        <w:rPr>
          <w:w w:val="115"/>
        </w:rPr>
        <w:t>行政訴訟法上必要訴訟參加制度案例之分析</w:t>
      </w:r>
    </w:p>
    <w:p>
      <w:pPr>
        <w:pStyle w:val="BodyText"/>
        <w:spacing w:before="10"/>
        <w:rPr>
          <w:sz w:val="21"/>
        </w:rPr>
      </w:pPr>
    </w:p>
    <w:p>
      <w:pPr>
        <w:pStyle w:val="BodyText"/>
        <w:spacing w:line="331" w:lineRule="auto"/>
        <w:ind w:left="297" w:right="519" w:firstLine="570"/>
        <w:jc w:val="both"/>
      </w:pPr>
      <w:r>
        <w:rPr>
          <w:w w:val="110"/>
        </w:rPr>
        <w:t>依行政訴訟法上學說及實務之見解，在課予義務訴訟中，第三人與訴訟標的之法律關係具有密切關連性，符合「直接之第三人效果」要件，應命該第三人參加訴訟之案例類型，為「原告提超課予義務訴訟，訴請判命被告機關作成對第三人不利益之行政處分時，將受不利益處分之第三人為必要訴訟參加人」之情形。舉例說明如下：</w:t>
      </w:r>
    </w:p>
    <w:p>
      <w:pPr>
        <w:pStyle w:val="BodyText"/>
        <w:spacing w:line="316" w:lineRule="exact"/>
        <w:ind w:right="543"/>
        <w:jc w:val="right"/>
      </w:pPr>
      <w:r>
        <w:rPr>
          <w:rFonts w:ascii="Arial" w:eastAsia="Arial"/>
          <w:w w:val="90"/>
          <w:sz w:val="29"/>
        </w:rPr>
        <w:t>A</w:t>
      </w:r>
      <w:r>
        <w:rPr>
          <w:rFonts w:ascii="Arial" w:eastAsia="Arial"/>
          <w:spacing w:val="44"/>
          <w:w w:val="90"/>
          <w:sz w:val="29"/>
        </w:rPr>
        <w:t> </w:t>
      </w:r>
      <w:r>
        <w:rPr>
          <w:spacing w:val="22"/>
          <w:w w:val="95"/>
        </w:rPr>
        <w:t>工廠之鄰人</w:t>
      </w:r>
      <w:r>
        <w:rPr>
          <w:spacing w:val="23"/>
          <w:w w:val="90"/>
        </w:rPr>
        <w:t>某甲 </w:t>
      </w:r>
      <w:r>
        <w:rPr>
          <w:spacing w:val="2"/>
          <w:w w:val="95"/>
        </w:rPr>
        <w:t>因不 堪該工廠日 夜營運所產生之嘌 音 </w:t>
      </w:r>
      <w:r>
        <w:rPr>
          <w:spacing w:val="-16"/>
          <w:w w:val="90"/>
        </w:rPr>
        <w:t>， </w:t>
      </w:r>
      <w:r>
        <w:rPr>
          <w:spacing w:val="5"/>
          <w:w w:val="95"/>
        </w:rPr>
        <w:t>乃提 超課予</w:t>
      </w:r>
    </w:p>
    <w:p>
      <w:pPr>
        <w:pStyle w:val="BodyText"/>
        <w:spacing w:line="316" w:lineRule="auto" w:before="95"/>
        <w:ind w:left="314" w:right="518" w:firstLine="8"/>
        <w:jc w:val="right"/>
      </w:pPr>
      <w:r>
        <w:rPr>
          <w:spacing w:val="-5"/>
        </w:rPr>
        <w:t>義務 訴訟 </w:t>
      </w:r>
      <w:r>
        <w:rPr>
          <w:spacing w:val="-38"/>
          <w:w w:val="90"/>
        </w:rPr>
        <w:t>， </w:t>
      </w:r>
      <w:r>
        <w:rPr>
          <w:spacing w:val="9"/>
        </w:rPr>
        <w:t>請求行政法院判命環境保護主管機 關</w:t>
      </w:r>
      <w:r>
        <w:rPr>
          <w:spacing w:val="13"/>
        </w:rPr>
        <w:t>（</w:t>
      </w:r>
      <w:r>
        <w:rPr>
          <w:spacing w:val="37"/>
        </w:rPr>
        <w:t>被告</w:t>
      </w:r>
      <w:r>
        <w:rPr/>
        <w:t>）</w:t>
      </w:r>
      <w:r>
        <w:rPr>
          <w:spacing w:val="-13"/>
        </w:rPr>
        <w:t>對 </w:t>
      </w:r>
      <w:r>
        <w:rPr>
          <w:rFonts w:ascii="Arial" w:eastAsia="Arial"/>
          <w:w w:val="90"/>
          <w:sz w:val="29"/>
        </w:rPr>
        <w:t>A</w:t>
      </w:r>
      <w:r>
        <w:rPr>
          <w:rFonts w:ascii="Arial" w:eastAsia="Arial"/>
          <w:spacing w:val="36"/>
          <w:w w:val="90"/>
          <w:sz w:val="29"/>
        </w:rPr>
        <w:t> </w:t>
      </w:r>
      <w:r>
        <w:rPr>
          <w:spacing w:val="12"/>
        </w:rPr>
        <w:t>工廠作成夜</w:t>
      </w:r>
      <w:r>
        <w:rPr>
          <w:spacing w:val="13"/>
        </w:rPr>
        <w:t>間禁止 營運之侵益處分 </w:t>
      </w:r>
      <w:r>
        <w:rPr>
          <w:spacing w:val="-35"/>
          <w:w w:val="90"/>
        </w:rPr>
        <w:t>， </w:t>
      </w:r>
      <w:r>
        <w:rPr>
          <w:rFonts w:ascii="Arial" w:eastAsia="Arial"/>
          <w:w w:val="90"/>
          <w:sz w:val="29"/>
        </w:rPr>
        <w:t>A</w:t>
      </w:r>
      <w:r>
        <w:rPr>
          <w:rFonts w:ascii="Arial" w:eastAsia="Arial"/>
          <w:spacing w:val="60"/>
          <w:w w:val="90"/>
          <w:sz w:val="29"/>
        </w:rPr>
        <w:t> </w:t>
      </w:r>
      <w:r>
        <w:rPr>
          <w:spacing w:val="13"/>
        </w:rPr>
        <w:t>工廠在該訴訟程序中是否為必要訴訟參加人？</w:t>
      </w:r>
      <w:r>
        <w:rPr>
          <w:spacing w:val="-122"/>
        </w:rPr>
        <w:t> </w:t>
      </w:r>
      <w:r>
        <w:rPr/>
        <w:t>本例中，原告之訴如有理由，行政法院將判命被告機關作成對第三人</w:t>
      </w:r>
    </w:p>
    <w:p>
      <w:pPr>
        <w:spacing w:line="321" w:lineRule="auto" w:before="22"/>
        <w:ind w:left="316" w:right="528" w:hanging="4"/>
        <w:jc w:val="left"/>
        <w:rPr>
          <w:sz w:val="25"/>
        </w:rPr>
      </w:pPr>
      <w:r>
        <w:rPr>
          <w:sz w:val="25"/>
        </w:rPr>
        <w:t>不利之侵益處分。行政法院所作成之課予義務判決，雖無直接之形成效      </w:t>
      </w:r>
      <w:r>
        <w:rPr>
          <w:spacing w:val="28"/>
          <w:sz w:val="25"/>
        </w:rPr>
        <w:t> </w:t>
      </w:r>
      <w:r>
        <w:rPr>
          <w:spacing w:val="4"/>
          <w:w w:val="95"/>
          <w:sz w:val="25"/>
        </w:rPr>
        <w:t>力 ， 然此「直接效力之 欠缺」</w:t>
      </w:r>
      <w:r>
        <w:rPr>
          <w:rFonts w:ascii="Times New Roman" w:eastAsia="Times New Roman"/>
          <w:spacing w:val="4"/>
          <w:w w:val="95"/>
          <w:sz w:val="29"/>
        </w:rPr>
        <w:t>( </w:t>
      </w:r>
      <w:r>
        <w:rPr>
          <w:rFonts w:ascii="Times New Roman" w:eastAsia="Times New Roman"/>
          <w:w w:val="95"/>
          <w:sz w:val="29"/>
        </w:rPr>
        <w:t>Unmi</w:t>
      </w:r>
      <w:r>
        <w:rPr>
          <w:rFonts w:ascii="Times New Roman" w:eastAsia="Times New Roman"/>
          <w:spacing w:val="-13"/>
          <w:w w:val="95"/>
          <w:sz w:val="29"/>
        </w:rPr>
        <w:t> </w:t>
      </w:r>
      <w:r>
        <w:rPr>
          <w:rFonts w:ascii="Times New Roman" w:eastAsia="Times New Roman"/>
          <w:w w:val="95"/>
          <w:sz w:val="29"/>
        </w:rPr>
        <w:t>t</w:t>
      </w:r>
      <w:r>
        <w:rPr>
          <w:rFonts w:ascii="Times New Roman" w:eastAsia="Times New Roman"/>
          <w:spacing w:val="-3"/>
          <w:w w:val="95"/>
          <w:sz w:val="29"/>
        </w:rPr>
        <w:t> </w:t>
      </w:r>
      <w:r>
        <w:rPr>
          <w:rFonts w:ascii="Times New Roman" w:eastAsia="Times New Roman"/>
          <w:w w:val="95"/>
          <w:sz w:val="29"/>
        </w:rPr>
        <w:t>t</w:t>
      </w:r>
      <w:r>
        <w:rPr>
          <w:rFonts w:ascii="Times New Roman" w:eastAsia="Times New Roman"/>
          <w:spacing w:val="-17"/>
          <w:w w:val="95"/>
          <w:sz w:val="29"/>
        </w:rPr>
        <w:t> </w:t>
      </w:r>
      <w:r>
        <w:rPr>
          <w:rFonts w:ascii="Times New Roman" w:eastAsia="Times New Roman"/>
          <w:w w:val="95"/>
          <w:sz w:val="29"/>
        </w:rPr>
        <w:t>e</w:t>
      </w:r>
      <w:r>
        <w:rPr>
          <w:rFonts w:ascii="Times New Roman" w:eastAsia="Times New Roman"/>
          <w:spacing w:val="-24"/>
          <w:w w:val="95"/>
          <w:sz w:val="29"/>
        </w:rPr>
        <w:t> </w:t>
      </w:r>
      <w:r>
        <w:rPr>
          <w:rFonts w:ascii="Times New Roman" w:eastAsia="Times New Roman"/>
          <w:spacing w:val="16"/>
          <w:w w:val="95"/>
          <w:sz w:val="29"/>
        </w:rPr>
        <w:t>lbar</w:t>
      </w:r>
      <w:r>
        <w:rPr>
          <w:rFonts w:ascii="Times New Roman" w:eastAsia="Times New Roman"/>
          <w:spacing w:val="-18"/>
          <w:w w:val="95"/>
          <w:sz w:val="29"/>
        </w:rPr>
        <w:t> </w:t>
      </w:r>
      <w:r>
        <w:rPr>
          <w:rFonts w:ascii="Times New Roman" w:eastAsia="Times New Roman"/>
          <w:spacing w:val="18"/>
          <w:w w:val="95"/>
          <w:sz w:val="29"/>
        </w:rPr>
        <w:t>keit</w:t>
      </w:r>
      <w:r>
        <w:rPr>
          <w:rFonts w:ascii="Times New Roman" w:eastAsia="Times New Roman"/>
          <w:spacing w:val="-22"/>
          <w:w w:val="95"/>
          <w:sz w:val="29"/>
        </w:rPr>
        <w:t> </w:t>
      </w:r>
      <w:r>
        <w:rPr>
          <w:rFonts w:ascii="Times New Roman" w:eastAsia="Times New Roman"/>
          <w:spacing w:val="11"/>
          <w:w w:val="95"/>
          <w:sz w:val="29"/>
        </w:rPr>
        <w:t>sdef</w:t>
      </w:r>
      <w:r>
        <w:rPr>
          <w:rFonts w:ascii="Times New Roman" w:eastAsia="Times New Roman"/>
          <w:spacing w:val="16"/>
          <w:w w:val="95"/>
          <w:sz w:val="29"/>
        </w:rPr>
        <w:t> </w:t>
      </w:r>
      <w:r>
        <w:rPr>
          <w:rFonts w:ascii="Times New Roman" w:eastAsia="Times New Roman"/>
          <w:w w:val="95"/>
          <w:sz w:val="29"/>
        </w:rPr>
        <w:t>i</w:t>
      </w:r>
      <w:r>
        <w:rPr>
          <w:rFonts w:ascii="Times New Roman" w:eastAsia="Times New Roman"/>
          <w:spacing w:val="-7"/>
          <w:w w:val="95"/>
          <w:sz w:val="29"/>
        </w:rPr>
        <w:t> </w:t>
      </w:r>
      <w:r>
        <w:rPr>
          <w:rFonts w:ascii="Times New Roman" w:eastAsia="Times New Roman"/>
          <w:spacing w:val="13"/>
          <w:w w:val="95"/>
          <w:sz w:val="29"/>
        </w:rPr>
        <w:t>zi</w:t>
      </w:r>
      <w:r>
        <w:rPr>
          <w:rFonts w:ascii="Times New Roman" w:eastAsia="Times New Roman"/>
          <w:spacing w:val="-13"/>
          <w:w w:val="95"/>
          <w:sz w:val="29"/>
        </w:rPr>
        <w:t> </w:t>
      </w:r>
      <w:r>
        <w:rPr>
          <w:rFonts w:ascii="Times New Roman" w:eastAsia="Times New Roman"/>
          <w:w w:val="95"/>
          <w:sz w:val="29"/>
        </w:rPr>
        <w:t>t</w:t>
      </w:r>
      <w:r>
        <w:rPr>
          <w:rFonts w:ascii="Times New Roman" w:eastAsia="Times New Roman"/>
          <w:spacing w:val="13"/>
          <w:w w:val="95"/>
          <w:sz w:val="29"/>
        </w:rPr>
        <w:t> ) </w:t>
      </w:r>
      <w:r>
        <w:rPr>
          <w:spacing w:val="10"/>
          <w:w w:val="95"/>
          <w:sz w:val="25"/>
        </w:rPr>
        <w:t>可藉由被告機</w:t>
      </w:r>
      <w:r>
        <w:rPr>
          <w:sz w:val="25"/>
        </w:rPr>
        <w:t>關之作為義務獲得填補，故課予義務判決仍具有「類似之形成效力」</w:t>
      </w:r>
    </w:p>
    <w:p>
      <w:pPr>
        <w:tabs>
          <w:tab w:pos="7169" w:val="left" w:leader="none"/>
        </w:tabs>
        <w:spacing w:line="326" w:lineRule="auto" w:before="0"/>
        <w:ind w:left="298" w:right="511" w:firstLine="15"/>
        <w:jc w:val="center"/>
        <w:rPr>
          <w:sz w:val="25"/>
        </w:rPr>
      </w:pPr>
      <w:r>
        <w:rPr>
          <w:rFonts w:ascii="Times New Roman" w:eastAsia="Times New Roman"/>
          <w:w w:val="90"/>
          <w:sz w:val="29"/>
        </w:rPr>
        <w:t>(</w:t>
      </w:r>
      <w:r>
        <w:rPr>
          <w:rFonts w:ascii="Times New Roman" w:eastAsia="Times New Roman"/>
          <w:spacing w:val="3"/>
          <w:w w:val="90"/>
          <w:sz w:val="29"/>
        </w:rPr>
        <w:t> </w:t>
      </w:r>
      <w:r>
        <w:rPr>
          <w:rFonts w:ascii="Times New Roman" w:eastAsia="Times New Roman"/>
          <w:w w:val="90"/>
          <w:sz w:val="29"/>
        </w:rPr>
        <w:t>Quas</w:t>
      </w:r>
      <w:r>
        <w:rPr>
          <w:rFonts w:ascii="Times New Roman" w:eastAsia="Times New Roman"/>
          <w:spacing w:val="5"/>
          <w:w w:val="90"/>
          <w:sz w:val="29"/>
        </w:rPr>
        <w:t> </w:t>
      </w:r>
      <w:r>
        <w:rPr>
          <w:rFonts w:ascii="Times New Roman" w:eastAsia="Times New Roman"/>
          <w:spacing w:val="12"/>
          <w:w w:val="90"/>
          <w:sz w:val="29"/>
        </w:rPr>
        <w:t>i-</w:t>
      </w:r>
      <w:r>
        <w:rPr>
          <w:rFonts w:ascii="Times New Roman" w:eastAsia="Times New Roman"/>
          <w:spacing w:val="-17"/>
          <w:w w:val="90"/>
          <w:sz w:val="29"/>
        </w:rPr>
        <w:t> </w:t>
      </w:r>
      <w:r>
        <w:rPr>
          <w:rFonts w:ascii="Times New Roman" w:eastAsia="Times New Roman"/>
          <w:w w:val="90"/>
          <w:sz w:val="29"/>
        </w:rPr>
        <w:t>Ges</w:t>
      </w:r>
      <w:r>
        <w:rPr>
          <w:rFonts w:ascii="Times New Roman" w:eastAsia="Times New Roman"/>
          <w:spacing w:val="131"/>
          <w:sz w:val="29"/>
        </w:rPr>
        <w:t> </w:t>
      </w:r>
      <w:r>
        <w:rPr>
          <w:rFonts w:ascii="Times New Roman" w:eastAsia="Times New Roman"/>
          <w:w w:val="90"/>
          <w:sz w:val="29"/>
        </w:rPr>
        <w:t>t</w:t>
      </w:r>
      <w:r>
        <w:rPr>
          <w:rFonts w:ascii="Times New Roman" w:eastAsia="Times New Roman"/>
          <w:spacing w:val="35"/>
          <w:w w:val="90"/>
          <w:sz w:val="29"/>
        </w:rPr>
        <w:t> </w:t>
      </w:r>
      <w:r>
        <w:rPr>
          <w:rFonts w:ascii="Times New Roman" w:eastAsia="Times New Roman"/>
          <w:w w:val="90"/>
          <w:sz w:val="29"/>
        </w:rPr>
        <w:t>a</w:t>
      </w:r>
      <w:r>
        <w:rPr>
          <w:rFonts w:ascii="Times New Roman" w:eastAsia="Times New Roman"/>
          <w:spacing w:val="62"/>
          <w:w w:val="90"/>
          <w:sz w:val="29"/>
        </w:rPr>
        <w:t> </w:t>
      </w:r>
      <w:r>
        <w:rPr>
          <w:rFonts w:ascii="Times New Roman" w:eastAsia="Times New Roman"/>
          <w:w w:val="90"/>
          <w:sz w:val="29"/>
        </w:rPr>
        <w:t>l</w:t>
      </w:r>
      <w:r>
        <w:rPr>
          <w:rFonts w:ascii="Times New Roman" w:eastAsia="Times New Roman"/>
          <w:spacing w:val="-11"/>
          <w:w w:val="90"/>
          <w:sz w:val="29"/>
        </w:rPr>
        <w:t> </w:t>
      </w:r>
      <w:r>
        <w:rPr>
          <w:rFonts w:ascii="Times New Roman" w:eastAsia="Times New Roman"/>
          <w:w w:val="90"/>
          <w:sz w:val="29"/>
        </w:rPr>
        <w:t>t</w:t>
      </w:r>
      <w:r>
        <w:rPr>
          <w:rFonts w:ascii="Times New Roman" w:eastAsia="Times New Roman"/>
          <w:spacing w:val="3"/>
          <w:w w:val="90"/>
          <w:sz w:val="29"/>
        </w:rPr>
        <w:t> </w:t>
      </w:r>
      <w:r>
        <w:rPr>
          <w:rFonts w:ascii="Times New Roman" w:eastAsia="Times New Roman"/>
          <w:w w:val="90"/>
          <w:sz w:val="29"/>
        </w:rPr>
        <w:t>ungswi</w:t>
      </w:r>
      <w:r>
        <w:rPr>
          <w:rFonts w:ascii="Times New Roman" w:eastAsia="Times New Roman"/>
          <w:spacing w:val="1"/>
          <w:w w:val="90"/>
          <w:sz w:val="29"/>
        </w:rPr>
        <w:t> </w:t>
      </w:r>
      <w:r>
        <w:rPr>
          <w:rFonts w:ascii="Times New Roman" w:eastAsia="Times New Roman"/>
          <w:w w:val="90"/>
          <w:sz w:val="29"/>
        </w:rPr>
        <w:t>r</w:t>
      </w:r>
      <w:r>
        <w:rPr>
          <w:rFonts w:ascii="Times New Roman" w:eastAsia="Times New Roman"/>
          <w:spacing w:val="-5"/>
          <w:w w:val="90"/>
          <w:sz w:val="29"/>
        </w:rPr>
        <w:t> </w:t>
      </w:r>
      <w:r>
        <w:rPr>
          <w:rFonts w:ascii="Times New Roman" w:eastAsia="Times New Roman"/>
          <w:w w:val="90"/>
          <w:sz w:val="29"/>
        </w:rPr>
        <w:t>kung</w:t>
      </w:r>
      <w:r>
        <w:rPr>
          <w:rFonts w:ascii="Times New Roman" w:eastAsia="Times New Roman"/>
          <w:spacing w:val="-6"/>
          <w:w w:val="90"/>
          <w:sz w:val="29"/>
        </w:rPr>
        <w:t> </w:t>
      </w:r>
      <w:r>
        <w:rPr>
          <w:rFonts w:ascii="Times New Roman" w:eastAsia="Times New Roman"/>
          <w:w w:val="90"/>
          <w:sz w:val="29"/>
        </w:rPr>
        <w:t>)</w:t>
      </w:r>
      <w:r>
        <w:rPr>
          <w:rFonts w:ascii="Times New Roman" w:eastAsia="Times New Roman"/>
          <w:spacing w:val="53"/>
          <w:w w:val="90"/>
          <w:sz w:val="29"/>
        </w:rPr>
        <w:t> </w:t>
      </w:r>
      <w:r>
        <w:rPr>
          <w:w w:val="90"/>
          <w:sz w:val="25"/>
        </w:rPr>
        <w:t>，</w:t>
      </w:r>
      <w:r>
        <w:rPr>
          <w:spacing w:val="-17"/>
          <w:w w:val="90"/>
          <w:sz w:val="25"/>
        </w:rPr>
        <w:t> </w:t>
      </w:r>
      <w:r>
        <w:rPr>
          <w:spacing w:val="39"/>
          <w:w w:val="90"/>
          <w:sz w:val="25"/>
        </w:rPr>
        <w:t>第</w:t>
      </w:r>
      <w:r>
        <w:rPr>
          <w:spacing w:val="26"/>
          <w:w w:val="90"/>
          <w:sz w:val="25"/>
        </w:rPr>
        <w:t>三</w:t>
      </w:r>
      <w:r>
        <w:rPr>
          <w:w w:val="90"/>
          <w:sz w:val="25"/>
        </w:rPr>
        <w:t>人</w:t>
      </w:r>
      <w:r>
        <w:rPr>
          <w:spacing w:val="24"/>
          <w:w w:val="90"/>
          <w:sz w:val="25"/>
        </w:rPr>
        <w:t>雖</w:t>
      </w:r>
      <w:r>
        <w:rPr>
          <w:w w:val="90"/>
          <w:sz w:val="25"/>
        </w:rPr>
        <w:t>未參</w:t>
      </w:r>
      <w:r>
        <w:rPr>
          <w:spacing w:val="11"/>
          <w:w w:val="90"/>
          <w:sz w:val="25"/>
        </w:rPr>
        <w:t>加</w:t>
      </w:r>
      <w:r>
        <w:rPr>
          <w:spacing w:val="13"/>
          <w:w w:val="90"/>
          <w:sz w:val="25"/>
        </w:rPr>
        <w:t>訴</w:t>
      </w:r>
      <w:r>
        <w:rPr>
          <w:w w:val="90"/>
          <w:sz w:val="25"/>
        </w:rPr>
        <w:t>訟</w:t>
      </w:r>
      <w:r>
        <w:rPr>
          <w:spacing w:val="34"/>
          <w:w w:val="90"/>
          <w:sz w:val="25"/>
        </w:rPr>
        <w:t> </w:t>
      </w:r>
      <w:r>
        <w:rPr>
          <w:w w:val="90"/>
          <w:sz w:val="25"/>
        </w:rPr>
        <w:t>，</w:t>
      </w:r>
      <w:r>
        <w:rPr>
          <w:spacing w:val="-45"/>
          <w:w w:val="90"/>
          <w:sz w:val="25"/>
        </w:rPr>
        <w:t> </w:t>
      </w:r>
      <w:r>
        <w:rPr>
          <w:spacing w:val="19"/>
          <w:w w:val="90"/>
          <w:sz w:val="25"/>
        </w:rPr>
        <w:t>可</w:t>
      </w:r>
      <w:r>
        <w:rPr>
          <w:spacing w:val="43"/>
          <w:w w:val="90"/>
          <w:sz w:val="25"/>
        </w:rPr>
        <w:t>謂</w:t>
      </w:r>
      <w:r>
        <w:rPr>
          <w:spacing w:val="36"/>
          <w:w w:val="90"/>
          <w:sz w:val="25"/>
        </w:rPr>
        <w:t>亦</w:t>
      </w:r>
      <w:r>
        <w:rPr>
          <w:spacing w:val="28"/>
          <w:w w:val="90"/>
          <w:sz w:val="25"/>
        </w:rPr>
        <w:t>受</w:t>
      </w:r>
      <w:r>
        <w:rPr>
          <w:spacing w:val="29"/>
          <w:w w:val="90"/>
          <w:sz w:val="25"/>
        </w:rPr>
        <w:t>判</w:t>
      </w:r>
      <w:r>
        <w:rPr>
          <w:w w:val="90"/>
          <w:sz w:val="25"/>
        </w:rPr>
        <w:t>決效</w:t>
      </w:r>
      <w:r>
        <w:rPr>
          <w:spacing w:val="1"/>
          <w:w w:val="90"/>
          <w:sz w:val="25"/>
        </w:rPr>
        <w:t> </w:t>
      </w:r>
      <w:r>
        <w:rPr>
          <w:w w:val="95"/>
          <w:sz w:val="25"/>
        </w:rPr>
        <w:t>力之</w:t>
      </w:r>
      <w:r>
        <w:rPr>
          <w:spacing w:val="-13"/>
          <w:w w:val="95"/>
          <w:sz w:val="25"/>
        </w:rPr>
        <w:t> </w:t>
      </w:r>
      <w:r>
        <w:rPr>
          <w:spacing w:val="30"/>
          <w:w w:val="95"/>
          <w:sz w:val="25"/>
        </w:rPr>
        <w:t>拘</w:t>
      </w:r>
      <w:r>
        <w:rPr>
          <w:w w:val="95"/>
          <w:sz w:val="25"/>
        </w:rPr>
        <w:t>束</w:t>
      </w:r>
      <w:r>
        <w:rPr>
          <w:spacing w:val="-22"/>
          <w:w w:val="95"/>
          <w:sz w:val="25"/>
        </w:rPr>
        <w:t> </w:t>
      </w:r>
      <w:r>
        <w:rPr>
          <w:w w:val="95"/>
          <w:sz w:val="25"/>
        </w:rPr>
        <w:t>。又</w:t>
      </w:r>
      <w:r>
        <w:rPr>
          <w:spacing w:val="39"/>
          <w:w w:val="95"/>
          <w:sz w:val="25"/>
        </w:rPr>
        <w:t>第</w:t>
      </w:r>
      <w:r>
        <w:rPr>
          <w:spacing w:val="26"/>
          <w:w w:val="95"/>
          <w:sz w:val="25"/>
        </w:rPr>
        <w:t>三</w:t>
      </w:r>
      <w:r>
        <w:rPr>
          <w:w w:val="95"/>
          <w:sz w:val="25"/>
        </w:rPr>
        <w:t>人</w:t>
      </w:r>
      <w:r>
        <w:rPr>
          <w:spacing w:val="36"/>
          <w:w w:val="95"/>
          <w:sz w:val="25"/>
        </w:rPr>
        <w:t> </w:t>
      </w:r>
      <w:r>
        <w:rPr>
          <w:rFonts w:ascii="Times New Roman" w:eastAsia="Times New Roman"/>
          <w:w w:val="95"/>
          <w:sz w:val="27"/>
        </w:rPr>
        <w:t>(</w:t>
      </w:r>
      <w:r>
        <w:rPr>
          <w:rFonts w:ascii="Times New Roman" w:eastAsia="Times New Roman"/>
          <w:spacing w:val="5"/>
          <w:w w:val="95"/>
          <w:sz w:val="27"/>
        </w:rPr>
        <w:t> </w:t>
      </w:r>
      <w:r>
        <w:rPr>
          <w:rFonts w:ascii="Times New Roman" w:eastAsia="Times New Roman"/>
          <w:w w:val="95"/>
          <w:sz w:val="27"/>
        </w:rPr>
        <w:t>A</w:t>
      </w:r>
      <w:r>
        <w:rPr>
          <w:rFonts w:ascii="Times New Roman" w:eastAsia="Times New Roman"/>
          <w:spacing w:val="38"/>
          <w:w w:val="95"/>
          <w:sz w:val="27"/>
        </w:rPr>
        <w:t> </w:t>
      </w:r>
      <w:r>
        <w:rPr>
          <w:w w:val="95"/>
          <w:sz w:val="25"/>
        </w:rPr>
        <w:t>工</w:t>
      </w:r>
      <w:r>
        <w:rPr>
          <w:spacing w:val="38"/>
          <w:w w:val="95"/>
          <w:sz w:val="25"/>
        </w:rPr>
        <w:t>廠</w:t>
      </w:r>
      <w:r>
        <w:rPr>
          <w:w w:val="95"/>
          <w:sz w:val="25"/>
        </w:rPr>
        <w:t>）</w:t>
      </w:r>
      <w:r>
        <w:rPr>
          <w:spacing w:val="18"/>
          <w:w w:val="95"/>
          <w:sz w:val="25"/>
        </w:rPr>
        <w:t>雖</w:t>
      </w:r>
      <w:r>
        <w:rPr>
          <w:spacing w:val="36"/>
          <w:w w:val="95"/>
          <w:sz w:val="25"/>
        </w:rPr>
        <w:t>非</w:t>
      </w:r>
      <w:r>
        <w:rPr>
          <w:w w:val="95"/>
          <w:sz w:val="25"/>
        </w:rPr>
        <w:t>法</w:t>
      </w:r>
      <w:r>
        <w:rPr>
          <w:spacing w:val="47"/>
          <w:w w:val="95"/>
          <w:sz w:val="25"/>
        </w:rPr>
        <w:t>院</w:t>
      </w:r>
      <w:r>
        <w:rPr>
          <w:spacing w:val="29"/>
          <w:w w:val="95"/>
          <w:sz w:val="25"/>
        </w:rPr>
        <w:t>判</w:t>
      </w:r>
      <w:r>
        <w:rPr>
          <w:w w:val="95"/>
          <w:sz w:val="25"/>
        </w:rPr>
        <w:t>決</w:t>
      </w:r>
      <w:r>
        <w:rPr>
          <w:spacing w:val="55"/>
          <w:w w:val="95"/>
          <w:sz w:val="25"/>
        </w:rPr>
        <w:t>之</w:t>
      </w:r>
      <w:r>
        <w:rPr>
          <w:spacing w:val="43"/>
          <w:w w:val="95"/>
          <w:sz w:val="25"/>
        </w:rPr>
        <w:t>對</w:t>
      </w:r>
      <w:r>
        <w:rPr>
          <w:w w:val="95"/>
          <w:sz w:val="25"/>
        </w:rPr>
        <w:t>象</w:t>
      </w:r>
      <w:r>
        <w:rPr>
          <w:rFonts w:ascii="Times New Roman" w:eastAsia="Times New Roman"/>
          <w:w w:val="75"/>
          <w:sz w:val="16"/>
        </w:rPr>
        <w:t>106</w:t>
      </w:r>
      <w:r>
        <w:rPr>
          <w:rFonts w:ascii="Times New Roman" w:eastAsia="Times New Roman"/>
          <w:spacing w:val="43"/>
          <w:sz w:val="16"/>
        </w:rPr>
        <w:t> </w:t>
      </w:r>
      <w:r>
        <w:rPr>
          <w:rFonts w:ascii="Times New Roman" w:eastAsia="Times New Roman"/>
          <w:spacing w:val="43"/>
          <w:sz w:val="16"/>
        </w:rPr>
        <w:t> </w:t>
      </w:r>
      <w:r>
        <w:rPr>
          <w:rFonts w:ascii="Times New Roman" w:eastAsia="Times New Roman"/>
          <w:w w:val="95"/>
          <w:sz w:val="16"/>
        </w:rPr>
        <w:t>,</w:t>
        <w:tab/>
      </w:r>
      <w:r>
        <w:rPr>
          <w:spacing w:val="22"/>
          <w:sz w:val="25"/>
        </w:rPr>
        <w:t>惟</w:t>
      </w:r>
      <w:r>
        <w:rPr>
          <w:spacing w:val="29"/>
          <w:sz w:val="25"/>
        </w:rPr>
        <w:t>其</w:t>
      </w:r>
      <w:r>
        <w:rPr>
          <w:sz w:val="25"/>
        </w:rPr>
        <w:t>為原</w:t>
      </w:r>
      <w:r>
        <w:rPr>
          <w:spacing w:val="-61"/>
          <w:sz w:val="25"/>
        </w:rPr>
        <w:t> </w:t>
      </w:r>
      <w:r>
        <w:rPr>
          <w:sz w:val="25"/>
        </w:rPr>
        <w:t>告（</w:t>
      </w:r>
      <w:r>
        <w:rPr>
          <w:spacing w:val="-61"/>
          <w:sz w:val="25"/>
        </w:rPr>
        <w:t> </w:t>
      </w:r>
      <w:r>
        <w:rPr>
          <w:sz w:val="25"/>
        </w:rPr>
        <w:t>鄰</w:t>
      </w:r>
      <w:r>
        <w:rPr>
          <w:w w:val="110"/>
          <w:sz w:val="25"/>
        </w:rPr>
        <w:t>人某甲）所提超「對第三人不利益之課予義務訴訟」中，爭訟法律關係之行政處分（夜間禁止營運之侵益處分）之相對人。其「行政處分相對人」</w:t>
      </w:r>
      <w:r>
        <w:rPr>
          <w:rFonts w:ascii="Times New Roman" w:eastAsia="Times New Roman"/>
          <w:sz w:val="29"/>
        </w:rPr>
        <w:t>(Adressat</w:t>
      </w:r>
      <w:r>
        <w:rPr>
          <w:rFonts w:ascii="Times New Roman" w:eastAsia="Times New Roman"/>
          <w:spacing w:val="33"/>
          <w:sz w:val="29"/>
        </w:rPr>
        <w:t> </w:t>
      </w:r>
      <w:r>
        <w:rPr>
          <w:rFonts w:ascii="Times New Roman" w:eastAsia="Times New Roman"/>
          <w:sz w:val="29"/>
        </w:rPr>
        <w:t>des</w:t>
      </w:r>
      <w:r>
        <w:rPr>
          <w:rFonts w:ascii="Times New Roman" w:eastAsia="Times New Roman"/>
          <w:spacing w:val="5"/>
          <w:sz w:val="29"/>
        </w:rPr>
        <w:t> </w:t>
      </w:r>
      <w:r>
        <w:rPr>
          <w:rFonts w:ascii="Times New Roman" w:eastAsia="Times New Roman"/>
          <w:sz w:val="29"/>
        </w:rPr>
        <w:t>erstrebten</w:t>
      </w:r>
      <w:r>
        <w:rPr>
          <w:rFonts w:ascii="Times New Roman" w:eastAsia="Times New Roman"/>
          <w:spacing w:val="31"/>
          <w:sz w:val="29"/>
        </w:rPr>
        <w:t> </w:t>
      </w:r>
      <w:r>
        <w:rPr>
          <w:rFonts w:ascii="Times New Roman" w:eastAsia="Times New Roman"/>
          <w:w w:val="95"/>
          <w:sz w:val="29"/>
        </w:rPr>
        <w:t>Verw</w:t>
      </w:r>
      <w:r>
        <w:rPr>
          <w:rFonts w:ascii="Times New Roman" w:eastAsia="Times New Roman"/>
          <w:spacing w:val="26"/>
          <w:w w:val="95"/>
          <w:sz w:val="29"/>
        </w:rPr>
        <w:t> </w:t>
      </w:r>
      <w:r>
        <w:rPr>
          <w:rFonts w:ascii="Times New Roman" w:eastAsia="Times New Roman"/>
          <w:sz w:val="29"/>
        </w:rPr>
        <w:t>a</w:t>
      </w:r>
      <w:r>
        <w:rPr>
          <w:rFonts w:ascii="Times New Roman" w:eastAsia="Times New Roman"/>
          <w:spacing w:val="-33"/>
          <w:sz w:val="29"/>
        </w:rPr>
        <w:t> </w:t>
      </w:r>
      <w:r>
        <w:rPr>
          <w:rFonts w:ascii="Times New Roman" w:eastAsia="Times New Roman"/>
          <w:sz w:val="29"/>
        </w:rPr>
        <w:t>l</w:t>
      </w:r>
      <w:r>
        <w:rPr>
          <w:rFonts w:ascii="Times New Roman" w:eastAsia="Times New Roman"/>
          <w:spacing w:val="-31"/>
          <w:sz w:val="29"/>
        </w:rPr>
        <w:t> </w:t>
      </w:r>
      <w:r>
        <w:rPr>
          <w:rFonts w:ascii="Times New Roman" w:eastAsia="Times New Roman"/>
          <w:sz w:val="29"/>
        </w:rPr>
        <w:t>t</w:t>
      </w:r>
      <w:r>
        <w:rPr>
          <w:rFonts w:ascii="Times New Roman" w:eastAsia="Times New Roman"/>
          <w:spacing w:val="-25"/>
          <w:sz w:val="29"/>
        </w:rPr>
        <w:t> </w:t>
      </w:r>
      <w:r>
        <w:rPr>
          <w:rFonts w:ascii="Times New Roman" w:eastAsia="Times New Roman"/>
          <w:w w:val="95"/>
          <w:sz w:val="29"/>
        </w:rPr>
        <w:t>ungsa</w:t>
      </w:r>
      <w:r>
        <w:rPr>
          <w:rFonts w:ascii="Times New Roman" w:eastAsia="Times New Roman"/>
          <w:spacing w:val="22"/>
          <w:w w:val="95"/>
          <w:sz w:val="29"/>
        </w:rPr>
        <w:t> </w:t>
      </w:r>
      <w:r>
        <w:rPr>
          <w:rFonts w:ascii="Times New Roman" w:eastAsia="Times New Roman"/>
          <w:sz w:val="29"/>
        </w:rPr>
        <w:t>kt</w:t>
      </w:r>
      <w:r>
        <w:rPr>
          <w:rFonts w:ascii="Times New Roman" w:eastAsia="Times New Roman"/>
          <w:spacing w:val="4"/>
          <w:sz w:val="29"/>
        </w:rPr>
        <w:t> </w:t>
      </w:r>
      <w:r>
        <w:rPr>
          <w:rFonts w:ascii="Times New Roman" w:eastAsia="Times New Roman"/>
          <w:sz w:val="29"/>
        </w:rPr>
        <w:t>s</w:t>
      </w:r>
      <w:r>
        <w:rPr>
          <w:rFonts w:ascii="Times New Roman" w:eastAsia="Times New Roman"/>
          <w:spacing w:val="17"/>
          <w:sz w:val="29"/>
        </w:rPr>
        <w:t> </w:t>
      </w:r>
      <w:r>
        <w:rPr>
          <w:rFonts w:ascii="Times New Roman" w:eastAsia="Times New Roman"/>
          <w:sz w:val="29"/>
        </w:rPr>
        <w:t>)</w:t>
      </w:r>
      <w:r>
        <w:rPr>
          <w:rFonts w:ascii="Times New Roman" w:eastAsia="Times New Roman"/>
          <w:spacing w:val="17"/>
          <w:sz w:val="29"/>
        </w:rPr>
        <w:t> </w:t>
      </w:r>
      <w:r>
        <w:rPr>
          <w:sz w:val="25"/>
        </w:rPr>
        <w:t>之</w:t>
      </w:r>
      <w:r>
        <w:rPr>
          <w:spacing w:val="-57"/>
          <w:sz w:val="25"/>
        </w:rPr>
        <w:t> </w:t>
      </w:r>
      <w:r>
        <w:rPr>
          <w:sz w:val="25"/>
        </w:rPr>
        <w:t>地位</w:t>
      </w:r>
      <w:r>
        <w:rPr>
          <w:spacing w:val="-19"/>
          <w:sz w:val="25"/>
        </w:rPr>
        <w:t> </w:t>
      </w:r>
      <w:r>
        <w:rPr>
          <w:w w:val="95"/>
          <w:sz w:val="25"/>
        </w:rPr>
        <w:t>，</w:t>
      </w:r>
      <w:r>
        <w:rPr>
          <w:spacing w:val="-60"/>
          <w:w w:val="95"/>
          <w:sz w:val="25"/>
        </w:rPr>
        <w:t> </w:t>
      </w:r>
      <w:r>
        <w:rPr>
          <w:spacing w:val="41"/>
          <w:sz w:val="25"/>
        </w:rPr>
        <w:t>噹</w:t>
      </w:r>
      <w:r>
        <w:rPr>
          <w:sz w:val="25"/>
        </w:rPr>
        <w:t>然轉</w:t>
      </w:r>
      <w:r>
        <w:rPr>
          <w:spacing w:val="-53"/>
          <w:sz w:val="25"/>
        </w:rPr>
        <w:t> </w:t>
      </w:r>
      <w:r>
        <w:rPr>
          <w:spacing w:val="19"/>
          <w:sz w:val="25"/>
        </w:rPr>
        <w:t>換</w:t>
      </w:r>
      <w:r>
        <w:rPr>
          <w:sz w:val="25"/>
        </w:rPr>
        <w:t>為該</w:t>
      </w:r>
    </w:p>
    <w:p>
      <w:pPr>
        <w:spacing w:line="320" w:lineRule="exact" w:before="0"/>
        <w:ind w:left="0" w:right="216" w:firstLine="0"/>
        <w:jc w:val="center"/>
        <w:rPr>
          <w:rFonts w:ascii="Times New Roman" w:eastAsia="Times New Roman"/>
          <w:sz w:val="29"/>
        </w:rPr>
      </w:pPr>
      <w:r>
        <w:rPr>
          <w:spacing w:val="8"/>
          <w:sz w:val="25"/>
        </w:rPr>
        <w:t>「課予義務 訴訟判決相對人」</w:t>
      </w:r>
      <w:r>
        <w:rPr>
          <w:rFonts w:ascii="Times New Roman" w:eastAsia="Times New Roman"/>
          <w:spacing w:val="-3"/>
          <w:sz w:val="29"/>
        </w:rPr>
        <w:t>( </w:t>
      </w:r>
      <w:r>
        <w:rPr>
          <w:rFonts w:ascii="Times New Roman" w:eastAsia="Times New Roman"/>
          <w:sz w:val="29"/>
        </w:rPr>
        <w:t>Adr</w:t>
      </w:r>
      <w:r>
        <w:rPr>
          <w:rFonts w:ascii="Times New Roman" w:eastAsia="Times New Roman"/>
          <w:spacing w:val="-7"/>
          <w:sz w:val="29"/>
        </w:rPr>
        <w:t> </w:t>
      </w:r>
      <w:r>
        <w:rPr>
          <w:rFonts w:ascii="Times New Roman" w:eastAsia="Times New Roman"/>
          <w:sz w:val="29"/>
        </w:rPr>
        <w:t>es</w:t>
      </w:r>
      <w:r>
        <w:rPr>
          <w:rFonts w:ascii="Times New Roman" w:eastAsia="Times New Roman"/>
          <w:spacing w:val="-9"/>
          <w:sz w:val="29"/>
        </w:rPr>
        <w:t> </w:t>
      </w:r>
      <w:r>
        <w:rPr>
          <w:rFonts w:ascii="Times New Roman" w:eastAsia="Times New Roman"/>
          <w:spacing w:val="15"/>
          <w:sz w:val="29"/>
        </w:rPr>
        <w:t>sat</w:t>
      </w:r>
      <w:r>
        <w:rPr>
          <w:rFonts w:ascii="Times New Roman" w:eastAsia="Times New Roman"/>
          <w:spacing w:val="76"/>
          <w:sz w:val="29"/>
        </w:rPr>
        <w:t> </w:t>
      </w:r>
      <w:r>
        <w:rPr>
          <w:rFonts w:ascii="Times New Roman" w:eastAsia="Times New Roman"/>
          <w:sz w:val="29"/>
        </w:rPr>
        <w:t>des</w:t>
      </w:r>
      <w:r>
        <w:rPr>
          <w:rFonts w:ascii="Times New Roman" w:eastAsia="Times New Roman"/>
          <w:spacing w:val="37"/>
          <w:sz w:val="29"/>
        </w:rPr>
        <w:t> </w:t>
      </w:r>
      <w:r>
        <w:rPr>
          <w:rFonts w:ascii="Times New Roman" w:eastAsia="Times New Roman"/>
          <w:sz w:val="29"/>
        </w:rPr>
        <w:t>Verpf</w:t>
      </w:r>
      <w:r>
        <w:rPr>
          <w:rFonts w:ascii="Times New Roman" w:eastAsia="Times New Roman"/>
          <w:spacing w:val="14"/>
          <w:sz w:val="29"/>
        </w:rPr>
        <w:t> </w:t>
      </w:r>
      <w:r>
        <w:rPr>
          <w:rFonts w:ascii="Times New Roman" w:eastAsia="Times New Roman"/>
          <w:sz w:val="29"/>
        </w:rPr>
        <w:t>1ichtungsausspruchs)</w:t>
      </w:r>
    </w:p>
    <w:p>
      <w:pPr>
        <w:pStyle w:val="BodyText"/>
        <w:tabs>
          <w:tab w:pos="1427" w:val="left" w:leader="none"/>
        </w:tabs>
        <w:spacing w:before="86"/>
        <w:ind w:left="310"/>
      </w:pPr>
      <w:r>
        <w:rPr>
          <w:spacing w:val="12"/>
        </w:rPr>
        <w:t>之</w:t>
      </w:r>
      <w:r>
        <w:rPr/>
        <w:t>地位</w:t>
      </w:r>
      <w:r>
        <w:rPr>
          <w:rFonts w:ascii="Times New Roman" w:eastAsia="Times New Roman"/>
          <w:w w:val="65"/>
          <w:sz w:val="16"/>
        </w:rPr>
        <w:t>107</w:t>
        <w:tab/>
      </w:r>
      <w:r>
        <w:rPr>
          <w:w w:val="65"/>
        </w:rPr>
        <w:t>。</w:t>
      </w:r>
      <w:r>
        <w:rPr>
          <w:spacing w:val="22"/>
          <w:w w:val="65"/>
        </w:rPr>
        <w:t> </w:t>
      </w:r>
      <w:r>
        <w:rPr/>
        <w:t>是</w:t>
      </w:r>
      <w:r>
        <w:rPr>
          <w:spacing w:val="29"/>
        </w:rPr>
        <w:t>以</w:t>
      </w:r>
      <w:r>
        <w:rPr>
          <w:spacing w:val="30"/>
        </w:rPr>
        <w:t>其</w:t>
      </w:r>
      <w:r>
        <w:rPr/>
        <w:t>亦</w:t>
      </w:r>
      <w:r>
        <w:rPr>
          <w:spacing w:val="57"/>
        </w:rPr>
        <w:t>符</w:t>
      </w:r>
      <w:r>
        <w:rPr/>
        <w:t>合「</w:t>
      </w:r>
      <w:r>
        <w:rPr>
          <w:spacing w:val="-44"/>
        </w:rPr>
        <w:t> </w:t>
      </w:r>
      <w:r>
        <w:rPr/>
        <w:t>直</w:t>
      </w:r>
      <w:r>
        <w:rPr>
          <w:spacing w:val="47"/>
        </w:rPr>
        <w:t>接</w:t>
      </w:r>
      <w:r>
        <w:rPr>
          <w:spacing w:val="34"/>
        </w:rPr>
        <w:t>之</w:t>
      </w:r>
      <w:r>
        <w:rPr/>
        <w:t>第三</w:t>
      </w:r>
      <w:r>
        <w:rPr>
          <w:spacing w:val="-2"/>
        </w:rPr>
        <w:t> </w:t>
      </w:r>
      <w:r>
        <w:rPr/>
        <w:t>人</w:t>
      </w:r>
      <w:r>
        <w:rPr>
          <w:spacing w:val="23"/>
        </w:rPr>
        <w:t>效</w:t>
      </w:r>
      <w:r>
        <w:rPr/>
        <w:t>果</w:t>
      </w:r>
      <w:r>
        <w:rPr>
          <w:spacing w:val="25"/>
        </w:rPr>
        <w:t>」</w:t>
      </w:r>
      <w:r>
        <w:rPr>
          <w:spacing w:val="11"/>
        </w:rPr>
        <w:t>之</w:t>
      </w:r>
      <w:r>
        <w:rPr>
          <w:spacing w:val="10"/>
        </w:rPr>
        <w:t>要</w:t>
      </w:r>
      <w:r>
        <w:rPr/>
        <w:t>件</w:t>
      </w:r>
      <w:r>
        <w:rPr>
          <w:spacing w:val="-32"/>
        </w:rPr>
        <w:t> </w:t>
      </w:r>
      <w:r>
        <w:rPr/>
        <w:t>。</w:t>
      </w:r>
    </w:p>
    <w:p>
      <w:pPr>
        <w:pStyle w:val="BodyText"/>
        <w:spacing w:line="295" w:lineRule="auto" w:before="136"/>
        <w:ind w:left="306" w:right="513" w:firstLine="568"/>
        <w:jc w:val="both"/>
        <w:rPr>
          <w:rFonts w:ascii="Times New Roman" w:eastAsia="Times New Roman"/>
          <w:sz w:val="16"/>
        </w:rPr>
      </w:pPr>
      <w:r>
        <w:rPr>
          <w:w w:val="105"/>
        </w:rPr>
        <w:t>綜上，原告提超對第三人不利益之課予義務訴訟時，該第三人為必要</w:t>
      </w:r>
      <w:r>
        <w:rPr>
          <w:spacing w:val="75"/>
          <w:w w:val="105"/>
        </w:rPr>
        <w:t> </w:t>
      </w:r>
      <w:r>
        <w:rPr>
          <w:spacing w:val="-18"/>
          <w:w w:val="105"/>
        </w:rPr>
        <w:t>訴訟參加人 。</w:t>
      </w:r>
      <w:r>
        <w:rPr>
          <w:rFonts w:ascii="Times New Roman" w:eastAsia="Times New Roman"/>
          <w:w w:val="65"/>
          <w:sz w:val="16"/>
        </w:rPr>
        <w:t>108</w:t>
      </w:r>
    </w:p>
    <w:p>
      <w:pPr>
        <w:pStyle w:val="BodyText"/>
        <w:rPr>
          <w:rFonts w:ascii="Times New Roman"/>
          <w:sz w:val="20"/>
        </w:rPr>
      </w:pPr>
    </w:p>
    <w:p>
      <w:pPr>
        <w:pStyle w:val="BodyText"/>
        <w:rPr>
          <w:rFonts w:ascii="Times New Roman"/>
          <w:sz w:val="14"/>
        </w:rPr>
      </w:pPr>
      <w:r>
        <w:rPr/>
        <w:pict>
          <v:shape style="position:absolute;margin-left:95.174004pt;margin-top:10.403732pt;width:144.25pt;height:.1pt;mso-position-horizontal-relative:page;mso-position-vertical-relative:paragraph;z-index:-15604224;mso-wrap-distance-left:0;mso-wrap-distance-right:0" coordorigin="1903,208" coordsize="2885,0" path="m1903,208l4788,208e" filled="false" stroked="true" strokeweight=".720821pt" strokecolor="#000000">
            <v:path arrowok="t"/>
            <v:stroke dashstyle="solid"/>
            <w10:wrap type="topAndBottom"/>
          </v:shape>
        </w:pict>
      </w:r>
    </w:p>
    <w:p>
      <w:pPr>
        <w:pStyle w:val="BodyText"/>
        <w:spacing w:before="8"/>
        <w:rPr>
          <w:rFonts w:ascii="Times New Roman"/>
          <w:sz w:val="11"/>
        </w:rPr>
      </w:pPr>
    </w:p>
    <w:p>
      <w:pPr>
        <w:spacing w:before="70"/>
        <w:ind w:left="298" w:right="0" w:firstLine="0"/>
        <w:jc w:val="left"/>
        <w:rPr>
          <w:sz w:val="22"/>
        </w:rPr>
      </w:pPr>
      <w:r>
        <w:rPr>
          <w:rFonts w:ascii="Times New Roman" w:eastAsia="Times New Roman"/>
          <w:w w:val="105"/>
          <w:sz w:val="22"/>
          <w:vertAlign w:val="superscript"/>
        </w:rPr>
        <w:t>106</w:t>
      </w:r>
      <w:r>
        <w:rPr>
          <w:rFonts w:ascii="Times New Roman" w:eastAsia="Times New Roman"/>
          <w:spacing w:val="24"/>
          <w:w w:val="105"/>
          <w:sz w:val="22"/>
          <w:vertAlign w:val="baseline"/>
        </w:rPr>
        <w:t> </w:t>
      </w:r>
      <w:r>
        <w:rPr>
          <w:w w:val="105"/>
          <w:sz w:val="22"/>
          <w:vertAlign w:val="baseline"/>
        </w:rPr>
        <w:t>此之所謂「法院判決之對象」，指狹義之當事人即原、被告而言。</w:t>
      </w:r>
    </w:p>
    <w:p>
      <w:pPr>
        <w:pStyle w:val="Heading6"/>
        <w:spacing w:before="22"/>
        <w:rPr>
          <w:rFonts w:ascii="Arial" w:hAnsi="Arial"/>
          <w:sz w:val="20"/>
        </w:rPr>
      </w:pPr>
      <w:r>
        <w:rPr>
          <w:spacing w:val="-1"/>
          <w:position w:val="8"/>
          <w:sz w:val="13"/>
        </w:rPr>
        <w:t>107</w:t>
      </w:r>
      <w:r>
        <w:rPr>
          <w:spacing w:val="8"/>
          <w:position w:val="8"/>
          <w:sz w:val="13"/>
        </w:rPr>
        <w:t> </w:t>
      </w:r>
      <w:r>
        <w:rPr>
          <w:spacing w:val="-1"/>
        </w:rPr>
        <w:t>Bier,</w:t>
      </w:r>
      <w:r>
        <w:rPr>
          <w:spacing w:val="3"/>
        </w:rPr>
        <w:t> </w:t>
      </w:r>
      <w:r>
        <w:rPr>
          <w:spacing w:val="-1"/>
        </w:rPr>
        <w:t>in:</w:t>
      </w:r>
      <w:r>
        <w:rPr>
          <w:spacing w:val="39"/>
        </w:rPr>
        <w:t> </w:t>
      </w:r>
      <w:r>
        <w:rPr>
          <w:spacing w:val="-1"/>
        </w:rPr>
        <w:t>Schoch/Schmidt-A13mann/Pietzner,</w:t>
      </w:r>
      <w:r>
        <w:rPr>
          <w:spacing w:val="37"/>
        </w:rPr>
        <w:t> </w:t>
      </w:r>
      <w:r>
        <w:rPr/>
        <w:t>VwGO,</w:t>
      </w:r>
      <w:r>
        <w:rPr>
          <w:spacing w:val="58"/>
        </w:rPr>
        <w:t> </w:t>
      </w:r>
      <w:r>
        <w:rPr/>
        <w:t>Stand:</w:t>
      </w:r>
      <w:r>
        <w:rPr>
          <w:spacing w:val="26"/>
        </w:rPr>
        <w:t> </w:t>
      </w:r>
      <w:r>
        <w:rPr/>
        <w:t>September</w:t>
      </w:r>
      <w:r>
        <w:rPr>
          <w:spacing w:val="30"/>
        </w:rPr>
        <w:t> </w:t>
      </w:r>
      <w:r>
        <w:rPr/>
        <w:t>2003,</w:t>
      </w:r>
      <w:r>
        <w:rPr>
          <w:spacing w:val="55"/>
        </w:rPr>
        <w:t> </w:t>
      </w:r>
      <w:r>
        <w:rPr>
          <w:rFonts w:ascii="Arial" w:hAnsi="Arial"/>
          <w:sz w:val="20"/>
        </w:rPr>
        <w:t>§</w:t>
      </w:r>
    </w:p>
    <w:p>
      <w:pPr>
        <w:spacing w:before="13"/>
        <w:ind w:left="507" w:right="0" w:firstLine="0"/>
        <w:jc w:val="left"/>
        <w:rPr>
          <w:rFonts w:ascii="Times New Roman"/>
          <w:sz w:val="26"/>
        </w:rPr>
      </w:pPr>
      <w:r>
        <w:rPr>
          <w:rFonts w:ascii="Times New Roman"/>
          <w:sz w:val="26"/>
        </w:rPr>
        <w:t>65</w:t>
      </w:r>
      <w:r>
        <w:rPr>
          <w:rFonts w:ascii="Times New Roman"/>
          <w:spacing w:val="27"/>
          <w:sz w:val="26"/>
        </w:rPr>
        <w:t> </w:t>
      </w:r>
      <w:r>
        <w:rPr>
          <w:rFonts w:ascii="Times New Roman"/>
          <w:sz w:val="26"/>
        </w:rPr>
        <w:t>Rn.</w:t>
      </w:r>
      <w:r>
        <w:rPr>
          <w:rFonts w:ascii="Times New Roman"/>
          <w:spacing w:val="21"/>
          <w:sz w:val="26"/>
        </w:rPr>
        <w:t> </w:t>
      </w:r>
      <w:r>
        <w:rPr>
          <w:rFonts w:ascii="Times New Roman"/>
          <w:sz w:val="26"/>
        </w:rPr>
        <w:t>22.</w:t>
      </w:r>
    </w:p>
    <w:p>
      <w:pPr>
        <w:spacing w:line="261" w:lineRule="auto" w:before="27"/>
        <w:ind w:left="511" w:right="469" w:hanging="213"/>
        <w:jc w:val="left"/>
        <w:rPr>
          <w:sz w:val="22"/>
        </w:rPr>
      </w:pPr>
      <w:r>
        <w:rPr>
          <w:rFonts w:ascii="Times New Roman" w:eastAsia="Times New Roman"/>
          <w:w w:val="105"/>
          <w:sz w:val="22"/>
          <w:vertAlign w:val="superscript"/>
        </w:rPr>
        <w:t>108</w:t>
      </w:r>
      <w:r>
        <w:rPr>
          <w:rFonts w:ascii="Times New Roman" w:eastAsia="Times New Roman"/>
          <w:spacing w:val="2"/>
          <w:w w:val="105"/>
          <w:sz w:val="22"/>
          <w:vertAlign w:val="baseline"/>
        </w:rPr>
        <w:t>    </w:t>
      </w:r>
      <w:r>
        <w:rPr>
          <w:w w:val="105"/>
          <w:sz w:val="22"/>
          <w:vertAlign w:val="baseline"/>
        </w:rPr>
        <w:t>我國司法實務上，亦有「原告提超課予義務訴訟，訴請判命被告機關作成對第三人</w:t>
      </w:r>
      <w:r>
        <w:rPr>
          <w:w w:val="110"/>
          <w:sz w:val="22"/>
          <w:vertAlign w:val="baseline"/>
        </w:rPr>
        <w:t>不利益之行政處分時，將受不利益處分之第三人為必要訴訟參加人」之案例：最高</w:t>
      </w:r>
    </w:p>
    <w:p>
      <w:pPr>
        <w:spacing w:after="0" w:line="261" w:lineRule="auto"/>
        <w:jc w:val="left"/>
        <w:rPr>
          <w:sz w:val="22"/>
        </w:rPr>
        <w:sectPr>
          <w:pgSz w:w="11910" w:h="16840"/>
          <w:pgMar w:header="862" w:footer="1017" w:top="1060" w:bottom="1200" w:left="1120" w:right="1060"/>
        </w:sectPr>
      </w:pPr>
    </w:p>
    <w:p>
      <w:pPr>
        <w:pStyle w:val="BodyText"/>
        <w:spacing w:before="12"/>
        <w:rPr>
          <w:sz w:val="28"/>
        </w:rPr>
      </w:pPr>
    </w:p>
    <w:p>
      <w:pPr>
        <w:pStyle w:val="BodyText"/>
        <w:spacing w:line="324" w:lineRule="auto" w:before="65"/>
        <w:ind w:left="303" w:right="502" w:firstLine="562"/>
      </w:pPr>
      <w:r>
        <w:rPr>
          <w:w w:val="105"/>
        </w:rPr>
        <w:t>如前所逑，在公務人員之積極競爭者爭訟中，復審人請求機關對其作</w:t>
      </w:r>
      <w:r>
        <w:rPr>
          <w:spacing w:val="95"/>
          <w:w w:val="105"/>
        </w:rPr>
        <w:t> </w:t>
      </w:r>
      <w:r>
        <w:rPr>
          <w:w w:val="105"/>
        </w:rPr>
        <w:t>成陞任、陞遷丶留任等投益處分，其情形與行政訴訟法上必要參加之要件 </w:t>
      </w:r>
      <w:r>
        <w:rPr>
          <w:spacing w:val="1"/>
          <w:w w:val="105"/>
        </w:rPr>
        <w:t> </w:t>
      </w:r>
      <w:r>
        <w:rPr>
          <w:w w:val="105"/>
        </w:rPr>
        <w:t>並不相符。蓋復審人請求保訓會命原處分機關對其作成陞任、陞遷、留任 </w:t>
      </w:r>
      <w:r>
        <w:rPr>
          <w:spacing w:val="1"/>
          <w:w w:val="105"/>
        </w:rPr>
        <w:t> </w:t>
      </w:r>
      <w:r>
        <w:rPr>
          <w:w w:val="105"/>
        </w:rPr>
        <w:t>等授益處分，其本人為所請行政處分之相對人，該第三人（競爭者）並非 </w:t>
      </w:r>
      <w:r>
        <w:rPr>
          <w:spacing w:val="1"/>
          <w:w w:val="105"/>
        </w:rPr>
        <w:t> </w:t>
      </w:r>
      <w:r>
        <w:rPr>
          <w:w w:val="105"/>
        </w:rPr>
        <w:t>復審罄明所請行政處分之相對人，故該課予義務復審之決定對其而言並不 </w:t>
      </w:r>
      <w:r>
        <w:rPr>
          <w:spacing w:val="14"/>
          <w:w w:val="105"/>
        </w:rPr>
        <w:t> </w:t>
      </w:r>
      <w:r>
        <w:rPr>
          <w:spacing w:val="9"/>
          <w:w w:val="95"/>
        </w:rPr>
        <w:t>具有「 直接之第三人效果」</w:t>
      </w:r>
      <w:r>
        <w:rPr>
          <w:rFonts w:ascii="Times New Roman" w:eastAsia="Times New Roman"/>
          <w:spacing w:val="-8"/>
          <w:w w:val="95"/>
          <w:sz w:val="30"/>
        </w:rPr>
        <w:t>( </w:t>
      </w:r>
      <w:r>
        <w:rPr>
          <w:rFonts w:ascii="Times New Roman" w:eastAsia="Times New Roman"/>
          <w:w w:val="95"/>
          <w:sz w:val="30"/>
        </w:rPr>
        <w:t>unmi</w:t>
      </w:r>
      <w:r>
        <w:rPr>
          <w:rFonts w:ascii="Times New Roman" w:eastAsia="Times New Roman"/>
          <w:spacing w:val="-24"/>
          <w:w w:val="95"/>
          <w:sz w:val="30"/>
        </w:rPr>
        <w:t> </w:t>
      </w:r>
      <w:r>
        <w:rPr>
          <w:rFonts w:ascii="Times New Roman" w:eastAsia="Times New Roman"/>
          <w:w w:val="95"/>
          <w:sz w:val="30"/>
        </w:rPr>
        <w:t>t</w:t>
      </w:r>
      <w:r>
        <w:rPr>
          <w:rFonts w:ascii="Times New Roman" w:eastAsia="Times New Roman"/>
          <w:spacing w:val="-14"/>
          <w:w w:val="95"/>
          <w:sz w:val="30"/>
        </w:rPr>
        <w:t> </w:t>
      </w:r>
      <w:r>
        <w:rPr>
          <w:rFonts w:ascii="Times New Roman" w:eastAsia="Times New Roman"/>
          <w:w w:val="95"/>
          <w:sz w:val="30"/>
        </w:rPr>
        <w:t>t</w:t>
      </w:r>
      <w:r>
        <w:rPr>
          <w:rFonts w:ascii="Times New Roman" w:eastAsia="Times New Roman"/>
          <w:spacing w:val="-30"/>
          <w:w w:val="95"/>
          <w:sz w:val="30"/>
        </w:rPr>
        <w:t> </w:t>
      </w:r>
      <w:r>
        <w:rPr>
          <w:rFonts w:ascii="Times New Roman" w:eastAsia="Times New Roman"/>
          <w:spacing w:val="11"/>
          <w:w w:val="95"/>
          <w:sz w:val="30"/>
        </w:rPr>
        <w:t>elbar</w:t>
      </w:r>
      <w:r>
        <w:rPr>
          <w:rFonts w:ascii="Times New Roman" w:eastAsia="Times New Roman"/>
          <w:spacing w:val="7"/>
          <w:w w:val="95"/>
          <w:sz w:val="30"/>
        </w:rPr>
        <w:t> </w:t>
      </w:r>
      <w:r>
        <w:rPr>
          <w:rFonts w:ascii="Times New Roman" w:eastAsia="Times New Roman"/>
          <w:w w:val="95"/>
          <w:sz w:val="30"/>
        </w:rPr>
        <w:t>e</w:t>
      </w:r>
      <w:r>
        <w:rPr>
          <w:rFonts w:ascii="Times New Roman" w:eastAsia="Times New Roman"/>
          <w:spacing w:val="14"/>
          <w:w w:val="95"/>
          <w:sz w:val="30"/>
        </w:rPr>
        <w:t> </w:t>
      </w:r>
      <w:r>
        <w:rPr>
          <w:rFonts w:ascii="Times New Roman" w:eastAsia="Times New Roman"/>
          <w:w w:val="95"/>
          <w:sz w:val="30"/>
        </w:rPr>
        <w:t>Dr</w:t>
      </w:r>
      <w:r>
        <w:rPr>
          <w:rFonts w:ascii="Times New Roman" w:eastAsia="Times New Roman"/>
          <w:spacing w:val="44"/>
          <w:w w:val="95"/>
          <w:sz w:val="30"/>
        </w:rPr>
        <w:t> </w:t>
      </w:r>
      <w:r>
        <w:rPr>
          <w:rFonts w:ascii="Times New Roman" w:eastAsia="Times New Roman"/>
          <w:w w:val="95"/>
          <w:sz w:val="30"/>
        </w:rPr>
        <w:t>i</w:t>
      </w:r>
      <w:r>
        <w:rPr>
          <w:rFonts w:ascii="Times New Roman" w:eastAsia="Times New Roman"/>
          <w:spacing w:val="15"/>
          <w:w w:val="95"/>
          <w:sz w:val="30"/>
        </w:rPr>
        <w:t> </w:t>
      </w:r>
      <w:r>
        <w:rPr>
          <w:rFonts w:ascii="Times New Roman" w:eastAsia="Times New Roman"/>
          <w:w w:val="95"/>
          <w:sz w:val="30"/>
        </w:rPr>
        <w:t>t</w:t>
      </w:r>
      <w:r>
        <w:rPr>
          <w:rFonts w:ascii="Times New Roman" w:eastAsia="Times New Roman"/>
          <w:spacing w:val="24"/>
          <w:w w:val="95"/>
          <w:sz w:val="30"/>
        </w:rPr>
        <w:t> </w:t>
      </w:r>
      <w:r>
        <w:rPr>
          <w:rFonts w:ascii="Times New Roman" w:eastAsia="Times New Roman"/>
          <w:w w:val="95"/>
          <w:sz w:val="30"/>
        </w:rPr>
        <w:t>t</w:t>
      </w:r>
      <w:r>
        <w:rPr>
          <w:rFonts w:ascii="Times New Roman" w:eastAsia="Times New Roman"/>
          <w:spacing w:val="18"/>
          <w:w w:val="95"/>
          <w:sz w:val="30"/>
        </w:rPr>
        <w:t> </w:t>
      </w:r>
      <w:r>
        <w:rPr>
          <w:rFonts w:ascii="Times New Roman" w:eastAsia="Times New Roman"/>
          <w:w w:val="95"/>
          <w:sz w:val="30"/>
        </w:rPr>
        <w:t>bet</w:t>
      </w:r>
      <w:r>
        <w:rPr>
          <w:rFonts w:ascii="Times New Roman" w:eastAsia="Times New Roman"/>
          <w:spacing w:val="17"/>
          <w:w w:val="95"/>
          <w:sz w:val="30"/>
        </w:rPr>
        <w:t> </w:t>
      </w:r>
      <w:r>
        <w:rPr>
          <w:rFonts w:ascii="Times New Roman" w:eastAsia="Times New Roman"/>
          <w:spacing w:val="10"/>
          <w:w w:val="95"/>
          <w:sz w:val="30"/>
        </w:rPr>
        <w:t>rof</w:t>
      </w:r>
      <w:r>
        <w:rPr>
          <w:rFonts w:ascii="Times New Roman" w:eastAsia="Times New Roman"/>
          <w:spacing w:val="-5"/>
          <w:w w:val="95"/>
          <w:sz w:val="30"/>
        </w:rPr>
        <w:t> </w:t>
      </w:r>
      <w:r>
        <w:rPr>
          <w:rFonts w:ascii="Times New Roman" w:eastAsia="Times New Roman"/>
          <w:w w:val="95"/>
          <w:sz w:val="30"/>
        </w:rPr>
        <w:t>f</w:t>
      </w:r>
      <w:r>
        <w:rPr>
          <w:rFonts w:ascii="Times New Roman" w:eastAsia="Times New Roman"/>
          <w:spacing w:val="-19"/>
          <w:w w:val="95"/>
          <w:sz w:val="30"/>
        </w:rPr>
        <w:t> </w:t>
      </w:r>
      <w:r>
        <w:rPr>
          <w:rFonts w:ascii="Times New Roman" w:eastAsia="Times New Roman"/>
          <w:w w:val="95"/>
          <w:sz w:val="30"/>
        </w:rPr>
        <w:t>enhei</w:t>
      </w:r>
      <w:r>
        <w:rPr>
          <w:rFonts w:ascii="Times New Roman" w:eastAsia="Times New Roman"/>
          <w:spacing w:val="-27"/>
          <w:w w:val="95"/>
          <w:sz w:val="30"/>
        </w:rPr>
        <w:t> </w:t>
      </w:r>
      <w:r>
        <w:rPr>
          <w:rFonts w:ascii="Times New Roman" w:eastAsia="Times New Roman"/>
          <w:w w:val="95"/>
          <w:sz w:val="30"/>
        </w:rPr>
        <w:t>t</w:t>
      </w:r>
      <w:r>
        <w:rPr>
          <w:rFonts w:ascii="Times New Roman" w:eastAsia="Times New Roman"/>
          <w:spacing w:val="2"/>
          <w:w w:val="95"/>
          <w:sz w:val="30"/>
        </w:rPr>
        <w:t> ) </w:t>
      </w:r>
      <w:r>
        <w:rPr>
          <w:w w:val="95"/>
        </w:rPr>
        <w:t>。復審</w:t>
      </w:r>
      <w:r>
        <w:rPr>
          <w:w w:val="105"/>
        </w:rPr>
        <w:t>決定既未直接且當然地形成、變更或消滅該競爭者權利，則其並非必要復 </w:t>
      </w:r>
      <w:r>
        <w:rPr>
          <w:spacing w:val="1"/>
          <w:w w:val="105"/>
        </w:rPr>
        <w:t> </w:t>
      </w:r>
      <w:r>
        <w:rPr>
          <w:w w:val="105"/>
        </w:rPr>
        <w:t>審參加人。</w:t>
      </w:r>
    </w:p>
    <w:p>
      <w:pPr>
        <w:pStyle w:val="BodyText"/>
        <w:spacing w:before="121"/>
        <w:ind w:left="3913"/>
      </w:pPr>
      <w:r>
        <w:rPr>
          <w:w w:val="120"/>
        </w:rPr>
        <w:t>二提超撤鎖復審</w:t>
      </w:r>
    </w:p>
    <w:p>
      <w:pPr>
        <w:pStyle w:val="BodyText"/>
        <w:spacing w:before="9"/>
        <w:rPr>
          <w:sz w:val="23"/>
        </w:rPr>
      </w:pPr>
    </w:p>
    <w:p>
      <w:pPr>
        <w:pStyle w:val="BodyText"/>
        <w:spacing w:line="328" w:lineRule="auto" w:before="1"/>
        <w:ind w:left="303" w:right="507" w:firstLine="562"/>
        <w:jc w:val="both"/>
        <w:rPr>
          <w:sz w:val="26"/>
        </w:rPr>
      </w:pPr>
      <w:r>
        <w:rPr>
          <w:w w:val="110"/>
        </w:rPr>
        <w:t>在積極競爭者爭訟，原處分機關對於復審人依法申請之案件，予以否准，損害其権利或利益者，復審人得向保訓會提超撤銷復審，請求撤銷未獲核准之處分。此時，與復審人競爭該職務之第三人，是否得參加復審程</w:t>
      </w:r>
      <w:r>
        <w:rPr>
          <w:w w:val="110"/>
          <w:sz w:val="26"/>
        </w:rPr>
        <w:t>序？</w:t>
      </w:r>
    </w:p>
    <w:p>
      <w:pPr>
        <w:pStyle w:val="BodyText"/>
        <w:spacing w:before="82"/>
        <w:ind w:right="240"/>
        <w:jc w:val="center"/>
      </w:pPr>
      <w:r>
        <w:rPr>
          <w:rFonts w:ascii="Times New Roman" w:eastAsia="Times New Roman"/>
          <w:b/>
          <w:spacing w:val="21"/>
          <w:w w:val="115"/>
          <w:position w:val="-2"/>
          <w:sz w:val="28"/>
        </w:rPr>
        <w:t>(</w:t>
      </w:r>
      <w:r>
        <w:rPr>
          <w:w w:val="115"/>
        </w:rPr>
        <w:t>一</w:t>
      </w:r>
      <w:r>
        <w:rPr>
          <w:rFonts w:ascii="Times New Roman" w:eastAsia="Times New Roman"/>
          <w:b/>
          <w:spacing w:val="-68"/>
          <w:w w:val="115"/>
          <w:position w:val="-2"/>
          <w:sz w:val="28"/>
        </w:rPr>
        <w:t>)</w:t>
      </w:r>
      <w:r>
        <w:rPr>
          <w:w w:val="115"/>
        </w:rPr>
        <w:t>行政訴訟法上訴訟參加制度要件之分析</w:t>
      </w:r>
    </w:p>
    <w:p>
      <w:pPr>
        <w:pStyle w:val="BodyText"/>
        <w:spacing w:line="319" w:lineRule="auto" w:before="249"/>
        <w:ind w:left="312" w:right="519" w:firstLine="548"/>
      </w:pPr>
      <w:r>
        <w:rPr>
          <w:spacing w:val="7"/>
        </w:rPr>
        <w:t>行政訴訟法第 </w:t>
      </w:r>
      <w:r>
        <w:rPr>
          <w:rFonts w:ascii="Times New Roman" w:eastAsia="Times New Roman"/>
          <w:sz w:val="31"/>
        </w:rPr>
        <w:t>42</w:t>
      </w:r>
      <w:r>
        <w:rPr>
          <w:rFonts w:ascii="Times New Roman" w:eastAsia="Times New Roman"/>
          <w:spacing w:val="9"/>
          <w:sz w:val="31"/>
        </w:rPr>
        <w:t> </w:t>
      </w:r>
      <w:r>
        <w:rPr>
          <w:spacing w:val="-3"/>
        </w:rPr>
        <w:t>條 第 </w:t>
      </w:r>
      <w:r>
        <w:rPr>
          <w:rFonts w:ascii="Times New Roman" w:eastAsia="Times New Roman"/>
          <w:sz w:val="31"/>
        </w:rPr>
        <w:t>l</w:t>
      </w:r>
      <w:r>
        <w:rPr>
          <w:rFonts w:ascii="Times New Roman" w:eastAsia="Times New Roman"/>
          <w:spacing w:val="34"/>
          <w:sz w:val="31"/>
        </w:rPr>
        <w:t> </w:t>
      </w:r>
      <w:r>
        <w:rPr>
          <w:spacing w:val="12"/>
        </w:rPr>
        <w:t>項規定：</w:t>
      </w:r>
      <w:r>
        <w:rPr/>
        <w:t>「行政法院認為撤 銷訴訟之結果</w:t>
      </w:r>
      <w:r>
        <w:rPr>
          <w:spacing w:val="-37"/>
          <w:w w:val="95"/>
        </w:rPr>
        <w:t>， </w:t>
      </w:r>
      <w:r>
        <w:rPr/>
        <w:t>第三人之権利或法律上利益將受損害者，得依職権命其獨立參加訴訟，並得</w:t>
      </w:r>
    </w:p>
    <w:p>
      <w:pPr>
        <w:pStyle w:val="BodyText"/>
        <w:rPr>
          <w:sz w:val="24"/>
        </w:rPr>
      </w:pPr>
    </w:p>
    <w:p>
      <w:pPr>
        <w:pStyle w:val="BodyText"/>
        <w:spacing w:before="4"/>
        <w:rPr>
          <w:sz w:val="27"/>
        </w:rPr>
      </w:pPr>
    </w:p>
    <w:p>
      <w:pPr>
        <w:spacing w:line="225" w:lineRule="auto" w:before="0"/>
        <w:ind w:left="498" w:right="546" w:hanging="1"/>
        <w:jc w:val="left"/>
        <w:rPr>
          <w:rFonts w:ascii="Times New Roman" w:eastAsia="Times New Roman"/>
          <w:sz w:val="30"/>
        </w:rPr>
      </w:pPr>
      <w:r>
        <w:rPr/>
        <w:pict>
          <v:line style="position:absolute;mso-position-horizontal-relative:page;mso-position-vertical-relative:paragraph;z-index:15853568" from="95.174004pt,-11.889688pt" to="549.89426pt,-11.889688pt" stroked="true" strokeweight=".240274pt" strokecolor="#000000">
            <v:stroke dashstyle="solid"/>
            <w10:wrap type="none"/>
          </v:line>
        </w:pict>
      </w:r>
      <w:r>
        <w:rPr>
          <w:spacing w:val="9"/>
          <w:sz w:val="21"/>
        </w:rPr>
        <w:t>行政法皖</w:t>
      </w:r>
      <w:r>
        <w:rPr>
          <w:rFonts w:ascii="Times New Roman" w:eastAsia="Times New Roman"/>
          <w:spacing w:val="10"/>
          <w:sz w:val="26"/>
        </w:rPr>
        <w:t>92</w:t>
      </w:r>
      <w:r>
        <w:rPr>
          <w:spacing w:val="20"/>
          <w:sz w:val="21"/>
        </w:rPr>
        <w:t>年度裁罄字第</w:t>
      </w:r>
      <w:r>
        <w:rPr>
          <w:rFonts w:ascii="Times New Roman" w:eastAsia="Times New Roman"/>
          <w:sz w:val="26"/>
        </w:rPr>
        <w:t>28</w:t>
      </w:r>
      <w:r>
        <w:rPr>
          <w:spacing w:val="-13"/>
          <w:sz w:val="21"/>
        </w:rPr>
        <w:t>號裁定 、</w:t>
      </w:r>
      <w:r>
        <w:rPr>
          <w:rFonts w:ascii="Times New Roman" w:eastAsia="Times New Roman"/>
          <w:spacing w:val="10"/>
          <w:sz w:val="26"/>
        </w:rPr>
        <w:t>92</w:t>
      </w:r>
      <w:r>
        <w:rPr>
          <w:spacing w:val="3"/>
          <w:sz w:val="21"/>
        </w:rPr>
        <w:t>年度判字 第</w:t>
      </w:r>
      <w:r>
        <w:rPr>
          <w:rFonts w:ascii="Times New Roman" w:eastAsia="Times New Roman"/>
          <w:sz w:val="26"/>
        </w:rPr>
        <w:t>1910</w:t>
      </w:r>
      <w:r>
        <w:rPr>
          <w:spacing w:val="-3"/>
          <w:sz w:val="21"/>
        </w:rPr>
        <w:t>號判決 ， 臺北 高等行 政法皖</w:t>
      </w:r>
      <w:r>
        <w:rPr>
          <w:rFonts w:ascii="Times New Roman" w:eastAsia="Times New Roman"/>
          <w:sz w:val="26"/>
        </w:rPr>
        <w:t>89</w:t>
      </w:r>
      <w:r>
        <w:rPr>
          <w:spacing w:val="20"/>
          <w:sz w:val="21"/>
        </w:rPr>
        <w:t>年度訴字第</w:t>
      </w:r>
      <w:r>
        <w:rPr>
          <w:rFonts w:ascii="Times New Roman" w:eastAsia="Times New Roman"/>
          <w:sz w:val="26"/>
        </w:rPr>
        <w:t>1825</w:t>
      </w:r>
      <w:r>
        <w:rPr>
          <w:spacing w:val="7"/>
          <w:sz w:val="21"/>
        </w:rPr>
        <w:t>號判決</w:t>
      </w:r>
      <w:r>
        <w:rPr>
          <w:sz w:val="21"/>
        </w:rPr>
        <w:t>（</w:t>
      </w:r>
      <w:r>
        <w:rPr>
          <w:spacing w:val="3"/>
          <w:sz w:val="21"/>
        </w:rPr>
        <w:t> 原告提超課予義務 訴訟 ，訴請請求主管機 關對其競爭者</w:t>
      </w:r>
      <w:r>
        <w:rPr>
          <w:spacing w:val="1"/>
          <w:sz w:val="21"/>
        </w:rPr>
        <w:t>作成裁罰處分 ， 其競爭者為必要訴訟參加人</w:t>
      </w:r>
      <w:r>
        <w:rPr>
          <w:sz w:val="21"/>
        </w:rPr>
        <w:t>）</w:t>
      </w:r>
      <w:r>
        <w:rPr>
          <w:spacing w:val="-5"/>
          <w:sz w:val="21"/>
        </w:rPr>
        <w:t>。本件案例 事實略為： 甲</w:t>
      </w:r>
      <w:r>
        <w:rPr>
          <w:rFonts w:ascii="Times New Roman" w:eastAsia="Times New Roman"/>
          <w:sz w:val="30"/>
        </w:rPr>
        <w:t>00</w:t>
      </w:r>
      <w:r>
        <w:rPr>
          <w:rFonts w:ascii="Times New Roman" w:eastAsia="Times New Roman"/>
          <w:spacing w:val="104"/>
          <w:sz w:val="30"/>
        </w:rPr>
        <w:t> </w:t>
      </w:r>
      <w:r>
        <w:rPr>
          <w:spacing w:val="23"/>
          <w:sz w:val="21"/>
        </w:rPr>
        <w:t>公司前因</w:t>
      </w:r>
      <w:r>
        <w:rPr>
          <w:spacing w:val="13"/>
          <w:w w:val="95"/>
          <w:sz w:val="21"/>
        </w:rPr>
        <w:t>檢舉 美商乙</w:t>
      </w:r>
      <w:r>
        <w:rPr>
          <w:rFonts w:ascii="Times New Roman" w:eastAsia="Times New Roman"/>
          <w:w w:val="95"/>
          <w:sz w:val="30"/>
        </w:rPr>
        <w:t>00</w:t>
      </w:r>
      <w:r>
        <w:rPr>
          <w:rFonts w:ascii="Times New Roman" w:eastAsia="Times New Roman"/>
          <w:spacing w:val="193"/>
          <w:sz w:val="30"/>
        </w:rPr>
        <w:t> </w:t>
      </w:r>
      <w:r>
        <w:rPr>
          <w:spacing w:val="15"/>
          <w:w w:val="95"/>
          <w:sz w:val="21"/>
        </w:rPr>
        <w:t>公司為排 除其競爭對手，由 其發言人對外散布不實消息，泛稱甲</w:t>
      </w:r>
      <w:r>
        <w:rPr>
          <w:rFonts w:ascii="Times New Roman" w:eastAsia="Times New Roman"/>
          <w:w w:val="95"/>
          <w:sz w:val="30"/>
        </w:rPr>
        <w:t>00</w:t>
      </w:r>
      <w:r>
        <w:rPr>
          <w:rFonts w:ascii="Times New Roman" w:eastAsia="Times New Roman"/>
          <w:spacing w:val="1"/>
          <w:w w:val="95"/>
          <w:sz w:val="30"/>
        </w:rPr>
        <w:t> </w:t>
      </w:r>
      <w:r>
        <w:rPr>
          <w:spacing w:val="16"/>
          <w:sz w:val="21"/>
        </w:rPr>
        <w:t>公司及 其美國子公司所生產產品侵害美商乙</w:t>
      </w:r>
      <w:r>
        <w:rPr>
          <w:rFonts w:ascii="Times New Roman" w:eastAsia="Times New Roman"/>
          <w:sz w:val="30"/>
        </w:rPr>
        <w:t>00</w:t>
      </w:r>
      <w:r>
        <w:rPr>
          <w:rFonts w:ascii="Times New Roman" w:eastAsia="Times New Roman"/>
          <w:spacing w:val="37"/>
          <w:sz w:val="30"/>
        </w:rPr>
        <w:t> </w:t>
      </w:r>
      <w:r>
        <w:rPr>
          <w:spacing w:val="2"/>
          <w:sz w:val="21"/>
        </w:rPr>
        <w:t>公司之 美國專利權 。而美 商乙</w:t>
      </w:r>
      <w:r>
        <w:rPr>
          <w:rFonts w:ascii="Times New Roman" w:eastAsia="Times New Roman"/>
          <w:sz w:val="30"/>
        </w:rPr>
        <w:t>00</w:t>
      </w:r>
    </w:p>
    <w:p>
      <w:pPr>
        <w:spacing w:line="225" w:lineRule="auto" w:before="52"/>
        <w:ind w:left="505" w:right="569" w:firstLine="8"/>
        <w:jc w:val="left"/>
        <w:rPr>
          <w:sz w:val="21"/>
        </w:rPr>
      </w:pPr>
      <w:r>
        <w:rPr>
          <w:w w:val="110"/>
          <w:sz w:val="21"/>
        </w:rPr>
        <w:t>公司為使上開不實消息散布全球，於其所設立之網際網路及專門提供電子與電腦資</w:t>
      </w:r>
      <w:r>
        <w:rPr>
          <w:spacing w:val="7"/>
          <w:w w:val="110"/>
          <w:sz w:val="21"/>
        </w:rPr>
        <w:t> </w:t>
      </w:r>
      <w:r>
        <w:rPr>
          <w:sz w:val="21"/>
        </w:rPr>
        <w:t>訊之「</w:t>
      </w:r>
      <w:r>
        <w:rPr>
          <w:rFonts w:ascii="Times New Roman" w:eastAsia="Times New Roman"/>
          <w:sz w:val="30"/>
        </w:rPr>
        <w:t>00</w:t>
      </w:r>
      <w:r>
        <w:rPr>
          <w:rFonts w:ascii="Times New Roman" w:eastAsia="Times New Roman"/>
          <w:spacing w:val="112"/>
          <w:sz w:val="30"/>
        </w:rPr>
        <w:t> </w:t>
      </w:r>
      <w:r>
        <w:rPr>
          <w:spacing w:val="9"/>
          <w:sz w:val="21"/>
        </w:rPr>
        <w:t>新聞」 上刊登上開消息之新聞稿 。美商乙</w:t>
      </w:r>
      <w:r>
        <w:rPr>
          <w:rFonts w:ascii="Times New Roman" w:eastAsia="Times New Roman"/>
          <w:sz w:val="30"/>
        </w:rPr>
        <w:t>00</w:t>
      </w:r>
      <w:r>
        <w:rPr>
          <w:rFonts w:ascii="Times New Roman" w:eastAsia="Times New Roman"/>
          <w:spacing w:val="5"/>
          <w:sz w:val="30"/>
        </w:rPr>
        <w:t>   </w:t>
      </w:r>
      <w:r>
        <w:rPr>
          <w:spacing w:val="3"/>
          <w:sz w:val="21"/>
        </w:rPr>
        <w:t>公司在 未 經 權責機關確定</w:t>
      </w:r>
    </w:p>
    <w:p>
      <w:pPr>
        <w:spacing w:line="308" w:lineRule="exact" w:before="3"/>
        <w:ind w:left="514" w:right="578" w:firstLine="2"/>
        <w:jc w:val="left"/>
        <w:rPr>
          <w:sz w:val="21"/>
        </w:rPr>
      </w:pPr>
      <w:r>
        <w:rPr>
          <w:spacing w:val="18"/>
          <w:sz w:val="21"/>
        </w:rPr>
        <w:t>甲</w:t>
      </w:r>
      <w:r>
        <w:rPr>
          <w:rFonts w:ascii="Times New Roman" w:eastAsia="Times New Roman"/>
          <w:sz w:val="30"/>
        </w:rPr>
        <w:t>00</w:t>
      </w:r>
      <w:r>
        <w:rPr>
          <w:rFonts w:ascii="Times New Roman" w:eastAsia="Times New Roman"/>
          <w:spacing w:val="52"/>
          <w:sz w:val="30"/>
        </w:rPr>
        <w:t> </w:t>
      </w:r>
      <w:r>
        <w:rPr>
          <w:spacing w:val="-1"/>
          <w:sz w:val="21"/>
        </w:rPr>
        <w:t>公司及 其美國子公司是否侵 害其 專利權前即用 網路散佈不實消息 ， 顔已超出</w:t>
      </w:r>
      <w:r>
        <w:rPr>
          <w:w w:val="105"/>
          <w:sz w:val="21"/>
        </w:rPr>
        <w:t>其保護專利之必要程度，有違行為時公平交易法相關規定。案經行政浣公平交易委</w:t>
      </w:r>
    </w:p>
    <w:p>
      <w:pPr>
        <w:spacing w:line="312" w:lineRule="exact" w:before="1"/>
        <w:ind w:left="506" w:right="571" w:firstLine="25"/>
        <w:jc w:val="left"/>
        <w:rPr>
          <w:sz w:val="21"/>
        </w:rPr>
      </w:pPr>
      <w:r>
        <w:rPr>
          <w:spacing w:val="3"/>
          <w:w w:val="95"/>
          <w:sz w:val="21"/>
        </w:rPr>
        <w:t>員 會調查結果 ，以 尚難認有違反公平交易法之情事 。甲</w:t>
      </w:r>
      <w:r>
        <w:rPr>
          <w:rFonts w:ascii="Times New Roman" w:eastAsia="Times New Roman"/>
          <w:w w:val="95"/>
          <w:sz w:val="30"/>
        </w:rPr>
        <w:t>00</w:t>
      </w:r>
      <w:r>
        <w:rPr>
          <w:rFonts w:ascii="Times New Roman" w:eastAsia="Times New Roman"/>
          <w:spacing w:val="18"/>
          <w:w w:val="95"/>
          <w:sz w:val="30"/>
        </w:rPr>
        <w:t> </w:t>
      </w:r>
      <w:r>
        <w:rPr>
          <w:spacing w:val="10"/>
          <w:w w:val="95"/>
          <w:sz w:val="21"/>
        </w:rPr>
        <w:t>公司不 服 ，經 依 訴願程</w:t>
      </w:r>
      <w:r>
        <w:rPr>
          <w:w w:val="105"/>
          <w:sz w:val="21"/>
        </w:rPr>
        <w:t>序未獲救濟，乃以行政院公平交易委員會為被告，提超排除否准之課予義務訴訟，</w:t>
      </w:r>
    </w:p>
    <w:p>
      <w:pPr>
        <w:spacing w:line="308" w:lineRule="exact" w:before="9"/>
        <w:ind w:left="506" w:right="503" w:firstLine="3"/>
        <w:jc w:val="left"/>
        <w:rPr>
          <w:sz w:val="21"/>
        </w:rPr>
      </w:pPr>
      <w:r>
        <w:rPr>
          <w:spacing w:val="-2"/>
          <w:sz w:val="21"/>
        </w:rPr>
        <w:t>訴請撒銷原處分及訴願決定 ，並 命 被 告 為適法之行政處分 。美商乙</w:t>
      </w:r>
      <w:r>
        <w:rPr>
          <w:rFonts w:ascii="Times New Roman" w:hAnsi="Times New Roman" w:eastAsia="Times New Roman"/>
          <w:sz w:val="30"/>
        </w:rPr>
        <w:t>00</w:t>
      </w:r>
      <w:r>
        <w:rPr>
          <w:rFonts w:ascii="Times New Roman" w:hAnsi="Times New Roman" w:eastAsia="Times New Roman"/>
          <w:spacing w:val="38"/>
          <w:sz w:val="30"/>
        </w:rPr>
        <w:t> </w:t>
      </w:r>
      <w:r>
        <w:rPr>
          <w:sz w:val="21"/>
        </w:rPr>
        <w:t>公司 磬請參</w:t>
      </w:r>
      <w:r>
        <w:rPr>
          <w:w w:val="105"/>
          <w:sz w:val="21"/>
        </w:rPr>
        <w:t>加訴訟。本案中，最高行政法院認為：「…上訴人不服被上訴人就其所檢舉聲請人違</w:t>
      </w:r>
    </w:p>
    <w:p>
      <w:pPr>
        <w:spacing w:line="278" w:lineRule="auto" w:before="40"/>
        <w:ind w:left="497" w:right="503" w:firstLine="12"/>
        <w:jc w:val="both"/>
        <w:rPr>
          <w:sz w:val="21"/>
        </w:rPr>
      </w:pPr>
      <w:r>
        <w:rPr>
          <w:w w:val="110"/>
          <w:sz w:val="21"/>
        </w:rPr>
        <w:t>反公平交易法行為所為之處分及行政院就其訴願作成之訴願決定，向原審法浣提出</w:t>
      </w:r>
      <w:r>
        <w:rPr>
          <w:spacing w:val="46"/>
          <w:w w:val="110"/>
          <w:sz w:val="21"/>
        </w:rPr>
        <w:t> </w:t>
      </w:r>
      <w:r>
        <w:rPr>
          <w:w w:val="115"/>
          <w:sz w:val="21"/>
        </w:rPr>
        <w:t>行政訴訟，原審法院以該撒銷訴訟之結果，罄請人之權利或法律上利益將受損害，</w:t>
      </w:r>
      <w:r>
        <w:rPr>
          <w:spacing w:val="-119"/>
          <w:w w:val="115"/>
          <w:sz w:val="21"/>
        </w:rPr>
        <w:t> </w:t>
      </w:r>
      <w:r>
        <w:rPr>
          <w:w w:val="110"/>
          <w:sz w:val="21"/>
        </w:rPr>
        <w:t>乃命磬請人參加訴訟，上訴人不服原審法皖所為對其不利之判決，向鈞院提超上訴，</w:t>
      </w:r>
      <w:r>
        <w:rPr>
          <w:spacing w:val="1"/>
          <w:w w:val="110"/>
          <w:sz w:val="21"/>
        </w:rPr>
        <w:t> </w:t>
      </w:r>
      <w:r>
        <w:rPr>
          <w:w w:val="115"/>
          <w:sz w:val="21"/>
        </w:rPr>
        <w:t>磬請人於此上訴程序之利害關係與原審相同，自仍有參加必要，為此聲請准予依法</w:t>
      </w:r>
      <w:r>
        <w:rPr>
          <w:w w:val="110"/>
          <w:sz w:val="21"/>
        </w:rPr>
        <w:t>獨立參加本件訴訟等語，揆之首揭規定，聲請人之磬請並蕪不合，應予准許。…」。</w:t>
      </w:r>
    </w:p>
    <w:p>
      <w:pPr>
        <w:spacing w:after="0" w:line="278" w:lineRule="auto"/>
        <w:jc w:val="both"/>
        <w:rPr>
          <w:sz w:val="21"/>
        </w:rPr>
        <w:sectPr>
          <w:pgSz w:w="11910" w:h="16840"/>
          <w:pgMar w:header="862" w:footer="1017" w:top="1060" w:bottom="1200" w:left="1120" w:right="1060"/>
        </w:sectPr>
      </w:pPr>
    </w:p>
    <w:p>
      <w:pPr>
        <w:pStyle w:val="BodyText"/>
        <w:spacing w:before="11"/>
        <w:rPr>
          <w:sz w:val="28"/>
        </w:rPr>
      </w:pPr>
    </w:p>
    <w:p>
      <w:pPr>
        <w:pStyle w:val="BodyText"/>
        <w:spacing w:line="328" w:lineRule="auto" w:before="65"/>
        <w:ind w:left="314" w:right="590" w:firstLine="7"/>
      </w:pPr>
      <w:r>
        <w:rPr>
          <w:w w:val="110"/>
        </w:rPr>
        <w:t>因該第三人之罄請，裁定允許其參加」。第三人得否參加訴訟，須視其是否有權利或法律上利益將因訴訟之結果而受損害。</w:t>
      </w:r>
    </w:p>
    <w:p>
      <w:pPr>
        <w:tabs>
          <w:tab w:pos="5586" w:val="left" w:leader="none"/>
        </w:tabs>
        <w:spacing w:line="316" w:lineRule="auto" w:before="2"/>
        <w:ind w:left="306" w:right="477" w:firstLine="563"/>
        <w:jc w:val="left"/>
        <w:rPr>
          <w:rFonts w:ascii="Times New Roman" w:eastAsia="Times New Roman"/>
          <w:sz w:val="29"/>
        </w:rPr>
      </w:pPr>
      <w:r>
        <w:rPr>
          <w:w w:val="110"/>
          <w:sz w:val="25"/>
        </w:rPr>
        <w:t>所謂「權利」，其定義及內涵已明喵，無庸贅逑。至於所謂「法律上</w:t>
      </w:r>
      <w:r>
        <w:rPr>
          <w:spacing w:val="29"/>
          <w:sz w:val="25"/>
        </w:rPr>
        <w:t>利</w:t>
      </w:r>
      <w:r>
        <w:rPr>
          <w:spacing w:val="16"/>
          <w:sz w:val="25"/>
        </w:rPr>
        <w:t>益</w:t>
      </w:r>
      <w:r>
        <w:rPr>
          <w:sz w:val="25"/>
        </w:rPr>
        <w:t>」</w:t>
      </w:r>
      <w:r>
        <w:rPr>
          <w:rFonts w:ascii="Times New Roman" w:eastAsia="Times New Roman"/>
          <w:sz w:val="29"/>
        </w:rPr>
        <w:t>(</w:t>
      </w:r>
      <w:r>
        <w:rPr>
          <w:rFonts w:ascii="Times New Roman" w:eastAsia="Times New Roman"/>
          <w:spacing w:val="-12"/>
          <w:sz w:val="29"/>
        </w:rPr>
        <w:t> </w:t>
      </w:r>
      <w:r>
        <w:rPr>
          <w:rFonts w:ascii="Times New Roman" w:eastAsia="Times New Roman"/>
          <w:sz w:val="29"/>
        </w:rPr>
        <w:t>das</w:t>
      </w:r>
      <w:r>
        <w:rPr>
          <w:rFonts w:ascii="Times New Roman" w:eastAsia="Times New Roman"/>
          <w:spacing w:val="1"/>
          <w:sz w:val="29"/>
        </w:rPr>
        <w:t> </w:t>
      </w:r>
      <w:r>
        <w:rPr>
          <w:rFonts w:ascii="Times New Roman" w:eastAsia="Times New Roman"/>
          <w:sz w:val="29"/>
        </w:rPr>
        <w:t>recht1i</w:t>
      </w:r>
      <w:r>
        <w:rPr>
          <w:rFonts w:ascii="Times New Roman" w:eastAsia="Times New Roman"/>
          <w:spacing w:val="-9"/>
          <w:sz w:val="29"/>
        </w:rPr>
        <w:t> </w:t>
      </w:r>
      <w:r>
        <w:rPr>
          <w:rFonts w:ascii="Times New Roman" w:eastAsia="Times New Roman"/>
          <w:sz w:val="29"/>
        </w:rPr>
        <w:t>che</w:t>
      </w:r>
      <w:r>
        <w:rPr>
          <w:rFonts w:ascii="Times New Roman" w:eastAsia="Times New Roman"/>
          <w:spacing w:val="38"/>
          <w:sz w:val="29"/>
        </w:rPr>
        <w:t> </w:t>
      </w:r>
      <w:r>
        <w:rPr>
          <w:rFonts w:ascii="Times New Roman" w:eastAsia="Times New Roman"/>
          <w:sz w:val="29"/>
        </w:rPr>
        <w:t>Int</w:t>
      </w:r>
      <w:r>
        <w:rPr>
          <w:rFonts w:ascii="Times New Roman" w:eastAsia="Times New Roman"/>
          <w:spacing w:val="-7"/>
          <w:sz w:val="29"/>
        </w:rPr>
        <w:t> </w:t>
      </w:r>
      <w:r>
        <w:rPr>
          <w:rFonts w:ascii="Times New Roman" w:eastAsia="Times New Roman"/>
          <w:sz w:val="29"/>
        </w:rPr>
        <w:t>er</w:t>
      </w:r>
      <w:r>
        <w:rPr>
          <w:rFonts w:ascii="Times New Roman" w:eastAsia="Times New Roman"/>
          <w:spacing w:val="-18"/>
          <w:sz w:val="29"/>
        </w:rPr>
        <w:t> </w:t>
      </w:r>
      <w:r>
        <w:rPr>
          <w:rFonts w:ascii="Times New Roman" w:eastAsia="Times New Roman"/>
          <w:spacing w:val="10"/>
          <w:sz w:val="29"/>
        </w:rPr>
        <w:t>esse</w:t>
      </w:r>
      <w:r>
        <w:rPr>
          <w:rFonts w:ascii="Times New Roman" w:eastAsia="Times New Roman"/>
          <w:spacing w:val="-9"/>
          <w:sz w:val="29"/>
        </w:rPr>
        <w:t> </w:t>
      </w:r>
      <w:r>
        <w:rPr>
          <w:rFonts w:ascii="Times New Roman" w:eastAsia="Times New Roman"/>
          <w:sz w:val="29"/>
        </w:rPr>
        <w:t>)</w:t>
      </w:r>
      <w:r>
        <w:rPr>
          <w:rFonts w:ascii="Times New Roman" w:eastAsia="Times New Roman"/>
          <w:spacing w:val="44"/>
          <w:sz w:val="29"/>
        </w:rPr>
        <w:t> </w:t>
      </w:r>
      <w:r>
        <w:rPr>
          <w:w w:val="80"/>
          <w:sz w:val="25"/>
        </w:rPr>
        <w:t>，</w:t>
      </w:r>
      <w:r>
        <w:rPr>
          <w:spacing w:val="-32"/>
          <w:w w:val="80"/>
          <w:sz w:val="25"/>
        </w:rPr>
        <w:t> </w:t>
      </w:r>
      <w:r>
        <w:rPr>
          <w:spacing w:val="29"/>
          <w:sz w:val="25"/>
        </w:rPr>
        <w:t>則</w:t>
      </w:r>
      <w:r>
        <w:rPr>
          <w:sz w:val="25"/>
        </w:rPr>
        <w:t>係</w:t>
      </w:r>
      <w:r>
        <w:rPr>
          <w:spacing w:val="23"/>
          <w:sz w:val="25"/>
        </w:rPr>
        <w:t>指</w:t>
      </w:r>
      <w:r>
        <w:rPr>
          <w:spacing w:val="37"/>
          <w:sz w:val="25"/>
        </w:rPr>
        <w:t>「</w:t>
      </w:r>
      <w:r>
        <w:rPr>
          <w:spacing w:val="25"/>
          <w:sz w:val="25"/>
        </w:rPr>
        <w:t>在</w:t>
      </w:r>
      <w:r>
        <w:rPr>
          <w:sz w:val="25"/>
        </w:rPr>
        <w:t>法</w:t>
      </w:r>
      <w:r>
        <w:rPr>
          <w:spacing w:val="41"/>
          <w:sz w:val="25"/>
        </w:rPr>
        <w:t>律</w:t>
      </w:r>
      <w:r>
        <w:rPr>
          <w:spacing w:val="19"/>
          <w:sz w:val="25"/>
        </w:rPr>
        <w:t>上</w:t>
      </w:r>
      <w:r>
        <w:rPr>
          <w:sz w:val="25"/>
        </w:rPr>
        <w:t>受</w:t>
      </w:r>
      <w:r>
        <w:rPr>
          <w:spacing w:val="59"/>
          <w:sz w:val="25"/>
        </w:rPr>
        <w:t>保</w:t>
      </w:r>
      <w:r>
        <w:rPr>
          <w:spacing w:val="11"/>
          <w:sz w:val="25"/>
        </w:rPr>
        <w:t>護</w:t>
      </w:r>
      <w:r>
        <w:rPr>
          <w:sz w:val="25"/>
        </w:rPr>
        <w:t>之</w:t>
      </w:r>
      <w:r>
        <w:rPr>
          <w:spacing w:val="29"/>
          <w:sz w:val="25"/>
        </w:rPr>
        <w:t>利</w:t>
      </w:r>
      <w:r>
        <w:rPr>
          <w:sz w:val="25"/>
        </w:rPr>
        <w:t>益」</w:t>
      </w:r>
      <w:r>
        <w:rPr>
          <w:rFonts w:ascii="Times New Roman" w:eastAsia="Times New Roman"/>
          <w:w w:val="110"/>
          <w:sz w:val="29"/>
        </w:rPr>
        <w:t>(recht</w:t>
      </w:r>
      <w:r>
        <w:rPr>
          <w:rFonts w:ascii="Times New Roman" w:eastAsia="Times New Roman"/>
          <w:spacing w:val="-43"/>
          <w:w w:val="110"/>
          <w:sz w:val="29"/>
        </w:rPr>
        <w:t> </w:t>
      </w:r>
      <w:r>
        <w:rPr>
          <w:rFonts w:ascii="Times New Roman" w:eastAsia="Times New Roman"/>
          <w:w w:val="110"/>
          <w:sz w:val="29"/>
        </w:rPr>
        <w:t>1</w:t>
      </w:r>
      <w:r>
        <w:rPr>
          <w:rFonts w:ascii="Times New Roman" w:eastAsia="Times New Roman"/>
          <w:spacing w:val="-47"/>
          <w:w w:val="110"/>
          <w:sz w:val="29"/>
        </w:rPr>
        <w:t> </w:t>
      </w:r>
      <w:r>
        <w:rPr>
          <w:rFonts w:ascii="Times New Roman" w:eastAsia="Times New Roman"/>
          <w:w w:val="110"/>
          <w:sz w:val="29"/>
        </w:rPr>
        <w:t>ich </w:t>
      </w:r>
      <w:r>
        <w:rPr>
          <w:rFonts w:ascii="Times New Roman" w:eastAsia="Times New Roman"/>
          <w:spacing w:val="3"/>
          <w:w w:val="110"/>
          <w:sz w:val="29"/>
        </w:rPr>
        <w:t> </w:t>
      </w:r>
      <w:r>
        <w:rPr>
          <w:rFonts w:ascii="Times New Roman" w:eastAsia="Times New Roman"/>
          <w:w w:val="110"/>
          <w:sz w:val="29"/>
        </w:rPr>
        <w:t>geschli</w:t>
      </w:r>
      <w:r>
        <w:rPr>
          <w:rFonts w:ascii="Times New Roman" w:eastAsia="Times New Roman"/>
          <w:spacing w:val="-49"/>
          <w:w w:val="110"/>
          <w:sz w:val="29"/>
        </w:rPr>
        <w:t> </w:t>
      </w:r>
      <w:r>
        <w:rPr>
          <w:rFonts w:ascii="Times New Roman" w:eastAsia="Times New Roman"/>
          <w:w w:val="110"/>
          <w:sz w:val="29"/>
        </w:rPr>
        <w:t>tztes </w:t>
      </w:r>
      <w:r>
        <w:rPr>
          <w:rFonts w:ascii="Times New Roman" w:eastAsia="Times New Roman"/>
          <w:spacing w:val="48"/>
          <w:w w:val="110"/>
          <w:sz w:val="29"/>
        </w:rPr>
        <w:t> </w:t>
      </w:r>
      <w:r>
        <w:rPr>
          <w:rFonts w:ascii="Times New Roman" w:eastAsia="Times New Roman"/>
          <w:w w:val="110"/>
          <w:sz w:val="29"/>
        </w:rPr>
        <w:t>Interesse)</w:t>
      </w:r>
      <w:r>
        <w:rPr>
          <w:rFonts w:ascii="Times New Roman" w:eastAsia="Times New Roman"/>
          <w:spacing w:val="32"/>
          <w:w w:val="110"/>
          <w:sz w:val="29"/>
        </w:rPr>
        <w:t> </w:t>
      </w:r>
      <w:r>
        <w:rPr>
          <w:rFonts w:ascii="Times New Roman" w:eastAsia="Times New Roman"/>
          <w:w w:val="80"/>
          <w:sz w:val="15"/>
        </w:rPr>
        <w:t>1</w:t>
      </w:r>
      <w:r>
        <w:rPr>
          <w:rFonts w:ascii="Times New Roman" w:eastAsia="Times New Roman"/>
          <w:spacing w:val="9"/>
          <w:w w:val="80"/>
          <w:sz w:val="15"/>
        </w:rPr>
        <w:t> </w:t>
      </w:r>
      <w:r>
        <w:rPr>
          <w:rFonts w:ascii="Times New Roman" w:eastAsia="Times New Roman"/>
          <w:w w:val="80"/>
          <w:sz w:val="15"/>
        </w:rPr>
        <w:t>09</w:t>
      </w:r>
      <w:r>
        <w:rPr>
          <w:rFonts w:ascii="Times New Roman" w:eastAsia="Times New Roman"/>
          <w:spacing w:val="64"/>
          <w:sz w:val="15"/>
        </w:rPr>
        <w:t> </w:t>
      </w:r>
      <w:r>
        <w:rPr>
          <w:rFonts w:ascii="Times New Roman" w:eastAsia="Times New Roman"/>
          <w:w w:val="110"/>
          <w:sz w:val="15"/>
        </w:rPr>
        <w:t>,</w:t>
        <w:tab/>
      </w:r>
      <w:r>
        <w:rPr>
          <w:w w:val="110"/>
          <w:sz w:val="25"/>
        </w:rPr>
        <w:t>即經</w:t>
      </w:r>
      <w:r>
        <w:rPr>
          <w:spacing w:val="13"/>
          <w:w w:val="110"/>
          <w:sz w:val="25"/>
        </w:rPr>
        <w:t>由</w:t>
      </w:r>
      <w:r>
        <w:rPr>
          <w:spacing w:val="41"/>
          <w:w w:val="110"/>
          <w:sz w:val="25"/>
        </w:rPr>
        <w:t>抽</w:t>
      </w:r>
      <w:r>
        <w:rPr>
          <w:w w:val="110"/>
          <w:sz w:val="25"/>
        </w:rPr>
        <w:t>象</w:t>
      </w:r>
      <w:r>
        <w:rPr>
          <w:spacing w:val="60"/>
          <w:w w:val="110"/>
          <w:sz w:val="25"/>
        </w:rPr>
        <w:t>之</w:t>
      </w:r>
      <w:r>
        <w:rPr>
          <w:spacing w:val="15"/>
          <w:w w:val="110"/>
          <w:sz w:val="25"/>
        </w:rPr>
        <w:t>法</w:t>
      </w:r>
      <w:r>
        <w:rPr>
          <w:w w:val="110"/>
          <w:sz w:val="25"/>
        </w:rPr>
        <w:t>規範加</w:t>
      </w:r>
      <w:r>
        <w:rPr>
          <w:spacing w:val="27"/>
          <w:w w:val="110"/>
          <w:sz w:val="25"/>
        </w:rPr>
        <w:t>以</w:t>
      </w:r>
      <w:r>
        <w:rPr>
          <w:w w:val="110"/>
          <w:sz w:val="25"/>
        </w:rPr>
        <w:t>具</w:t>
      </w:r>
      <w:r>
        <w:rPr>
          <w:sz w:val="25"/>
        </w:rPr>
        <w:t>體</w:t>
      </w:r>
      <w:r>
        <w:rPr>
          <w:spacing w:val="40"/>
          <w:sz w:val="25"/>
        </w:rPr>
        <w:t>化</w:t>
      </w:r>
      <w:r>
        <w:rPr>
          <w:sz w:val="25"/>
        </w:rPr>
        <w:t>之</w:t>
      </w:r>
      <w:r>
        <w:rPr>
          <w:spacing w:val="26"/>
          <w:sz w:val="25"/>
        </w:rPr>
        <w:t>個</w:t>
      </w:r>
      <w:r>
        <w:rPr>
          <w:sz w:val="25"/>
        </w:rPr>
        <w:t>人</w:t>
      </w:r>
      <w:r>
        <w:rPr>
          <w:spacing w:val="31"/>
          <w:sz w:val="25"/>
        </w:rPr>
        <w:t>利</w:t>
      </w:r>
      <w:r>
        <w:rPr>
          <w:sz w:val="25"/>
        </w:rPr>
        <w:t>益</w:t>
      </w:r>
      <w:r>
        <w:rPr>
          <w:rFonts w:ascii="Times New Roman" w:eastAsia="Times New Roman"/>
          <w:sz w:val="15"/>
        </w:rPr>
        <w:t>110</w:t>
      </w:r>
      <w:r>
        <w:rPr>
          <w:rFonts w:ascii="Times New Roman" w:eastAsia="Times New Roman"/>
          <w:spacing w:val="32"/>
          <w:sz w:val="15"/>
        </w:rPr>
        <w:t> </w:t>
      </w:r>
      <w:r>
        <w:rPr>
          <w:w w:val="80"/>
          <w:sz w:val="25"/>
        </w:rPr>
        <w:t>。</w:t>
      </w:r>
      <w:r>
        <w:rPr>
          <w:spacing w:val="-16"/>
          <w:w w:val="80"/>
          <w:sz w:val="25"/>
        </w:rPr>
        <w:t> </w:t>
      </w:r>
      <w:r>
        <w:rPr>
          <w:sz w:val="25"/>
        </w:rPr>
        <w:t>法</w:t>
      </w:r>
      <w:r>
        <w:rPr>
          <w:spacing w:val="35"/>
          <w:sz w:val="25"/>
        </w:rPr>
        <w:t>律</w:t>
      </w:r>
      <w:r>
        <w:rPr>
          <w:spacing w:val="14"/>
          <w:sz w:val="25"/>
        </w:rPr>
        <w:t>上</w:t>
      </w:r>
      <w:r>
        <w:rPr>
          <w:spacing w:val="24"/>
          <w:sz w:val="25"/>
        </w:rPr>
        <w:t>利</w:t>
      </w:r>
      <w:r>
        <w:rPr>
          <w:spacing w:val="18"/>
          <w:sz w:val="25"/>
        </w:rPr>
        <w:t>益</w:t>
      </w:r>
      <w:r>
        <w:rPr>
          <w:sz w:val="25"/>
        </w:rPr>
        <w:t>之</w:t>
      </w:r>
      <w:r>
        <w:rPr>
          <w:spacing w:val="19"/>
          <w:sz w:val="25"/>
        </w:rPr>
        <w:t>範</w:t>
      </w:r>
      <w:r>
        <w:rPr>
          <w:spacing w:val="40"/>
          <w:sz w:val="25"/>
        </w:rPr>
        <w:t>圍固</w:t>
      </w:r>
      <w:r>
        <w:rPr>
          <w:sz w:val="25"/>
        </w:rPr>
        <w:t>然頗</w:t>
      </w:r>
      <w:r>
        <w:rPr>
          <w:spacing w:val="-35"/>
          <w:sz w:val="25"/>
        </w:rPr>
        <w:t> </w:t>
      </w:r>
      <w:r>
        <w:rPr>
          <w:sz w:val="25"/>
        </w:rPr>
        <w:t>為廣</w:t>
      </w:r>
      <w:r>
        <w:rPr>
          <w:spacing w:val="-52"/>
          <w:sz w:val="25"/>
        </w:rPr>
        <w:t> </w:t>
      </w:r>
      <w:r>
        <w:rPr>
          <w:sz w:val="25"/>
        </w:rPr>
        <w:t>泛</w:t>
      </w:r>
      <w:r>
        <w:rPr>
          <w:spacing w:val="-38"/>
          <w:sz w:val="25"/>
        </w:rPr>
        <w:t> </w:t>
      </w:r>
      <w:r>
        <w:rPr>
          <w:w w:val="80"/>
          <w:sz w:val="25"/>
        </w:rPr>
        <w:t>，</w:t>
      </w:r>
      <w:r>
        <w:rPr>
          <w:spacing w:val="-56"/>
          <w:w w:val="80"/>
          <w:sz w:val="25"/>
        </w:rPr>
        <w:t> </w:t>
      </w:r>
      <w:r>
        <w:rPr>
          <w:spacing w:val="12"/>
          <w:sz w:val="25"/>
        </w:rPr>
        <w:t>但</w:t>
      </w:r>
      <w:r>
        <w:rPr>
          <w:sz w:val="25"/>
        </w:rPr>
        <w:t>不</w:t>
      </w:r>
      <w:r>
        <w:rPr>
          <w:spacing w:val="-57"/>
          <w:sz w:val="25"/>
        </w:rPr>
        <w:t> </w:t>
      </w:r>
      <w:r>
        <w:rPr>
          <w:spacing w:val="10"/>
          <w:sz w:val="25"/>
        </w:rPr>
        <w:t>包</w:t>
      </w:r>
      <w:r>
        <w:rPr>
          <w:spacing w:val="15"/>
          <w:sz w:val="25"/>
        </w:rPr>
        <w:t>括</w:t>
      </w:r>
      <w:r>
        <w:rPr>
          <w:spacing w:val="29"/>
          <w:sz w:val="25"/>
        </w:rPr>
        <w:t>理</w:t>
      </w:r>
      <w:r>
        <w:rPr>
          <w:sz w:val="25"/>
        </w:rPr>
        <w:t>念上</w:t>
      </w:r>
      <w:r>
        <w:rPr>
          <w:rFonts w:ascii="Times New Roman" w:eastAsia="Times New Roman"/>
          <w:sz w:val="29"/>
        </w:rPr>
        <w:t>(ideel</w:t>
      </w:r>
      <w:r>
        <w:rPr>
          <w:rFonts w:ascii="Times New Roman" w:eastAsia="Times New Roman"/>
          <w:spacing w:val="2"/>
          <w:sz w:val="29"/>
        </w:rPr>
        <w:t> </w:t>
      </w:r>
      <w:r>
        <w:rPr>
          <w:rFonts w:ascii="Times New Roman" w:eastAsia="Times New Roman"/>
          <w:sz w:val="29"/>
        </w:rPr>
        <w:t>les)</w:t>
      </w:r>
      <w:r>
        <w:rPr>
          <w:rFonts w:ascii="Times New Roman" w:eastAsia="Times New Roman"/>
          <w:spacing w:val="48"/>
          <w:sz w:val="29"/>
        </w:rPr>
        <w:t> </w:t>
      </w:r>
      <w:r>
        <w:rPr>
          <w:rFonts w:ascii="Times New Roman" w:eastAsia="Times New Roman"/>
          <w:sz w:val="15"/>
        </w:rPr>
        <w:t>111</w:t>
      </w:r>
      <w:r>
        <w:rPr>
          <w:rFonts w:ascii="Times New Roman" w:eastAsia="Times New Roman"/>
          <w:spacing w:val="41"/>
          <w:sz w:val="15"/>
        </w:rPr>
        <w:t> </w:t>
      </w:r>
      <w:r>
        <w:rPr>
          <w:sz w:val="22"/>
        </w:rPr>
        <w:t>、社</w:t>
      </w:r>
      <w:r>
        <w:rPr>
          <w:spacing w:val="-18"/>
          <w:sz w:val="22"/>
        </w:rPr>
        <w:t> </w:t>
      </w:r>
      <w:r>
        <w:rPr>
          <w:sz w:val="22"/>
        </w:rPr>
        <w:t>會</w:t>
      </w:r>
      <w:r>
        <w:rPr>
          <w:spacing w:val="-38"/>
          <w:sz w:val="22"/>
        </w:rPr>
        <w:t> </w:t>
      </w:r>
      <w:r>
        <w:rPr>
          <w:sz w:val="22"/>
        </w:rPr>
        <w:t>上</w:t>
      </w:r>
      <w:r>
        <w:rPr>
          <w:spacing w:val="87"/>
          <w:sz w:val="22"/>
        </w:rPr>
        <w:t> </w:t>
      </w:r>
      <w:r>
        <w:rPr>
          <w:rFonts w:ascii="Times New Roman" w:eastAsia="Times New Roman"/>
          <w:sz w:val="29"/>
        </w:rPr>
        <w:t>(</w:t>
      </w:r>
      <w:r>
        <w:rPr>
          <w:rFonts w:ascii="Times New Roman" w:eastAsia="Times New Roman"/>
          <w:spacing w:val="-6"/>
          <w:sz w:val="29"/>
        </w:rPr>
        <w:t> </w:t>
      </w:r>
      <w:r>
        <w:rPr>
          <w:rFonts w:ascii="Times New Roman" w:eastAsia="Times New Roman"/>
          <w:sz w:val="29"/>
        </w:rPr>
        <w:t>soz</w:t>
      </w:r>
      <w:r>
        <w:rPr>
          <w:rFonts w:ascii="Times New Roman" w:eastAsia="Times New Roman"/>
          <w:spacing w:val="19"/>
          <w:sz w:val="29"/>
        </w:rPr>
        <w:t> </w:t>
      </w:r>
      <w:r>
        <w:rPr>
          <w:rFonts w:ascii="Times New Roman" w:eastAsia="Times New Roman"/>
          <w:spacing w:val="16"/>
          <w:sz w:val="29"/>
        </w:rPr>
        <w:t>ial</w:t>
      </w:r>
      <w:r>
        <w:rPr>
          <w:rFonts w:ascii="Times New Roman" w:eastAsia="Times New Roman"/>
          <w:spacing w:val="-38"/>
          <w:sz w:val="29"/>
        </w:rPr>
        <w:t> </w:t>
      </w:r>
      <w:r>
        <w:rPr>
          <w:rFonts w:ascii="Times New Roman" w:eastAsia="Times New Roman"/>
          <w:sz w:val="29"/>
        </w:rPr>
        <w:t>es</w:t>
      </w:r>
      <w:r>
        <w:rPr>
          <w:rFonts w:ascii="Times New Roman" w:eastAsia="Times New Roman"/>
          <w:spacing w:val="-4"/>
          <w:sz w:val="29"/>
        </w:rPr>
        <w:t> </w:t>
      </w:r>
      <w:r>
        <w:rPr>
          <w:rFonts w:ascii="Times New Roman" w:eastAsia="Times New Roman"/>
          <w:sz w:val="29"/>
        </w:rPr>
        <w:t>)</w:t>
      </w:r>
      <w:r>
        <w:rPr>
          <w:rFonts w:ascii="Times New Roman" w:eastAsia="Times New Roman"/>
          <w:spacing w:val="2"/>
          <w:sz w:val="29"/>
        </w:rPr>
        <w:t> </w:t>
      </w:r>
      <w:r>
        <w:rPr>
          <w:sz w:val="22"/>
        </w:rPr>
        <w:t>、</w:t>
      </w:r>
      <w:r>
        <w:rPr>
          <w:spacing w:val="24"/>
          <w:sz w:val="22"/>
        </w:rPr>
        <w:t>經</w:t>
      </w:r>
      <w:r>
        <w:rPr>
          <w:spacing w:val="40"/>
          <w:sz w:val="22"/>
        </w:rPr>
        <w:t>濟</w:t>
      </w:r>
      <w:r>
        <w:rPr>
          <w:sz w:val="22"/>
        </w:rPr>
        <w:t>上</w:t>
      </w:r>
      <w:r>
        <w:rPr>
          <w:spacing w:val="61"/>
          <w:sz w:val="22"/>
        </w:rPr>
        <w:t> </w:t>
      </w:r>
      <w:r>
        <w:rPr>
          <w:rFonts w:ascii="Times New Roman" w:eastAsia="Times New Roman"/>
          <w:sz w:val="29"/>
        </w:rPr>
        <w:t>(wi</w:t>
      </w:r>
      <w:r>
        <w:rPr>
          <w:rFonts w:ascii="Times New Roman" w:eastAsia="Times New Roman"/>
          <w:spacing w:val="-24"/>
          <w:sz w:val="29"/>
        </w:rPr>
        <w:t> </w:t>
      </w:r>
      <w:r>
        <w:rPr>
          <w:rFonts w:ascii="Times New Roman" w:eastAsia="Times New Roman"/>
          <w:sz w:val="29"/>
        </w:rPr>
        <w:t>r</w:t>
      </w:r>
      <w:r>
        <w:rPr>
          <w:rFonts w:ascii="Times New Roman" w:eastAsia="Times New Roman"/>
          <w:spacing w:val="-18"/>
          <w:sz w:val="29"/>
        </w:rPr>
        <w:t> </w:t>
      </w:r>
      <w:r>
        <w:rPr>
          <w:rFonts w:ascii="Times New Roman" w:eastAsia="Times New Roman"/>
          <w:sz w:val="29"/>
        </w:rPr>
        <w:t>t</w:t>
      </w:r>
      <w:r>
        <w:rPr>
          <w:rFonts w:ascii="Times New Roman" w:eastAsia="Times New Roman"/>
          <w:spacing w:val="-23"/>
          <w:sz w:val="29"/>
        </w:rPr>
        <w:t> </w:t>
      </w:r>
      <w:r>
        <w:rPr>
          <w:rFonts w:ascii="Times New Roman" w:eastAsia="Times New Roman"/>
          <w:sz w:val="29"/>
        </w:rPr>
        <w:t>s</w:t>
      </w:r>
      <w:r>
        <w:rPr>
          <w:rFonts w:ascii="Times New Roman" w:eastAsia="Times New Roman"/>
          <w:spacing w:val="-42"/>
          <w:sz w:val="29"/>
        </w:rPr>
        <w:t> </w:t>
      </w:r>
      <w:r>
        <w:rPr>
          <w:rFonts w:ascii="Times New Roman" w:eastAsia="Times New Roman"/>
          <w:sz w:val="29"/>
        </w:rPr>
        <w:t>cha</w:t>
      </w:r>
      <w:r>
        <w:rPr>
          <w:rFonts w:ascii="Times New Roman" w:eastAsia="Times New Roman"/>
          <w:spacing w:val="-39"/>
          <w:sz w:val="29"/>
        </w:rPr>
        <w:t> </w:t>
      </w:r>
      <w:r>
        <w:rPr>
          <w:rFonts w:ascii="Times New Roman" w:eastAsia="Times New Roman"/>
          <w:sz w:val="29"/>
        </w:rPr>
        <w:t>f</w:t>
      </w:r>
      <w:r>
        <w:rPr>
          <w:rFonts w:ascii="Times New Roman" w:eastAsia="Times New Roman"/>
          <w:spacing w:val="-7"/>
          <w:sz w:val="29"/>
        </w:rPr>
        <w:t> </w:t>
      </w:r>
      <w:r>
        <w:rPr>
          <w:rFonts w:ascii="Times New Roman" w:eastAsia="Times New Roman"/>
          <w:sz w:val="29"/>
        </w:rPr>
        <w:t>t</w:t>
      </w:r>
      <w:r>
        <w:rPr>
          <w:rFonts w:ascii="Times New Roman" w:eastAsia="Times New Roman"/>
          <w:spacing w:val="23"/>
          <w:sz w:val="29"/>
        </w:rPr>
        <w:t> </w:t>
      </w:r>
      <w:r>
        <w:rPr>
          <w:rFonts w:ascii="Times New Roman" w:eastAsia="Times New Roman"/>
          <w:sz w:val="29"/>
        </w:rPr>
        <w:t>l</w:t>
      </w:r>
      <w:r>
        <w:rPr>
          <w:rFonts w:ascii="Times New Roman" w:eastAsia="Times New Roman"/>
          <w:spacing w:val="-15"/>
          <w:sz w:val="29"/>
        </w:rPr>
        <w:t> </w:t>
      </w:r>
      <w:r>
        <w:rPr>
          <w:rFonts w:ascii="Times New Roman" w:eastAsia="Times New Roman"/>
          <w:sz w:val="29"/>
        </w:rPr>
        <w:t>i</w:t>
      </w:r>
      <w:r>
        <w:rPr>
          <w:rFonts w:ascii="Times New Roman" w:eastAsia="Times New Roman"/>
          <w:spacing w:val="-38"/>
          <w:sz w:val="29"/>
        </w:rPr>
        <w:t> </w:t>
      </w:r>
      <w:r>
        <w:rPr>
          <w:rFonts w:ascii="Times New Roman" w:eastAsia="Times New Roman"/>
          <w:sz w:val="29"/>
        </w:rPr>
        <w:t>ches</w:t>
      </w:r>
      <w:r>
        <w:rPr>
          <w:rFonts w:ascii="Times New Roman" w:eastAsia="Times New Roman"/>
          <w:spacing w:val="-4"/>
          <w:sz w:val="29"/>
        </w:rPr>
        <w:t> </w:t>
      </w:r>
      <w:r>
        <w:rPr>
          <w:rFonts w:ascii="Times New Roman" w:eastAsia="Times New Roman"/>
          <w:sz w:val="29"/>
        </w:rPr>
        <w:t>)</w:t>
      </w:r>
      <w:r>
        <w:rPr>
          <w:rFonts w:ascii="Times New Roman" w:eastAsia="Times New Roman"/>
          <w:spacing w:val="75"/>
          <w:sz w:val="29"/>
        </w:rPr>
        <w:t> </w:t>
      </w:r>
      <w:r>
        <w:rPr>
          <w:rFonts w:ascii="Times New Roman" w:eastAsia="Times New Roman"/>
          <w:sz w:val="15"/>
        </w:rPr>
        <w:t>112   </w:t>
      </w:r>
      <w:r>
        <w:rPr>
          <w:rFonts w:ascii="Times New Roman" w:eastAsia="Times New Roman"/>
          <w:spacing w:val="13"/>
          <w:sz w:val="15"/>
        </w:rPr>
        <w:t> </w:t>
      </w:r>
      <w:r>
        <w:rPr>
          <w:w w:val="80"/>
          <w:sz w:val="22"/>
        </w:rPr>
        <w:t>、</w:t>
      </w:r>
      <w:r>
        <w:rPr>
          <w:w w:val="105"/>
          <w:sz w:val="25"/>
        </w:rPr>
        <w:t>文</w:t>
      </w:r>
      <w:r>
        <w:rPr>
          <w:spacing w:val="21"/>
          <w:w w:val="105"/>
          <w:sz w:val="25"/>
        </w:rPr>
        <w:t>化</w:t>
      </w:r>
      <w:r>
        <w:rPr>
          <w:w w:val="105"/>
          <w:sz w:val="25"/>
        </w:rPr>
        <w:t>上</w:t>
      </w:r>
      <w:r>
        <w:rPr>
          <w:spacing w:val="3"/>
          <w:w w:val="105"/>
          <w:sz w:val="25"/>
        </w:rPr>
        <w:t> </w:t>
      </w:r>
      <w:r>
        <w:rPr>
          <w:rFonts w:ascii="Times New Roman" w:eastAsia="Times New Roman"/>
          <w:w w:val="105"/>
          <w:sz w:val="29"/>
        </w:rPr>
        <w:t>(</w:t>
      </w:r>
      <w:r>
        <w:rPr>
          <w:rFonts w:ascii="Times New Roman" w:eastAsia="Times New Roman"/>
          <w:spacing w:val="-22"/>
          <w:w w:val="105"/>
          <w:sz w:val="29"/>
        </w:rPr>
        <w:t> </w:t>
      </w:r>
      <w:r>
        <w:rPr>
          <w:rFonts w:ascii="Times New Roman" w:eastAsia="Times New Roman"/>
          <w:w w:val="105"/>
          <w:sz w:val="29"/>
        </w:rPr>
        <w:t>ku</w:t>
      </w:r>
      <w:r>
        <w:rPr>
          <w:rFonts w:ascii="Times New Roman" w:eastAsia="Times New Roman"/>
          <w:spacing w:val="-36"/>
          <w:w w:val="105"/>
          <w:sz w:val="29"/>
        </w:rPr>
        <w:t> </w:t>
      </w:r>
      <w:r>
        <w:rPr>
          <w:rFonts w:ascii="Times New Roman" w:eastAsia="Times New Roman"/>
          <w:w w:val="105"/>
          <w:sz w:val="29"/>
        </w:rPr>
        <w:t>l</w:t>
      </w:r>
      <w:r>
        <w:rPr>
          <w:rFonts w:ascii="Times New Roman" w:eastAsia="Times New Roman"/>
          <w:spacing w:val="-36"/>
          <w:w w:val="105"/>
          <w:sz w:val="29"/>
        </w:rPr>
        <w:t> </w:t>
      </w:r>
      <w:r>
        <w:rPr>
          <w:rFonts w:ascii="Times New Roman" w:eastAsia="Times New Roman"/>
          <w:w w:val="105"/>
          <w:sz w:val="29"/>
        </w:rPr>
        <w:t>turel</w:t>
      </w:r>
      <w:r>
        <w:rPr>
          <w:rFonts w:ascii="Times New Roman" w:eastAsia="Times New Roman"/>
          <w:spacing w:val="-10"/>
          <w:w w:val="105"/>
          <w:sz w:val="29"/>
        </w:rPr>
        <w:t> </w:t>
      </w:r>
      <w:r>
        <w:rPr>
          <w:rFonts w:ascii="Times New Roman" w:eastAsia="Times New Roman"/>
          <w:w w:val="105"/>
          <w:sz w:val="29"/>
        </w:rPr>
        <w:t>les</w:t>
      </w:r>
      <w:r>
        <w:rPr>
          <w:rFonts w:ascii="Times New Roman" w:eastAsia="Times New Roman"/>
          <w:spacing w:val="-8"/>
          <w:w w:val="105"/>
          <w:sz w:val="29"/>
        </w:rPr>
        <w:t> </w:t>
      </w:r>
      <w:r>
        <w:rPr>
          <w:rFonts w:ascii="Times New Roman" w:eastAsia="Times New Roman"/>
          <w:w w:val="105"/>
          <w:sz w:val="29"/>
        </w:rPr>
        <w:t>)</w:t>
      </w:r>
      <w:r>
        <w:rPr>
          <w:rFonts w:ascii="Times New Roman" w:eastAsia="Times New Roman"/>
          <w:spacing w:val="75"/>
          <w:w w:val="105"/>
          <w:sz w:val="29"/>
        </w:rPr>
        <w:t> </w:t>
      </w:r>
      <w:r>
        <w:rPr>
          <w:spacing w:val="22"/>
          <w:w w:val="105"/>
          <w:sz w:val="25"/>
        </w:rPr>
        <w:t>或</w:t>
      </w:r>
      <w:r>
        <w:rPr>
          <w:spacing w:val="14"/>
          <w:w w:val="105"/>
          <w:sz w:val="25"/>
        </w:rPr>
        <w:t>單純</w:t>
      </w:r>
      <w:r>
        <w:rPr>
          <w:w w:val="105"/>
          <w:sz w:val="25"/>
        </w:rPr>
        <w:t>之</w:t>
      </w:r>
      <w:r>
        <w:rPr>
          <w:spacing w:val="14"/>
          <w:w w:val="105"/>
          <w:sz w:val="25"/>
        </w:rPr>
        <w:t>行</w:t>
      </w:r>
      <w:r>
        <w:rPr>
          <w:w w:val="105"/>
          <w:sz w:val="25"/>
        </w:rPr>
        <w:t>政</w:t>
      </w:r>
      <w:r>
        <w:rPr>
          <w:spacing w:val="29"/>
          <w:w w:val="105"/>
          <w:sz w:val="25"/>
        </w:rPr>
        <w:t>利</w:t>
      </w:r>
      <w:r>
        <w:rPr>
          <w:w w:val="105"/>
          <w:sz w:val="25"/>
        </w:rPr>
        <w:t>益</w:t>
      </w:r>
      <w:r>
        <w:rPr>
          <w:spacing w:val="8"/>
          <w:w w:val="105"/>
          <w:sz w:val="25"/>
        </w:rPr>
        <w:t> </w:t>
      </w:r>
      <w:r>
        <w:rPr>
          <w:rFonts w:ascii="Times New Roman" w:eastAsia="Times New Roman"/>
          <w:w w:val="105"/>
          <w:sz w:val="29"/>
        </w:rPr>
        <w:t>(</w:t>
      </w:r>
      <w:r>
        <w:rPr>
          <w:rFonts w:ascii="Times New Roman" w:eastAsia="Times New Roman"/>
          <w:spacing w:val="-23"/>
          <w:w w:val="105"/>
          <w:sz w:val="29"/>
        </w:rPr>
        <w:t> </w:t>
      </w:r>
      <w:r>
        <w:rPr>
          <w:rFonts w:ascii="Times New Roman" w:eastAsia="Times New Roman"/>
          <w:w w:val="105"/>
          <w:sz w:val="29"/>
        </w:rPr>
        <w:t>bl</w:t>
      </w:r>
      <w:r>
        <w:rPr>
          <w:rFonts w:ascii="Times New Roman" w:eastAsia="Times New Roman"/>
          <w:spacing w:val="-18"/>
          <w:w w:val="105"/>
          <w:sz w:val="29"/>
        </w:rPr>
        <w:t> </w:t>
      </w:r>
      <w:r>
        <w:rPr>
          <w:rFonts w:ascii="Times New Roman" w:eastAsia="Times New Roman"/>
          <w:w w:val="105"/>
          <w:sz w:val="29"/>
        </w:rPr>
        <w:t>oBes</w:t>
      </w:r>
    </w:p>
    <w:p>
      <w:pPr>
        <w:spacing w:line="321" w:lineRule="auto" w:before="0"/>
        <w:ind w:left="309" w:right="519" w:hanging="5"/>
        <w:jc w:val="left"/>
        <w:rPr>
          <w:rFonts w:ascii="Arial" w:eastAsia="Arial"/>
          <w:sz w:val="8"/>
        </w:rPr>
      </w:pPr>
      <w:r>
        <w:rPr>
          <w:rFonts w:ascii="Times New Roman" w:eastAsia="Times New Roman"/>
          <w:sz w:val="29"/>
        </w:rPr>
        <w:t>Verwa</w:t>
      </w:r>
      <w:r>
        <w:rPr>
          <w:rFonts w:ascii="Times New Roman" w:eastAsia="Times New Roman"/>
          <w:spacing w:val="-43"/>
          <w:sz w:val="29"/>
        </w:rPr>
        <w:t> </w:t>
      </w:r>
      <w:r>
        <w:rPr>
          <w:rFonts w:ascii="Times New Roman" w:eastAsia="Times New Roman"/>
          <w:sz w:val="29"/>
        </w:rPr>
        <w:t>l</w:t>
      </w:r>
      <w:r>
        <w:rPr>
          <w:rFonts w:ascii="Times New Roman" w:eastAsia="Times New Roman"/>
          <w:spacing w:val="-33"/>
          <w:sz w:val="29"/>
        </w:rPr>
        <w:t> </w:t>
      </w:r>
      <w:r>
        <w:rPr>
          <w:rFonts w:ascii="Times New Roman" w:eastAsia="Times New Roman"/>
          <w:sz w:val="29"/>
        </w:rPr>
        <w:t>t</w:t>
      </w:r>
      <w:r>
        <w:rPr>
          <w:rFonts w:ascii="Times New Roman" w:eastAsia="Times New Roman"/>
          <w:spacing w:val="-27"/>
          <w:sz w:val="29"/>
        </w:rPr>
        <w:t> </w:t>
      </w:r>
      <w:r>
        <w:rPr>
          <w:rFonts w:ascii="Times New Roman" w:eastAsia="Times New Roman"/>
          <w:sz w:val="29"/>
        </w:rPr>
        <w:t>ungs</w:t>
      </w:r>
      <w:r>
        <w:rPr>
          <w:rFonts w:ascii="Times New Roman" w:eastAsia="Times New Roman"/>
          <w:spacing w:val="11"/>
          <w:sz w:val="29"/>
        </w:rPr>
        <w:t> </w:t>
      </w:r>
      <w:r>
        <w:rPr>
          <w:rFonts w:ascii="Times New Roman" w:eastAsia="Times New Roman"/>
          <w:spacing w:val="9"/>
          <w:sz w:val="29"/>
        </w:rPr>
        <w:t>int</w:t>
      </w:r>
      <w:r>
        <w:rPr>
          <w:rFonts w:ascii="Times New Roman" w:eastAsia="Times New Roman"/>
          <w:spacing w:val="5"/>
          <w:sz w:val="29"/>
        </w:rPr>
        <w:t> </w:t>
      </w:r>
      <w:r>
        <w:rPr>
          <w:rFonts w:ascii="Times New Roman" w:eastAsia="Times New Roman"/>
          <w:sz w:val="29"/>
        </w:rPr>
        <w:t>er</w:t>
      </w:r>
      <w:r>
        <w:rPr>
          <w:rFonts w:ascii="Times New Roman" w:eastAsia="Times New Roman"/>
          <w:spacing w:val="-31"/>
          <w:sz w:val="29"/>
        </w:rPr>
        <w:t> </w:t>
      </w:r>
      <w:r>
        <w:rPr>
          <w:rFonts w:ascii="Times New Roman" w:eastAsia="Times New Roman"/>
          <w:spacing w:val="10"/>
          <w:sz w:val="29"/>
        </w:rPr>
        <w:t>esse</w:t>
      </w:r>
      <w:r>
        <w:rPr>
          <w:rFonts w:ascii="Times New Roman" w:eastAsia="Times New Roman"/>
          <w:spacing w:val="-14"/>
          <w:sz w:val="29"/>
        </w:rPr>
        <w:t> ) </w:t>
      </w:r>
      <w:r>
        <w:rPr>
          <w:spacing w:val="-65"/>
          <w:sz w:val="25"/>
        </w:rPr>
        <w:t>。</w:t>
      </w:r>
      <w:r>
        <w:rPr>
          <w:rFonts w:ascii="Times New Roman" w:eastAsia="Times New Roman"/>
          <w:sz w:val="15"/>
        </w:rPr>
        <w:t>113</w:t>
      </w:r>
      <w:r>
        <w:rPr>
          <w:rFonts w:ascii="Times New Roman" w:eastAsia="Times New Roman"/>
          <w:spacing w:val="30"/>
          <w:sz w:val="15"/>
        </w:rPr>
        <w:t> </w:t>
      </w:r>
      <w:r>
        <w:rPr>
          <w:spacing w:val="1"/>
          <w:sz w:val="25"/>
        </w:rPr>
        <w:t>第三 人之權利或法律上利益如未因訴 訟之結</w:t>
      </w:r>
      <w:r>
        <w:rPr>
          <w:sz w:val="25"/>
        </w:rPr>
        <w:t>果而受損害，即無請求參加訴訟之程序上權利。立法者希望藉此概念之限    </w:t>
      </w:r>
      <w:r>
        <w:rPr>
          <w:spacing w:val="28"/>
          <w:sz w:val="25"/>
        </w:rPr>
        <w:t> </w:t>
      </w:r>
      <w:r>
        <w:rPr>
          <w:spacing w:val="-6"/>
          <w:sz w:val="25"/>
        </w:rPr>
        <w:t>縮 ， 限制參加人之範圍 ， 以免造成訴訟程序之不噹延 滯</w:t>
      </w:r>
      <w:r>
        <w:rPr>
          <w:rFonts w:ascii="Times New Roman" w:eastAsia="Times New Roman"/>
          <w:sz w:val="15"/>
        </w:rPr>
        <w:t>114</w:t>
      </w:r>
      <w:r>
        <w:rPr>
          <w:rFonts w:ascii="Times New Roman" w:eastAsia="Times New Roman"/>
          <w:spacing w:val="4"/>
          <w:sz w:val="15"/>
        </w:rPr>
        <w:t> </w:t>
      </w:r>
      <w:r>
        <w:rPr>
          <w:rFonts w:ascii="Arial" w:eastAsia="Arial"/>
          <w:sz w:val="8"/>
        </w:rPr>
        <w:t>0</w:t>
      </w:r>
    </w:p>
    <w:p>
      <w:pPr>
        <w:tabs>
          <w:tab w:pos="6170" w:val="left" w:leader="none"/>
          <w:tab w:pos="6278" w:val="left" w:leader="none"/>
        </w:tabs>
        <w:spacing w:line="316" w:lineRule="auto" w:before="22"/>
        <w:ind w:left="302" w:right="510" w:firstLine="574"/>
        <w:jc w:val="left"/>
        <w:rPr>
          <w:rFonts w:ascii="Times New Roman" w:eastAsia="Times New Roman"/>
          <w:sz w:val="29"/>
        </w:rPr>
      </w:pPr>
      <w:r>
        <w:rPr>
          <w:w w:val="105"/>
          <w:sz w:val="25"/>
        </w:rPr>
        <w:t>至於第三人之権利或法律上利益是否將因訴訟之結果而受損害，其判</w:t>
      </w:r>
      <w:r>
        <w:rPr>
          <w:spacing w:val="101"/>
          <w:w w:val="105"/>
          <w:sz w:val="25"/>
        </w:rPr>
        <w:t> </w:t>
      </w:r>
      <w:r>
        <w:rPr>
          <w:w w:val="95"/>
          <w:sz w:val="25"/>
        </w:rPr>
        <w:t>斷</w:t>
      </w:r>
      <w:r>
        <w:rPr>
          <w:spacing w:val="29"/>
          <w:w w:val="95"/>
          <w:sz w:val="25"/>
        </w:rPr>
        <w:t>標</w:t>
      </w:r>
      <w:r>
        <w:rPr>
          <w:w w:val="95"/>
          <w:sz w:val="25"/>
        </w:rPr>
        <w:t>準</w:t>
      </w:r>
      <w:r>
        <w:rPr>
          <w:spacing w:val="47"/>
          <w:w w:val="95"/>
          <w:sz w:val="25"/>
        </w:rPr>
        <w:t>在</w:t>
      </w:r>
      <w:r>
        <w:rPr>
          <w:w w:val="95"/>
          <w:sz w:val="25"/>
        </w:rPr>
        <w:t>於</w:t>
      </w:r>
      <w:r>
        <w:rPr>
          <w:spacing w:val="26"/>
          <w:w w:val="95"/>
          <w:sz w:val="25"/>
        </w:rPr>
        <w:t>「</w:t>
      </w:r>
      <w:r>
        <w:rPr>
          <w:spacing w:val="29"/>
          <w:w w:val="95"/>
          <w:sz w:val="25"/>
        </w:rPr>
        <w:t>判</w:t>
      </w:r>
      <w:r>
        <w:rPr>
          <w:w w:val="95"/>
          <w:sz w:val="25"/>
        </w:rPr>
        <w:t>決</w:t>
      </w:r>
      <w:r>
        <w:rPr>
          <w:spacing w:val="50"/>
          <w:w w:val="95"/>
          <w:sz w:val="25"/>
        </w:rPr>
        <w:t>之</w:t>
      </w:r>
      <w:r>
        <w:rPr>
          <w:spacing w:val="17"/>
          <w:w w:val="95"/>
          <w:sz w:val="25"/>
        </w:rPr>
        <w:t>效</w:t>
      </w:r>
      <w:r>
        <w:rPr>
          <w:spacing w:val="43"/>
          <w:w w:val="95"/>
          <w:sz w:val="25"/>
        </w:rPr>
        <w:t>力</w:t>
      </w:r>
      <w:r>
        <w:rPr>
          <w:spacing w:val="31"/>
          <w:w w:val="95"/>
          <w:sz w:val="25"/>
        </w:rPr>
        <w:t>」</w:t>
      </w:r>
      <w:r>
        <w:rPr>
          <w:rFonts w:ascii="Times New Roman" w:eastAsia="Times New Roman"/>
          <w:w w:val="95"/>
          <w:sz w:val="29"/>
        </w:rPr>
        <w:t>(</w:t>
      </w:r>
      <w:r>
        <w:rPr>
          <w:rFonts w:ascii="Times New Roman" w:eastAsia="Times New Roman"/>
          <w:spacing w:val="-15"/>
          <w:w w:val="95"/>
          <w:sz w:val="29"/>
        </w:rPr>
        <w:t> </w:t>
      </w:r>
      <w:r>
        <w:rPr>
          <w:rFonts w:ascii="Times New Roman" w:eastAsia="Times New Roman"/>
          <w:w w:val="90"/>
          <w:sz w:val="29"/>
        </w:rPr>
        <w:t>W</w:t>
      </w:r>
      <w:r>
        <w:rPr>
          <w:rFonts w:ascii="Times New Roman" w:eastAsia="Times New Roman"/>
          <w:spacing w:val="-27"/>
          <w:w w:val="90"/>
          <w:sz w:val="29"/>
        </w:rPr>
        <w:t> </w:t>
      </w:r>
      <w:r>
        <w:rPr>
          <w:rFonts w:ascii="Times New Roman" w:eastAsia="Times New Roman"/>
          <w:w w:val="95"/>
          <w:sz w:val="29"/>
        </w:rPr>
        <w:t>i</w:t>
      </w:r>
      <w:r>
        <w:rPr>
          <w:rFonts w:ascii="Times New Roman" w:eastAsia="Times New Roman"/>
          <w:spacing w:val="-26"/>
          <w:w w:val="95"/>
          <w:sz w:val="29"/>
        </w:rPr>
        <w:t> </w:t>
      </w:r>
      <w:r>
        <w:rPr>
          <w:rFonts w:ascii="Times New Roman" w:eastAsia="Times New Roman"/>
          <w:spacing w:val="11"/>
          <w:w w:val="95"/>
          <w:sz w:val="29"/>
        </w:rPr>
        <w:t>rkung</w:t>
      </w:r>
      <w:r>
        <w:rPr>
          <w:rFonts w:ascii="Times New Roman" w:eastAsia="Times New Roman"/>
          <w:spacing w:val="95"/>
          <w:sz w:val="29"/>
        </w:rPr>
        <w:t> </w:t>
      </w:r>
      <w:r>
        <w:rPr>
          <w:rFonts w:ascii="Times New Roman" w:eastAsia="Times New Roman"/>
          <w:w w:val="95"/>
          <w:sz w:val="29"/>
        </w:rPr>
        <w:t>der</w:t>
      </w:r>
      <w:r>
        <w:rPr>
          <w:rFonts w:ascii="Times New Roman" w:eastAsia="Times New Roman"/>
          <w:spacing w:val="95"/>
          <w:sz w:val="29"/>
        </w:rPr>
        <w:t> </w:t>
      </w:r>
      <w:r>
        <w:rPr>
          <w:rFonts w:ascii="Times New Roman" w:eastAsia="Times New Roman"/>
          <w:w w:val="90"/>
          <w:sz w:val="29"/>
        </w:rPr>
        <w:t>Ent</w:t>
      </w:r>
      <w:r>
        <w:rPr>
          <w:rFonts w:ascii="Times New Roman" w:eastAsia="Times New Roman"/>
          <w:spacing w:val="66"/>
          <w:sz w:val="29"/>
        </w:rPr>
        <w:t> </w:t>
      </w:r>
      <w:r>
        <w:rPr>
          <w:rFonts w:ascii="Times New Roman" w:eastAsia="Times New Roman"/>
          <w:w w:val="90"/>
          <w:sz w:val="29"/>
        </w:rPr>
        <w:t>s</w:t>
      </w:r>
      <w:r>
        <w:rPr>
          <w:rFonts w:ascii="Times New Roman" w:eastAsia="Times New Roman"/>
          <w:spacing w:val="-17"/>
          <w:w w:val="90"/>
          <w:sz w:val="29"/>
        </w:rPr>
        <w:t> </w:t>
      </w:r>
      <w:r>
        <w:rPr>
          <w:rFonts w:ascii="Times New Roman" w:eastAsia="Times New Roman"/>
          <w:w w:val="90"/>
          <w:sz w:val="29"/>
        </w:rPr>
        <w:t>che</w:t>
      </w:r>
      <w:r>
        <w:rPr>
          <w:rFonts w:ascii="Times New Roman" w:eastAsia="Times New Roman"/>
          <w:spacing w:val="49"/>
          <w:w w:val="90"/>
          <w:sz w:val="29"/>
        </w:rPr>
        <w:t> </w:t>
      </w:r>
      <w:r>
        <w:rPr>
          <w:rFonts w:ascii="Times New Roman" w:eastAsia="Times New Roman"/>
          <w:w w:val="95"/>
          <w:sz w:val="29"/>
        </w:rPr>
        <w:t>idung</w:t>
      </w:r>
      <w:r>
        <w:rPr>
          <w:rFonts w:ascii="Times New Roman" w:eastAsia="Times New Roman"/>
          <w:spacing w:val="-12"/>
          <w:w w:val="95"/>
          <w:sz w:val="29"/>
        </w:rPr>
        <w:t> </w:t>
      </w:r>
      <w:r>
        <w:rPr>
          <w:rFonts w:ascii="Times New Roman" w:eastAsia="Times New Roman"/>
          <w:w w:val="95"/>
          <w:sz w:val="29"/>
        </w:rPr>
        <w:t>)</w:t>
      </w:r>
      <w:r>
        <w:rPr>
          <w:rFonts w:ascii="Times New Roman" w:eastAsia="Times New Roman"/>
          <w:spacing w:val="108"/>
          <w:sz w:val="29"/>
        </w:rPr>
        <w:t> </w:t>
      </w:r>
      <w:r>
        <w:rPr>
          <w:spacing w:val="16"/>
          <w:w w:val="95"/>
          <w:sz w:val="25"/>
        </w:rPr>
        <w:t>是</w:t>
      </w:r>
      <w:r>
        <w:rPr>
          <w:spacing w:val="41"/>
          <w:w w:val="95"/>
          <w:sz w:val="25"/>
        </w:rPr>
        <w:t>否</w:t>
      </w:r>
      <w:r>
        <w:rPr>
          <w:w w:val="95"/>
          <w:sz w:val="25"/>
        </w:rPr>
        <w:t>直</w:t>
      </w:r>
      <w:r>
        <w:rPr>
          <w:spacing w:val="60"/>
          <w:w w:val="95"/>
          <w:sz w:val="25"/>
        </w:rPr>
        <w:t>接</w:t>
      </w:r>
      <w:r>
        <w:rPr>
          <w:spacing w:val="24"/>
          <w:w w:val="95"/>
          <w:sz w:val="25"/>
        </w:rPr>
        <w:t>或</w:t>
      </w:r>
      <w:r>
        <w:rPr>
          <w:w w:val="95"/>
          <w:sz w:val="25"/>
        </w:rPr>
        <w:t>間</w:t>
      </w:r>
      <w:r>
        <w:rPr>
          <w:w w:val="105"/>
          <w:sz w:val="25"/>
        </w:rPr>
        <w:t>接對於第三人之權益發生影攀。如「在行政法院裁定是否准許第三人參加</w:t>
      </w:r>
      <w:r>
        <w:rPr>
          <w:spacing w:val="124"/>
          <w:w w:val="105"/>
          <w:sz w:val="25"/>
        </w:rPr>
        <w:t> </w:t>
      </w:r>
      <w:r>
        <w:rPr>
          <w:spacing w:val="13"/>
          <w:sz w:val="25"/>
        </w:rPr>
        <w:t>訴</w:t>
      </w:r>
      <w:r>
        <w:rPr>
          <w:spacing w:val="27"/>
          <w:sz w:val="25"/>
        </w:rPr>
        <w:t>訟</w:t>
      </w:r>
      <w:r>
        <w:rPr>
          <w:sz w:val="25"/>
        </w:rPr>
        <w:t>時</w:t>
      </w:r>
      <w:r>
        <w:rPr>
          <w:spacing w:val="-1"/>
          <w:sz w:val="25"/>
        </w:rPr>
        <w:t> </w:t>
      </w:r>
      <w:r>
        <w:rPr>
          <w:w w:val="90"/>
          <w:sz w:val="25"/>
        </w:rPr>
        <w:t>，</w:t>
      </w:r>
      <w:r>
        <w:rPr>
          <w:spacing w:val="-37"/>
          <w:w w:val="90"/>
          <w:sz w:val="25"/>
        </w:rPr>
        <w:t> </w:t>
      </w:r>
      <w:r>
        <w:rPr>
          <w:sz w:val="25"/>
        </w:rPr>
        <w:t>其</w:t>
      </w:r>
      <w:r>
        <w:rPr>
          <w:spacing w:val="41"/>
          <w:sz w:val="25"/>
        </w:rPr>
        <w:t>權</w:t>
      </w:r>
      <w:r>
        <w:rPr>
          <w:spacing w:val="28"/>
          <w:sz w:val="25"/>
        </w:rPr>
        <w:t>利</w:t>
      </w:r>
      <w:r>
        <w:rPr>
          <w:spacing w:val="25"/>
          <w:sz w:val="25"/>
        </w:rPr>
        <w:t>或</w:t>
      </w:r>
      <w:r>
        <w:rPr>
          <w:sz w:val="25"/>
        </w:rPr>
        <w:t>法</w:t>
      </w:r>
      <w:r>
        <w:rPr>
          <w:spacing w:val="35"/>
          <w:sz w:val="25"/>
        </w:rPr>
        <w:t>律</w:t>
      </w:r>
      <w:r>
        <w:rPr>
          <w:spacing w:val="14"/>
          <w:sz w:val="25"/>
        </w:rPr>
        <w:t>上</w:t>
      </w:r>
      <w:r>
        <w:rPr>
          <w:spacing w:val="24"/>
          <w:sz w:val="25"/>
        </w:rPr>
        <w:t>利</w:t>
      </w:r>
      <w:r>
        <w:rPr>
          <w:spacing w:val="23"/>
          <w:sz w:val="25"/>
        </w:rPr>
        <w:t>益</w:t>
      </w:r>
      <w:r>
        <w:rPr>
          <w:spacing w:val="17"/>
          <w:sz w:val="25"/>
        </w:rPr>
        <w:t>可</w:t>
      </w:r>
      <w:r>
        <w:rPr>
          <w:spacing w:val="23"/>
          <w:sz w:val="25"/>
        </w:rPr>
        <w:t>能</w:t>
      </w:r>
      <w:r>
        <w:rPr>
          <w:sz w:val="25"/>
        </w:rPr>
        <w:t>受該</w:t>
      </w:r>
      <w:r>
        <w:rPr>
          <w:spacing w:val="-24"/>
          <w:sz w:val="25"/>
        </w:rPr>
        <w:t> </w:t>
      </w:r>
      <w:r>
        <w:rPr>
          <w:spacing w:val="29"/>
          <w:sz w:val="25"/>
        </w:rPr>
        <w:t>判</w:t>
      </w:r>
      <w:r>
        <w:rPr>
          <w:spacing w:val="22"/>
          <w:sz w:val="25"/>
        </w:rPr>
        <w:t>決</w:t>
      </w:r>
      <w:r>
        <w:rPr>
          <w:spacing w:val="31"/>
          <w:sz w:val="25"/>
        </w:rPr>
        <w:t>影</w:t>
      </w:r>
      <w:r>
        <w:rPr>
          <w:sz w:val="25"/>
        </w:rPr>
        <w:t>攀</w:t>
      </w:r>
      <w:r>
        <w:rPr>
          <w:spacing w:val="49"/>
          <w:sz w:val="25"/>
        </w:rPr>
        <w:t>」</w:t>
      </w:r>
      <w:r>
        <w:rPr>
          <w:rFonts w:ascii="Times New Roman" w:eastAsia="Times New Roman"/>
          <w:sz w:val="29"/>
        </w:rPr>
        <w:t>(</w:t>
      </w:r>
      <w:r>
        <w:rPr>
          <w:rFonts w:ascii="Times New Roman" w:eastAsia="Times New Roman"/>
          <w:spacing w:val="73"/>
          <w:sz w:val="29"/>
        </w:rPr>
        <w:t> </w:t>
      </w:r>
      <w:r>
        <w:rPr>
          <w:rFonts w:ascii="Times New Roman" w:eastAsia="Times New Roman"/>
          <w:sz w:val="29"/>
        </w:rPr>
        <w:t>im</w:t>
      </w:r>
      <w:r>
        <w:rPr>
          <w:rFonts w:ascii="Times New Roman" w:eastAsia="Times New Roman"/>
          <w:spacing w:val="72"/>
          <w:sz w:val="29"/>
        </w:rPr>
        <w:t> </w:t>
      </w:r>
      <w:r>
        <w:rPr>
          <w:rFonts w:ascii="Times New Roman" w:eastAsia="Times New Roman"/>
          <w:sz w:val="29"/>
        </w:rPr>
        <w:t>Zeitpunkt   der</w:t>
      </w:r>
      <w:r>
        <w:rPr>
          <w:rFonts w:ascii="Times New Roman" w:eastAsia="Times New Roman"/>
          <w:spacing w:val="1"/>
          <w:sz w:val="29"/>
        </w:rPr>
        <w:t> </w:t>
      </w:r>
      <w:r>
        <w:rPr>
          <w:rFonts w:ascii="Times New Roman" w:eastAsia="Times New Roman"/>
          <w:sz w:val="29"/>
        </w:rPr>
        <w:t>Bei</w:t>
      </w:r>
      <w:r>
        <w:rPr>
          <w:rFonts w:ascii="Times New Roman" w:eastAsia="Times New Roman"/>
          <w:spacing w:val="-7"/>
          <w:sz w:val="29"/>
        </w:rPr>
        <w:t> </w:t>
      </w:r>
      <w:r>
        <w:rPr>
          <w:rFonts w:ascii="Times New Roman" w:eastAsia="Times New Roman"/>
          <w:sz w:val="29"/>
        </w:rPr>
        <w:t>ladung</w:t>
      </w:r>
      <w:r>
        <w:rPr>
          <w:rFonts w:ascii="Times New Roman" w:eastAsia="Times New Roman"/>
          <w:spacing w:val="61"/>
          <w:sz w:val="29"/>
        </w:rPr>
        <w:t> </w:t>
      </w:r>
      <w:r>
        <w:rPr>
          <w:rFonts w:ascii="Times New Roman" w:eastAsia="Times New Roman"/>
          <w:sz w:val="29"/>
        </w:rPr>
        <w:t>die</w:t>
      </w:r>
      <w:r>
        <w:rPr>
          <w:rFonts w:ascii="Times New Roman" w:eastAsia="Times New Roman"/>
          <w:spacing w:val="120"/>
          <w:sz w:val="29"/>
        </w:rPr>
        <w:t> </w:t>
      </w:r>
      <w:r>
        <w:rPr>
          <w:rFonts w:ascii="Times New Roman" w:eastAsia="Times New Roman"/>
          <w:w w:val="90"/>
          <w:sz w:val="29"/>
        </w:rPr>
        <w:t>Mogl</w:t>
      </w:r>
      <w:r>
        <w:rPr>
          <w:rFonts w:ascii="Times New Roman" w:eastAsia="Times New Roman"/>
          <w:spacing w:val="5"/>
          <w:w w:val="90"/>
          <w:sz w:val="29"/>
        </w:rPr>
        <w:t> </w:t>
      </w:r>
      <w:r>
        <w:rPr>
          <w:rFonts w:ascii="Times New Roman" w:eastAsia="Times New Roman"/>
          <w:sz w:val="29"/>
        </w:rPr>
        <w:t>ichkei</w:t>
      </w:r>
      <w:r>
        <w:rPr>
          <w:rFonts w:ascii="Times New Roman" w:eastAsia="Times New Roman"/>
          <w:spacing w:val="-12"/>
          <w:sz w:val="29"/>
        </w:rPr>
        <w:t> </w:t>
      </w:r>
      <w:r>
        <w:rPr>
          <w:rFonts w:ascii="Times New Roman" w:eastAsia="Times New Roman"/>
          <w:sz w:val="29"/>
        </w:rPr>
        <w:t>t</w:t>
      </w:r>
      <w:r>
        <w:rPr>
          <w:rFonts w:ascii="Times New Roman" w:eastAsia="Times New Roman"/>
          <w:spacing w:val="98"/>
          <w:sz w:val="29"/>
        </w:rPr>
        <w:t> </w:t>
      </w:r>
      <w:r>
        <w:rPr>
          <w:rFonts w:ascii="Times New Roman" w:eastAsia="Times New Roman"/>
          <w:sz w:val="29"/>
        </w:rPr>
        <w:t>besteht,</w:t>
      </w:r>
      <w:r>
        <w:rPr>
          <w:rFonts w:ascii="Times New Roman" w:eastAsia="Times New Roman"/>
          <w:spacing w:val="141"/>
          <w:sz w:val="29"/>
        </w:rPr>
        <w:t> </w:t>
      </w:r>
      <w:r>
        <w:rPr>
          <w:rFonts w:ascii="Times New Roman" w:eastAsia="Times New Roman"/>
          <w:sz w:val="29"/>
        </w:rPr>
        <w:t>daB</w:t>
      </w:r>
      <w:r>
        <w:rPr>
          <w:rFonts w:ascii="Times New Roman" w:eastAsia="Times New Roman"/>
          <w:spacing w:val="35"/>
          <w:sz w:val="29"/>
        </w:rPr>
        <w:t> </w:t>
      </w:r>
      <w:r>
        <w:rPr>
          <w:rFonts w:ascii="Times New Roman" w:eastAsia="Times New Roman"/>
          <w:sz w:val="29"/>
        </w:rPr>
        <w:t>die</w:t>
        <w:tab/>
      </w:r>
      <w:r>
        <w:rPr>
          <w:rFonts w:ascii="Times New Roman" w:eastAsia="Times New Roman"/>
          <w:w w:val="105"/>
          <w:sz w:val="29"/>
        </w:rPr>
        <w:t>Entscheidung</w:t>
      </w:r>
      <w:r>
        <w:rPr>
          <w:rFonts w:ascii="Times New Roman" w:eastAsia="Times New Roman"/>
          <w:spacing w:val="74"/>
          <w:w w:val="105"/>
          <w:sz w:val="29"/>
        </w:rPr>
        <w:t> </w:t>
      </w:r>
      <w:r>
        <w:rPr>
          <w:rFonts w:ascii="Times New Roman" w:eastAsia="Times New Roman"/>
          <w:w w:val="105"/>
          <w:sz w:val="29"/>
        </w:rPr>
        <w:t>auf</w:t>
      </w:r>
      <w:r>
        <w:rPr>
          <w:rFonts w:ascii="Times New Roman" w:eastAsia="Times New Roman"/>
          <w:spacing w:val="32"/>
          <w:w w:val="105"/>
          <w:sz w:val="29"/>
        </w:rPr>
        <w:t> </w:t>
      </w:r>
      <w:r>
        <w:rPr>
          <w:rFonts w:ascii="Times New Roman" w:eastAsia="Times New Roman"/>
          <w:w w:val="105"/>
          <w:sz w:val="29"/>
        </w:rPr>
        <w:t>seine</w:t>
      </w:r>
      <w:r>
        <w:rPr>
          <w:rFonts w:ascii="Times New Roman" w:eastAsia="Times New Roman"/>
          <w:spacing w:val="-74"/>
          <w:w w:val="105"/>
          <w:sz w:val="29"/>
        </w:rPr>
        <w:t> </w:t>
      </w:r>
      <w:r>
        <w:rPr>
          <w:rFonts w:ascii="Times New Roman" w:eastAsia="Times New Roman"/>
          <w:w w:val="105"/>
          <w:sz w:val="29"/>
        </w:rPr>
        <w:t>rechtlichen  </w:t>
      </w:r>
      <w:r>
        <w:rPr>
          <w:rFonts w:ascii="Times New Roman" w:eastAsia="Times New Roman"/>
          <w:spacing w:val="12"/>
          <w:w w:val="105"/>
          <w:sz w:val="29"/>
        </w:rPr>
        <w:t> </w:t>
      </w:r>
      <w:r>
        <w:rPr>
          <w:rFonts w:ascii="Times New Roman" w:eastAsia="Times New Roman"/>
          <w:w w:val="105"/>
          <w:sz w:val="29"/>
        </w:rPr>
        <w:t>Interessen </w:t>
      </w:r>
      <w:r>
        <w:rPr>
          <w:rFonts w:ascii="Times New Roman" w:eastAsia="Times New Roman"/>
          <w:spacing w:val="56"/>
          <w:w w:val="105"/>
          <w:sz w:val="29"/>
        </w:rPr>
        <w:t> </w:t>
      </w:r>
      <w:r>
        <w:rPr>
          <w:rFonts w:ascii="Times New Roman" w:eastAsia="Times New Roman"/>
          <w:w w:val="105"/>
          <w:sz w:val="29"/>
        </w:rPr>
        <w:t>einwirken </w:t>
      </w:r>
      <w:r>
        <w:rPr>
          <w:rFonts w:ascii="Times New Roman" w:eastAsia="Times New Roman"/>
          <w:spacing w:val="62"/>
          <w:w w:val="105"/>
          <w:sz w:val="29"/>
        </w:rPr>
        <w:t> </w:t>
      </w:r>
      <w:r>
        <w:rPr>
          <w:rFonts w:ascii="Times New Roman" w:eastAsia="Times New Roman"/>
          <w:w w:val="105"/>
          <w:sz w:val="29"/>
        </w:rPr>
        <w:t>kann) </w:t>
      </w:r>
      <w:r>
        <w:rPr>
          <w:rFonts w:ascii="Times New Roman" w:eastAsia="Times New Roman"/>
          <w:spacing w:val="19"/>
          <w:w w:val="105"/>
          <w:sz w:val="29"/>
        </w:rPr>
        <w:t> </w:t>
      </w:r>
      <w:r>
        <w:rPr>
          <w:rFonts w:ascii="Times New Roman" w:eastAsia="Times New Roman"/>
          <w:w w:val="90"/>
          <w:sz w:val="15"/>
        </w:rPr>
        <w:t>115</w:t>
      </w:r>
      <w:r>
        <w:rPr>
          <w:rFonts w:ascii="Times New Roman" w:eastAsia="Times New Roman"/>
          <w:spacing w:val="31"/>
          <w:w w:val="90"/>
          <w:sz w:val="15"/>
        </w:rPr>
        <w:t> </w:t>
      </w:r>
      <w:r>
        <w:rPr>
          <w:rFonts w:ascii="Times New Roman" w:eastAsia="Times New Roman"/>
          <w:w w:val="105"/>
          <w:sz w:val="15"/>
        </w:rPr>
        <w:t>,</w:t>
        <w:tab/>
        <w:tab/>
      </w:r>
      <w:r>
        <w:rPr>
          <w:w w:val="95"/>
          <w:sz w:val="25"/>
        </w:rPr>
        <w:t>亦即「</w:t>
      </w:r>
      <w:r>
        <w:rPr>
          <w:spacing w:val="12"/>
          <w:w w:val="95"/>
          <w:sz w:val="25"/>
        </w:rPr>
        <w:t> </w:t>
      </w:r>
      <w:r>
        <w:rPr>
          <w:spacing w:val="30"/>
          <w:w w:val="95"/>
          <w:sz w:val="25"/>
        </w:rPr>
        <w:t>原</w:t>
      </w:r>
      <w:r>
        <w:rPr>
          <w:spacing w:val="33"/>
          <w:w w:val="95"/>
          <w:sz w:val="25"/>
        </w:rPr>
        <w:t>告</w:t>
      </w:r>
      <w:r>
        <w:rPr>
          <w:w w:val="95"/>
          <w:sz w:val="25"/>
        </w:rPr>
        <w:t>或</w:t>
      </w:r>
      <w:r>
        <w:rPr>
          <w:spacing w:val="49"/>
          <w:w w:val="95"/>
          <w:sz w:val="25"/>
        </w:rPr>
        <w:t>被</w:t>
      </w:r>
      <w:r>
        <w:rPr>
          <w:spacing w:val="40"/>
          <w:w w:val="95"/>
          <w:sz w:val="25"/>
        </w:rPr>
        <w:t>告</w:t>
      </w:r>
      <w:r>
        <w:rPr>
          <w:spacing w:val="43"/>
          <w:w w:val="95"/>
          <w:sz w:val="25"/>
        </w:rPr>
        <w:t>一</w:t>
      </w:r>
      <w:r>
        <w:rPr>
          <w:w w:val="95"/>
          <w:sz w:val="25"/>
        </w:rPr>
        <w:t>方</w:t>
      </w:r>
      <w:r>
        <w:rPr>
          <w:spacing w:val="41"/>
          <w:sz w:val="25"/>
        </w:rPr>
        <w:t>勝</w:t>
      </w:r>
      <w:r>
        <w:rPr>
          <w:sz w:val="25"/>
        </w:rPr>
        <w:t>訴</w:t>
      </w:r>
      <w:r>
        <w:rPr>
          <w:spacing w:val="-4"/>
          <w:sz w:val="25"/>
        </w:rPr>
        <w:t> </w:t>
      </w:r>
      <w:r>
        <w:rPr>
          <w:w w:val="90"/>
          <w:sz w:val="25"/>
        </w:rPr>
        <w:t>，</w:t>
      </w:r>
      <w:r>
        <w:rPr>
          <w:spacing w:val="-62"/>
          <w:w w:val="90"/>
          <w:sz w:val="25"/>
        </w:rPr>
        <w:t> </w:t>
      </w:r>
      <w:r>
        <w:rPr>
          <w:spacing w:val="21"/>
          <w:sz w:val="25"/>
        </w:rPr>
        <w:t>將</w:t>
      </w:r>
      <w:r>
        <w:rPr>
          <w:spacing w:val="33"/>
          <w:sz w:val="25"/>
        </w:rPr>
        <w:t>有利</w:t>
      </w:r>
      <w:r>
        <w:rPr>
          <w:sz w:val="25"/>
        </w:rPr>
        <w:t>或不利</w:t>
      </w:r>
      <w:r>
        <w:rPr>
          <w:spacing w:val="-12"/>
          <w:sz w:val="25"/>
        </w:rPr>
        <w:t> </w:t>
      </w:r>
      <w:r>
        <w:rPr>
          <w:spacing w:val="30"/>
          <w:sz w:val="25"/>
        </w:rPr>
        <w:t>其</w:t>
      </w:r>
      <w:r>
        <w:rPr>
          <w:sz w:val="25"/>
        </w:rPr>
        <w:t>法</w:t>
      </w:r>
      <w:r>
        <w:rPr>
          <w:spacing w:val="43"/>
          <w:sz w:val="25"/>
        </w:rPr>
        <w:t>律</w:t>
      </w:r>
      <w:r>
        <w:rPr>
          <w:sz w:val="25"/>
        </w:rPr>
        <w:t>地</w:t>
      </w:r>
      <w:r>
        <w:rPr>
          <w:spacing w:val="13"/>
          <w:sz w:val="25"/>
        </w:rPr>
        <w:t>位</w:t>
      </w:r>
      <w:r>
        <w:rPr>
          <w:sz w:val="25"/>
        </w:rPr>
        <w:t>」</w:t>
      </w:r>
      <w:r>
        <w:rPr>
          <w:rFonts w:ascii="Times New Roman" w:eastAsia="Times New Roman"/>
          <w:sz w:val="29"/>
        </w:rPr>
        <w:t>(</w:t>
      </w:r>
      <w:r>
        <w:rPr>
          <w:rFonts w:ascii="Times New Roman" w:eastAsia="Times New Roman"/>
          <w:spacing w:val="-24"/>
          <w:sz w:val="29"/>
        </w:rPr>
        <w:t> </w:t>
      </w:r>
      <w:r>
        <w:rPr>
          <w:rFonts w:ascii="Times New Roman" w:eastAsia="Times New Roman"/>
          <w:sz w:val="29"/>
        </w:rPr>
        <w:t>das</w:t>
      </w:r>
      <w:r>
        <w:rPr>
          <w:rFonts w:ascii="Times New Roman" w:eastAsia="Times New Roman"/>
          <w:spacing w:val="51"/>
          <w:sz w:val="29"/>
        </w:rPr>
        <w:t> </w:t>
      </w:r>
      <w:r>
        <w:rPr>
          <w:rFonts w:ascii="Times New Roman" w:eastAsia="Times New Roman"/>
          <w:sz w:val="29"/>
        </w:rPr>
        <w:t>Obsiegen</w:t>
      </w:r>
      <w:r>
        <w:rPr>
          <w:rFonts w:ascii="Times New Roman" w:eastAsia="Times New Roman"/>
          <w:spacing w:val="21"/>
          <w:sz w:val="29"/>
        </w:rPr>
        <w:t> </w:t>
      </w:r>
      <w:r>
        <w:rPr>
          <w:rFonts w:ascii="Times New Roman" w:eastAsia="Times New Roman"/>
          <w:sz w:val="29"/>
        </w:rPr>
        <w:t>des</w:t>
      </w:r>
      <w:r>
        <w:rPr>
          <w:rFonts w:ascii="Times New Roman" w:eastAsia="Times New Roman"/>
          <w:spacing w:val="7"/>
          <w:sz w:val="29"/>
        </w:rPr>
        <w:t> </w:t>
      </w:r>
      <w:r>
        <w:rPr>
          <w:rFonts w:ascii="Times New Roman" w:eastAsia="Times New Roman"/>
          <w:sz w:val="29"/>
        </w:rPr>
        <w:t>Klagers</w:t>
      </w:r>
      <w:r>
        <w:rPr>
          <w:rFonts w:ascii="Times New Roman" w:eastAsia="Times New Roman"/>
          <w:spacing w:val="12"/>
          <w:sz w:val="29"/>
        </w:rPr>
        <w:t> </w:t>
      </w:r>
      <w:r>
        <w:rPr>
          <w:rFonts w:ascii="Times New Roman" w:eastAsia="Times New Roman"/>
          <w:sz w:val="29"/>
        </w:rPr>
        <w:t>oder</w:t>
      </w:r>
      <w:r>
        <w:rPr>
          <w:rFonts w:ascii="Times New Roman" w:eastAsia="Times New Roman"/>
          <w:spacing w:val="13"/>
          <w:sz w:val="29"/>
        </w:rPr>
        <w:t> </w:t>
      </w:r>
      <w:r>
        <w:rPr>
          <w:rFonts w:ascii="Times New Roman" w:eastAsia="Times New Roman"/>
          <w:sz w:val="29"/>
        </w:rPr>
        <w:t>des</w:t>
      </w:r>
    </w:p>
    <w:p>
      <w:pPr>
        <w:pStyle w:val="BodyText"/>
        <w:rPr>
          <w:rFonts w:ascii="Times New Roman"/>
          <w:sz w:val="20"/>
        </w:rPr>
      </w:pPr>
    </w:p>
    <w:p>
      <w:pPr>
        <w:pStyle w:val="BodyText"/>
        <w:spacing w:before="4"/>
        <w:rPr>
          <w:rFonts w:ascii="Times New Roman"/>
          <w:sz w:val="11"/>
        </w:rPr>
      </w:pPr>
      <w:r>
        <w:rPr/>
        <w:pict>
          <v:shape style="position:absolute;margin-left:95.174004pt;margin-top:8.890368pt;width:144.25pt;height:.1pt;mso-position-horizontal-relative:page;mso-position-vertical-relative:paragraph;z-index:-15603200;mso-wrap-distance-left:0;mso-wrap-distance-right:0" coordorigin="1903,178" coordsize="2885,0" path="m1903,178l4788,178e" filled="false" stroked="true" strokeweight=".720821pt" strokecolor="#000000">
            <v:path arrowok="t"/>
            <v:stroke dashstyle="solid"/>
            <w10:wrap type="topAndBottom"/>
          </v:shape>
        </w:pict>
      </w:r>
    </w:p>
    <w:p>
      <w:pPr>
        <w:pStyle w:val="BodyText"/>
        <w:spacing w:before="3"/>
        <w:rPr>
          <w:rFonts w:ascii="Times New Roman"/>
          <w:sz w:val="9"/>
        </w:rPr>
      </w:pPr>
    </w:p>
    <w:p>
      <w:pPr>
        <w:pStyle w:val="Heading6"/>
      </w:pPr>
      <w:r>
        <w:rPr>
          <w:position w:val="8"/>
          <w:sz w:val="13"/>
        </w:rPr>
        <w:t>109</w:t>
      </w:r>
      <w:r>
        <w:rPr>
          <w:spacing w:val="2"/>
          <w:position w:val="8"/>
          <w:sz w:val="13"/>
        </w:rPr>
        <w:t> </w:t>
      </w:r>
      <w:r>
        <w:rPr/>
        <w:t>Wlirtenberger,</w:t>
      </w:r>
      <w:r>
        <w:rPr>
          <w:spacing w:val="43"/>
        </w:rPr>
        <w:t> </w:t>
      </w:r>
      <w:r>
        <w:rPr/>
        <w:t>Verwaltungsprozessrecht,</w:t>
      </w:r>
      <w:r>
        <w:rPr>
          <w:spacing w:val="106"/>
        </w:rPr>
        <w:t> </w:t>
      </w:r>
      <w:r>
        <w:rPr/>
        <w:t>2.</w:t>
      </w:r>
      <w:r>
        <w:rPr>
          <w:spacing w:val="103"/>
        </w:rPr>
        <w:t> </w:t>
      </w:r>
      <w:r>
        <w:rPr/>
        <w:t>Aufl.,</w:t>
      </w:r>
      <w:r>
        <w:rPr>
          <w:spacing w:val="117"/>
        </w:rPr>
        <w:t> </w:t>
      </w:r>
      <w:r>
        <w:rPr/>
        <w:t>2006,</w:t>
      </w:r>
      <w:r>
        <w:rPr>
          <w:spacing w:val="116"/>
        </w:rPr>
        <w:t> </w:t>
      </w:r>
      <w:r>
        <w:rPr/>
        <w:t>Rn.</w:t>
      </w:r>
      <w:r>
        <w:rPr>
          <w:spacing w:val="116"/>
        </w:rPr>
        <w:t> </w:t>
      </w:r>
      <w:r>
        <w:rPr/>
        <w:t>225.</w:t>
      </w:r>
    </w:p>
    <w:p>
      <w:pPr>
        <w:spacing w:line="249" w:lineRule="auto" w:before="14"/>
        <w:ind w:left="505" w:right="607" w:hanging="207"/>
        <w:jc w:val="left"/>
        <w:rPr>
          <w:rFonts w:ascii="Times New Roman"/>
          <w:sz w:val="26"/>
        </w:rPr>
      </w:pPr>
      <w:r>
        <w:rPr>
          <w:rFonts w:ascii="Times New Roman"/>
          <w:position w:val="8"/>
          <w:sz w:val="13"/>
        </w:rPr>
        <w:t>110</w:t>
      </w:r>
      <w:r>
        <w:rPr>
          <w:rFonts w:ascii="Times New Roman"/>
          <w:spacing w:val="27"/>
          <w:position w:val="8"/>
          <w:sz w:val="13"/>
        </w:rPr>
        <w:t> </w:t>
      </w:r>
      <w:r>
        <w:rPr>
          <w:rFonts w:ascii="Times New Roman"/>
          <w:sz w:val="26"/>
        </w:rPr>
        <w:t>Stahl,</w:t>
      </w:r>
      <w:r>
        <w:rPr>
          <w:rFonts w:ascii="Times New Roman"/>
          <w:spacing w:val="40"/>
          <w:sz w:val="26"/>
        </w:rPr>
        <w:t> </w:t>
      </w:r>
      <w:r>
        <w:rPr>
          <w:rFonts w:ascii="Times New Roman"/>
          <w:sz w:val="26"/>
        </w:rPr>
        <w:t>Beiladung</w:t>
      </w:r>
      <w:r>
        <w:rPr>
          <w:rFonts w:ascii="Times New Roman"/>
          <w:spacing w:val="61"/>
          <w:sz w:val="26"/>
        </w:rPr>
        <w:t> </w:t>
      </w:r>
      <w:r>
        <w:rPr>
          <w:rFonts w:ascii="Times New Roman"/>
          <w:sz w:val="26"/>
        </w:rPr>
        <w:t>und</w:t>
      </w:r>
      <w:r>
        <w:rPr>
          <w:rFonts w:ascii="Times New Roman"/>
          <w:spacing w:val="62"/>
          <w:sz w:val="26"/>
        </w:rPr>
        <w:t> </w:t>
      </w:r>
      <w:r>
        <w:rPr>
          <w:rFonts w:ascii="Times New Roman"/>
          <w:sz w:val="26"/>
        </w:rPr>
        <w:t>Nebenintervention,</w:t>
      </w:r>
      <w:r>
        <w:rPr>
          <w:rFonts w:ascii="Times New Roman"/>
          <w:spacing w:val="21"/>
          <w:sz w:val="26"/>
        </w:rPr>
        <w:t> </w:t>
      </w:r>
      <w:r>
        <w:rPr>
          <w:rFonts w:ascii="Times New Roman"/>
          <w:sz w:val="26"/>
        </w:rPr>
        <w:t>1972,</w:t>
      </w:r>
      <w:r>
        <w:rPr>
          <w:rFonts w:ascii="Times New Roman"/>
          <w:spacing w:val="40"/>
          <w:sz w:val="26"/>
        </w:rPr>
        <w:t> </w:t>
      </w:r>
      <w:r>
        <w:rPr>
          <w:rFonts w:ascii="Times New Roman"/>
          <w:sz w:val="26"/>
        </w:rPr>
        <w:t>S.</w:t>
      </w:r>
      <w:r>
        <w:rPr>
          <w:rFonts w:ascii="Times New Roman"/>
          <w:spacing w:val="43"/>
          <w:sz w:val="26"/>
        </w:rPr>
        <w:t> </w:t>
      </w:r>
      <w:r>
        <w:rPr>
          <w:rFonts w:ascii="Times New Roman"/>
          <w:sz w:val="26"/>
        </w:rPr>
        <w:t>28;</w:t>
      </w:r>
      <w:r>
        <w:rPr>
          <w:rFonts w:ascii="Times New Roman"/>
          <w:spacing w:val="77"/>
          <w:sz w:val="26"/>
        </w:rPr>
        <w:t> </w:t>
      </w:r>
      <w:r>
        <w:rPr>
          <w:rFonts w:ascii="Times New Roman"/>
          <w:sz w:val="26"/>
        </w:rPr>
        <w:t>zustimmend</w:t>
      </w:r>
      <w:r>
        <w:rPr>
          <w:rFonts w:ascii="Times New Roman"/>
          <w:spacing w:val="67"/>
          <w:sz w:val="26"/>
        </w:rPr>
        <w:t> </w:t>
      </w:r>
      <w:r>
        <w:rPr>
          <w:rFonts w:ascii="Times New Roman"/>
          <w:sz w:val="26"/>
        </w:rPr>
        <w:t>Schafer,</w:t>
      </w:r>
      <w:r>
        <w:rPr>
          <w:rFonts w:ascii="Times New Roman"/>
          <w:spacing w:val="-62"/>
          <w:sz w:val="26"/>
        </w:rPr>
        <w:t> </w:t>
      </w:r>
      <w:r>
        <w:rPr>
          <w:rFonts w:ascii="Times New Roman"/>
          <w:sz w:val="26"/>
        </w:rPr>
        <w:t>Die</w:t>
      </w:r>
      <w:r>
        <w:rPr>
          <w:rFonts w:ascii="Times New Roman"/>
          <w:spacing w:val="2"/>
          <w:sz w:val="26"/>
        </w:rPr>
        <w:t> </w:t>
      </w:r>
      <w:r>
        <w:rPr>
          <w:rFonts w:ascii="Times New Roman"/>
          <w:sz w:val="26"/>
        </w:rPr>
        <w:t>Beiladung</w:t>
      </w:r>
      <w:r>
        <w:rPr>
          <w:rFonts w:ascii="Times New Roman"/>
          <w:spacing w:val="29"/>
          <w:sz w:val="26"/>
        </w:rPr>
        <w:t> </w:t>
      </w:r>
      <w:r>
        <w:rPr>
          <w:rFonts w:ascii="Times New Roman"/>
          <w:sz w:val="26"/>
        </w:rPr>
        <w:t>im</w:t>
      </w:r>
      <w:r>
        <w:rPr>
          <w:rFonts w:ascii="Times New Roman"/>
          <w:spacing w:val="51"/>
          <w:sz w:val="26"/>
        </w:rPr>
        <w:t> </w:t>
      </w:r>
      <w:r>
        <w:rPr>
          <w:rFonts w:ascii="Times New Roman"/>
          <w:sz w:val="26"/>
        </w:rPr>
        <w:t>Sozialgerichtsverfahren,</w:t>
      </w:r>
      <w:r>
        <w:rPr>
          <w:rFonts w:ascii="Times New Roman"/>
          <w:spacing w:val="44"/>
          <w:sz w:val="26"/>
        </w:rPr>
        <w:t> </w:t>
      </w:r>
      <w:r>
        <w:rPr>
          <w:rFonts w:ascii="Times New Roman"/>
          <w:sz w:val="26"/>
        </w:rPr>
        <w:t>1983,</w:t>
      </w:r>
      <w:r>
        <w:rPr>
          <w:rFonts w:ascii="Times New Roman"/>
          <w:spacing w:val="57"/>
          <w:sz w:val="26"/>
        </w:rPr>
        <w:t> </w:t>
      </w:r>
      <w:r>
        <w:rPr>
          <w:rFonts w:ascii="Times New Roman"/>
          <w:sz w:val="26"/>
        </w:rPr>
        <w:t>S.</w:t>
      </w:r>
      <w:r>
        <w:rPr>
          <w:rFonts w:ascii="Times New Roman"/>
          <w:spacing w:val="61"/>
          <w:sz w:val="26"/>
        </w:rPr>
        <w:t> </w:t>
      </w:r>
      <w:r>
        <w:rPr>
          <w:rFonts w:ascii="Times New Roman"/>
          <w:sz w:val="26"/>
        </w:rPr>
        <w:t>24.</w:t>
      </w:r>
    </w:p>
    <w:p>
      <w:pPr>
        <w:tabs>
          <w:tab w:pos="3744" w:val="left" w:leader="none"/>
        </w:tabs>
        <w:spacing w:line="259" w:lineRule="auto" w:before="11"/>
        <w:ind w:left="507" w:right="477" w:hanging="210"/>
        <w:jc w:val="left"/>
        <w:rPr>
          <w:rFonts w:ascii="Times New Roman" w:eastAsia="Times New Roman"/>
          <w:sz w:val="26"/>
        </w:rPr>
      </w:pPr>
      <w:r>
        <w:rPr>
          <w:rFonts w:ascii="Times New Roman" w:eastAsia="Times New Roman"/>
          <w:sz w:val="22"/>
          <w:vertAlign w:val="superscript"/>
        </w:rPr>
        <w:t>111</w:t>
      </w:r>
      <w:r>
        <w:rPr>
          <w:rFonts w:ascii="Times New Roman" w:eastAsia="Times New Roman"/>
          <w:sz w:val="22"/>
          <w:vertAlign w:val="baseline"/>
        </w:rPr>
        <w:t>          </w:t>
      </w:r>
      <w:r>
        <w:rPr>
          <w:rFonts w:ascii="Times New Roman" w:eastAsia="Times New Roman"/>
          <w:spacing w:val="18"/>
          <w:sz w:val="22"/>
          <w:vertAlign w:val="baseline"/>
        </w:rPr>
        <w:t> </w:t>
      </w:r>
      <w:r>
        <w:rPr>
          <w:sz w:val="22"/>
          <w:vertAlign w:val="baseline"/>
        </w:rPr>
        <w:t>例如德國實務上見解認為：居民對於都市計畫提超撤銷訴訟，環保團體認為該訴訟與其宗旨相關，請求參加訴訟，法院以為其僅有理念上之利益，不符合訴訟參加之    </w:t>
      </w:r>
      <w:r>
        <w:rPr>
          <w:spacing w:val="57"/>
          <w:sz w:val="22"/>
          <w:vertAlign w:val="baseline"/>
        </w:rPr>
        <w:t> </w:t>
      </w:r>
      <w:r>
        <w:rPr>
          <w:sz w:val="22"/>
          <w:vertAlign w:val="baseline"/>
        </w:rPr>
        <w:t>要件</w:t>
      </w:r>
      <w:r>
        <w:rPr>
          <w:spacing w:val="-18"/>
          <w:sz w:val="22"/>
          <w:vertAlign w:val="baseline"/>
        </w:rPr>
        <w:t> </w:t>
      </w:r>
      <w:r>
        <w:rPr>
          <w:w w:val="85"/>
          <w:sz w:val="22"/>
          <w:vertAlign w:val="baseline"/>
        </w:rPr>
        <w:t>，</w:t>
      </w:r>
      <w:r>
        <w:rPr>
          <w:spacing w:val="-52"/>
          <w:w w:val="85"/>
          <w:sz w:val="22"/>
          <w:vertAlign w:val="baseline"/>
        </w:rPr>
        <w:t> </w:t>
      </w:r>
      <w:r>
        <w:rPr>
          <w:sz w:val="22"/>
          <w:vertAlign w:val="baseline"/>
        </w:rPr>
        <w:t>故不</w:t>
      </w:r>
      <w:r>
        <w:rPr>
          <w:spacing w:val="32"/>
          <w:sz w:val="22"/>
          <w:vertAlign w:val="baseline"/>
        </w:rPr>
        <w:t>得</w:t>
      </w:r>
      <w:r>
        <w:rPr>
          <w:sz w:val="22"/>
          <w:vertAlign w:val="baseline"/>
        </w:rPr>
        <w:t>參加訴訟；</w:t>
      </w:r>
      <w:r>
        <w:rPr>
          <w:spacing w:val="-83"/>
          <w:sz w:val="22"/>
          <w:vertAlign w:val="baseline"/>
        </w:rPr>
        <w:t> </w:t>
      </w:r>
      <w:r>
        <w:rPr>
          <w:rFonts w:ascii="Times New Roman" w:eastAsia="Times New Roman"/>
          <w:sz w:val="26"/>
          <w:vertAlign w:val="baseline"/>
        </w:rPr>
        <w:t>vg</w:t>
      </w:r>
      <w:r>
        <w:rPr>
          <w:rFonts w:ascii="Times New Roman" w:eastAsia="Times New Roman"/>
          <w:spacing w:val="-29"/>
          <w:sz w:val="26"/>
          <w:vertAlign w:val="baseline"/>
        </w:rPr>
        <w:t> </w:t>
      </w:r>
      <w:r>
        <w:rPr>
          <w:rFonts w:ascii="Times New Roman" w:eastAsia="Times New Roman"/>
          <w:sz w:val="26"/>
          <w:vertAlign w:val="baseline"/>
        </w:rPr>
        <w:t>l.</w:t>
        <w:tab/>
      </w:r>
      <w:r>
        <w:rPr>
          <w:rFonts w:ascii="Times New Roman" w:eastAsia="Times New Roman"/>
          <w:w w:val="85"/>
          <w:sz w:val="26"/>
          <w:vertAlign w:val="baseline"/>
        </w:rPr>
        <w:t>VGH</w:t>
      </w:r>
      <w:r>
        <w:rPr>
          <w:rFonts w:ascii="Times New Roman" w:eastAsia="Times New Roman"/>
          <w:spacing w:val="1"/>
          <w:w w:val="85"/>
          <w:sz w:val="26"/>
          <w:vertAlign w:val="baseline"/>
        </w:rPr>
        <w:t> </w:t>
      </w:r>
      <w:r>
        <w:rPr>
          <w:rFonts w:ascii="Times New Roman" w:eastAsia="Times New Roman"/>
          <w:w w:val="85"/>
          <w:sz w:val="26"/>
          <w:vertAlign w:val="baseline"/>
        </w:rPr>
        <w:t>BW</w:t>
      </w:r>
      <w:r>
        <w:rPr>
          <w:rFonts w:ascii="Times New Roman" w:eastAsia="Times New Roman"/>
          <w:spacing w:val="12"/>
          <w:w w:val="85"/>
          <w:sz w:val="26"/>
          <w:vertAlign w:val="baseline"/>
        </w:rPr>
        <w:t> </w:t>
      </w:r>
      <w:r>
        <w:rPr>
          <w:rFonts w:ascii="Times New Roman" w:eastAsia="Times New Roman"/>
          <w:w w:val="85"/>
          <w:sz w:val="26"/>
          <w:vertAlign w:val="baseline"/>
        </w:rPr>
        <w:t>NVwZ</w:t>
      </w:r>
      <w:r>
        <w:rPr>
          <w:rFonts w:ascii="Times New Roman" w:eastAsia="Times New Roman"/>
          <w:spacing w:val="53"/>
          <w:w w:val="85"/>
          <w:sz w:val="26"/>
          <w:vertAlign w:val="baseline"/>
        </w:rPr>
        <w:t> </w:t>
      </w:r>
      <w:r>
        <w:rPr>
          <w:rFonts w:ascii="Times New Roman" w:eastAsia="Times New Roman"/>
          <w:sz w:val="26"/>
          <w:vertAlign w:val="baseline"/>
        </w:rPr>
        <w:t>1986,</w:t>
      </w:r>
      <w:r>
        <w:rPr>
          <w:rFonts w:ascii="Times New Roman" w:eastAsia="Times New Roman"/>
          <w:spacing w:val="35"/>
          <w:sz w:val="26"/>
          <w:vertAlign w:val="baseline"/>
        </w:rPr>
        <w:t> </w:t>
      </w:r>
      <w:r>
        <w:rPr>
          <w:rFonts w:ascii="Times New Roman" w:eastAsia="Times New Roman"/>
          <w:sz w:val="26"/>
          <w:vertAlign w:val="baseline"/>
        </w:rPr>
        <w:t>320.</w:t>
      </w:r>
    </w:p>
    <w:p>
      <w:pPr>
        <w:spacing w:line="259" w:lineRule="auto" w:before="0"/>
        <w:ind w:left="509" w:right="563" w:hanging="211"/>
        <w:jc w:val="both"/>
        <w:rPr>
          <w:rFonts w:ascii="Times New Roman" w:eastAsia="Times New Roman"/>
          <w:sz w:val="26"/>
        </w:rPr>
      </w:pPr>
      <w:r>
        <w:rPr>
          <w:rFonts w:ascii="Times New Roman" w:eastAsia="Times New Roman"/>
          <w:sz w:val="22"/>
          <w:vertAlign w:val="superscript"/>
        </w:rPr>
        <w:t>112</w:t>
      </w:r>
      <w:r>
        <w:rPr>
          <w:rFonts w:ascii="Times New Roman" w:eastAsia="Times New Roman"/>
          <w:spacing w:val="8"/>
          <w:sz w:val="22"/>
          <w:vertAlign w:val="baseline"/>
        </w:rPr>
        <w:t>     </w:t>
      </w:r>
      <w:r>
        <w:rPr>
          <w:sz w:val="22"/>
          <w:vertAlign w:val="baseline"/>
        </w:rPr>
        <w:t>所謂「經濟上利益」之意義，例如德國實務上見解認為：超造人提超課予義務訴訟，</w:t>
      </w:r>
      <w:r>
        <w:rPr>
          <w:spacing w:val="-108"/>
          <w:sz w:val="22"/>
          <w:vertAlign w:val="baseline"/>
        </w:rPr>
        <w:t> </w:t>
      </w:r>
      <w:r>
        <w:rPr>
          <w:sz w:val="22"/>
          <w:vertAlign w:val="baseline"/>
        </w:rPr>
        <w:t>請求法院判命行政機關發給建造執照，負責施工之建設公司對此僅有單純經濟上之   </w:t>
      </w:r>
      <w:r>
        <w:rPr>
          <w:spacing w:val="77"/>
          <w:sz w:val="22"/>
          <w:vertAlign w:val="baseline"/>
        </w:rPr>
        <w:t> </w:t>
      </w:r>
      <w:r>
        <w:rPr>
          <w:spacing w:val="6"/>
          <w:w w:val="90"/>
          <w:sz w:val="22"/>
          <w:vertAlign w:val="baseline"/>
        </w:rPr>
        <w:t>利益 </w:t>
      </w:r>
      <w:r>
        <w:rPr>
          <w:spacing w:val="-28"/>
          <w:w w:val="85"/>
          <w:sz w:val="22"/>
          <w:vertAlign w:val="baseline"/>
        </w:rPr>
        <w:t>， </w:t>
      </w:r>
      <w:r>
        <w:rPr>
          <w:spacing w:val="4"/>
          <w:w w:val="90"/>
          <w:sz w:val="22"/>
          <w:vertAlign w:val="baseline"/>
        </w:rPr>
        <w:t>不符合訴訟 參加之要件 </w:t>
      </w:r>
      <w:r>
        <w:rPr>
          <w:spacing w:val="-28"/>
          <w:w w:val="85"/>
          <w:sz w:val="22"/>
          <w:vertAlign w:val="baseline"/>
        </w:rPr>
        <w:t>， </w:t>
      </w:r>
      <w:r>
        <w:rPr>
          <w:spacing w:val="-6"/>
          <w:w w:val="90"/>
          <w:sz w:val="22"/>
          <w:vertAlign w:val="baseline"/>
        </w:rPr>
        <w:t>故不得參加訴訟； </w:t>
      </w:r>
      <w:r>
        <w:rPr>
          <w:rFonts w:ascii="Times New Roman" w:eastAsia="Times New Roman"/>
          <w:w w:val="90"/>
          <w:sz w:val="26"/>
          <w:vertAlign w:val="baseline"/>
        </w:rPr>
        <w:t>vg</w:t>
      </w:r>
      <w:r>
        <w:rPr>
          <w:rFonts w:ascii="Times New Roman" w:eastAsia="Times New Roman"/>
          <w:spacing w:val="-20"/>
          <w:w w:val="90"/>
          <w:sz w:val="26"/>
          <w:vertAlign w:val="baseline"/>
        </w:rPr>
        <w:t> </w:t>
      </w:r>
      <w:r>
        <w:rPr>
          <w:rFonts w:ascii="Times New Roman" w:eastAsia="Times New Roman"/>
          <w:w w:val="90"/>
          <w:sz w:val="26"/>
          <w:vertAlign w:val="baseline"/>
        </w:rPr>
        <w:t>l</w:t>
      </w:r>
      <w:r>
        <w:rPr>
          <w:rFonts w:ascii="Times New Roman" w:eastAsia="Times New Roman"/>
          <w:spacing w:val="27"/>
          <w:w w:val="90"/>
          <w:sz w:val="26"/>
          <w:vertAlign w:val="baseline"/>
        </w:rPr>
        <w:t>. </w:t>
      </w:r>
      <w:r>
        <w:rPr>
          <w:rFonts w:ascii="Times New Roman" w:eastAsia="Times New Roman"/>
          <w:w w:val="85"/>
          <w:sz w:val="26"/>
          <w:vertAlign w:val="baseline"/>
        </w:rPr>
        <w:t>OVG</w:t>
      </w:r>
      <w:r>
        <w:rPr>
          <w:rFonts w:ascii="Times New Roman" w:eastAsia="Times New Roman"/>
          <w:spacing w:val="2"/>
          <w:w w:val="85"/>
          <w:sz w:val="26"/>
          <w:vertAlign w:val="baseline"/>
        </w:rPr>
        <w:t> </w:t>
      </w:r>
      <w:r>
        <w:rPr>
          <w:rFonts w:ascii="Times New Roman" w:eastAsia="Times New Roman"/>
          <w:w w:val="85"/>
          <w:sz w:val="26"/>
          <w:vertAlign w:val="baseline"/>
        </w:rPr>
        <w:t>NW</w:t>
      </w:r>
      <w:r>
        <w:rPr>
          <w:rFonts w:ascii="Times New Roman" w:eastAsia="Times New Roman"/>
          <w:spacing w:val="26"/>
          <w:w w:val="85"/>
          <w:sz w:val="26"/>
          <w:vertAlign w:val="baseline"/>
        </w:rPr>
        <w:t> </w:t>
      </w:r>
      <w:r>
        <w:rPr>
          <w:rFonts w:ascii="Times New Roman" w:eastAsia="Times New Roman"/>
          <w:w w:val="90"/>
          <w:sz w:val="26"/>
          <w:vertAlign w:val="baseline"/>
        </w:rPr>
        <w:t>1981,</w:t>
      </w:r>
      <w:r>
        <w:rPr>
          <w:rFonts w:ascii="Times New Roman" w:eastAsia="Times New Roman"/>
          <w:spacing w:val="31"/>
          <w:w w:val="90"/>
          <w:sz w:val="26"/>
          <w:vertAlign w:val="baseline"/>
        </w:rPr>
        <w:t> </w:t>
      </w:r>
      <w:r>
        <w:rPr>
          <w:rFonts w:ascii="Times New Roman" w:eastAsia="Times New Roman"/>
          <w:w w:val="90"/>
          <w:sz w:val="26"/>
          <w:vertAlign w:val="baseline"/>
        </w:rPr>
        <w:t>1469.</w:t>
      </w:r>
    </w:p>
    <w:p>
      <w:pPr>
        <w:spacing w:line="286" w:lineRule="exact" w:before="0"/>
        <w:ind w:left="298" w:right="0" w:firstLine="0"/>
        <w:jc w:val="both"/>
        <w:rPr>
          <w:sz w:val="22"/>
        </w:rPr>
      </w:pPr>
      <w:r>
        <w:rPr>
          <w:rFonts w:ascii="Times New Roman" w:hAnsi="Times New Roman" w:eastAsia="Times New Roman"/>
          <w:w w:val="95"/>
          <w:position w:val="8"/>
          <w:sz w:val="13"/>
        </w:rPr>
        <w:t>113</w:t>
      </w:r>
      <w:r>
        <w:rPr>
          <w:rFonts w:ascii="Times New Roman" w:hAnsi="Times New Roman" w:eastAsia="Times New Roman"/>
          <w:spacing w:val="46"/>
          <w:position w:val="8"/>
          <w:sz w:val="13"/>
        </w:rPr>
        <w:t>  </w:t>
      </w:r>
      <w:r>
        <w:rPr>
          <w:spacing w:val="9"/>
          <w:w w:val="95"/>
          <w:sz w:val="22"/>
        </w:rPr>
        <w:t>最高行 政法浣</w:t>
      </w:r>
      <w:r>
        <w:rPr>
          <w:rFonts w:ascii="Times New Roman" w:hAnsi="Times New Roman" w:eastAsia="Times New Roman"/>
          <w:spacing w:val="9"/>
          <w:w w:val="95"/>
          <w:sz w:val="26"/>
        </w:rPr>
        <w:t>91</w:t>
      </w:r>
      <w:r>
        <w:rPr>
          <w:spacing w:val="24"/>
          <w:w w:val="95"/>
          <w:sz w:val="22"/>
        </w:rPr>
        <w:t>年裁字第</w:t>
      </w:r>
      <w:r>
        <w:rPr>
          <w:rFonts w:ascii="Times New Roman" w:hAnsi="Times New Roman" w:eastAsia="Times New Roman"/>
          <w:w w:val="95"/>
          <w:sz w:val="26"/>
        </w:rPr>
        <w:t>162</w:t>
      </w:r>
      <w:r>
        <w:rPr>
          <w:spacing w:val="-2"/>
          <w:w w:val="95"/>
          <w:sz w:val="22"/>
        </w:rPr>
        <w:t>號裁定有謂：「…若無法律上利害關係</w:t>
      </w:r>
      <w:r>
        <w:rPr>
          <w:spacing w:val="113"/>
          <w:sz w:val="22"/>
        </w:rPr>
        <w:t> </w:t>
      </w:r>
      <w:r>
        <w:rPr>
          <w:spacing w:val="7"/>
          <w:w w:val="95"/>
          <w:sz w:val="22"/>
        </w:rPr>
        <w:t>， 而僅有事實上</w:t>
      </w:r>
    </w:p>
    <w:p>
      <w:pPr>
        <w:spacing w:line="252" w:lineRule="auto" w:before="25"/>
        <w:ind w:left="511" w:right="566" w:hanging="3"/>
        <w:jc w:val="both"/>
        <w:rPr>
          <w:sz w:val="22"/>
        </w:rPr>
      </w:pPr>
      <w:r>
        <w:rPr>
          <w:w w:val="105"/>
          <w:sz w:val="22"/>
        </w:rPr>
        <w:t>之道德上、情戚上、經濟上或名譽上利害關係存在，即不在得訴訟參加之列。本件</w:t>
      </w:r>
      <w:r>
        <w:rPr>
          <w:spacing w:val="5"/>
          <w:w w:val="105"/>
          <w:sz w:val="22"/>
        </w:rPr>
        <w:t> </w:t>
      </w:r>
      <w:r>
        <w:rPr>
          <w:spacing w:val="2"/>
          <w:sz w:val="22"/>
        </w:rPr>
        <w:t>磬請人以臺北市 政府怠於維修道路 </w:t>
      </w:r>
      <w:r>
        <w:rPr>
          <w:spacing w:val="-30"/>
          <w:w w:val="95"/>
          <w:sz w:val="22"/>
        </w:rPr>
        <w:t>， </w:t>
      </w:r>
      <w:r>
        <w:rPr>
          <w:spacing w:val="12"/>
          <w:sz w:val="22"/>
        </w:rPr>
        <w:t>反處分他人</w:t>
      </w:r>
      <w:r>
        <w:rPr>
          <w:sz w:val="22"/>
        </w:rPr>
        <w:t>（即原告</w:t>
      </w:r>
      <w:r>
        <w:rPr>
          <w:rFonts w:ascii="Arial" w:eastAsia="Arial"/>
          <w:sz w:val="28"/>
        </w:rPr>
        <w:t>0</w:t>
      </w:r>
      <w:r>
        <w:rPr>
          <w:rFonts w:ascii="Arial" w:eastAsia="Arial"/>
          <w:spacing w:val="9"/>
          <w:sz w:val="28"/>
        </w:rPr>
        <w:t> </w:t>
      </w:r>
      <w:r>
        <w:rPr>
          <w:rFonts w:ascii="Arial" w:eastAsia="Arial"/>
          <w:sz w:val="28"/>
        </w:rPr>
        <w:t>00</w:t>
      </w:r>
      <w:r>
        <w:rPr>
          <w:rFonts w:ascii="Arial" w:eastAsia="Arial"/>
          <w:spacing w:val="41"/>
          <w:sz w:val="28"/>
        </w:rPr>
        <w:t> ) </w:t>
      </w:r>
      <w:r>
        <w:rPr>
          <w:spacing w:val="-3"/>
          <w:sz w:val="22"/>
        </w:rPr>
        <w:t>將該路段 所為之</w:t>
      </w:r>
      <w:r>
        <w:rPr>
          <w:w w:val="105"/>
          <w:sz w:val="22"/>
        </w:rPr>
        <w:t>綠化行為，為此磬請參加云云。經查，縱罄請人主張屬實，僅屬情戚上之事實利害</w:t>
      </w:r>
      <w:r>
        <w:rPr>
          <w:spacing w:val="1"/>
          <w:w w:val="105"/>
          <w:sz w:val="22"/>
        </w:rPr>
        <w:t> </w:t>
      </w:r>
      <w:r>
        <w:rPr>
          <w:w w:val="105"/>
          <w:sz w:val="22"/>
        </w:rPr>
        <w:t>關係，而無法律上之利害關係。本院審核結果，認為難以准許其參加本件訴訟，應</w:t>
      </w:r>
    </w:p>
    <w:p>
      <w:pPr>
        <w:spacing w:before="21"/>
        <w:ind w:left="509" w:right="0" w:firstLine="0"/>
        <w:jc w:val="left"/>
        <w:rPr>
          <w:sz w:val="22"/>
        </w:rPr>
      </w:pPr>
      <w:r>
        <w:rPr>
          <w:sz w:val="22"/>
        </w:rPr>
        <w:t>認其磬請為燕理由，而予以駁回。…」。</w:t>
      </w:r>
    </w:p>
    <w:p>
      <w:pPr>
        <w:spacing w:before="13"/>
        <w:ind w:left="298" w:right="0" w:firstLine="0"/>
        <w:jc w:val="both"/>
        <w:rPr>
          <w:rFonts w:ascii="Times New Roman" w:eastAsia="Times New Roman"/>
          <w:sz w:val="26"/>
        </w:rPr>
      </w:pPr>
      <w:r>
        <w:rPr>
          <w:rFonts w:ascii="Times New Roman" w:eastAsia="Times New Roman"/>
          <w:w w:val="95"/>
          <w:position w:val="7"/>
          <w:sz w:val="13"/>
        </w:rPr>
        <w:t>114</w:t>
      </w:r>
      <w:r>
        <w:rPr>
          <w:rFonts w:ascii="Times New Roman" w:eastAsia="Times New Roman"/>
          <w:spacing w:val="32"/>
          <w:position w:val="7"/>
          <w:sz w:val="13"/>
        </w:rPr>
        <w:t> </w:t>
      </w:r>
      <w:r>
        <w:rPr>
          <w:spacing w:val="10"/>
          <w:w w:val="95"/>
          <w:sz w:val="22"/>
        </w:rPr>
        <w:t>參閱德國行 政法浣法第</w:t>
      </w:r>
      <w:r>
        <w:rPr>
          <w:rFonts w:ascii="Times New Roman" w:eastAsia="Times New Roman"/>
          <w:w w:val="95"/>
          <w:sz w:val="26"/>
        </w:rPr>
        <w:t>65</w:t>
      </w:r>
      <w:r>
        <w:rPr>
          <w:spacing w:val="-1"/>
          <w:w w:val="95"/>
          <w:sz w:val="22"/>
        </w:rPr>
        <w:t>條之立法理由； </w:t>
      </w:r>
      <w:r>
        <w:rPr>
          <w:rFonts w:ascii="Times New Roman" w:eastAsia="Times New Roman"/>
          <w:w w:val="95"/>
          <w:sz w:val="26"/>
        </w:rPr>
        <w:t>vg</w:t>
      </w:r>
      <w:r>
        <w:rPr>
          <w:rFonts w:ascii="Times New Roman" w:eastAsia="Times New Roman"/>
          <w:spacing w:val="-24"/>
          <w:w w:val="95"/>
          <w:sz w:val="26"/>
        </w:rPr>
        <w:t> </w:t>
      </w:r>
      <w:r>
        <w:rPr>
          <w:rFonts w:ascii="Times New Roman" w:eastAsia="Times New Roman"/>
          <w:w w:val="95"/>
          <w:sz w:val="26"/>
        </w:rPr>
        <w:t>l.</w:t>
      </w:r>
      <w:r>
        <w:rPr>
          <w:rFonts w:ascii="Times New Roman" w:eastAsia="Times New Roman"/>
          <w:spacing w:val="166"/>
          <w:sz w:val="26"/>
        </w:rPr>
        <w:t> </w:t>
      </w:r>
      <w:r>
        <w:rPr>
          <w:rFonts w:ascii="Times New Roman" w:eastAsia="Times New Roman"/>
          <w:w w:val="95"/>
          <w:sz w:val="26"/>
        </w:rPr>
        <w:t>BT-Drs.</w:t>
      </w:r>
      <w:r>
        <w:rPr>
          <w:rFonts w:ascii="Times New Roman" w:eastAsia="Times New Roman"/>
          <w:spacing w:val="151"/>
          <w:sz w:val="26"/>
        </w:rPr>
        <w:t> </w:t>
      </w:r>
      <w:r>
        <w:rPr>
          <w:rFonts w:ascii="Times New Roman" w:eastAsia="Times New Roman"/>
          <w:w w:val="95"/>
          <w:sz w:val="26"/>
        </w:rPr>
        <w:t>111/55,</w:t>
      </w:r>
      <w:r>
        <w:rPr>
          <w:rFonts w:ascii="Times New Roman" w:eastAsia="Times New Roman"/>
          <w:spacing w:val="138"/>
          <w:sz w:val="26"/>
        </w:rPr>
        <w:t> </w:t>
      </w:r>
      <w:r>
        <w:rPr>
          <w:rFonts w:ascii="Times New Roman" w:eastAsia="Times New Roman"/>
          <w:w w:val="95"/>
          <w:sz w:val="26"/>
        </w:rPr>
        <w:t>S.</w:t>
      </w:r>
      <w:r>
        <w:rPr>
          <w:rFonts w:ascii="Times New Roman" w:eastAsia="Times New Roman"/>
          <w:spacing w:val="135"/>
          <w:sz w:val="26"/>
        </w:rPr>
        <w:t> </w:t>
      </w:r>
      <w:r>
        <w:rPr>
          <w:rFonts w:ascii="Times New Roman" w:eastAsia="Times New Roman"/>
          <w:w w:val="95"/>
          <w:sz w:val="26"/>
        </w:rPr>
        <w:t>37.</w:t>
      </w:r>
    </w:p>
    <w:p>
      <w:pPr>
        <w:pStyle w:val="Heading6"/>
        <w:spacing w:before="12"/>
        <w:jc w:val="both"/>
      </w:pPr>
      <w:r>
        <w:rPr>
          <w:spacing w:val="-1"/>
          <w:position w:val="8"/>
          <w:sz w:val="13"/>
        </w:rPr>
        <w:t>115</w:t>
      </w:r>
      <w:r>
        <w:rPr>
          <w:spacing w:val="8"/>
          <w:position w:val="8"/>
          <w:sz w:val="13"/>
        </w:rPr>
        <w:t> </w:t>
      </w:r>
      <w:r>
        <w:rPr>
          <w:spacing w:val="-1"/>
        </w:rPr>
        <w:t>Kopp/Schenke,</w:t>
      </w:r>
      <w:r>
        <w:rPr>
          <w:spacing w:val="11"/>
        </w:rPr>
        <w:t> </w:t>
      </w:r>
      <w:r>
        <w:rPr>
          <w:spacing w:val="-1"/>
        </w:rPr>
        <w:t>VwGO,</w:t>
      </w:r>
      <w:r>
        <w:rPr/>
        <w:t> 13.</w:t>
      </w:r>
      <w:r>
        <w:rPr>
          <w:spacing w:val="54"/>
        </w:rPr>
        <w:t> </w:t>
      </w:r>
      <w:r>
        <w:rPr/>
        <w:t>Aufl.,</w:t>
      </w:r>
      <w:r>
        <w:rPr>
          <w:spacing w:val="59"/>
        </w:rPr>
        <w:t> </w:t>
      </w:r>
      <w:r>
        <w:rPr/>
        <w:t>2003,</w:t>
      </w:r>
      <w:r>
        <w:rPr>
          <w:spacing w:val="57"/>
        </w:rPr>
        <w:t> </w:t>
      </w:r>
      <w:r>
        <w:rPr>
          <w:rFonts w:ascii="Arial" w:hAnsi="Arial"/>
          <w:sz w:val="20"/>
        </w:rPr>
        <w:t>§</w:t>
      </w:r>
      <w:r>
        <w:rPr>
          <w:rFonts w:ascii="Arial" w:hAnsi="Arial"/>
          <w:spacing w:val="39"/>
          <w:sz w:val="20"/>
        </w:rPr>
        <w:t> </w:t>
      </w:r>
      <w:r>
        <w:rPr/>
        <w:t>65</w:t>
      </w:r>
      <w:r>
        <w:rPr>
          <w:spacing w:val="17"/>
        </w:rPr>
        <w:t> </w:t>
      </w:r>
      <w:r>
        <w:rPr/>
        <w:t>Rn.</w:t>
      </w:r>
      <w:r>
        <w:rPr>
          <w:spacing w:val="51"/>
        </w:rPr>
        <w:t> </w:t>
      </w:r>
      <w:r>
        <w:rPr/>
        <w:t>8.</w:t>
      </w:r>
    </w:p>
    <w:p>
      <w:pPr>
        <w:spacing w:after="0"/>
        <w:jc w:val="both"/>
        <w:sectPr>
          <w:pgSz w:w="11910" w:h="16840"/>
          <w:pgMar w:header="862" w:footer="1017" w:top="1060" w:bottom="1200" w:left="1120" w:right="1060"/>
        </w:sectPr>
      </w:pPr>
    </w:p>
    <w:p>
      <w:pPr>
        <w:pStyle w:val="BodyText"/>
        <w:spacing w:before="11"/>
        <w:rPr>
          <w:rFonts w:ascii="Times New Roman"/>
          <w:sz w:val="28"/>
        </w:rPr>
      </w:pPr>
    </w:p>
    <w:p>
      <w:pPr>
        <w:spacing w:line="309" w:lineRule="auto" w:before="88"/>
        <w:ind w:left="308" w:right="523" w:hanging="6"/>
        <w:jc w:val="left"/>
        <w:rPr>
          <w:sz w:val="25"/>
        </w:rPr>
      </w:pPr>
      <w:r>
        <w:rPr>
          <w:rFonts w:ascii="Times New Roman" w:hAnsi="Times New Roman" w:eastAsia="Times New Roman"/>
          <w:w w:val="105"/>
          <w:sz w:val="30"/>
        </w:rPr>
        <w:t>Beklagten  seine  Rechtsposition  verbessern  oder  verschlechtern</w:t>
      </w:r>
      <w:r>
        <w:rPr>
          <w:rFonts w:ascii="Times New Roman" w:hAnsi="Times New Roman" w:eastAsia="Times New Roman"/>
          <w:spacing w:val="1"/>
          <w:w w:val="105"/>
          <w:sz w:val="30"/>
        </w:rPr>
        <w:t> </w:t>
      </w:r>
      <w:r>
        <w:rPr>
          <w:rFonts w:ascii="Times New Roman" w:hAnsi="Times New Roman" w:eastAsia="Times New Roman"/>
          <w:w w:val="90"/>
          <w:sz w:val="30"/>
        </w:rPr>
        <w:t>konnt</w:t>
      </w:r>
      <w:r>
        <w:rPr>
          <w:rFonts w:ascii="Times New Roman" w:hAnsi="Times New Roman" w:eastAsia="Times New Roman"/>
          <w:spacing w:val="77"/>
          <w:sz w:val="30"/>
        </w:rPr>
        <w:t> </w:t>
      </w:r>
      <w:r>
        <w:rPr>
          <w:rFonts w:ascii="Times New Roman" w:hAnsi="Times New Roman" w:eastAsia="Times New Roman"/>
          <w:w w:val="90"/>
          <w:sz w:val="30"/>
        </w:rPr>
        <w:t>e</w:t>
      </w:r>
      <w:r>
        <w:rPr>
          <w:rFonts w:ascii="Times New Roman" w:hAnsi="Times New Roman" w:eastAsia="Times New Roman"/>
          <w:spacing w:val="8"/>
          <w:w w:val="90"/>
          <w:sz w:val="30"/>
        </w:rPr>
        <w:t> ) </w:t>
      </w:r>
      <w:r>
        <w:rPr>
          <w:spacing w:val="1"/>
          <w:w w:val="90"/>
          <w:sz w:val="25"/>
        </w:rPr>
        <w:t>， 即符合訴訟參加之要件</w:t>
      </w:r>
      <w:r>
        <w:rPr>
          <w:rFonts w:ascii="Times New Roman" w:hAnsi="Times New Roman" w:eastAsia="Times New Roman"/>
          <w:w w:val="90"/>
          <w:sz w:val="15"/>
        </w:rPr>
        <w:t>116</w:t>
      </w:r>
      <w:r>
        <w:rPr>
          <w:rFonts w:ascii="Times New Roman" w:hAnsi="Times New Roman" w:eastAsia="Times New Roman"/>
          <w:spacing w:val="44"/>
          <w:sz w:val="15"/>
        </w:rPr>
        <w:t>  </w:t>
      </w:r>
      <w:r>
        <w:rPr>
          <w:spacing w:val="2"/>
          <w:w w:val="90"/>
          <w:sz w:val="25"/>
        </w:rPr>
        <w:t>。 我國 司 法實務上 ， 亦採相同見解</w:t>
      </w:r>
      <w:r>
        <w:rPr>
          <w:spacing w:val="100"/>
          <w:sz w:val="25"/>
        </w:rPr>
        <w:t> </w:t>
      </w:r>
      <w:r>
        <w:rPr>
          <w:w w:val="90"/>
          <w:sz w:val="25"/>
        </w:rPr>
        <w:t>，</w:t>
      </w:r>
      <w:r>
        <w:rPr>
          <w:spacing w:val="1"/>
          <w:w w:val="90"/>
          <w:sz w:val="25"/>
        </w:rPr>
        <w:t> </w:t>
      </w:r>
      <w:r>
        <w:rPr>
          <w:w w:val="105"/>
          <w:sz w:val="25"/>
        </w:rPr>
        <w:t>謂：「…本院得因第三人之請求，允許其參加訴訟，固為…行政訴訟法…</w:t>
      </w:r>
    </w:p>
    <w:p>
      <w:pPr>
        <w:pStyle w:val="BodyText"/>
        <w:spacing w:line="328" w:lineRule="auto" w:before="28"/>
        <w:ind w:left="301" w:right="524" w:firstLine="5"/>
        <w:jc w:val="both"/>
        <w:rPr>
          <w:rFonts w:ascii="Arial" w:hAnsi="Arial" w:eastAsia="Arial"/>
          <w:sz w:val="8"/>
        </w:rPr>
      </w:pPr>
      <w:r>
        <w:rPr/>
        <w:t>所明定…。但其允許與否，仍須由本院依職權認定該第三人就已繫屬之訴    </w:t>
      </w:r>
      <w:r>
        <w:rPr>
          <w:spacing w:val="26"/>
        </w:rPr>
        <w:t> </w:t>
      </w:r>
      <w:r>
        <w:rPr/>
        <w:t>訟事件，有無法律上之利害關係以為決定，…。所謂法律上之利害關係，    </w:t>
      </w:r>
      <w:r>
        <w:rPr>
          <w:spacing w:val="31"/>
        </w:rPr>
        <w:t> </w:t>
      </w:r>
      <w:r>
        <w:rPr/>
        <w:t>係挂該第三人法律上之地位，因噹事人一造之敗訴，依該判決之內容，將    </w:t>
      </w:r>
      <w:r>
        <w:rPr>
          <w:spacing w:val="43"/>
        </w:rPr>
        <w:t> </w:t>
      </w:r>
      <w:r>
        <w:rPr>
          <w:spacing w:val="-9"/>
          <w:w w:val="95"/>
        </w:rPr>
        <w:t>直接 或間接 受不利 益 ， 若該當事人勝訴 ， 則可免受 不利 益可言 。…」</w:t>
      </w:r>
      <w:r>
        <w:rPr>
          <w:rFonts w:ascii="Times New Roman" w:hAnsi="Times New Roman" w:eastAsia="Times New Roman"/>
          <w:w w:val="95"/>
          <w:sz w:val="15"/>
        </w:rPr>
        <w:t>117</w:t>
      </w:r>
      <w:r>
        <w:rPr>
          <w:rFonts w:ascii="Times New Roman" w:hAnsi="Times New Roman" w:eastAsia="Times New Roman"/>
          <w:spacing w:val="1"/>
          <w:w w:val="95"/>
          <w:sz w:val="15"/>
        </w:rPr>
        <w:t> </w:t>
      </w:r>
      <w:r>
        <w:rPr>
          <w:rFonts w:ascii="Arial" w:hAnsi="Arial" w:eastAsia="Arial"/>
          <w:w w:val="95"/>
          <w:sz w:val="8"/>
        </w:rPr>
        <w:t>0</w:t>
      </w:r>
    </w:p>
    <w:p>
      <w:pPr>
        <w:spacing w:before="110"/>
        <w:ind w:left="0" w:right="421" w:firstLine="0"/>
        <w:jc w:val="center"/>
        <w:rPr>
          <w:sz w:val="24"/>
        </w:rPr>
      </w:pPr>
      <w:r>
        <w:rPr>
          <w:rFonts w:ascii="Times New Roman" w:eastAsia="Times New Roman"/>
          <w:b/>
          <w:spacing w:val="15"/>
          <w:w w:val="105"/>
          <w:position w:val="-2"/>
          <w:sz w:val="28"/>
        </w:rPr>
        <w:t>(</w:t>
      </w:r>
      <w:r>
        <w:rPr>
          <w:spacing w:val="-120"/>
          <w:w w:val="105"/>
          <w:sz w:val="24"/>
        </w:rPr>
        <w:t>二小</w:t>
      </w:r>
      <w:r>
        <w:rPr>
          <w:rFonts w:ascii="Times New Roman" w:eastAsia="Times New Roman"/>
          <w:b/>
          <w:spacing w:val="34"/>
          <w:w w:val="105"/>
          <w:position w:val="-2"/>
          <w:sz w:val="28"/>
        </w:rPr>
        <w:t>) </w:t>
      </w:r>
      <w:r>
        <w:rPr>
          <w:w w:val="105"/>
          <w:sz w:val="24"/>
        </w:rPr>
        <w:t>結</w:t>
      </w:r>
    </w:p>
    <w:p>
      <w:pPr>
        <w:pStyle w:val="BodyText"/>
        <w:spacing w:before="1"/>
        <w:rPr>
          <w:sz w:val="17"/>
        </w:rPr>
      </w:pPr>
    </w:p>
    <w:p>
      <w:pPr>
        <w:pStyle w:val="BodyText"/>
        <w:spacing w:line="331" w:lineRule="auto" w:before="65"/>
        <w:ind w:left="303" w:right="498" w:firstLine="562"/>
        <w:jc w:val="right"/>
      </w:pPr>
      <w:r>
        <w:rPr>
          <w:w w:val="110"/>
        </w:rPr>
        <w:t>在積極競爭者爭訟，原處分機關對於復審人依法申請之案件，予以否准，損害其権利或利益者，復審人得向保訓會提超撤銷復審，請求撤銷未</w:t>
      </w:r>
      <w:r>
        <w:rPr>
          <w:w w:val="105"/>
        </w:rPr>
        <w:t>獲核准之處分。上逑撤銷復審之中，第三人一般而言並無權益受損之可言。</w:t>
      </w:r>
      <w:r>
        <w:rPr>
          <w:w w:val="110"/>
        </w:rPr>
        <w:t>復審人向保訓會提超撒銷復審，請求撒銷未獲陞任、陞遷、留任等之</w:t>
      </w:r>
    </w:p>
    <w:p>
      <w:pPr>
        <w:pStyle w:val="BodyText"/>
        <w:spacing w:line="331" w:lineRule="auto"/>
        <w:ind w:left="301" w:right="519" w:firstLine="5"/>
        <w:jc w:val="both"/>
      </w:pPr>
      <w:r>
        <w:rPr>
          <w:w w:val="110"/>
        </w:rPr>
        <w:t>處分。保訓會如以其復審為有理由而撒銷原處分，復審人未獲核准之處分雖遭撤銷，但其競爭者並無任何權利或法律上利益受損。競爭者或因此而產生精神上之不快，或者戚覺其陞任、陞遷、留任之機會受到威脅，然此並非法律上利益。又原處分經撤銷後，原處分機關固然可能依復審人所請對其作成陞任、陞遷、留任等授益處分。惟在原處分機關實際對復審人作成該處分之前，不能謂第三人之法律地位受到不利影攀而認為其有權益受損，故不得在該撤銷復審之程序中參加復審。</w:t>
      </w:r>
    </w:p>
    <w:p>
      <w:pPr>
        <w:spacing w:before="42"/>
        <w:ind w:left="2939" w:right="0" w:firstLine="0"/>
        <w:jc w:val="both"/>
        <w:rPr>
          <w:sz w:val="28"/>
        </w:rPr>
      </w:pPr>
      <w:bookmarkStart w:name="_bookmark27" w:id="28"/>
      <w:bookmarkEnd w:id="28"/>
      <w:r>
        <w:rPr/>
      </w:r>
      <w:r>
        <w:rPr>
          <w:spacing w:val="25"/>
          <w:w w:val="110"/>
          <w:sz w:val="30"/>
        </w:rPr>
        <w:t>第三節  </w:t>
      </w:r>
      <w:r>
        <w:rPr>
          <w:w w:val="110"/>
          <w:sz w:val="28"/>
        </w:rPr>
        <w:t>復審參加之類型</w:t>
      </w:r>
    </w:p>
    <w:p>
      <w:pPr>
        <w:pStyle w:val="BodyText"/>
        <w:spacing w:before="12"/>
        <w:rPr>
          <w:sz w:val="21"/>
        </w:rPr>
      </w:pPr>
    </w:p>
    <w:p>
      <w:pPr>
        <w:pStyle w:val="BodyText"/>
        <w:spacing w:line="331" w:lineRule="auto"/>
        <w:ind w:left="303" w:right="513" w:firstLine="571"/>
        <w:jc w:val="both"/>
      </w:pPr>
      <w:r>
        <w:rPr>
          <w:w w:val="110"/>
        </w:rPr>
        <w:t>綜合以上所述可知，各種公務人員競爭者爭訟之類型中，部份類型有保護第三人之権益而使其參加復審之必要者。其他類型則僅影響第三人之權益，並無使其參加復審之必要，但得視個別情形允許其參加復審。以下詳述之：</w:t>
      </w:r>
    </w:p>
    <w:p>
      <w:pPr>
        <w:pStyle w:val="BodyText"/>
        <w:spacing w:before="87"/>
        <w:ind w:left="803" w:right="549"/>
        <w:jc w:val="center"/>
      </w:pPr>
      <w:r>
        <w:rPr>
          <w:w w:val="125"/>
        </w:rPr>
        <w:t>一必要參加</w:t>
      </w:r>
    </w:p>
    <w:p>
      <w:pPr>
        <w:pStyle w:val="BodyText"/>
        <w:spacing w:before="9"/>
        <w:rPr>
          <w:sz w:val="23"/>
        </w:rPr>
      </w:pPr>
    </w:p>
    <w:p>
      <w:pPr>
        <w:pStyle w:val="BodyText"/>
        <w:ind w:left="452" w:right="110"/>
        <w:jc w:val="center"/>
      </w:pPr>
      <w:r>
        <w:rPr>
          <w:w w:val="110"/>
        </w:rPr>
        <w:t>在公務人員之消極競爭者爭訟中，未獲陞任、陞遷、留任之人於人事</w:t>
      </w:r>
    </w:p>
    <w:p>
      <w:pPr>
        <w:pStyle w:val="BodyText"/>
        <w:rPr>
          <w:sz w:val="20"/>
        </w:rPr>
      </w:pPr>
    </w:p>
    <w:p>
      <w:pPr>
        <w:pStyle w:val="BodyText"/>
        <w:rPr>
          <w:sz w:val="18"/>
        </w:rPr>
      </w:pPr>
      <w:r>
        <w:rPr/>
        <w:pict>
          <v:shape style="position:absolute;margin-left:95.174004pt;margin-top:13.732416pt;width:144.25pt;height:.1pt;mso-position-horizontal-relative:page;mso-position-vertical-relative:paragraph;z-index:-15602688;mso-wrap-distance-left:0;mso-wrap-distance-right:0" coordorigin="1903,275" coordsize="2885,0" path="m1903,275l4788,275e" filled="false" stroked="true" strokeweight=".480547pt" strokecolor="#000000">
            <v:path arrowok="t"/>
            <v:stroke dashstyle="solid"/>
            <w10:wrap type="topAndBottom"/>
          </v:shape>
        </w:pict>
      </w:r>
    </w:p>
    <w:p>
      <w:pPr>
        <w:pStyle w:val="BodyText"/>
        <w:spacing w:before="3"/>
        <w:rPr>
          <w:sz w:val="9"/>
        </w:rPr>
      </w:pPr>
    </w:p>
    <w:p>
      <w:pPr>
        <w:pStyle w:val="BodyText"/>
        <w:tabs>
          <w:tab w:pos="1333" w:val="left" w:leader="none"/>
        </w:tabs>
        <w:spacing w:before="90"/>
        <w:ind w:left="298"/>
        <w:rPr>
          <w:rFonts w:ascii="Arial" w:hAnsi="Arial"/>
          <w:sz w:val="20"/>
        </w:rPr>
      </w:pPr>
      <w:r>
        <w:rPr>
          <w:rFonts w:ascii="Times New Roman" w:hAnsi="Times New Roman"/>
          <w:position w:val="8"/>
          <w:sz w:val="13"/>
        </w:rPr>
        <w:t>116  </w:t>
      </w:r>
      <w:r>
        <w:rPr>
          <w:rFonts w:ascii="Times New Roman" w:hAnsi="Times New Roman"/>
          <w:spacing w:val="25"/>
          <w:position w:val="8"/>
          <w:sz w:val="13"/>
        </w:rPr>
        <w:t> </w:t>
      </w:r>
      <w:r>
        <w:rPr>
          <w:rFonts w:ascii="Times New Roman" w:hAnsi="Times New Roman"/>
        </w:rPr>
        <w:t>Bier,</w:t>
        <w:tab/>
        <w:t>in:</w:t>
      </w:r>
      <w:r>
        <w:rPr>
          <w:rFonts w:ascii="Times New Roman" w:hAnsi="Times New Roman"/>
          <w:spacing w:val="51"/>
        </w:rPr>
        <w:t> </w:t>
      </w:r>
      <w:r>
        <w:rPr>
          <w:rFonts w:ascii="Times New Roman" w:hAnsi="Times New Roman"/>
        </w:rPr>
        <w:t>Schoch/Schmidt-A13mann/Pietzner,</w:t>
      </w:r>
      <w:r>
        <w:rPr>
          <w:rFonts w:ascii="Times New Roman" w:hAnsi="Times New Roman"/>
          <w:spacing w:val="72"/>
        </w:rPr>
        <w:t> </w:t>
      </w:r>
      <w:r>
        <w:rPr>
          <w:rFonts w:ascii="Times New Roman" w:hAnsi="Times New Roman"/>
        </w:rPr>
        <w:t>VwGO,</w:t>
      </w:r>
      <w:r>
        <w:rPr>
          <w:rFonts w:ascii="Times New Roman" w:hAnsi="Times New Roman"/>
          <w:spacing w:val="70"/>
        </w:rPr>
        <w:t> </w:t>
      </w:r>
      <w:r>
        <w:rPr>
          <w:rFonts w:ascii="Times New Roman" w:hAnsi="Times New Roman"/>
        </w:rPr>
        <w:t>Stand:</w:t>
      </w:r>
      <w:r>
        <w:rPr>
          <w:rFonts w:ascii="Times New Roman" w:hAnsi="Times New Roman"/>
          <w:spacing w:val="33"/>
        </w:rPr>
        <w:t> </w:t>
      </w:r>
      <w:r>
        <w:rPr>
          <w:rFonts w:ascii="Times New Roman" w:hAnsi="Times New Roman"/>
        </w:rPr>
        <w:t>September</w:t>
      </w:r>
      <w:r>
        <w:rPr>
          <w:rFonts w:ascii="Times New Roman" w:hAnsi="Times New Roman"/>
          <w:spacing w:val="39"/>
        </w:rPr>
        <w:t> </w:t>
      </w:r>
      <w:r>
        <w:rPr>
          <w:rFonts w:ascii="Times New Roman" w:hAnsi="Times New Roman"/>
        </w:rPr>
        <w:t>2003,</w:t>
      </w:r>
      <w:r>
        <w:rPr>
          <w:rFonts w:ascii="Times New Roman" w:hAnsi="Times New Roman"/>
          <w:spacing w:val="71"/>
        </w:rPr>
        <w:t> </w:t>
      </w:r>
      <w:r>
        <w:rPr>
          <w:rFonts w:ascii="Arial" w:hAnsi="Arial"/>
          <w:sz w:val="20"/>
        </w:rPr>
        <w:t>§</w:t>
      </w:r>
    </w:p>
    <w:p>
      <w:pPr>
        <w:pStyle w:val="Heading6"/>
        <w:spacing w:before="15"/>
        <w:ind w:left="507"/>
      </w:pPr>
      <w:r>
        <w:rPr/>
        <w:t>65</w:t>
      </w:r>
      <w:r>
        <w:rPr>
          <w:spacing w:val="30"/>
        </w:rPr>
        <w:t> </w:t>
      </w:r>
      <w:r>
        <w:rPr/>
        <w:t>Rn.</w:t>
      </w:r>
      <w:r>
        <w:rPr>
          <w:spacing w:val="13"/>
        </w:rPr>
        <w:t> </w:t>
      </w:r>
      <w:r>
        <w:rPr/>
        <w:t>12.</w:t>
      </w:r>
    </w:p>
    <w:p>
      <w:pPr>
        <w:spacing w:before="4"/>
        <w:ind w:left="298" w:right="0" w:firstLine="0"/>
        <w:jc w:val="left"/>
        <w:rPr>
          <w:sz w:val="21"/>
        </w:rPr>
      </w:pPr>
      <w:r>
        <w:rPr>
          <w:rFonts w:ascii="Times New Roman" w:eastAsia="Times New Roman"/>
          <w:position w:val="8"/>
          <w:sz w:val="13"/>
        </w:rPr>
        <w:t>117</w:t>
      </w:r>
      <w:r>
        <w:rPr>
          <w:rFonts w:ascii="Times New Roman" w:eastAsia="Times New Roman"/>
          <w:spacing w:val="9"/>
          <w:position w:val="8"/>
          <w:sz w:val="13"/>
        </w:rPr>
        <w:t> </w:t>
      </w:r>
      <w:r>
        <w:rPr>
          <w:spacing w:val="-4"/>
          <w:sz w:val="21"/>
        </w:rPr>
        <w:t>最高行 政 法浣</w:t>
      </w:r>
      <w:r>
        <w:rPr>
          <w:rFonts w:ascii="Times New Roman" w:eastAsia="Times New Roman"/>
          <w:spacing w:val="10"/>
          <w:sz w:val="26"/>
        </w:rPr>
        <w:t>91</w:t>
      </w:r>
      <w:r>
        <w:rPr>
          <w:spacing w:val="24"/>
          <w:sz w:val="21"/>
        </w:rPr>
        <w:t>年裁字第</w:t>
      </w:r>
      <w:r>
        <w:rPr>
          <w:rFonts w:ascii="Times New Roman" w:eastAsia="Times New Roman"/>
          <w:sz w:val="26"/>
        </w:rPr>
        <w:t>162</w:t>
      </w:r>
      <w:r>
        <w:rPr>
          <w:spacing w:val="-2"/>
          <w:sz w:val="21"/>
        </w:rPr>
        <w:t>號裁定參照 。</w:t>
      </w:r>
    </w:p>
    <w:p>
      <w:pPr>
        <w:spacing w:after="0"/>
        <w:jc w:val="left"/>
        <w:rPr>
          <w:sz w:val="21"/>
        </w:rPr>
        <w:sectPr>
          <w:pgSz w:w="11910" w:h="16840"/>
          <w:pgMar w:header="862" w:footer="1017" w:top="1060" w:bottom="1200" w:left="1120" w:right="1060"/>
        </w:sectPr>
      </w:pPr>
    </w:p>
    <w:p>
      <w:pPr>
        <w:pStyle w:val="BodyText"/>
        <w:spacing w:before="12"/>
        <w:rPr>
          <w:sz w:val="28"/>
        </w:rPr>
      </w:pPr>
    </w:p>
    <w:p>
      <w:pPr>
        <w:pStyle w:val="BodyText"/>
        <w:spacing w:line="331" w:lineRule="auto" w:before="65"/>
        <w:ind w:left="301" w:right="439" w:firstLine="23"/>
        <w:jc w:val="both"/>
      </w:pPr>
      <w:r>
        <w:rPr>
          <w:w w:val="110"/>
        </w:rPr>
        <w:t>主管機關對於其他競爭者作成陞任、陞遷、留任等授益處分後，向保訓會提超撒銷復審，請求撤銷人事主管機關對於該競爭者所作成之投益處分。保訓會審理之結果，如認為復審有理由，將對於該競爭者所作成之投益處分撤銷，該撤銷之復審決定亦有形成效力而拘束任何人。無論第三人是否參加復審，均為復審決定效力所及。又該第三人雖非復審程序之噹事人，</w:t>
      </w:r>
      <w:r>
        <w:rPr>
          <w:spacing w:val="1"/>
          <w:w w:val="110"/>
        </w:rPr>
        <w:t> </w:t>
      </w:r>
      <w:r>
        <w:rPr>
          <w:w w:val="110"/>
        </w:rPr>
        <w:t>然而其「行政處分相對人」之地位，即噹然轉換為「復審決定相對人」之地位，故其亦噹然成為該決定之對象。復審決定既將直接且當然地形成丶變更或消滅第三人權利，保訓會自應使其參加復審，籍以影響保訓會之決定，保障其權益。</w:t>
      </w:r>
    </w:p>
    <w:p>
      <w:pPr>
        <w:pStyle w:val="BodyText"/>
        <w:spacing w:before="78"/>
        <w:ind w:left="796" w:right="549"/>
        <w:jc w:val="center"/>
      </w:pPr>
      <w:r>
        <w:rPr>
          <w:w w:val="125"/>
        </w:rPr>
        <w:t>二普通參加</w:t>
      </w:r>
    </w:p>
    <w:p>
      <w:pPr>
        <w:pStyle w:val="BodyText"/>
        <w:spacing w:before="1"/>
        <w:rPr>
          <w:sz w:val="24"/>
        </w:rPr>
      </w:pPr>
    </w:p>
    <w:p>
      <w:pPr>
        <w:pStyle w:val="BodyText"/>
        <w:spacing w:line="326" w:lineRule="auto" w:before="1"/>
        <w:ind w:left="301" w:right="498" w:firstLine="564"/>
      </w:pPr>
      <w:r>
        <w:rPr>
          <w:w w:val="105"/>
        </w:rPr>
        <w:t>在公務人員之積極競爭者爭訟中，機關對於復審人依法申請之案件，</w:t>
      </w:r>
      <w:r>
        <w:rPr>
          <w:spacing w:val="99"/>
          <w:w w:val="105"/>
        </w:rPr>
        <w:t> </w:t>
      </w:r>
      <w:r>
        <w:rPr>
          <w:w w:val="105"/>
        </w:rPr>
        <w:t>於法定期間內應作為而不作為，損害其權利或利益者，復審人得向保訓會 </w:t>
      </w:r>
      <w:r>
        <w:rPr>
          <w:spacing w:val="7"/>
          <w:w w:val="105"/>
        </w:rPr>
        <w:t> </w:t>
      </w:r>
      <w:r>
        <w:rPr>
          <w:w w:val="105"/>
        </w:rPr>
        <w:t>提超課予義務復審，請求命怠為處分之機關應對其作成處分。保訓會審理 </w:t>
      </w:r>
      <w:r>
        <w:rPr>
          <w:spacing w:val="7"/>
          <w:w w:val="105"/>
        </w:rPr>
        <w:t> </w:t>
      </w:r>
      <w:r>
        <w:rPr>
          <w:w w:val="105"/>
        </w:rPr>
        <w:t>之結果，如認為復審有理由，將命機關對復審人作成陞任、陞遷丶留任等 </w:t>
      </w:r>
      <w:r>
        <w:rPr>
          <w:spacing w:val="7"/>
          <w:w w:val="105"/>
        </w:rPr>
        <w:t> </w:t>
      </w:r>
      <w:r>
        <w:rPr>
          <w:w w:val="105"/>
        </w:rPr>
        <w:t>才受益處分。復審人請求保訓會命原處分機關對其作成陞任、陞遷、留任等</w:t>
      </w:r>
      <w:r>
        <w:rPr>
          <w:spacing w:val="1"/>
          <w:w w:val="105"/>
        </w:rPr>
        <w:t> </w:t>
      </w:r>
      <w:r>
        <w:rPr>
          <w:w w:val="105"/>
        </w:rPr>
        <w:t>才受益處分，其本人為所請行政處分之相對人，該第三人（競爭者）並非復</w:t>
      </w:r>
      <w:r>
        <w:rPr>
          <w:spacing w:val="1"/>
          <w:w w:val="105"/>
        </w:rPr>
        <w:t> </w:t>
      </w:r>
      <w:r>
        <w:rPr>
          <w:w w:val="105"/>
        </w:rPr>
        <w:t>審罄明所請行政處分之相對人，故該課予義務復審之決定對其而言並不具 </w:t>
      </w:r>
      <w:r>
        <w:rPr>
          <w:spacing w:val="32"/>
          <w:w w:val="105"/>
        </w:rPr>
        <w:t> </w:t>
      </w:r>
      <w:r>
        <w:rPr>
          <w:spacing w:val="9"/>
          <w:w w:val="95"/>
        </w:rPr>
        <w:t>有「 直接之第三人效果」</w:t>
      </w:r>
      <w:r>
        <w:rPr>
          <w:rFonts w:ascii="Times New Roman" w:eastAsia="Times New Roman"/>
          <w:spacing w:val="-8"/>
          <w:w w:val="95"/>
          <w:sz w:val="30"/>
        </w:rPr>
        <w:t>( </w:t>
      </w:r>
      <w:r>
        <w:rPr>
          <w:rFonts w:ascii="Times New Roman" w:eastAsia="Times New Roman"/>
          <w:w w:val="95"/>
          <w:sz w:val="30"/>
        </w:rPr>
        <w:t>unmi</w:t>
      </w:r>
      <w:r>
        <w:rPr>
          <w:rFonts w:ascii="Times New Roman" w:eastAsia="Times New Roman"/>
          <w:spacing w:val="-19"/>
          <w:w w:val="95"/>
          <w:sz w:val="30"/>
        </w:rPr>
        <w:t> </w:t>
      </w:r>
      <w:r>
        <w:rPr>
          <w:rFonts w:ascii="Times New Roman" w:eastAsia="Times New Roman"/>
          <w:w w:val="95"/>
          <w:sz w:val="30"/>
        </w:rPr>
        <w:t>t</w:t>
      </w:r>
      <w:r>
        <w:rPr>
          <w:rFonts w:ascii="Times New Roman" w:eastAsia="Times New Roman"/>
          <w:spacing w:val="-10"/>
          <w:w w:val="95"/>
          <w:sz w:val="30"/>
        </w:rPr>
        <w:t> </w:t>
      </w:r>
      <w:r>
        <w:rPr>
          <w:rFonts w:ascii="Times New Roman" w:eastAsia="Times New Roman"/>
          <w:w w:val="95"/>
          <w:sz w:val="30"/>
        </w:rPr>
        <w:t>t</w:t>
      </w:r>
      <w:r>
        <w:rPr>
          <w:rFonts w:ascii="Times New Roman" w:eastAsia="Times New Roman"/>
          <w:spacing w:val="-24"/>
          <w:w w:val="95"/>
          <w:sz w:val="30"/>
        </w:rPr>
        <w:t> </w:t>
      </w:r>
      <w:r>
        <w:rPr>
          <w:rFonts w:ascii="Times New Roman" w:eastAsia="Times New Roman"/>
          <w:spacing w:val="10"/>
          <w:w w:val="95"/>
          <w:sz w:val="30"/>
        </w:rPr>
        <w:t>elbar</w:t>
      </w:r>
      <w:r>
        <w:rPr>
          <w:rFonts w:ascii="Times New Roman" w:eastAsia="Times New Roman"/>
          <w:spacing w:val="-6"/>
          <w:w w:val="95"/>
          <w:sz w:val="30"/>
        </w:rPr>
        <w:t> </w:t>
      </w:r>
      <w:r>
        <w:rPr>
          <w:rFonts w:ascii="Times New Roman" w:eastAsia="Times New Roman"/>
          <w:w w:val="95"/>
          <w:sz w:val="30"/>
        </w:rPr>
        <w:t>e</w:t>
      </w:r>
      <w:r>
        <w:rPr>
          <w:rFonts w:ascii="Times New Roman" w:eastAsia="Times New Roman"/>
          <w:spacing w:val="13"/>
          <w:w w:val="95"/>
          <w:sz w:val="30"/>
        </w:rPr>
        <w:t> </w:t>
      </w:r>
      <w:r>
        <w:rPr>
          <w:rFonts w:ascii="Times New Roman" w:eastAsia="Times New Roman"/>
          <w:w w:val="95"/>
          <w:sz w:val="30"/>
        </w:rPr>
        <w:t>Dr</w:t>
      </w:r>
      <w:r>
        <w:rPr>
          <w:rFonts w:ascii="Times New Roman" w:eastAsia="Times New Roman"/>
          <w:spacing w:val="42"/>
          <w:w w:val="95"/>
          <w:sz w:val="30"/>
        </w:rPr>
        <w:t> </w:t>
      </w:r>
      <w:r>
        <w:rPr>
          <w:rFonts w:ascii="Times New Roman" w:eastAsia="Times New Roman"/>
          <w:w w:val="95"/>
          <w:sz w:val="30"/>
        </w:rPr>
        <w:t>i</w:t>
      </w:r>
      <w:r>
        <w:rPr>
          <w:rFonts w:ascii="Times New Roman" w:eastAsia="Times New Roman"/>
          <w:spacing w:val="-24"/>
          <w:w w:val="95"/>
          <w:sz w:val="30"/>
        </w:rPr>
        <w:t> </w:t>
      </w:r>
      <w:r>
        <w:rPr>
          <w:rFonts w:ascii="Times New Roman" w:eastAsia="Times New Roman"/>
          <w:w w:val="95"/>
          <w:sz w:val="30"/>
        </w:rPr>
        <w:t>t</w:t>
      </w:r>
      <w:r>
        <w:rPr>
          <w:rFonts w:ascii="Times New Roman" w:eastAsia="Times New Roman"/>
          <w:spacing w:val="-15"/>
          <w:w w:val="95"/>
          <w:sz w:val="30"/>
        </w:rPr>
        <w:t> </w:t>
      </w:r>
      <w:r>
        <w:rPr>
          <w:rFonts w:ascii="Times New Roman" w:eastAsia="Times New Roman"/>
          <w:w w:val="95"/>
          <w:sz w:val="30"/>
        </w:rPr>
        <w:t>t</w:t>
      </w:r>
      <w:r>
        <w:rPr>
          <w:rFonts w:ascii="Times New Roman" w:eastAsia="Times New Roman"/>
          <w:spacing w:val="-21"/>
          <w:w w:val="95"/>
          <w:sz w:val="30"/>
        </w:rPr>
        <w:t> </w:t>
      </w:r>
      <w:r>
        <w:rPr>
          <w:rFonts w:ascii="Times New Roman" w:eastAsia="Times New Roman"/>
          <w:w w:val="95"/>
          <w:sz w:val="30"/>
        </w:rPr>
        <w:t>bet</w:t>
      </w:r>
      <w:r>
        <w:rPr>
          <w:rFonts w:ascii="Times New Roman" w:eastAsia="Times New Roman"/>
          <w:spacing w:val="-22"/>
          <w:w w:val="95"/>
          <w:sz w:val="30"/>
        </w:rPr>
        <w:t> </w:t>
      </w:r>
      <w:r>
        <w:rPr>
          <w:rFonts w:ascii="Times New Roman" w:eastAsia="Times New Roman"/>
          <w:spacing w:val="9"/>
          <w:w w:val="95"/>
          <w:sz w:val="30"/>
        </w:rPr>
        <w:t>rof</w:t>
      </w:r>
      <w:r>
        <w:rPr>
          <w:rFonts w:ascii="Times New Roman" w:eastAsia="Times New Roman"/>
          <w:spacing w:val="-6"/>
          <w:w w:val="95"/>
          <w:sz w:val="30"/>
        </w:rPr>
        <w:t> </w:t>
      </w:r>
      <w:r>
        <w:rPr>
          <w:rFonts w:ascii="Times New Roman" w:eastAsia="Times New Roman"/>
          <w:w w:val="95"/>
          <w:sz w:val="30"/>
        </w:rPr>
        <w:t>f</w:t>
      </w:r>
      <w:r>
        <w:rPr>
          <w:rFonts w:ascii="Times New Roman" w:eastAsia="Times New Roman"/>
          <w:spacing w:val="-20"/>
          <w:w w:val="95"/>
          <w:sz w:val="30"/>
        </w:rPr>
        <w:t> </w:t>
      </w:r>
      <w:r>
        <w:rPr>
          <w:rFonts w:ascii="Times New Roman" w:eastAsia="Times New Roman"/>
          <w:spacing w:val="9"/>
          <w:w w:val="95"/>
          <w:sz w:val="30"/>
        </w:rPr>
        <w:t>enhei</w:t>
      </w:r>
      <w:r>
        <w:rPr>
          <w:rFonts w:ascii="Times New Roman" w:eastAsia="Times New Roman"/>
          <w:spacing w:val="-23"/>
          <w:w w:val="95"/>
          <w:sz w:val="30"/>
        </w:rPr>
        <w:t> </w:t>
      </w:r>
      <w:r>
        <w:rPr>
          <w:rFonts w:ascii="Times New Roman" w:eastAsia="Times New Roman"/>
          <w:w w:val="95"/>
          <w:sz w:val="30"/>
        </w:rPr>
        <w:t>t</w:t>
      </w:r>
      <w:r>
        <w:rPr>
          <w:rFonts w:ascii="Times New Roman" w:eastAsia="Times New Roman"/>
          <w:spacing w:val="11"/>
          <w:w w:val="95"/>
          <w:sz w:val="30"/>
        </w:rPr>
        <w:t> ) </w:t>
      </w:r>
      <w:r>
        <w:rPr>
          <w:spacing w:val="-4"/>
          <w:w w:val="95"/>
        </w:rPr>
        <w:t>， 其並非</w:t>
      </w:r>
      <w:r>
        <w:rPr>
          <w:w w:val="105"/>
        </w:rPr>
        <w:t>必要復審參加人。惟此種情形，機關如依保訓會之決定對復審人作成陞   </w:t>
      </w:r>
      <w:r>
        <w:rPr>
          <w:spacing w:val="7"/>
          <w:w w:val="105"/>
        </w:rPr>
        <w:t> </w:t>
      </w:r>
      <w:r>
        <w:rPr>
          <w:w w:val="105"/>
        </w:rPr>
        <w:t>任、陞遷、留任等授益處分，與其競爭該職務之第三人即不可能再獲該處 </w:t>
      </w:r>
      <w:r>
        <w:rPr>
          <w:spacing w:val="7"/>
          <w:w w:val="105"/>
        </w:rPr>
        <w:t> </w:t>
      </w:r>
      <w:r>
        <w:rPr>
          <w:w w:val="105"/>
        </w:rPr>
        <w:t>分，故對其權益仍有影響。因此，此雖非必要復審參加之案例類型，但可 </w:t>
      </w:r>
      <w:r>
        <w:rPr>
          <w:spacing w:val="7"/>
          <w:w w:val="105"/>
        </w:rPr>
        <w:t> </w:t>
      </w:r>
      <w:r>
        <w:rPr>
          <w:w w:val="105"/>
        </w:rPr>
        <w:t>由保訓會依職權通知其參加復審或依其申請而允許其參加復審。</w:t>
      </w:r>
    </w:p>
    <w:p>
      <w:pPr>
        <w:pStyle w:val="BodyText"/>
        <w:spacing w:line="328" w:lineRule="auto" w:before="14"/>
        <w:ind w:left="302" w:right="504" w:firstLine="580"/>
      </w:pPr>
      <w:r>
        <w:rPr>
          <w:w w:val="110"/>
        </w:rPr>
        <w:t>此外，在公務人員之消極競爭者爭訟中，未獲陞任、陞遷、留任之人於人事主管機關對於其他競爭者作成陞任、陞遷、留任等投益處分後，向保訓會提超撒銷復審，請求撤銷人事主管機關對於該競爭者所作成之處</w:t>
      </w:r>
      <w:r>
        <w:rPr>
          <w:spacing w:val="1"/>
          <w:w w:val="110"/>
        </w:rPr>
        <w:t> </w:t>
      </w:r>
      <w:r>
        <w:rPr>
          <w:w w:val="110"/>
        </w:rPr>
        <w:t>分。此時，該已獲授益處分之競爭者固為必要參加人，已如前述。以陞遷事件為例，在圈選名單中之其他競爭者鹵，其法律地位將因復審之結果而</w:t>
      </w:r>
    </w:p>
    <w:p>
      <w:pPr>
        <w:pStyle w:val="BodyText"/>
        <w:spacing w:before="5"/>
        <w:rPr>
          <w:sz w:val="14"/>
        </w:rPr>
      </w:pPr>
      <w:r>
        <w:rPr/>
        <w:pict>
          <v:shape style="position:absolute;margin-left:95.174004pt;margin-top:11.431673pt;width:144.25pt;height:.1pt;mso-position-horizontal-relative:page;mso-position-vertical-relative:paragraph;z-index:-15602176;mso-wrap-distance-left:0;mso-wrap-distance-right:0" coordorigin="1903,229" coordsize="2885,0" path="m1903,229l4788,229e" filled="false" stroked="true" strokeweight=".480547pt" strokecolor="#000000">
            <v:path arrowok="t"/>
            <v:stroke dashstyle="solid"/>
            <w10:wrap type="topAndBottom"/>
          </v:shape>
        </w:pict>
      </w:r>
    </w:p>
    <w:p>
      <w:pPr>
        <w:pStyle w:val="BodyText"/>
        <w:spacing w:before="5"/>
        <w:rPr>
          <w:sz w:val="7"/>
        </w:rPr>
      </w:pPr>
    </w:p>
    <w:p>
      <w:pPr>
        <w:spacing w:line="278" w:lineRule="auto" w:before="90"/>
        <w:ind w:left="501" w:right="496" w:hanging="203"/>
        <w:jc w:val="both"/>
        <w:rPr>
          <w:sz w:val="21"/>
        </w:rPr>
      </w:pPr>
      <w:r>
        <w:rPr>
          <w:rFonts w:ascii="Times New Roman" w:eastAsia="Times New Roman"/>
          <w:position w:val="7"/>
          <w:sz w:val="13"/>
        </w:rPr>
        <w:t>118</w:t>
      </w:r>
      <w:r>
        <w:rPr>
          <w:rFonts w:ascii="Times New Roman" w:eastAsia="Times New Roman"/>
          <w:spacing w:val="10"/>
          <w:position w:val="7"/>
          <w:sz w:val="13"/>
        </w:rPr>
        <w:t>   </w:t>
      </w:r>
      <w:r>
        <w:rPr>
          <w:spacing w:val="7"/>
          <w:sz w:val="21"/>
        </w:rPr>
        <w:t>公務人員 陞遷法第</w:t>
      </w:r>
      <w:r>
        <w:rPr>
          <w:rFonts w:ascii="Times New Roman" w:eastAsia="Times New Roman"/>
          <w:sz w:val="26"/>
        </w:rPr>
        <w:t>9</w:t>
      </w:r>
      <w:r>
        <w:rPr>
          <w:spacing w:val="8"/>
          <w:sz w:val="21"/>
        </w:rPr>
        <w:t>條 第</w:t>
      </w:r>
      <w:r>
        <w:rPr>
          <w:rFonts w:ascii="Times New Roman" w:eastAsia="Times New Roman"/>
          <w:sz w:val="26"/>
        </w:rPr>
        <w:t>1</w:t>
      </w:r>
      <w:r>
        <w:rPr>
          <w:spacing w:val="-1"/>
          <w:sz w:val="21"/>
        </w:rPr>
        <w:t>項前段規定：「各機關辦理公務人員之 陞遷 ， 應由人事單</w:t>
      </w:r>
      <w:r>
        <w:rPr>
          <w:w w:val="105"/>
          <w:sz w:val="21"/>
        </w:rPr>
        <w:t>位就具有擬陞遷職務任用資格人員，分別情形，依積分高低順序或資格條件造列名    </w:t>
      </w:r>
      <w:r>
        <w:rPr>
          <w:spacing w:val="24"/>
          <w:w w:val="105"/>
          <w:sz w:val="21"/>
        </w:rPr>
        <w:t> </w:t>
      </w:r>
      <w:r>
        <w:rPr>
          <w:w w:val="105"/>
          <w:sz w:val="21"/>
        </w:rPr>
        <w:t>冊，並檢同有關資料，報請本機關首長交付甄審委員會評審後，依程序報請機關首    </w:t>
      </w:r>
      <w:r>
        <w:rPr>
          <w:spacing w:val="24"/>
          <w:w w:val="105"/>
          <w:sz w:val="21"/>
        </w:rPr>
        <w:t> </w:t>
      </w:r>
      <w:r>
        <w:rPr>
          <w:w w:val="105"/>
          <w:sz w:val="21"/>
        </w:rPr>
        <w:t>長就前三名中圈定陞補之」。在單一職位之陞遷程序，圈選名單中除復審人及已獲陞</w:t>
      </w:r>
    </w:p>
    <w:p>
      <w:pPr>
        <w:spacing w:after="0" w:line="278" w:lineRule="auto"/>
        <w:jc w:val="both"/>
        <w:rPr>
          <w:sz w:val="21"/>
        </w:rPr>
        <w:sectPr>
          <w:pgSz w:w="11910" w:h="16840"/>
          <w:pgMar w:header="862" w:footer="1017" w:top="1060" w:bottom="1200" w:left="1120" w:right="1060"/>
        </w:sectPr>
      </w:pPr>
    </w:p>
    <w:p>
      <w:pPr>
        <w:pStyle w:val="BodyText"/>
        <w:spacing w:before="12"/>
        <w:rPr>
          <w:sz w:val="28"/>
        </w:rPr>
      </w:pPr>
    </w:p>
    <w:p>
      <w:pPr>
        <w:pStyle w:val="BodyText"/>
        <w:spacing w:line="328" w:lineRule="auto" w:before="65"/>
        <w:ind w:left="312" w:right="434" w:firstLine="4"/>
      </w:pPr>
      <w:r>
        <w:rPr>
          <w:w w:val="110"/>
        </w:rPr>
        <w:t>受影響。蓋保訓會如以復審為有理由而撒銷原處分，其亦獲得重獲陞任丶陞遷等投益處分之機會。故其雖非必要之復審參加人，可由保訓會依職權通知其參加復審或依其申請而允許其參加復審。</w:t>
      </w:r>
    </w:p>
    <w:p>
      <w:pPr>
        <w:tabs>
          <w:tab w:pos="3223" w:val="left" w:leader="none"/>
        </w:tabs>
        <w:spacing w:before="61"/>
        <w:ind w:left="1814" w:right="0" w:firstLine="0"/>
        <w:jc w:val="left"/>
        <w:rPr>
          <w:sz w:val="28"/>
        </w:rPr>
      </w:pPr>
      <w:bookmarkStart w:name="_bookmark28" w:id="29"/>
      <w:bookmarkEnd w:id="29"/>
      <w:r>
        <w:rPr/>
      </w:r>
      <w:r>
        <w:rPr>
          <w:w w:val="110"/>
          <w:sz w:val="30"/>
        </w:rPr>
        <w:t>第四節</w:t>
        <w:tab/>
      </w:r>
      <w:r>
        <w:rPr>
          <w:w w:val="115"/>
          <w:sz w:val="28"/>
        </w:rPr>
        <w:t>複數職缺兢爭者爭訟之復審參加</w:t>
      </w:r>
    </w:p>
    <w:p>
      <w:pPr>
        <w:pStyle w:val="BodyText"/>
        <w:spacing w:before="12"/>
        <w:rPr>
          <w:sz w:val="21"/>
        </w:rPr>
      </w:pPr>
    </w:p>
    <w:p>
      <w:pPr>
        <w:pStyle w:val="BodyText"/>
        <w:spacing w:line="316" w:lineRule="auto"/>
        <w:ind w:left="310" w:right="510" w:firstLine="567"/>
      </w:pPr>
      <w:r>
        <w:rPr>
          <w:w w:val="105"/>
        </w:rPr>
        <w:t>我國公務員法上競爭者爭訟事件中，除前述案件係以單一職缺為競爭</w:t>
      </w:r>
      <w:r>
        <w:rPr>
          <w:spacing w:val="75"/>
          <w:w w:val="105"/>
        </w:rPr>
        <w:t> </w:t>
      </w:r>
      <w:r>
        <w:rPr>
          <w:w w:val="105"/>
        </w:rPr>
        <w:t>之對象者外，亦有以複數職缺為競爭之對象者。例如：警察之陞遷，依全</w:t>
      </w:r>
      <w:r>
        <w:rPr>
          <w:spacing w:val="79"/>
          <w:w w:val="105"/>
        </w:rPr>
        <w:t> </w:t>
      </w:r>
      <w:r>
        <w:rPr>
          <w:spacing w:val="12"/>
        </w:rPr>
        <w:t>國警察機關陞遷序列表所列序 列</w:t>
      </w:r>
      <w:r>
        <w:rPr/>
        <w:t>（</w:t>
      </w:r>
      <w:r>
        <w:rPr>
          <w:spacing w:val="-28"/>
        </w:rPr>
        <w:t> 共 </w:t>
      </w:r>
      <w:r>
        <w:rPr>
          <w:rFonts w:ascii="Times New Roman" w:eastAsia="Times New Roman"/>
          <w:sz w:val="28"/>
        </w:rPr>
        <w:t>l</w:t>
      </w:r>
      <w:r>
        <w:rPr>
          <w:rFonts w:ascii="Times New Roman" w:eastAsia="Times New Roman"/>
          <w:spacing w:val="-13"/>
          <w:sz w:val="28"/>
        </w:rPr>
        <w:t> </w:t>
      </w:r>
      <w:r>
        <w:rPr>
          <w:rFonts w:ascii="Times New Roman" w:eastAsia="Times New Roman"/>
          <w:sz w:val="28"/>
        </w:rPr>
        <w:t>l</w:t>
      </w:r>
      <w:r>
        <w:rPr>
          <w:rFonts w:ascii="Times New Roman" w:eastAsia="Times New Roman"/>
          <w:spacing w:val="50"/>
          <w:sz w:val="28"/>
        </w:rPr>
        <w:t> </w:t>
      </w:r>
      <w:r>
        <w:rPr>
          <w:spacing w:val="48"/>
        </w:rPr>
        <w:t>級</w:t>
      </w:r>
      <w:r>
        <w:rPr/>
        <w:t>）</w:t>
      </w:r>
      <w:r>
        <w:rPr>
          <w:spacing w:val="5"/>
        </w:rPr>
        <w:t>辦理 </w:t>
      </w:r>
      <w:r>
        <w:rPr>
          <w:spacing w:val="-29"/>
          <w:w w:val="95"/>
        </w:rPr>
        <w:t>， </w:t>
      </w:r>
      <w:r>
        <w:rPr>
          <w:spacing w:val="-17"/>
        </w:rPr>
        <w:t>多 為複 數職缺 。依</w:t>
      </w:r>
      <w:hyperlink r:id="rId458">
        <w:r>
          <w:rPr/>
          <w:t>警</w:t>
        </w:r>
      </w:hyperlink>
      <w:hyperlink r:id="rId458">
        <w:r>
          <w:rPr>
            <w:spacing w:val="6"/>
          </w:rPr>
          <w:t>察人員 陞遷辦法</w:t>
        </w:r>
      </w:hyperlink>
      <w:r>
        <w:rPr>
          <w:spacing w:val="-15"/>
        </w:rPr>
        <w:t>第 </w:t>
      </w:r>
      <w:r>
        <w:rPr>
          <w:rFonts w:ascii="Times New Roman" w:eastAsia="Times New Roman"/>
          <w:sz w:val="31"/>
        </w:rPr>
        <w:t>12</w:t>
      </w:r>
      <w:r>
        <w:rPr>
          <w:rFonts w:ascii="Times New Roman" w:eastAsia="Times New Roman"/>
          <w:spacing w:val="-12"/>
          <w:sz w:val="31"/>
        </w:rPr>
        <w:t> </w:t>
      </w:r>
      <w:r>
        <w:rPr>
          <w:spacing w:val="6"/>
        </w:rPr>
        <w:t>條規定：</w:t>
      </w:r>
    </w:p>
    <w:p>
      <w:pPr>
        <w:pStyle w:val="BodyText"/>
        <w:spacing w:line="331" w:lineRule="auto" w:before="4"/>
        <w:ind w:left="841" w:right="521" w:firstLine="24"/>
        <w:jc w:val="both"/>
      </w:pPr>
      <w:r>
        <w:rPr>
          <w:w w:val="110"/>
        </w:rPr>
        <w:t>警察機關、警察大學辦理陞任案件，應由人事單位依陞職積分名冊，</w:t>
      </w:r>
      <w:r>
        <w:rPr>
          <w:spacing w:val="-136"/>
          <w:w w:val="110"/>
        </w:rPr>
        <w:t> </w:t>
      </w:r>
      <w:r>
        <w:rPr>
          <w:w w:val="110"/>
        </w:rPr>
        <w:t>並檢同有關資料，報請機關首長召開人事甄審委員會，就具有擬陞任職務遴用資格人員前三名中評定陞補之；如陞任二人以上時，就陞遷人數之二倍中評定陞補之。警察機關、警察大學無意願陞任人員，應以書面切結，並經権責機關同意後，免列入當次陞任甄審名冊。</w:t>
      </w:r>
    </w:p>
    <w:p>
      <w:pPr>
        <w:pStyle w:val="BodyText"/>
        <w:spacing w:line="331" w:lineRule="auto"/>
        <w:ind w:left="845" w:right="511" w:firstLine="10"/>
      </w:pPr>
      <w:r>
        <w:rPr>
          <w:w w:val="110"/>
        </w:rPr>
        <w:t>前項人事甄審委員會如由指定委員召開會議甄審後，應依程序報請機關首長就前三名中圈定陞補之；如陞任二人以上時，就陞遷人數之二倍中圈定陞補之，機關首長有不同意見時，得退回該委員會重議。</w:t>
      </w:r>
      <w:r>
        <w:rPr>
          <w:spacing w:val="1"/>
          <w:w w:val="110"/>
        </w:rPr>
        <w:t> </w:t>
      </w:r>
      <w:r>
        <w:rPr>
          <w:w w:val="110"/>
        </w:rPr>
        <w:t>公務人員所競爭者如係複數職缺，對於某人之陞任處分即無同時否准</w:t>
      </w:r>
    </w:p>
    <w:p>
      <w:pPr>
        <w:pStyle w:val="BodyText"/>
        <w:spacing w:line="311" w:lineRule="exact"/>
        <w:ind w:left="316"/>
      </w:pPr>
      <w:r>
        <w:rPr>
          <w:w w:val="110"/>
        </w:rPr>
        <w:t>其他競爭者陞任申請之效果，與「附第三人效力之行政處分」</w:t>
      </w:r>
    </w:p>
    <w:p>
      <w:pPr>
        <w:tabs>
          <w:tab w:pos="4115" w:val="left" w:leader="none"/>
        </w:tabs>
        <w:spacing w:before="116"/>
        <w:ind w:left="430" w:right="0" w:firstLine="0"/>
        <w:jc w:val="left"/>
        <w:rPr>
          <w:sz w:val="25"/>
        </w:rPr>
      </w:pPr>
      <w:r>
        <w:rPr>
          <w:rFonts w:ascii="Times New Roman" w:eastAsia="Times New Roman"/>
          <w:w w:val="113"/>
          <w:sz w:val="28"/>
        </w:rPr>
        <w:t>(</w:t>
      </w:r>
      <w:r>
        <w:rPr>
          <w:rFonts w:ascii="Times New Roman" w:eastAsia="Times New Roman"/>
          <w:spacing w:val="-1"/>
          <w:w w:val="113"/>
          <w:sz w:val="28"/>
        </w:rPr>
        <w:t>Verwaltungsak</w:t>
      </w:r>
      <w:r>
        <w:rPr>
          <w:rFonts w:ascii="Times New Roman" w:eastAsia="Times New Roman"/>
          <w:w w:val="113"/>
          <w:sz w:val="28"/>
        </w:rPr>
        <w:t>t</w:t>
      </w:r>
      <w:r>
        <w:rPr>
          <w:rFonts w:ascii="Times New Roman" w:eastAsia="Times New Roman"/>
          <w:spacing w:val="1"/>
          <w:sz w:val="28"/>
        </w:rPr>
        <w:t>  </w:t>
      </w:r>
      <w:r>
        <w:rPr>
          <w:rFonts w:ascii="Times New Roman" w:eastAsia="Times New Roman"/>
          <w:spacing w:val="-1"/>
          <w:w w:val="108"/>
          <w:sz w:val="28"/>
        </w:rPr>
        <w:t>mi</w:t>
      </w:r>
      <w:r>
        <w:rPr>
          <w:rFonts w:ascii="Times New Roman" w:eastAsia="Times New Roman"/>
          <w:w w:val="108"/>
          <w:sz w:val="28"/>
        </w:rPr>
        <w:t>t</w:t>
      </w:r>
      <w:r>
        <w:rPr>
          <w:rFonts w:ascii="Times New Roman" w:eastAsia="Times New Roman"/>
          <w:spacing w:val="10"/>
          <w:sz w:val="28"/>
        </w:rPr>
        <w:t>  </w:t>
      </w:r>
      <w:r>
        <w:rPr>
          <w:rFonts w:ascii="Times New Roman" w:eastAsia="Times New Roman"/>
          <w:spacing w:val="-1"/>
          <w:w w:val="67"/>
          <w:sz w:val="28"/>
        </w:rPr>
        <w:t>D</w:t>
      </w:r>
      <w:r>
        <w:rPr>
          <w:rFonts w:ascii="Times New Roman" w:eastAsia="Times New Roman"/>
          <w:w w:val="67"/>
          <w:sz w:val="28"/>
        </w:rPr>
        <w:t>r</w:t>
      </w:r>
      <w:r>
        <w:rPr>
          <w:rFonts w:ascii="Times New Roman" w:eastAsia="Times New Roman"/>
          <w:spacing w:val="-18"/>
          <w:sz w:val="28"/>
        </w:rPr>
        <w:t>  </w:t>
      </w:r>
      <w:r>
        <w:rPr>
          <w:rFonts w:ascii="Times New Roman" w:eastAsia="Times New Roman"/>
          <w:w w:val="67"/>
          <w:sz w:val="28"/>
        </w:rPr>
        <w:t>i</w:t>
      </w:r>
      <w:r>
        <w:rPr>
          <w:rFonts w:ascii="Times New Roman" w:eastAsia="Times New Roman"/>
          <w:spacing w:val="8"/>
          <w:sz w:val="28"/>
        </w:rPr>
        <w:t> </w:t>
      </w:r>
      <w:r>
        <w:rPr>
          <w:rFonts w:ascii="Times New Roman" w:eastAsia="Times New Roman"/>
          <w:w w:val="67"/>
          <w:sz w:val="28"/>
        </w:rPr>
        <w:t>t</w:t>
      </w:r>
      <w:r>
        <w:rPr>
          <w:rFonts w:ascii="Times New Roman" w:eastAsia="Times New Roman"/>
          <w:spacing w:val="-21"/>
          <w:sz w:val="28"/>
        </w:rPr>
        <w:t> </w:t>
      </w:r>
      <w:r>
        <w:rPr>
          <w:rFonts w:ascii="Times New Roman" w:eastAsia="Times New Roman"/>
          <w:spacing w:val="-177"/>
          <w:w w:val="106"/>
          <w:sz w:val="28"/>
        </w:rPr>
        <w:t>w</w:t>
      </w:r>
      <w:r>
        <w:rPr>
          <w:rFonts w:ascii="Times New Roman" w:eastAsia="Times New Roman"/>
          <w:w w:val="67"/>
          <w:sz w:val="28"/>
        </w:rPr>
        <w:t>t</w:t>
      </w:r>
      <w:r>
        <w:rPr>
          <w:rFonts w:ascii="Times New Roman" w:eastAsia="Times New Roman"/>
          <w:sz w:val="28"/>
        </w:rPr>
        <w:tab/>
      </w:r>
      <w:r>
        <w:rPr>
          <w:rFonts w:ascii="Times New Roman" w:eastAsia="Times New Roman"/>
          <w:w w:val="106"/>
          <w:sz w:val="28"/>
        </w:rPr>
        <w:t>i</w:t>
      </w:r>
      <w:r>
        <w:rPr>
          <w:rFonts w:ascii="Times New Roman" w:eastAsia="Times New Roman"/>
          <w:spacing w:val="-26"/>
          <w:sz w:val="28"/>
        </w:rPr>
        <w:t> </w:t>
      </w:r>
      <w:r>
        <w:rPr>
          <w:rFonts w:ascii="Times New Roman" w:eastAsia="Times New Roman"/>
          <w:w w:val="106"/>
          <w:sz w:val="28"/>
        </w:rPr>
        <w:t>r</w:t>
      </w:r>
      <w:r>
        <w:rPr>
          <w:rFonts w:ascii="Times New Roman" w:eastAsia="Times New Roman"/>
          <w:spacing w:val="-31"/>
          <w:sz w:val="28"/>
        </w:rPr>
        <w:t> </w:t>
      </w:r>
      <w:r>
        <w:rPr>
          <w:rFonts w:ascii="Times New Roman" w:eastAsia="Times New Roman"/>
          <w:w w:val="91"/>
          <w:sz w:val="28"/>
        </w:rPr>
        <w:t>ku</w:t>
      </w:r>
      <w:r>
        <w:rPr>
          <w:rFonts w:ascii="Times New Roman" w:eastAsia="Times New Roman"/>
          <w:spacing w:val="24"/>
          <w:w w:val="91"/>
          <w:sz w:val="28"/>
        </w:rPr>
        <w:t>n</w:t>
      </w:r>
      <w:r>
        <w:rPr>
          <w:rFonts w:ascii="Times New Roman" w:eastAsia="Times New Roman"/>
          <w:w w:val="108"/>
          <w:sz w:val="28"/>
        </w:rPr>
        <w:t>g</w:t>
      </w:r>
      <w:r>
        <w:rPr>
          <w:rFonts w:ascii="Times New Roman" w:eastAsia="Times New Roman"/>
          <w:spacing w:val="-32"/>
          <w:sz w:val="28"/>
        </w:rPr>
        <w:t> </w:t>
      </w:r>
      <w:r>
        <w:rPr>
          <w:rFonts w:ascii="Times New Roman" w:eastAsia="Times New Roman"/>
          <w:w w:val="108"/>
          <w:sz w:val="28"/>
        </w:rPr>
        <w:t>)</w:t>
      </w:r>
      <w:r>
        <w:rPr>
          <w:rFonts w:ascii="Times New Roman" w:eastAsia="Times New Roman"/>
          <w:spacing w:val="7"/>
          <w:sz w:val="28"/>
        </w:rPr>
        <w:t>  </w:t>
      </w:r>
      <w:r>
        <w:rPr>
          <w:w w:val="94"/>
          <w:sz w:val="25"/>
        </w:rPr>
        <w:t>中「</w:t>
      </w:r>
      <w:r>
        <w:rPr>
          <w:spacing w:val="-44"/>
          <w:sz w:val="25"/>
        </w:rPr>
        <w:t> </w:t>
      </w:r>
      <w:r>
        <w:rPr>
          <w:spacing w:val="18"/>
          <w:w w:val="104"/>
          <w:sz w:val="25"/>
        </w:rPr>
        <w:t>對相</w:t>
      </w:r>
      <w:r>
        <w:rPr>
          <w:spacing w:val="16"/>
          <w:w w:val="106"/>
          <w:sz w:val="25"/>
        </w:rPr>
        <w:t>對人投</w:t>
      </w:r>
      <w:r>
        <w:rPr>
          <w:spacing w:val="24"/>
          <w:w w:val="102"/>
          <w:sz w:val="25"/>
        </w:rPr>
        <w:t>益即</w:t>
      </w:r>
      <w:r>
        <w:rPr>
          <w:spacing w:val="40"/>
          <w:w w:val="97"/>
          <w:sz w:val="25"/>
        </w:rPr>
        <w:t>同</w:t>
      </w:r>
      <w:r>
        <w:rPr>
          <w:spacing w:val="12"/>
          <w:w w:val="108"/>
          <w:sz w:val="25"/>
        </w:rPr>
        <w:t>時產</w:t>
      </w:r>
      <w:r>
        <w:rPr>
          <w:w w:val="98"/>
          <w:sz w:val="25"/>
        </w:rPr>
        <w:t>生對</w:t>
      </w:r>
    </w:p>
    <w:p>
      <w:pPr>
        <w:pStyle w:val="BodyText"/>
        <w:spacing w:line="328" w:lineRule="auto" w:before="112"/>
        <w:ind w:left="302" w:right="500" w:firstLine="28"/>
        <w:jc w:val="both"/>
      </w:pPr>
      <w:r>
        <w:rPr>
          <w:w w:val="110"/>
        </w:rPr>
        <w:t>第三人負擔之效果」之要件不符。在複數職缺競爭之情形，當事人提超消極競爭爭訟，請求撤銷機關對於其競爭者所作成之陞任、陞遷、留任等投益處分，其爭訟之合法性即有疑間。復審人如提超復審，請求撒銷機關對於其競爭者所作成之陞任、陞遷、留任等授益處分，復審機關應以其復審不合法為不受理之決定。</w:t>
      </w:r>
    </w:p>
    <w:p>
      <w:pPr>
        <w:pStyle w:val="BodyText"/>
        <w:spacing w:line="331" w:lineRule="auto" w:before="7"/>
        <w:ind w:left="303" w:right="424" w:firstLine="584"/>
      </w:pPr>
      <w:r>
        <w:rPr/>
        <w:pict>
          <v:line style="position:absolute;mso-position-horizontal-relative:page;mso-position-vertical-relative:paragraph;z-index:15855616" from="95.174004pt,124.096542pt" to="549.89426pt,124.096542pt" stroked="true" strokeweight=".480547pt" strokecolor="#000000">
            <v:stroke dashstyle="solid"/>
            <w10:wrap type="none"/>
          </v:line>
        </w:pict>
      </w:r>
      <w:r>
        <w:rPr>
          <w:w w:val="110"/>
        </w:rPr>
        <w:t>噹事人提超積極競爭爭訟，請求命怠為處分之機關應對其作成陞任丶</w:t>
      </w:r>
      <w:r>
        <w:rPr>
          <w:w w:val="105"/>
        </w:rPr>
        <w:t>陞遷丶留任等授益處分時，如其所競爭者如係複數職缺，對於某人之陞任、</w:t>
      </w:r>
      <w:r>
        <w:rPr>
          <w:spacing w:val="1"/>
          <w:w w:val="105"/>
        </w:rPr>
        <w:t> </w:t>
      </w:r>
      <w:r>
        <w:rPr>
          <w:w w:val="110"/>
        </w:rPr>
        <w:t>陞遷、留任等授益處分即無同時否准其他競爭者申請之效果。無論其是否獲得該投益處分，對於其他競爭者之權益均無影攀。其復審縱為合法，亦不發生參加程序之問題。</w:t>
      </w:r>
    </w:p>
    <w:p>
      <w:pPr>
        <w:pStyle w:val="BodyText"/>
        <w:rPr>
          <w:sz w:val="24"/>
        </w:rPr>
      </w:pPr>
    </w:p>
    <w:p>
      <w:pPr>
        <w:spacing w:before="213"/>
        <w:ind w:left="518" w:right="0" w:firstLine="0"/>
        <w:jc w:val="left"/>
        <w:rPr>
          <w:sz w:val="21"/>
        </w:rPr>
      </w:pPr>
      <w:r>
        <w:rPr>
          <w:w w:val="110"/>
          <w:sz w:val="21"/>
        </w:rPr>
        <w:t>遷處分者外，應另有一名競爭者。</w:t>
      </w:r>
    </w:p>
    <w:p>
      <w:pPr>
        <w:spacing w:after="0"/>
        <w:jc w:val="left"/>
        <w:rPr>
          <w:sz w:val="21"/>
        </w:rPr>
        <w:sectPr>
          <w:pgSz w:w="11910" w:h="16840"/>
          <w:pgMar w:header="862" w:footer="1017" w:top="1060" w:bottom="1200" w:left="1120" w:right="1060"/>
        </w:sectPr>
      </w:pPr>
    </w:p>
    <w:p>
      <w:pPr>
        <w:pStyle w:val="BodyText"/>
        <w:rPr>
          <w:sz w:val="20"/>
        </w:rPr>
      </w:pPr>
    </w:p>
    <w:p>
      <w:pPr>
        <w:tabs>
          <w:tab w:pos="1521" w:val="left" w:leader="none"/>
        </w:tabs>
        <w:spacing w:before="200"/>
        <w:ind w:left="0" w:right="222" w:firstLine="0"/>
        <w:jc w:val="center"/>
        <w:rPr>
          <w:sz w:val="33"/>
        </w:rPr>
      </w:pPr>
      <w:bookmarkStart w:name="_bookmark29" w:id="30"/>
      <w:bookmarkEnd w:id="30"/>
      <w:r>
        <w:rPr/>
      </w:r>
      <w:r>
        <w:rPr>
          <w:w w:val="105"/>
          <w:sz w:val="34"/>
        </w:rPr>
        <w:t>第七章</w:t>
        <w:tab/>
      </w:r>
      <w:r>
        <w:rPr>
          <w:w w:val="105"/>
          <w:sz w:val="33"/>
        </w:rPr>
        <w:t>結論與建議</w:t>
      </w:r>
    </w:p>
    <w:p>
      <w:pPr>
        <w:spacing w:line="343" w:lineRule="auto" w:before="275"/>
        <w:ind w:left="303" w:right="485" w:firstLine="571"/>
        <w:jc w:val="left"/>
        <w:rPr>
          <w:sz w:val="24"/>
        </w:rPr>
      </w:pPr>
      <w:r>
        <w:rPr>
          <w:w w:val="115"/>
          <w:sz w:val="24"/>
        </w:rPr>
        <w:t>參考上逑德國法制之論述可知，典型之公務員競爭者事件爭訟途徑，</w:t>
      </w:r>
      <w:r>
        <w:rPr>
          <w:spacing w:val="-135"/>
          <w:w w:val="115"/>
          <w:sz w:val="24"/>
        </w:rPr>
        <w:t> </w:t>
      </w:r>
      <w:r>
        <w:rPr>
          <w:w w:val="115"/>
          <w:sz w:val="24"/>
        </w:rPr>
        <w:t>有二種可能之模式。其一為以通常之消極競爭者爭訟為救濟之途徑，在人事主管機關作成任命第三人之處分後，由競爭落敗之噹事人針對第三人之授益處分提超爭訟，請求撤銷人事主管機關對於該第三人所作成之授益處分，並利用停止執行之制度阻止行政處分之效力發生。在此程序中，該已獲任命之第三人應參加爭訟程序。其二為以預先禁止訴訟為救濟之途挫，</w:t>
      </w:r>
      <w:r>
        <w:rPr>
          <w:spacing w:val="-135"/>
          <w:w w:val="115"/>
          <w:sz w:val="24"/>
        </w:rPr>
        <w:t> </w:t>
      </w:r>
      <w:r>
        <w:rPr>
          <w:w w:val="115"/>
          <w:sz w:val="24"/>
        </w:rPr>
        <w:t>在人事主管機關作成任命第三人之處分前，由預先獲知選拔程序結果之當事人提超預先禁止之訴，訴請禁止人事主管機關作成任命第三人之處分。在此程序中，該將獲任命之第三人應參加爭訟程序。</w:t>
      </w:r>
    </w:p>
    <w:p>
      <w:pPr>
        <w:spacing w:line="343" w:lineRule="auto" w:before="7"/>
        <w:ind w:left="300" w:right="489" w:firstLine="577"/>
        <w:jc w:val="left"/>
        <w:rPr>
          <w:sz w:val="24"/>
        </w:rPr>
      </w:pPr>
      <w:r>
        <w:rPr>
          <w:w w:val="115"/>
          <w:sz w:val="24"/>
        </w:rPr>
        <w:t>我國公務人員保障法中，僅有撤銷復審與課予義務復審二種復審類</w:t>
      </w:r>
      <w:r>
        <w:rPr>
          <w:spacing w:val="1"/>
          <w:w w:val="115"/>
          <w:sz w:val="24"/>
        </w:rPr>
        <w:t> </w:t>
      </w:r>
      <w:r>
        <w:rPr>
          <w:w w:val="115"/>
          <w:sz w:val="24"/>
        </w:rPr>
        <w:t>型，噹事人並無提起「預先禁止復審」之可能性。在現行公務人員保障制度之架構下，僅能以第一種模式，即以通常之消極競爭者爭訟為救濟之途徑，在人事主管機關作成任命第三人之處分後，由競爭落敗之當事人針對第三人之授益處分提超爭訟，請求撤銷人事主管機關對於該第三人所作成之授益處分，並利用停止執行之制度阻止行政處分之效力發生。</w:t>
      </w:r>
    </w:p>
    <w:p>
      <w:pPr>
        <w:tabs>
          <w:tab w:pos="1416" w:val="left" w:leader="none"/>
        </w:tabs>
        <w:spacing w:before="55"/>
        <w:ind w:left="0" w:right="277" w:firstLine="0"/>
        <w:jc w:val="center"/>
        <w:rPr>
          <w:sz w:val="28"/>
        </w:rPr>
      </w:pPr>
      <w:bookmarkStart w:name="_bookmark30" w:id="31"/>
      <w:bookmarkEnd w:id="31"/>
      <w:r>
        <w:rPr/>
      </w:r>
      <w:r>
        <w:rPr>
          <w:sz w:val="30"/>
        </w:rPr>
        <w:t>第一節</w:t>
        <w:tab/>
      </w:r>
      <w:r>
        <w:rPr>
          <w:w w:val="95"/>
          <w:sz w:val="28"/>
        </w:rPr>
        <w:t>結論</w:t>
      </w:r>
    </w:p>
    <w:p>
      <w:pPr>
        <w:pStyle w:val="BodyText"/>
        <w:spacing w:before="4"/>
        <w:rPr>
          <w:sz w:val="22"/>
        </w:rPr>
      </w:pPr>
    </w:p>
    <w:p>
      <w:pPr>
        <w:spacing w:before="0"/>
        <w:ind w:left="869" w:right="0" w:firstLine="0"/>
        <w:jc w:val="left"/>
        <w:rPr>
          <w:sz w:val="24"/>
        </w:rPr>
      </w:pPr>
      <w:r>
        <w:rPr>
          <w:w w:val="110"/>
          <w:sz w:val="24"/>
        </w:rPr>
        <w:t>本研究之結論如下：</w:t>
      </w:r>
    </w:p>
    <w:p>
      <w:pPr>
        <w:tabs>
          <w:tab w:pos="1575" w:val="left" w:leader="none"/>
        </w:tabs>
        <w:spacing w:line="343" w:lineRule="auto" w:before="104"/>
        <w:ind w:left="1571" w:right="530" w:hanging="763"/>
        <w:jc w:val="left"/>
        <w:rPr>
          <w:sz w:val="24"/>
        </w:rPr>
      </w:pPr>
      <w:r>
        <w:rPr>
          <w:rFonts w:ascii="Times New Roman" w:eastAsia="Times New Roman"/>
          <w:w w:val="115"/>
          <w:sz w:val="29"/>
        </w:rPr>
        <w:t>l</w:t>
      </w:r>
      <w:r>
        <w:rPr>
          <w:w w:val="115"/>
          <w:sz w:val="24"/>
        </w:rPr>
        <w:t>．</w:t>
        <w:tab/>
        <w:tab/>
        <w:t>競爭者事件之復審程序中，多有涉及復審人以外第三人之權益者。此等第三人固有得以自己名義提超復審以尋求救濟者，惟在競爭者權益衝突最為激烈之消極競爭者爭訟程序，復審人以</w:t>
      </w:r>
      <w:r>
        <w:rPr>
          <w:w w:val="110"/>
          <w:sz w:val="24"/>
        </w:rPr>
        <w:t>人事主管機關對於第三人（競爭者）所作成之許可處分為對象，</w:t>
      </w:r>
      <w:r>
        <w:rPr>
          <w:spacing w:val="1"/>
          <w:w w:val="110"/>
          <w:sz w:val="24"/>
        </w:rPr>
        <w:t> </w:t>
      </w:r>
      <w:r>
        <w:rPr>
          <w:w w:val="115"/>
          <w:sz w:val="24"/>
        </w:rPr>
        <w:t>提超撒銷復審，已獲許可處分之第三人其為實質意義之噹事</w:t>
      </w:r>
      <w:r>
        <w:rPr>
          <w:spacing w:val="40"/>
          <w:w w:val="115"/>
          <w:sz w:val="24"/>
        </w:rPr>
        <w:t> </w:t>
      </w:r>
      <w:r>
        <w:rPr>
          <w:w w:val="115"/>
          <w:sz w:val="24"/>
        </w:rPr>
        <w:t>人。惟基於爭訟結構之理由，其不能成為爭訟程序之噹事人。然而復審機關之復審決定將直接、必然地創設、證實、璀認丶變更或廢棄該第三人之権利。因此，在上述復審程序中，勢需</w:t>
      </w:r>
      <w:r>
        <w:rPr>
          <w:w w:val="110"/>
          <w:sz w:val="24"/>
        </w:rPr>
        <w:t>建構「復審參加」之制度，以保障該第三人（競爭者）之権益。</w:t>
      </w:r>
    </w:p>
    <w:p>
      <w:pPr>
        <w:pStyle w:val="ListParagraph"/>
        <w:numPr>
          <w:ilvl w:val="0"/>
          <w:numId w:val="4"/>
        </w:numPr>
        <w:tabs>
          <w:tab w:pos="1579" w:val="left" w:leader="none"/>
          <w:tab w:pos="1580" w:val="left" w:leader="none"/>
        </w:tabs>
        <w:spacing w:line="303" w:lineRule="exact" w:before="0" w:after="0"/>
        <w:ind w:left="1579" w:right="0" w:hanging="784"/>
        <w:jc w:val="left"/>
        <w:rPr>
          <w:sz w:val="24"/>
        </w:rPr>
      </w:pPr>
      <w:r>
        <w:rPr>
          <w:spacing w:val="15"/>
          <w:sz w:val="24"/>
        </w:rPr>
        <w:t>我國行 政程序法第 </w:t>
      </w:r>
      <w:r>
        <w:rPr>
          <w:rFonts w:ascii="Times New Roman" w:eastAsia="Times New Roman"/>
          <w:sz w:val="30"/>
        </w:rPr>
        <w:t>23</w:t>
      </w:r>
      <w:r>
        <w:rPr>
          <w:rFonts w:ascii="Times New Roman" w:eastAsia="Times New Roman"/>
          <w:spacing w:val="32"/>
          <w:sz w:val="30"/>
        </w:rPr>
        <w:t> </w:t>
      </w:r>
      <w:r>
        <w:rPr>
          <w:spacing w:val="15"/>
          <w:sz w:val="24"/>
        </w:rPr>
        <w:t>條 亦有程序參加之規定</w:t>
      </w:r>
      <w:r>
        <w:rPr>
          <w:spacing w:val="10"/>
          <w:w w:val="95"/>
          <w:sz w:val="24"/>
        </w:rPr>
        <w:t>，</w:t>
      </w:r>
      <w:r>
        <w:rPr>
          <w:spacing w:val="23"/>
          <w:sz w:val="24"/>
        </w:rPr>
        <w:t>惟其內容甚為簡</w:t>
      </w:r>
    </w:p>
    <w:p>
      <w:pPr>
        <w:spacing w:line="345" w:lineRule="auto" w:before="130"/>
        <w:ind w:left="1574" w:right="537" w:firstLine="7"/>
        <w:jc w:val="left"/>
        <w:rPr>
          <w:sz w:val="24"/>
        </w:rPr>
      </w:pPr>
      <w:r>
        <w:rPr>
          <w:w w:val="110"/>
          <w:sz w:val="24"/>
        </w:rPr>
        <w:t>單，僅規定：「因程序之進行將影攀第三人之權利或法律上利益者，行政機關得依職権或依申請，通知其參加為當事人」。既未</w:t>
      </w:r>
    </w:p>
    <w:p>
      <w:pPr>
        <w:spacing w:after="0" w:line="345" w:lineRule="auto"/>
        <w:jc w:val="left"/>
        <w:rPr>
          <w:sz w:val="24"/>
        </w:rPr>
        <w:sectPr>
          <w:pgSz w:w="11910" w:h="16840"/>
          <w:pgMar w:header="862" w:footer="1017" w:top="1060" w:bottom="1200" w:left="1120" w:right="1060"/>
        </w:sectPr>
      </w:pPr>
    </w:p>
    <w:p>
      <w:pPr>
        <w:pStyle w:val="BodyText"/>
        <w:spacing w:before="8"/>
        <w:rPr>
          <w:sz w:val="29"/>
        </w:rPr>
      </w:pPr>
    </w:p>
    <w:p>
      <w:pPr>
        <w:spacing w:line="345" w:lineRule="auto" w:before="67"/>
        <w:ind w:left="1574" w:right="557" w:firstLine="12"/>
        <w:jc w:val="left"/>
        <w:rPr>
          <w:sz w:val="24"/>
        </w:rPr>
      </w:pPr>
      <w:r>
        <w:rPr>
          <w:w w:val="115"/>
          <w:sz w:val="24"/>
        </w:rPr>
        <w:t>區分程序參加之類型，又未規定參加人之程序上權利義務關</w:t>
      </w:r>
      <w:r>
        <w:rPr>
          <w:spacing w:val="1"/>
          <w:w w:val="115"/>
          <w:sz w:val="24"/>
        </w:rPr>
        <w:t> </w:t>
      </w:r>
      <w:r>
        <w:rPr>
          <w:w w:val="115"/>
          <w:sz w:val="24"/>
        </w:rPr>
        <w:t>係。欲建構復審參加之制度，不能僅以行政程序法之程序參加規定作為參考之基礎。</w:t>
      </w:r>
    </w:p>
    <w:p>
      <w:pPr>
        <w:pStyle w:val="ListParagraph"/>
        <w:numPr>
          <w:ilvl w:val="0"/>
          <w:numId w:val="4"/>
        </w:numPr>
        <w:tabs>
          <w:tab w:pos="1570" w:val="left" w:leader="none"/>
          <w:tab w:pos="1572" w:val="left" w:leader="none"/>
        </w:tabs>
        <w:spacing w:line="301" w:lineRule="exact" w:before="0" w:after="0"/>
        <w:ind w:left="1571" w:right="0" w:hanging="782"/>
        <w:jc w:val="left"/>
        <w:rPr>
          <w:sz w:val="24"/>
        </w:rPr>
      </w:pPr>
      <w:r>
        <w:rPr>
          <w:w w:val="115"/>
          <w:sz w:val="24"/>
        </w:rPr>
        <w:t>訴願法上設有訴願參加制度，行政訴訟法上亦有訴訟參加之制</w:t>
      </w:r>
    </w:p>
    <w:p>
      <w:pPr>
        <w:spacing w:line="348" w:lineRule="auto" w:before="125"/>
        <w:ind w:left="1589" w:right="607" w:hanging="7"/>
        <w:jc w:val="left"/>
        <w:rPr>
          <w:sz w:val="24"/>
        </w:rPr>
      </w:pPr>
      <w:r>
        <w:rPr>
          <w:w w:val="115"/>
          <w:sz w:val="24"/>
        </w:rPr>
        <w:t>度。行政訴訟法上之訴訟參加，係以「行政訴訟之結果，第三人之權利或法律上利益是否將受損害」為普通參加之要件，以</w:t>
      </w:r>
    </w:p>
    <w:p>
      <w:pPr>
        <w:spacing w:line="343" w:lineRule="auto" w:before="0"/>
        <w:ind w:left="1572" w:right="550" w:firstLine="115"/>
        <w:jc w:val="both"/>
        <w:rPr>
          <w:sz w:val="24"/>
        </w:rPr>
      </w:pPr>
      <w:r>
        <w:rPr>
          <w:w w:val="115"/>
          <w:sz w:val="24"/>
        </w:rPr>
        <w:t>「訴訟標的對於第三人及當事人一造是否必須合一璀定」為必要參加之要件，其所規範之構成要件較為合理。且行政訴訟法上訴訟參加制度源自德國，有彼邦悠久之實務及學說見解可供參考。我國學說及實務上有關行政訴訟參加制度之研究，亦遠較訴願法上訴願參加制度發達。建構復審參加之制度時，行政訴訟法上有關訴訟參加之規定，在與公務人員保障法、行政程序法及訴願法相關規定不牴觸之前提下，亦可準用，以充實復審參加制度之內涵。</w:t>
      </w:r>
    </w:p>
    <w:p>
      <w:pPr>
        <w:pStyle w:val="ListParagraph"/>
        <w:numPr>
          <w:ilvl w:val="0"/>
          <w:numId w:val="4"/>
        </w:numPr>
        <w:tabs>
          <w:tab w:pos="1568" w:val="left" w:leader="none"/>
          <w:tab w:pos="1569" w:val="left" w:leader="none"/>
        </w:tabs>
        <w:spacing w:line="312" w:lineRule="exact" w:before="0" w:after="0"/>
        <w:ind w:left="1568" w:right="0" w:hanging="776"/>
        <w:jc w:val="left"/>
        <w:rPr>
          <w:sz w:val="24"/>
        </w:rPr>
      </w:pPr>
      <w:r>
        <w:rPr>
          <w:w w:val="115"/>
          <w:sz w:val="24"/>
        </w:rPr>
        <w:t>在單一職務之競爭者爭訟中，系爭公職只能陞任一人。人事主</w:t>
      </w:r>
    </w:p>
    <w:p>
      <w:pPr>
        <w:spacing w:line="343" w:lineRule="auto" w:before="131"/>
        <w:ind w:left="1571" w:right="555" w:firstLine="19"/>
        <w:jc w:val="both"/>
        <w:rPr>
          <w:sz w:val="24"/>
        </w:rPr>
      </w:pPr>
      <w:r>
        <w:rPr>
          <w:w w:val="115"/>
          <w:sz w:val="24"/>
        </w:rPr>
        <w:t>管機關如任命某乙擔任該職務之公務員，其競爭者某甲擔任該職務公務員之希望即告落空。是以該陞任、陞遷、留任等投益他人之處分，實具有否准其陞任、陞遷、留任等請求之法律上效果，應認為該處分為附第三人效力之行政處分，侵害其權益而准許其提超行政爭訟。</w:t>
      </w:r>
    </w:p>
    <w:p>
      <w:pPr>
        <w:pStyle w:val="ListParagraph"/>
        <w:numPr>
          <w:ilvl w:val="0"/>
          <w:numId w:val="4"/>
        </w:numPr>
        <w:tabs>
          <w:tab w:pos="1584" w:val="left" w:leader="none"/>
          <w:tab w:pos="1585" w:val="left" w:leader="none"/>
        </w:tabs>
        <w:spacing w:line="310" w:lineRule="exact" w:before="0" w:after="0"/>
        <w:ind w:left="1584" w:right="0" w:hanging="797"/>
        <w:jc w:val="left"/>
        <w:rPr>
          <w:sz w:val="24"/>
        </w:rPr>
      </w:pPr>
      <w:r>
        <w:rPr>
          <w:w w:val="115"/>
          <w:sz w:val="24"/>
        </w:rPr>
        <w:t>為完整建構公務員法上競爭者爭訟之制度，俾加強公務員法上</w:t>
      </w:r>
    </w:p>
    <w:p>
      <w:pPr>
        <w:spacing w:line="343" w:lineRule="auto" w:before="135"/>
        <w:ind w:left="1569" w:right="558" w:firstLine="11"/>
        <w:jc w:val="left"/>
        <w:rPr>
          <w:sz w:val="24"/>
        </w:rPr>
      </w:pPr>
      <w:r>
        <w:rPr>
          <w:w w:val="115"/>
          <w:sz w:val="24"/>
        </w:rPr>
        <w:t>競爭者爭訟之権利保護功能，應背定消極競爭者爭訟之合法</w:t>
      </w:r>
      <w:r>
        <w:rPr>
          <w:spacing w:val="3"/>
          <w:w w:val="115"/>
          <w:sz w:val="24"/>
        </w:rPr>
        <w:t> </w:t>
      </w:r>
      <w:r>
        <w:rPr>
          <w:w w:val="115"/>
          <w:sz w:val="24"/>
        </w:rPr>
        <w:t>性，使復審人直接對於陞任、陞遷、留任等授益他人之行政處分提超救濟，以阻止該處分之效力確定，避免造成系爭職缺已核派他人，對於當事人之侵益處分已了結，所提復審欠缺権利保護必要而無從獲得有效救濟之結果。</w:t>
      </w:r>
    </w:p>
    <w:p>
      <w:pPr>
        <w:pStyle w:val="ListParagraph"/>
        <w:numPr>
          <w:ilvl w:val="0"/>
          <w:numId w:val="4"/>
        </w:numPr>
        <w:tabs>
          <w:tab w:pos="1566" w:val="left" w:leader="none"/>
          <w:tab w:pos="1567" w:val="left" w:leader="none"/>
        </w:tabs>
        <w:spacing w:line="315" w:lineRule="exact" w:before="0" w:after="0"/>
        <w:ind w:left="1566" w:right="0" w:hanging="773"/>
        <w:jc w:val="left"/>
        <w:rPr>
          <w:sz w:val="24"/>
        </w:rPr>
      </w:pPr>
      <w:r>
        <w:rPr>
          <w:w w:val="115"/>
          <w:sz w:val="24"/>
        </w:rPr>
        <w:t>提超消極競爭者爭訟噹事人之範圍，限於經甄審委員會評審</w:t>
      </w:r>
    </w:p>
    <w:p>
      <w:pPr>
        <w:spacing w:line="343" w:lineRule="auto" w:before="130"/>
        <w:ind w:left="1571" w:right="551" w:firstLine="0"/>
        <w:jc w:val="both"/>
        <w:rPr>
          <w:sz w:val="24"/>
        </w:rPr>
      </w:pPr>
      <w:r>
        <w:rPr>
          <w:w w:val="115"/>
          <w:sz w:val="24"/>
        </w:rPr>
        <w:t>後，報請機關首長圈定陞補之前三名中，未獲圈定陞遷之其他競爭者。如其並非報請機關首長圈定陞補之前三名中之人，無論機關首長圈定陞遷何人，該處分對其均不生侵益之效果，自無提超消極競爭者爭訟之當事人適格。</w:t>
      </w:r>
    </w:p>
    <w:p>
      <w:pPr>
        <w:spacing w:after="0" w:line="343" w:lineRule="auto"/>
        <w:jc w:val="both"/>
        <w:rPr>
          <w:sz w:val="24"/>
        </w:rPr>
        <w:sectPr>
          <w:pgSz w:w="11910" w:h="16840"/>
          <w:pgMar w:header="862" w:footer="1017" w:top="1060" w:bottom="1200" w:left="1120" w:right="1060"/>
        </w:sectPr>
      </w:pPr>
    </w:p>
    <w:p>
      <w:pPr>
        <w:pStyle w:val="BodyText"/>
        <w:spacing w:before="11"/>
        <w:rPr>
          <w:sz w:val="24"/>
        </w:rPr>
      </w:pPr>
    </w:p>
    <w:p>
      <w:pPr>
        <w:pStyle w:val="ListParagraph"/>
        <w:numPr>
          <w:ilvl w:val="0"/>
          <w:numId w:val="4"/>
        </w:numPr>
        <w:tabs>
          <w:tab w:pos="1568" w:val="left" w:leader="none"/>
        </w:tabs>
        <w:spacing w:line="328" w:lineRule="auto" w:before="88" w:after="0"/>
        <w:ind w:left="1575" w:right="568" w:hanging="779"/>
        <w:jc w:val="both"/>
        <w:rPr>
          <w:sz w:val="25"/>
        </w:rPr>
      </w:pPr>
      <w:r>
        <w:rPr>
          <w:w w:val="110"/>
          <w:sz w:val="25"/>
        </w:rPr>
        <w:t>在公務人員之消極競爭者爭訟中，復審人請求撤銷人事主管機關對於該競爭者所作成陞任、陞遷丶留任等授益處分，保訓會對於消極競爭者爭訟審理之結果，如認為復審有理由，將對於該競爭者（第三人）所作成之授益處分撤銷。該第三人雖非復審程序之噹事人，然而其「行政處分相對人」之地位，即噹然轉換為「復審決定相對人」之地位，故其亦噹然成為該決定之對象。復審決定既將直接且噹然地形成丶變更或消滅第三人權利，保訓會自應使其參加復審，籍以影響保訓會之決定，保障其權益。</w:t>
      </w:r>
    </w:p>
    <w:p>
      <w:pPr>
        <w:pStyle w:val="ListParagraph"/>
        <w:numPr>
          <w:ilvl w:val="0"/>
          <w:numId w:val="4"/>
        </w:numPr>
        <w:tabs>
          <w:tab w:pos="1567" w:val="left" w:leader="none"/>
          <w:tab w:pos="1568" w:val="left" w:leader="none"/>
        </w:tabs>
        <w:spacing w:line="326" w:lineRule="exact" w:before="0" w:after="0"/>
        <w:ind w:left="1567" w:right="0" w:hanging="784"/>
        <w:jc w:val="left"/>
        <w:rPr>
          <w:sz w:val="25"/>
        </w:rPr>
      </w:pPr>
      <w:r>
        <w:rPr>
          <w:w w:val="110"/>
          <w:sz w:val="25"/>
        </w:rPr>
        <w:t>在公務人員之積極競爭者爭訟中，機關對於復審人依法申請之</w:t>
      </w:r>
    </w:p>
    <w:p>
      <w:pPr>
        <w:pStyle w:val="BodyText"/>
        <w:spacing w:line="331" w:lineRule="auto" w:before="117"/>
        <w:ind w:left="1575" w:right="429" w:firstLine="23"/>
      </w:pPr>
      <w:r>
        <w:rPr>
          <w:w w:val="110"/>
        </w:rPr>
        <w:t>案件，於法定期間內應作為而不作為，損害其權利或利益者，</w:t>
      </w:r>
      <w:r>
        <w:rPr>
          <w:spacing w:val="1"/>
          <w:w w:val="110"/>
        </w:rPr>
        <w:t> </w:t>
      </w:r>
      <w:r>
        <w:rPr>
          <w:w w:val="110"/>
        </w:rPr>
        <w:t>復審人得向保訓會提超課予義務復審，請求命怠為處分之機關</w:t>
      </w:r>
      <w:r>
        <w:rPr>
          <w:spacing w:val="1"/>
          <w:w w:val="110"/>
        </w:rPr>
        <w:t> </w:t>
      </w:r>
      <w:r>
        <w:rPr>
          <w:w w:val="110"/>
        </w:rPr>
        <w:t>應對其作成處分。保訓會審理之結果，如認為復審有理由，將</w:t>
      </w:r>
      <w:r>
        <w:rPr>
          <w:spacing w:val="1"/>
          <w:w w:val="110"/>
        </w:rPr>
        <w:t> </w:t>
      </w:r>
      <w:r>
        <w:rPr>
          <w:w w:val="110"/>
        </w:rPr>
        <w:t>命機關對復審人作成陞任、陞遷丶留任等授益處分。復審人請</w:t>
      </w:r>
      <w:r>
        <w:rPr>
          <w:spacing w:val="1"/>
          <w:w w:val="110"/>
        </w:rPr>
        <w:t> </w:t>
      </w:r>
      <w:r>
        <w:rPr>
          <w:w w:val="105"/>
        </w:rPr>
        <w:t>求保訓會命原處分機關對其作成陞任、陞遷、留任等授益處分，</w:t>
      </w:r>
      <w:r>
        <w:rPr>
          <w:spacing w:val="1"/>
          <w:w w:val="105"/>
        </w:rPr>
        <w:t> </w:t>
      </w:r>
      <w:r>
        <w:rPr>
          <w:w w:val="110"/>
        </w:rPr>
        <w:t>其本人為所請行政處分之相對人，該第三人（競爭者）並非復</w:t>
      </w:r>
      <w:r>
        <w:rPr>
          <w:spacing w:val="1"/>
          <w:w w:val="110"/>
        </w:rPr>
        <w:t> </w:t>
      </w:r>
      <w:r>
        <w:rPr>
          <w:w w:val="110"/>
        </w:rPr>
        <w:t>審磬明所請行政處分之相對人，故該課予義務復審之決定對其</w:t>
      </w:r>
      <w:r>
        <w:rPr>
          <w:spacing w:val="1"/>
          <w:w w:val="110"/>
        </w:rPr>
        <w:t> </w:t>
      </w:r>
      <w:r>
        <w:rPr>
          <w:w w:val="105"/>
        </w:rPr>
        <w:t>而言並不具有「直接之第三人效果」，其並非必要復審參加人。</w:t>
      </w:r>
      <w:r>
        <w:rPr>
          <w:spacing w:val="1"/>
          <w:w w:val="105"/>
        </w:rPr>
        <w:t> </w:t>
      </w:r>
      <w:r>
        <w:rPr>
          <w:w w:val="110"/>
        </w:rPr>
        <w:t>惟此種情形，機關如依保訓會之決定對復審人作成陞任、陞遷丶留任等投益處分，與其競爭該職務之第三人即不可能再獲該處</w:t>
      </w:r>
      <w:r>
        <w:rPr>
          <w:spacing w:val="1"/>
          <w:w w:val="110"/>
        </w:rPr>
        <w:t> </w:t>
      </w:r>
      <w:r>
        <w:rPr>
          <w:w w:val="110"/>
        </w:rPr>
        <w:t>分，故對其權益仍有影攀。因此，此雖非必要復審參加之案例</w:t>
      </w:r>
      <w:r>
        <w:rPr>
          <w:spacing w:val="1"/>
          <w:w w:val="110"/>
        </w:rPr>
        <w:t> </w:t>
      </w:r>
      <w:r>
        <w:rPr>
          <w:w w:val="110"/>
        </w:rPr>
        <w:t>類型，但可由保訓會依職權通知其參加復審或依其申請而允許</w:t>
      </w:r>
      <w:r>
        <w:rPr>
          <w:spacing w:val="1"/>
          <w:w w:val="110"/>
        </w:rPr>
        <w:t> </w:t>
      </w:r>
      <w:r>
        <w:rPr>
          <w:w w:val="110"/>
        </w:rPr>
        <w:t>其參加復審。</w:t>
      </w:r>
    </w:p>
    <w:p>
      <w:pPr>
        <w:pStyle w:val="ListParagraph"/>
        <w:numPr>
          <w:ilvl w:val="0"/>
          <w:numId w:val="4"/>
        </w:numPr>
        <w:tabs>
          <w:tab w:pos="1567" w:val="left" w:leader="none"/>
          <w:tab w:pos="1568" w:val="left" w:leader="none"/>
        </w:tabs>
        <w:spacing w:line="302" w:lineRule="exact" w:before="0" w:after="0"/>
        <w:ind w:left="1567" w:right="0" w:hanging="773"/>
        <w:jc w:val="left"/>
        <w:rPr>
          <w:sz w:val="25"/>
        </w:rPr>
      </w:pPr>
      <w:r>
        <w:rPr>
          <w:w w:val="110"/>
          <w:sz w:val="25"/>
        </w:rPr>
        <w:t>在公務人員之消極競爭者爭訟中，復審人於人事主管機關對於</w:t>
      </w:r>
    </w:p>
    <w:p>
      <w:pPr>
        <w:pStyle w:val="BodyText"/>
        <w:spacing w:line="328" w:lineRule="auto" w:before="121"/>
        <w:ind w:left="1573" w:right="565" w:firstLine="11"/>
      </w:pPr>
      <w:r>
        <w:rPr>
          <w:w w:val="110"/>
        </w:rPr>
        <w:t>其他競爭者作成陞任、陞遷丶留任等授益處分後，向保訓會提超撤銷復審，請求撒銷人事主管機關對於該競爭者所作成之處分。此時，該已獲投益處分之競爭者固為必要參加人。在圈選名單中之其他競爭者，其法律地位將因復審之結果而受影響。可由保訓會依職權通知其參加復審或依其申請而允許其參加復審。</w:t>
      </w:r>
    </w:p>
    <w:p>
      <w:pPr>
        <w:pStyle w:val="ListParagraph"/>
        <w:numPr>
          <w:ilvl w:val="0"/>
          <w:numId w:val="4"/>
        </w:numPr>
        <w:tabs>
          <w:tab w:pos="1578" w:val="left" w:leader="none"/>
          <w:tab w:pos="1579" w:val="left" w:leader="none"/>
        </w:tabs>
        <w:spacing w:line="330" w:lineRule="exact" w:before="0" w:after="0"/>
        <w:ind w:left="1578" w:right="0" w:hanging="797"/>
        <w:jc w:val="left"/>
        <w:rPr>
          <w:sz w:val="25"/>
        </w:rPr>
      </w:pPr>
      <w:r>
        <w:rPr>
          <w:w w:val="110"/>
          <w:sz w:val="25"/>
        </w:rPr>
        <w:t>公務人員所競爭者如係複數職缺，對於某人之陞任處分即無同</w:t>
      </w:r>
    </w:p>
    <w:p>
      <w:pPr>
        <w:spacing w:after="0" w:line="330" w:lineRule="exact"/>
        <w:jc w:val="left"/>
        <w:rPr>
          <w:sz w:val="25"/>
        </w:rPr>
        <w:sectPr>
          <w:pgSz w:w="11910" w:h="16840"/>
          <w:pgMar w:header="862" w:footer="1017" w:top="1060" w:bottom="1200" w:left="1120" w:right="1060"/>
        </w:sectPr>
      </w:pPr>
    </w:p>
    <w:p>
      <w:pPr>
        <w:pStyle w:val="BodyText"/>
        <w:spacing w:before="12"/>
        <w:rPr>
          <w:sz w:val="28"/>
        </w:rPr>
      </w:pPr>
    </w:p>
    <w:p>
      <w:pPr>
        <w:pStyle w:val="BodyText"/>
        <w:spacing w:line="328" w:lineRule="auto" w:before="65"/>
        <w:ind w:left="1575" w:right="568" w:firstLine="9"/>
        <w:jc w:val="both"/>
      </w:pPr>
      <w:r>
        <w:rPr>
          <w:w w:val="110"/>
        </w:rPr>
        <w:t>時否准其他競爭者陞任申請之效果，與「附第三人效力之行政處分」中「對相對人投益即同時產生對第三人負擔之效果」之要件不符。復審人如提超復審，請求撒銷機關對於其競爭者所作成之陞任、陞遷丶留任等授益處分，復審機關應以其復審不合法為不受理之決定。</w:t>
      </w:r>
    </w:p>
    <w:p>
      <w:pPr>
        <w:pStyle w:val="ListParagraph"/>
        <w:numPr>
          <w:ilvl w:val="0"/>
          <w:numId w:val="4"/>
        </w:numPr>
        <w:tabs>
          <w:tab w:pos="1589" w:val="left" w:leader="none"/>
          <w:tab w:pos="1590" w:val="left" w:leader="none"/>
        </w:tabs>
        <w:spacing w:line="332" w:lineRule="exact" w:before="0" w:after="0"/>
        <w:ind w:left="1589" w:right="0" w:hanging="808"/>
        <w:jc w:val="left"/>
        <w:rPr>
          <w:sz w:val="25"/>
        </w:rPr>
      </w:pPr>
      <w:r>
        <w:rPr>
          <w:w w:val="110"/>
          <w:sz w:val="25"/>
        </w:rPr>
        <w:t>噹事人提超積極競爭爭訟，請求命怠為處分之機關應對其作成</w:t>
      </w:r>
    </w:p>
    <w:p>
      <w:pPr>
        <w:pStyle w:val="BodyText"/>
        <w:spacing w:line="331" w:lineRule="auto" w:before="117"/>
        <w:ind w:left="1572" w:right="569" w:firstLine="10"/>
        <w:jc w:val="both"/>
        <w:rPr>
          <w:sz w:val="24"/>
        </w:rPr>
      </w:pPr>
      <w:r>
        <w:rPr>
          <w:w w:val="105"/>
        </w:rPr>
        <w:t>陞任、陞遷、留任等授益處分時，如其所競爭者如係複數職缺，</w:t>
      </w:r>
      <w:r>
        <w:rPr>
          <w:spacing w:val="1"/>
          <w:w w:val="105"/>
        </w:rPr>
        <w:t> </w:t>
      </w:r>
      <w:r>
        <w:rPr>
          <w:w w:val="110"/>
        </w:rPr>
        <w:t>對於某人之陞任、陞遷、留任等授益處分即無同時否准其他競爭者申請之效果。無論其是否獲得該授益處分，對於其他競爭者之権益均無影響。其復審縱為合法，亦不發生參加程序之間</w:t>
      </w:r>
      <w:r>
        <w:rPr>
          <w:w w:val="110"/>
          <w:sz w:val="24"/>
        </w:rPr>
        <w:t>題。</w:t>
      </w:r>
    </w:p>
    <w:p>
      <w:pPr>
        <w:tabs>
          <w:tab w:pos="1414" w:val="left" w:leader="none"/>
        </w:tabs>
        <w:spacing w:before="59"/>
        <w:ind w:left="0" w:right="202" w:firstLine="0"/>
        <w:jc w:val="center"/>
        <w:rPr>
          <w:sz w:val="31"/>
        </w:rPr>
      </w:pPr>
      <w:bookmarkStart w:name="_bookmark31" w:id="32"/>
      <w:bookmarkEnd w:id="32"/>
      <w:r>
        <w:rPr/>
      </w:r>
      <w:r>
        <w:rPr>
          <w:sz w:val="31"/>
        </w:rPr>
        <w:t>第二節</w:t>
        <w:tab/>
        <w:t>建議</w:t>
      </w:r>
    </w:p>
    <w:p>
      <w:pPr>
        <w:pStyle w:val="BodyText"/>
        <w:spacing w:before="4"/>
        <w:rPr>
          <w:sz w:val="21"/>
        </w:rPr>
      </w:pPr>
    </w:p>
    <w:p>
      <w:pPr>
        <w:pStyle w:val="BodyText"/>
        <w:spacing w:line="319" w:lineRule="auto"/>
        <w:ind w:left="301" w:right="518" w:firstLine="567"/>
      </w:pPr>
      <w:r>
        <w:rPr/>
        <w:t>復審程序，尤其公務員法上競爭爭訟之復審程序中，涉及第三人權利   </w:t>
      </w:r>
      <w:r>
        <w:rPr>
          <w:spacing w:val="95"/>
        </w:rPr>
        <w:t> </w:t>
      </w:r>
      <w:r>
        <w:rPr/>
        <w:t>保護之情形，頗為常見。惟我國公務人員保障法中，並無使因復審程序之    </w:t>
      </w:r>
      <w:r>
        <w:rPr>
          <w:spacing w:val="37"/>
        </w:rPr>
        <w:t> </w:t>
      </w:r>
      <w:r>
        <w:rPr/>
        <w:t>結果權益將受影響之第三人參與復審程序之相關規定。基於保障第三人権    </w:t>
      </w:r>
      <w:r>
        <w:rPr>
          <w:spacing w:val="49"/>
        </w:rPr>
        <w:t> </w:t>
      </w:r>
      <w:r>
        <w:rPr>
          <w:spacing w:val="14"/>
          <w:w w:val="95"/>
        </w:rPr>
        <w:t>益之考量 ，公</w:t>
      </w:r>
      <w:r>
        <w:rPr>
          <w:spacing w:val="125"/>
        </w:rPr>
        <w:t> </w:t>
      </w:r>
      <w:r>
        <w:rPr>
          <w:spacing w:val="14"/>
          <w:w w:val="95"/>
        </w:rPr>
        <w:t>務人員保障法中應 參考訴願法第 </w:t>
      </w:r>
      <w:r>
        <w:rPr>
          <w:rFonts w:ascii="Arial" w:eastAsia="Arial"/>
          <w:w w:val="95"/>
          <w:sz w:val="28"/>
        </w:rPr>
        <w:t>28</w:t>
      </w:r>
      <w:r>
        <w:rPr>
          <w:rFonts w:ascii="Arial" w:eastAsia="Arial"/>
          <w:spacing w:val="64"/>
          <w:w w:val="95"/>
          <w:sz w:val="28"/>
        </w:rPr>
        <w:t> </w:t>
      </w:r>
      <w:r>
        <w:rPr>
          <w:spacing w:val="11"/>
          <w:w w:val="95"/>
        </w:rPr>
        <w:t>條以下及行政訴訟法第</w:t>
      </w:r>
      <w:r>
        <w:rPr>
          <w:rFonts w:ascii="Times New Roman" w:eastAsia="Times New Roman"/>
          <w:w w:val="95"/>
          <w:sz w:val="31"/>
        </w:rPr>
        <w:t>41</w:t>
      </w:r>
      <w:r>
        <w:rPr>
          <w:rFonts w:ascii="Times New Roman" w:eastAsia="Times New Roman"/>
          <w:spacing w:val="22"/>
          <w:w w:val="95"/>
          <w:sz w:val="31"/>
        </w:rPr>
        <w:t> </w:t>
      </w:r>
      <w:r>
        <w:rPr/>
        <w:t>條以下之條文 </w:t>
      </w:r>
      <w:r>
        <w:rPr>
          <w:spacing w:val="-39"/>
          <w:w w:val="95"/>
        </w:rPr>
        <w:t>， </w:t>
      </w:r>
      <w:r>
        <w:rPr>
          <w:spacing w:val="7"/>
        </w:rPr>
        <w:t>增訂復審參加之規定</w:t>
      </w:r>
      <w:r>
        <w:rPr/>
        <w:t>（</w:t>
      </w:r>
      <w:r>
        <w:rPr>
          <w:spacing w:val="-10"/>
        </w:rPr>
        <w:t> 詳下述</w:t>
      </w:r>
      <w:r>
        <w:rPr/>
        <w:t>）。</w:t>
      </w:r>
    </w:p>
    <w:p>
      <w:pPr>
        <w:pStyle w:val="BodyText"/>
        <w:spacing w:before="108"/>
        <w:ind w:left="3923"/>
      </w:pPr>
      <w:r>
        <w:rPr>
          <w:w w:val="120"/>
        </w:rPr>
        <w:t>一立即可行建議</w:t>
      </w:r>
    </w:p>
    <w:p>
      <w:pPr>
        <w:pStyle w:val="BodyText"/>
        <w:spacing w:before="4"/>
        <w:rPr>
          <w:sz w:val="23"/>
        </w:rPr>
      </w:pPr>
    </w:p>
    <w:p>
      <w:pPr>
        <w:pStyle w:val="BodyText"/>
        <w:spacing w:line="328" w:lineRule="auto" w:before="1"/>
        <w:ind w:left="298" w:right="502" w:firstLine="567"/>
      </w:pPr>
      <w:r>
        <w:rPr>
          <w:w w:val="105"/>
        </w:rPr>
        <w:t>在立法程序尚未完成前，復審程序如有涉及第三人之権利或法律上利</w:t>
      </w:r>
      <w:r>
        <w:rPr>
          <w:spacing w:val="95"/>
          <w:w w:val="105"/>
        </w:rPr>
        <w:t> </w:t>
      </w:r>
      <w:r>
        <w:rPr>
          <w:w w:val="105"/>
        </w:rPr>
        <w:t>益者，例如在公務人員之積極競爭者爭訟中，機關對於復審人依法申請之 </w:t>
      </w:r>
      <w:r>
        <w:rPr>
          <w:spacing w:val="6"/>
          <w:w w:val="105"/>
        </w:rPr>
        <w:t> </w:t>
      </w:r>
      <w:r>
        <w:rPr>
          <w:w w:val="105"/>
        </w:rPr>
        <w:t>案件，於法定期間內應作為而不作為，損害其權利或利益者，復審人得向 </w:t>
      </w:r>
      <w:r>
        <w:rPr>
          <w:spacing w:val="6"/>
          <w:w w:val="105"/>
        </w:rPr>
        <w:t> </w:t>
      </w:r>
      <w:r>
        <w:rPr>
          <w:w w:val="105"/>
        </w:rPr>
        <w:t>保訓會提超課予義務復審，請求命怠為處分之機關應對其作成處分。機關 </w:t>
      </w:r>
      <w:r>
        <w:rPr>
          <w:spacing w:val="6"/>
          <w:w w:val="105"/>
        </w:rPr>
        <w:t> </w:t>
      </w:r>
      <w:r>
        <w:rPr>
          <w:w w:val="105"/>
        </w:rPr>
        <w:t>如依保訓會之決定對復審人作成陞任、陞遷、留任等授益處分，與其競爭 </w:t>
      </w:r>
      <w:r>
        <w:rPr>
          <w:spacing w:val="6"/>
          <w:w w:val="105"/>
        </w:rPr>
        <w:t> </w:t>
      </w:r>
      <w:r>
        <w:rPr>
          <w:w w:val="105"/>
        </w:rPr>
        <w:t>該職務之第三人即不可能再獲該處分，故對其権益有所影響。保訓會得依 </w:t>
      </w:r>
      <w:r>
        <w:rPr>
          <w:spacing w:val="16"/>
          <w:w w:val="105"/>
        </w:rPr>
        <w:t> </w:t>
      </w:r>
      <w:r>
        <w:rPr>
          <w:spacing w:val="15"/>
          <w:w w:val="95"/>
        </w:rPr>
        <w:t>行政程序法第 </w:t>
      </w:r>
      <w:r>
        <w:rPr>
          <w:rFonts w:ascii="Arial" w:eastAsia="Arial"/>
          <w:w w:val="95"/>
          <w:sz w:val="28"/>
        </w:rPr>
        <w:t>23</w:t>
      </w:r>
      <w:r>
        <w:rPr>
          <w:rFonts w:ascii="Arial" w:eastAsia="Arial"/>
          <w:spacing w:val="50"/>
          <w:w w:val="95"/>
          <w:sz w:val="28"/>
        </w:rPr>
        <w:t> </w:t>
      </w:r>
      <w:r>
        <w:rPr>
          <w:spacing w:val="7"/>
          <w:w w:val="95"/>
        </w:rPr>
        <w:t>條之規定 ，依 職 権通知其參加復審或依其申請而允 許 其</w:t>
      </w:r>
      <w:r>
        <w:rPr>
          <w:w w:val="105"/>
        </w:rPr>
        <w:t>參加。</w:t>
      </w:r>
    </w:p>
    <w:p>
      <w:pPr>
        <w:pStyle w:val="BodyText"/>
        <w:spacing w:line="331" w:lineRule="auto"/>
        <w:ind w:left="302" w:right="510" w:firstLine="574"/>
        <w:jc w:val="both"/>
      </w:pPr>
      <w:r>
        <w:rPr>
          <w:w w:val="110"/>
        </w:rPr>
        <w:t>至於復審人對於附第三人效力之行政處分提超復審，復審標的因而對於第三人及當事人一造必須合一璀定之情形，例如：在公務人員之消極競爭者爭訟中，復審人於人事主管機關對於其他競爭者作成陞任、陞遷、留任等授益處分後，向保訓會提超撤銷復審，請求撤銷人事主管機關對於該</w:t>
      </w:r>
    </w:p>
    <w:p>
      <w:pPr>
        <w:spacing w:after="0" w:line="331" w:lineRule="auto"/>
        <w:jc w:val="both"/>
        <w:sectPr>
          <w:pgSz w:w="11910" w:h="16840"/>
          <w:pgMar w:header="862" w:footer="1017" w:top="1060" w:bottom="1200" w:left="1120" w:right="1060"/>
        </w:sectPr>
      </w:pPr>
    </w:p>
    <w:p>
      <w:pPr>
        <w:pStyle w:val="BodyText"/>
        <w:spacing w:before="12"/>
        <w:rPr>
          <w:sz w:val="28"/>
        </w:rPr>
      </w:pPr>
    </w:p>
    <w:p>
      <w:pPr>
        <w:pStyle w:val="BodyText"/>
        <w:spacing w:line="324" w:lineRule="auto" w:before="65"/>
        <w:ind w:left="306" w:right="481" w:firstLine="4"/>
      </w:pPr>
      <w:r>
        <w:rPr/>
        <w:t>競爭者所作成之處分。該第三人雖非復審程序之噹事人，然而其「行政處    </w:t>
      </w:r>
      <w:r>
        <w:rPr>
          <w:spacing w:val="65"/>
        </w:rPr>
        <w:t> </w:t>
      </w:r>
      <w:r>
        <w:rPr/>
        <w:t>分相對人」之地位，即噹然轉換為「復審決定相對人」之地位，故其亦噹    </w:t>
      </w:r>
      <w:r>
        <w:rPr>
          <w:spacing w:val="69"/>
        </w:rPr>
        <w:t> </w:t>
      </w:r>
      <w:r>
        <w:rPr/>
        <w:t>然成為該決定之對象。復審決定既將直接且噹然地形成、變更或消滅第三    </w:t>
      </w:r>
      <w:r>
        <w:rPr>
          <w:spacing w:val="69"/>
        </w:rPr>
        <w:t> </w:t>
      </w:r>
      <w:r>
        <w:rPr/>
        <w:t>人権利，保訓會自應使其參加復審，籍以影響保訓會之決定，保障其權益。  </w:t>
      </w:r>
      <w:r>
        <w:rPr>
          <w:spacing w:val="81"/>
        </w:rPr>
        <w:t> </w:t>
      </w:r>
      <w:r>
        <w:rPr>
          <w:spacing w:val="6"/>
          <w:w w:val="95"/>
        </w:rPr>
        <w:t>此際 ， 可參酌訴願法第 </w:t>
      </w:r>
      <w:r>
        <w:rPr>
          <w:rFonts w:ascii="Times New Roman" w:eastAsia="Times New Roman"/>
          <w:w w:val="95"/>
          <w:sz w:val="30"/>
        </w:rPr>
        <w:t>28</w:t>
      </w:r>
      <w:r>
        <w:rPr>
          <w:rFonts w:ascii="Times New Roman" w:eastAsia="Times New Roman"/>
          <w:spacing w:val="22"/>
          <w:w w:val="95"/>
          <w:sz w:val="30"/>
        </w:rPr>
        <w:t> </w:t>
      </w:r>
      <w:r>
        <w:rPr>
          <w:spacing w:val="18"/>
          <w:w w:val="95"/>
        </w:rPr>
        <w:t>條第 </w:t>
      </w:r>
      <w:r>
        <w:rPr>
          <w:rFonts w:ascii="Times New Roman" w:eastAsia="Times New Roman"/>
          <w:w w:val="95"/>
          <w:sz w:val="30"/>
        </w:rPr>
        <w:t>2</w:t>
      </w:r>
      <w:r>
        <w:rPr>
          <w:rFonts w:ascii="Times New Roman" w:eastAsia="Times New Roman"/>
          <w:spacing w:val="43"/>
          <w:w w:val="95"/>
          <w:sz w:val="30"/>
        </w:rPr>
        <w:t> </w:t>
      </w:r>
      <w:r>
        <w:rPr>
          <w:spacing w:val="15"/>
          <w:w w:val="95"/>
        </w:rPr>
        <w:t>項及行政訴訟法第 </w:t>
      </w:r>
      <w:r>
        <w:rPr>
          <w:rFonts w:ascii="Times New Roman" w:eastAsia="Times New Roman"/>
          <w:w w:val="95"/>
          <w:sz w:val="30"/>
        </w:rPr>
        <w:t>41</w:t>
      </w:r>
      <w:r>
        <w:rPr>
          <w:rFonts w:ascii="Times New Roman" w:eastAsia="Times New Roman"/>
          <w:spacing w:val="45"/>
          <w:w w:val="95"/>
          <w:sz w:val="30"/>
        </w:rPr>
        <w:t> </w:t>
      </w:r>
      <w:r>
        <w:rPr>
          <w:spacing w:val="1"/>
          <w:w w:val="95"/>
        </w:rPr>
        <w:t>條之規定 ，認為保</w:t>
      </w:r>
      <w:r>
        <w:rPr/>
        <w:t>訓會之裁量權萎縮至零，應通知其參加復審程序。</w:t>
      </w:r>
    </w:p>
    <w:p>
      <w:pPr>
        <w:pStyle w:val="BodyText"/>
        <w:spacing w:line="472" w:lineRule="auto" w:before="101"/>
        <w:ind w:left="860" w:right="3087" w:firstLine="2350"/>
      </w:pPr>
      <w:r>
        <w:rPr>
          <w:w w:val="110"/>
        </w:rPr>
        <w:t>二長期性建議（修法建議）</w:t>
      </w:r>
      <w:r>
        <w:rPr>
          <w:spacing w:val="-135"/>
          <w:w w:val="110"/>
        </w:rPr>
        <w:t> </w:t>
      </w:r>
      <w:r>
        <w:rPr>
          <w:w w:val="110"/>
        </w:rPr>
        <w:t>以下為修法建議之具體內容：</w:t>
      </w:r>
    </w:p>
    <w:p>
      <w:pPr>
        <w:pStyle w:val="Heading2"/>
        <w:spacing w:before="28"/>
        <w:ind w:left="1047"/>
      </w:pPr>
      <w:r>
        <w:rPr>
          <w:w w:val="110"/>
        </w:rPr>
        <w:t>公務人員保障法部分條文修正總說明</w:t>
      </w:r>
    </w:p>
    <w:p>
      <w:pPr>
        <w:pStyle w:val="BodyText"/>
        <w:spacing w:before="6"/>
        <w:rPr>
          <w:sz w:val="28"/>
        </w:rPr>
      </w:pPr>
    </w:p>
    <w:p>
      <w:pPr>
        <w:pStyle w:val="Heading4"/>
        <w:ind w:left="964"/>
      </w:pPr>
      <w:r>
        <w:rPr>
          <w:w w:val="105"/>
        </w:rPr>
        <w:t>壹、修正緣由</w:t>
      </w:r>
    </w:p>
    <w:p>
      <w:pPr>
        <w:pStyle w:val="BodyText"/>
        <w:spacing w:before="7"/>
        <w:rPr>
          <w:sz w:val="40"/>
        </w:rPr>
      </w:pPr>
    </w:p>
    <w:p>
      <w:pPr>
        <w:pStyle w:val="BodyText"/>
        <w:spacing w:line="324" w:lineRule="auto"/>
        <w:ind w:left="301" w:right="511" w:firstLine="574"/>
        <w:jc w:val="both"/>
      </w:pPr>
      <w:r>
        <w:rPr/>
        <w:t>公務人員因主管機關人事行政處分不法侵害其權益時，得依公務人員   </w:t>
      </w:r>
      <w:r>
        <w:rPr>
          <w:spacing w:val="75"/>
        </w:rPr>
        <w:t> </w:t>
      </w:r>
      <w:r>
        <w:rPr>
          <w:spacing w:val="21"/>
        </w:rPr>
        <w:t>保障法第 </w:t>
      </w:r>
      <w:r>
        <w:rPr>
          <w:rFonts w:ascii="Times New Roman" w:eastAsia="Times New Roman"/>
          <w:sz w:val="30"/>
        </w:rPr>
        <w:t>25</w:t>
      </w:r>
      <w:r>
        <w:rPr>
          <w:rFonts w:ascii="Times New Roman" w:eastAsia="Times New Roman"/>
          <w:spacing w:val="49"/>
          <w:sz w:val="30"/>
        </w:rPr>
        <w:t> </w:t>
      </w:r>
      <w:r>
        <w:rPr>
          <w:spacing w:val="22"/>
        </w:rPr>
        <w:t>條第 </w:t>
      </w:r>
      <w:r>
        <w:rPr>
          <w:rFonts w:ascii="Times New Roman" w:eastAsia="Times New Roman"/>
          <w:sz w:val="30"/>
        </w:rPr>
        <w:t>l</w:t>
      </w:r>
      <w:r>
        <w:rPr>
          <w:rFonts w:ascii="Times New Roman" w:eastAsia="Times New Roman"/>
          <w:spacing w:val="12"/>
          <w:sz w:val="30"/>
        </w:rPr>
        <w:t> </w:t>
      </w:r>
      <w:r>
        <w:rPr>
          <w:spacing w:val="7"/>
        </w:rPr>
        <w:t>項前段規定提超撤銷復審 。惟人事行政處分除關涉受</w:t>
      </w:r>
      <w:r>
        <w:rPr/>
        <w:t>處分人之權益外，影攀受處分人以外第三人權益之情形亦不在少數。尤其    </w:t>
      </w:r>
      <w:r>
        <w:rPr>
          <w:spacing w:val="44"/>
        </w:rPr>
        <w:t> </w:t>
      </w:r>
      <w:r>
        <w:rPr/>
        <w:t>在有關公務人員競爭者爭訟之事件中，數人所競爭之職務如為單一，主管    </w:t>
      </w:r>
      <w:r>
        <w:rPr>
          <w:spacing w:val="44"/>
        </w:rPr>
        <w:t> </w:t>
      </w:r>
      <w:r>
        <w:rPr/>
        <w:t>機關對某人之陞任、陞遷、留任等授益處分，其效力即等同於對於其他競    </w:t>
      </w:r>
      <w:r>
        <w:rPr>
          <w:spacing w:val="44"/>
        </w:rPr>
        <w:t> </w:t>
      </w:r>
      <w:r>
        <w:rPr/>
        <w:t>爭者為否准之處分。此際，其他競爭者應有參與復審程序之機會，以保障    </w:t>
      </w:r>
      <w:r>
        <w:rPr>
          <w:spacing w:val="44"/>
        </w:rPr>
        <w:t> </w:t>
      </w:r>
      <w:r>
        <w:rPr/>
        <w:t>其權益。</w:t>
      </w:r>
    </w:p>
    <w:p>
      <w:pPr>
        <w:pStyle w:val="BodyText"/>
        <w:spacing w:line="319" w:lineRule="auto" w:before="19"/>
        <w:ind w:left="301" w:right="510" w:firstLine="575"/>
      </w:pPr>
      <w:r>
        <w:rPr/>
        <w:t>我國行政爭訟之法制中，多設有噹事人以外第三人參加爭訟程序之相   </w:t>
      </w:r>
      <w:r>
        <w:rPr>
          <w:spacing w:val="73"/>
        </w:rPr>
        <w:t> </w:t>
      </w:r>
      <w:r>
        <w:rPr/>
        <w:t>關規定 </w:t>
      </w:r>
      <w:r>
        <w:rPr>
          <w:spacing w:val="-43"/>
          <w:w w:val="95"/>
        </w:rPr>
        <w:t>， </w:t>
      </w:r>
      <w:r>
        <w:rPr>
          <w:spacing w:val="-2"/>
        </w:rPr>
        <w:t>以保障因該 程序権益受影響第三 人之利益 。例如： 訴願法第 </w:t>
      </w:r>
      <w:r>
        <w:rPr>
          <w:rFonts w:ascii="Times New Roman" w:eastAsia="Times New Roman"/>
          <w:sz w:val="30"/>
        </w:rPr>
        <w:t>28</w:t>
      </w:r>
      <w:r>
        <w:rPr>
          <w:rFonts w:ascii="Times New Roman" w:eastAsia="Times New Roman"/>
          <w:spacing w:val="1"/>
          <w:sz w:val="30"/>
        </w:rPr>
        <w:t> </w:t>
      </w:r>
      <w:r>
        <w:rPr>
          <w:spacing w:val="17"/>
          <w:w w:val="95"/>
        </w:rPr>
        <w:t>條至第 </w:t>
      </w:r>
      <w:r>
        <w:rPr>
          <w:rFonts w:ascii="Times New Roman" w:eastAsia="Times New Roman"/>
          <w:w w:val="95"/>
          <w:sz w:val="30"/>
        </w:rPr>
        <w:t>31</w:t>
      </w:r>
      <w:r>
        <w:rPr>
          <w:rFonts w:ascii="Times New Roman" w:eastAsia="Times New Roman"/>
          <w:spacing w:val="8"/>
          <w:w w:val="95"/>
          <w:sz w:val="30"/>
        </w:rPr>
        <w:t> </w:t>
      </w:r>
      <w:r>
        <w:rPr>
          <w:spacing w:val="15"/>
          <w:w w:val="95"/>
        </w:rPr>
        <w:t>條 ，行 政訴訟法第 </w:t>
      </w:r>
      <w:r>
        <w:rPr>
          <w:rFonts w:ascii="Times New Roman" w:eastAsia="Times New Roman"/>
          <w:w w:val="95"/>
          <w:sz w:val="30"/>
        </w:rPr>
        <w:t>41</w:t>
      </w:r>
      <w:r>
        <w:rPr>
          <w:rFonts w:ascii="Times New Roman" w:eastAsia="Times New Roman"/>
          <w:spacing w:val="34"/>
          <w:w w:val="95"/>
          <w:sz w:val="30"/>
        </w:rPr>
        <w:t> </w:t>
      </w:r>
      <w:r>
        <w:rPr>
          <w:spacing w:val="19"/>
          <w:w w:val="95"/>
        </w:rPr>
        <w:t>條至第 </w:t>
      </w:r>
      <w:r>
        <w:rPr>
          <w:rFonts w:ascii="Times New Roman" w:eastAsia="Times New Roman"/>
          <w:w w:val="95"/>
          <w:sz w:val="30"/>
        </w:rPr>
        <w:t>48</w:t>
      </w:r>
      <w:r>
        <w:rPr>
          <w:rFonts w:ascii="Times New Roman" w:eastAsia="Times New Roman"/>
          <w:spacing w:val="41"/>
          <w:w w:val="95"/>
          <w:sz w:val="30"/>
        </w:rPr>
        <w:t> </w:t>
      </w:r>
      <w:r>
        <w:rPr>
          <w:spacing w:val="-1"/>
          <w:w w:val="95"/>
        </w:rPr>
        <w:t>條 。惟公務人員保障法則並 無</w:t>
      </w:r>
      <w:r>
        <w:rPr/>
        <w:t>參加復審之相關規定。為保障權益受復審程序影響第三人之權益，爰參酌    </w:t>
      </w:r>
      <w:r>
        <w:rPr>
          <w:spacing w:val="45"/>
        </w:rPr>
        <w:t> </w:t>
      </w:r>
      <w:r>
        <w:rPr/>
        <w:t>訴願法及行政訴訟法有關訴願參加及訴訟參加之相關規定，增訂公務人員    </w:t>
      </w:r>
      <w:r>
        <w:rPr>
          <w:spacing w:val="45"/>
        </w:rPr>
        <w:t> </w:t>
      </w:r>
      <w:r>
        <w:rPr/>
        <w:t>保障法復審參加規定之條文。</w:t>
      </w:r>
    </w:p>
    <w:p>
      <w:pPr>
        <w:pStyle w:val="Heading4"/>
        <w:spacing w:before="101"/>
        <w:ind w:left="955"/>
      </w:pPr>
      <w:r>
        <w:rPr>
          <w:w w:val="105"/>
        </w:rPr>
        <w:t>貳、修正要點</w:t>
      </w:r>
    </w:p>
    <w:p>
      <w:pPr>
        <w:pStyle w:val="BodyText"/>
        <w:spacing w:before="11"/>
        <w:rPr>
          <w:sz w:val="40"/>
        </w:rPr>
      </w:pPr>
    </w:p>
    <w:p>
      <w:pPr>
        <w:pStyle w:val="BodyText"/>
        <w:spacing w:line="328" w:lineRule="auto"/>
        <w:ind w:left="880" w:right="2797" w:hanging="12"/>
      </w:pPr>
      <w:r>
        <w:rPr>
          <w:w w:val="110"/>
        </w:rPr>
        <w:t>本修正草案計增訂五條。茲將增修要點分逑如下：</w:t>
      </w:r>
      <w:r>
        <w:rPr>
          <w:spacing w:val="-135"/>
          <w:w w:val="110"/>
        </w:rPr>
        <w:t> </w:t>
      </w:r>
      <w:r>
        <w:rPr>
          <w:w w:val="110"/>
        </w:rPr>
        <w:t>一、增訂普通復審參加之規定</w:t>
      </w:r>
    </w:p>
    <w:p>
      <w:pPr>
        <w:pStyle w:val="BodyText"/>
        <w:spacing w:before="2"/>
        <w:ind w:left="893"/>
      </w:pPr>
      <w:r>
        <w:rPr>
          <w:w w:val="110"/>
        </w:rPr>
        <w:t>第三人之権益將受復審結果之損害者，現行法並無第三人復審參加之</w:t>
      </w:r>
    </w:p>
    <w:p>
      <w:pPr>
        <w:spacing w:after="0"/>
        <w:sectPr>
          <w:pgSz w:w="11910" w:h="16840"/>
          <w:pgMar w:header="862" w:footer="1017" w:top="1060" w:bottom="1200" w:left="1120" w:right="1060"/>
        </w:sectPr>
      </w:pPr>
    </w:p>
    <w:p>
      <w:pPr>
        <w:pStyle w:val="BodyText"/>
        <w:spacing w:before="11"/>
        <w:rPr>
          <w:sz w:val="24"/>
        </w:rPr>
      </w:pPr>
    </w:p>
    <w:p>
      <w:pPr>
        <w:spacing w:before="88"/>
        <w:ind w:left="313" w:right="0" w:firstLine="0"/>
        <w:jc w:val="left"/>
        <w:rPr>
          <w:sz w:val="26"/>
        </w:rPr>
      </w:pPr>
      <w:r>
        <w:rPr>
          <w:spacing w:val="-2"/>
          <w:sz w:val="25"/>
        </w:rPr>
        <w:t>規定 </w:t>
      </w:r>
      <w:r>
        <w:rPr>
          <w:spacing w:val="-25"/>
          <w:w w:val="95"/>
          <w:sz w:val="25"/>
        </w:rPr>
        <w:t>， </w:t>
      </w:r>
      <w:r>
        <w:rPr>
          <w:spacing w:val="-4"/>
          <w:sz w:val="25"/>
        </w:rPr>
        <w:t>爰明 定之</w:t>
      </w:r>
      <w:r>
        <w:rPr>
          <w:sz w:val="25"/>
        </w:rPr>
        <w:t>（</w:t>
      </w:r>
      <w:r>
        <w:rPr>
          <w:spacing w:val="-9"/>
          <w:sz w:val="25"/>
        </w:rPr>
        <w:t> 修正條文第 </w:t>
      </w:r>
      <w:r>
        <w:rPr>
          <w:rFonts w:ascii="Times New Roman" w:eastAsia="Times New Roman"/>
          <w:sz w:val="30"/>
        </w:rPr>
        <w:t>37</w:t>
      </w:r>
      <w:r>
        <w:rPr>
          <w:rFonts w:ascii="Times New Roman" w:eastAsia="Times New Roman"/>
          <w:spacing w:val="-13"/>
          <w:sz w:val="30"/>
        </w:rPr>
        <w:t> </w:t>
      </w:r>
      <w:r>
        <w:rPr>
          <w:spacing w:val="-6"/>
          <w:sz w:val="25"/>
        </w:rPr>
        <w:t>條之 </w:t>
      </w:r>
      <w:r>
        <w:rPr>
          <w:rFonts w:ascii="Times New Roman" w:eastAsia="Times New Roman"/>
          <w:sz w:val="30"/>
        </w:rPr>
        <w:t>l</w:t>
      </w:r>
      <w:r>
        <w:rPr>
          <w:rFonts w:ascii="Times New Roman" w:eastAsia="Times New Roman"/>
          <w:spacing w:val="-2"/>
          <w:sz w:val="30"/>
        </w:rPr>
        <w:t> ) </w:t>
      </w:r>
      <w:r>
        <w:rPr>
          <w:sz w:val="26"/>
        </w:rPr>
        <w:t>。</w:t>
      </w:r>
    </w:p>
    <w:p>
      <w:pPr>
        <w:pStyle w:val="BodyText"/>
        <w:spacing w:before="114"/>
        <w:ind w:left="870"/>
      </w:pPr>
      <w:r>
        <w:rPr>
          <w:w w:val="110"/>
        </w:rPr>
        <w:t>二、增訂必要復審參加之規定</w:t>
      </w:r>
    </w:p>
    <w:p>
      <w:pPr>
        <w:pStyle w:val="BodyText"/>
        <w:spacing w:line="309" w:lineRule="auto" w:before="122"/>
        <w:ind w:left="331" w:right="518" w:firstLine="537"/>
        <w:rPr>
          <w:sz w:val="26"/>
        </w:rPr>
      </w:pPr>
      <w:r>
        <w:rPr>
          <w:w w:val="105"/>
        </w:rPr>
        <w:t>復審標的對於第三人及噹事人一造必須合一璀定者，保訓會應通知該</w:t>
      </w:r>
      <w:r>
        <w:rPr>
          <w:spacing w:val="88"/>
          <w:w w:val="105"/>
        </w:rPr>
        <w:t> </w:t>
      </w:r>
      <w:r>
        <w:rPr>
          <w:spacing w:val="-2"/>
        </w:rPr>
        <w:t>第三 人參加復審 </w:t>
      </w:r>
      <w:r>
        <w:rPr>
          <w:spacing w:val="-30"/>
          <w:w w:val="95"/>
        </w:rPr>
        <w:t>， </w:t>
      </w:r>
      <w:r>
        <w:rPr>
          <w:spacing w:val="-6"/>
        </w:rPr>
        <w:t>爰明 定之</w:t>
      </w:r>
      <w:r>
        <w:rPr/>
        <w:t>（</w:t>
      </w:r>
      <w:r>
        <w:rPr>
          <w:spacing w:val="2"/>
        </w:rPr>
        <w:t>修正條文第 </w:t>
      </w:r>
      <w:r>
        <w:rPr>
          <w:rFonts w:ascii="Times New Roman" w:eastAsia="Times New Roman"/>
          <w:sz w:val="30"/>
        </w:rPr>
        <w:t>37</w:t>
      </w:r>
      <w:r>
        <w:rPr>
          <w:rFonts w:ascii="Times New Roman" w:eastAsia="Times New Roman"/>
          <w:spacing w:val="-14"/>
          <w:sz w:val="30"/>
        </w:rPr>
        <w:t> </w:t>
      </w:r>
      <w:r>
        <w:rPr>
          <w:spacing w:val="-13"/>
        </w:rPr>
        <w:t>條之 </w:t>
      </w:r>
      <w:r>
        <w:rPr>
          <w:rFonts w:ascii="Times New Roman" w:eastAsia="Times New Roman"/>
          <w:sz w:val="27"/>
        </w:rPr>
        <w:t>2 ) </w:t>
      </w:r>
      <w:r>
        <w:rPr>
          <w:sz w:val="26"/>
        </w:rPr>
        <w:t>。</w:t>
      </w:r>
    </w:p>
    <w:p>
      <w:pPr>
        <w:pStyle w:val="BodyText"/>
        <w:spacing w:before="12"/>
        <w:ind w:left="874"/>
      </w:pPr>
      <w:r>
        <w:rPr>
          <w:w w:val="110"/>
        </w:rPr>
        <w:t>三、增訂參加復審之程序規定</w:t>
      </w:r>
    </w:p>
    <w:p>
      <w:pPr>
        <w:pStyle w:val="BodyText"/>
        <w:spacing w:line="312" w:lineRule="auto" w:before="122"/>
        <w:ind w:left="303" w:right="518" w:firstLine="565"/>
        <w:rPr>
          <w:sz w:val="26"/>
        </w:rPr>
      </w:pPr>
      <w:r>
        <w:rPr>
          <w:w w:val="105"/>
        </w:rPr>
        <w:t>增訂申請參加復審應以書面為之之規定，並明定其應記載事項（修正</w:t>
      </w:r>
      <w:r>
        <w:rPr>
          <w:spacing w:val="69"/>
          <w:w w:val="105"/>
        </w:rPr>
        <w:t> </w:t>
      </w:r>
      <w:r>
        <w:rPr>
          <w:spacing w:val="5"/>
        </w:rPr>
        <w:t>條文第 </w:t>
      </w:r>
      <w:r>
        <w:rPr>
          <w:rFonts w:ascii="Times New Roman" w:eastAsia="Times New Roman"/>
          <w:sz w:val="30"/>
        </w:rPr>
        <w:t>37</w:t>
      </w:r>
      <w:r>
        <w:rPr>
          <w:rFonts w:ascii="Times New Roman" w:eastAsia="Times New Roman"/>
          <w:spacing w:val="-15"/>
          <w:sz w:val="30"/>
        </w:rPr>
        <w:t> </w:t>
      </w:r>
      <w:r>
        <w:rPr>
          <w:spacing w:val="-15"/>
        </w:rPr>
        <w:t>條之 </w:t>
      </w:r>
      <w:r>
        <w:rPr>
          <w:rFonts w:ascii="Times New Roman" w:eastAsia="Times New Roman"/>
          <w:sz w:val="30"/>
        </w:rPr>
        <w:t>3</w:t>
      </w:r>
      <w:r>
        <w:rPr>
          <w:rFonts w:ascii="Times New Roman" w:eastAsia="Times New Roman"/>
          <w:spacing w:val="-13"/>
          <w:sz w:val="30"/>
        </w:rPr>
        <w:t> ) </w:t>
      </w:r>
      <w:r>
        <w:rPr>
          <w:sz w:val="26"/>
        </w:rPr>
        <w:t>。</w:t>
      </w:r>
    </w:p>
    <w:p>
      <w:pPr>
        <w:pStyle w:val="BodyText"/>
        <w:spacing w:before="7"/>
        <w:ind w:left="865"/>
      </w:pPr>
      <w:r>
        <w:rPr>
          <w:w w:val="110"/>
        </w:rPr>
        <w:t>四、增訂復審機關之處理程序規定</w:t>
      </w:r>
    </w:p>
    <w:p>
      <w:pPr>
        <w:pStyle w:val="BodyText"/>
        <w:spacing w:line="312" w:lineRule="auto" w:before="117"/>
        <w:ind w:left="309" w:right="518" w:firstLine="559"/>
        <w:rPr>
          <w:sz w:val="26"/>
        </w:rPr>
      </w:pPr>
      <w:r>
        <w:rPr>
          <w:w w:val="110"/>
        </w:rPr>
        <w:t>增訂復審機關通知第三人參加復審，及得通知復審人或第三人以書面</w:t>
      </w:r>
      <w:r>
        <w:rPr>
          <w:spacing w:val="17"/>
        </w:rPr>
        <w:t>陳逑意見之規定</w:t>
      </w:r>
      <w:r>
        <w:rPr>
          <w:spacing w:val="13"/>
        </w:rPr>
        <w:t>（</w:t>
      </w:r>
      <w:r>
        <w:rPr>
          <w:spacing w:val="4"/>
        </w:rPr>
        <w:t>修正條文第 </w:t>
      </w:r>
      <w:r>
        <w:rPr>
          <w:rFonts w:ascii="Times New Roman" w:eastAsia="Times New Roman"/>
          <w:sz w:val="30"/>
        </w:rPr>
        <w:t>37</w:t>
      </w:r>
      <w:r>
        <w:rPr>
          <w:rFonts w:ascii="Times New Roman" w:eastAsia="Times New Roman"/>
          <w:spacing w:val="-17"/>
          <w:sz w:val="30"/>
        </w:rPr>
        <w:t> </w:t>
      </w:r>
      <w:r>
        <w:rPr>
          <w:spacing w:val="-13"/>
        </w:rPr>
        <w:t>條之 </w:t>
      </w:r>
      <w:r>
        <w:rPr>
          <w:rFonts w:ascii="Times New Roman" w:eastAsia="Times New Roman"/>
          <w:sz w:val="30"/>
        </w:rPr>
        <w:t>4</w:t>
      </w:r>
      <w:r>
        <w:rPr>
          <w:rFonts w:ascii="Times New Roman" w:eastAsia="Times New Roman"/>
          <w:spacing w:val="-5"/>
          <w:sz w:val="30"/>
        </w:rPr>
        <w:t> ) </w:t>
      </w:r>
      <w:r>
        <w:rPr>
          <w:sz w:val="26"/>
        </w:rPr>
        <w:t>。</w:t>
      </w:r>
    </w:p>
    <w:p>
      <w:pPr>
        <w:pStyle w:val="BodyText"/>
        <w:spacing w:before="11"/>
        <w:ind w:left="870"/>
      </w:pPr>
      <w:r>
        <w:rPr>
          <w:w w:val="105"/>
        </w:rPr>
        <w:t>五、增訂復審參加之效力</w:t>
      </w:r>
    </w:p>
    <w:p>
      <w:pPr>
        <w:pStyle w:val="BodyText"/>
        <w:spacing w:line="312" w:lineRule="auto" w:before="121"/>
        <w:ind w:left="315" w:right="518" w:firstLine="553"/>
        <w:rPr>
          <w:sz w:val="26"/>
        </w:rPr>
      </w:pPr>
      <w:r>
        <w:rPr>
          <w:w w:val="105"/>
        </w:rPr>
        <w:t>復審決定對於參加人亦有效力，爰增訂復審參加之效力規定（修正條</w:t>
      </w:r>
      <w:r>
        <w:rPr>
          <w:spacing w:val="74"/>
          <w:w w:val="105"/>
        </w:rPr>
        <w:t> </w:t>
      </w:r>
      <w:r>
        <w:rPr>
          <w:spacing w:val="4"/>
          <w:w w:val="95"/>
        </w:rPr>
        <w:t>文第 </w:t>
      </w:r>
      <w:r>
        <w:rPr>
          <w:rFonts w:ascii="Times New Roman" w:eastAsia="Times New Roman"/>
          <w:w w:val="95"/>
          <w:sz w:val="30"/>
        </w:rPr>
        <w:t>37</w:t>
      </w:r>
      <w:r>
        <w:rPr>
          <w:rFonts w:ascii="Times New Roman" w:eastAsia="Times New Roman"/>
          <w:spacing w:val="-14"/>
          <w:w w:val="95"/>
          <w:sz w:val="30"/>
        </w:rPr>
        <w:t> </w:t>
      </w:r>
      <w:r>
        <w:rPr>
          <w:spacing w:val="-12"/>
          <w:w w:val="95"/>
        </w:rPr>
        <w:t>條之 </w:t>
      </w:r>
      <w:r>
        <w:rPr>
          <w:rFonts w:ascii="Times New Roman" w:eastAsia="Times New Roman"/>
          <w:w w:val="95"/>
          <w:sz w:val="30"/>
        </w:rPr>
        <w:t>5</w:t>
      </w:r>
      <w:r>
        <w:rPr>
          <w:rFonts w:ascii="Times New Roman" w:eastAsia="Times New Roman"/>
          <w:spacing w:val="-9"/>
          <w:w w:val="95"/>
          <w:sz w:val="30"/>
        </w:rPr>
        <w:t> ) </w:t>
      </w:r>
      <w:r>
        <w:rPr>
          <w:w w:val="95"/>
          <w:sz w:val="26"/>
        </w:rPr>
        <w:t>。</w:t>
      </w:r>
    </w:p>
    <w:p>
      <w:pPr>
        <w:spacing w:after="0" w:line="312" w:lineRule="auto"/>
        <w:rPr>
          <w:sz w:val="26"/>
        </w:rPr>
        <w:sectPr>
          <w:pgSz w:w="11910" w:h="16840"/>
          <w:pgMar w:header="862" w:footer="1017" w:top="1060" w:bottom="1200" w:left="1120" w:right="1060"/>
        </w:sectPr>
      </w:pPr>
    </w:p>
    <w:p>
      <w:pPr>
        <w:pStyle w:val="BodyText"/>
        <w:rPr>
          <w:sz w:val="20"/>
        </w:rPr>
      </w:pPr>
    </w:p>
    <w:p>
      <w:pPr>
        <w:pStyle w:val="Heading2"/>
        <w:spacing w:before="225"/>
        <w:ind w:left="2683" w:right="0"/>
        <w:jc w:val="left"/>
      </w:pPr>
      <w:r>
        <w:rPr>
          <w:w w:val="110"/>
        </w:rPr>
        <w:t>公務人員保障法部分條文對照表</w:t>
      </w:r>
    </w:p>
    <w:p>
      <w:pPr>
        <w:pStyle w:val="BodyText"/>
        <w:rPr>
          <w:sz w:val="20"/>
        </w:rPr>
      </w:pPr>
    </w:p>
    <w:p>
      <w:pPr>
        <w:pStyle w:val="BodyText"/>
        <w:spacing w:before="8"/>
        <w:rPr>
          <w:sz w:val="20"/>
        </w:rPr>
      </w:pPr>
    </w:p>
    <w:tbl>
      <w:tblPr>
        <w:tblW w:w="0" w:type="auto"/>
        <w:jc w:val="left"/>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8"/>
        <w:gridCol w:w="2798"/>
        <w:gridCol w:w="2793"/>
      </w:tblGrid>
      <w:tr>
        <w:trPr>
          <w:trHeight w:val="355" w:hRule="atLeast"/>
        </w:trPr>
        <w:tc>
          <w:tcPr>
            <w:tcW w:w="2788" w:type="dxa"/>
          </w:tcPr>
          <w:p>
            <w:pPr>
              <w:pStyle w:val="TableParagraph"/>
              <w:spacing w:before="44"/>
              <w:ind w:left="986"/>
              <w:rPr>
                <w:sz w:val="21"/>
              </w:rPr>
            </w:pPr>
            <w:r>
              <w:rPr>
                <w:w w:val="155"/>
                <w:sz w:val="21"/>
              </w:rPr>
              <w:t>修正條文</w:t>
            </w:r>
          </w:p>
        </w:tc>
        <w:tc>
          <w:tcPr>
            <w:tcW w:w="2798" w:type="dxa"/>
          </w:tcPr>
          <w:p>
            <w:pPr>
              <w:pStyle w:val="TableParagraph"/>
              <w:spacing w:before="44"/>
              <w:ind w:left="999"/>
              <w:rPr>
                <w:sz w:val="21"/>
              </w:rPr>
            </w:pPr>
            <w:r>
              <w:rPr>
                <w:w w:val="155"/>
                <w:sz w:val="21"/>
              </w:rPr>
              <w:t>現行條文</w:t>
            </w:r>
          </w:p>
        </w:tc>
        <w:tc>
          <w:tcPr>
            <w:tcW w:w="2793" w:type="dxa"/>
          </w:tcPr>
          <w:p>
            <w:pPr>
              <w:pStyle w:val="TableParagraph"/>
              <w:tabs>
                <w:tab w:pos="2067" w:val="left" w:leader="none"/>
              </w:tabs>
              <w:spacing w:line="206" w:lineRule="auto"/>
              <w:ind w:left="990"/>
              <w:rPr>
                <w:sz w:val="21"/>
              </w:rPr>
            </w:pPr>
            <w:r>
              <w:rPr>
                <w:spacing w:val="-10"/>
                <w:w w:val="50"/>
                <w:sz w:val="13"/>
              </w:rPr>
              <w:t>..,_</w:t>
            </w:r>
            <w:r>
              <w:rPr>
                <w:spacing w:val="-10"/>
                <w:w w:val="50"/>
                <w:sz w:val="21"/>
              </w:rPr>
              <w:t>,</w:t>
            </w:r>
            <w:r>
              <w:rPr>
                <w:spacing w:val="-10"/>
                <w:w w:val="50"/>
                <w:sz w:val="13"/>
              </w:rPr>
              <w:t>甜</w:t>
            </w:r>
            <w:r>
              <w:rPr>
                <w:spacing w:val="-9"/>
                <w:w w:val="50"/>
                <w:sz w:val="21"/>
              </w:rPr>
              <w:t>、</w:t>
            </w:r>
            <w:r>
              <w:rPr>
                <w:spacing w:val="-9"/>
                <w:w w:val="50"/>
                <w:sz w:val="13"/>
              </w:rPr>
              <w:t>兄</w:t>
              <w:tab/>
            </w:r>
            <w:r>
              <w:rPr>
                <w:position w:val="-6"/>
                <w:sz w:val="21"/>
              </w:rPr>
              <w:t>明</w:t>
            </w:r>
          </w:p>
        </w:tc>
      </w:tr>
      <w:tr>
        <w:trPr>
          <w:trHeight w:val="361" w:hRule="atLeast"/>
        </w:trPr>
        <w:tc>
          <w:tcPr>
            <w:tcW w:w="2788" w:type="dxa"/>
            <w:tcBorders>
              <w:bottom w:val="nil"/>
            </w:tcBorders>
          </w:tcPr>
          <w:p>
            <w:pPr>
              <w:pStyle w:val="TableParagraph"/>
              <w:tabs>
                <w:tab w:pos="1974" w:val="left" w:leader="none"/>
              </w:tabs>
              <w:spacing w:before="54"/>
              <w:ind w:right="18"/>
              <w:jc w:val="right"/>
              <w:rPr>
                <w:sz w:val="21"/>
              </w:rPr>
            </w:pPr>
            <w:r>
              <w:rPr>
                <w:w w:val="115"/>
                <w:sz w:val="21"/>
              </w:rPr>
              <w:t>第三十七條之一</w:t>
              <w:tab/>
            </w:r>
            <w:r>
              <w:rPr>
                <w:w w:val="110"/>
                <w:sz w:val="21"/>
              </w:rPr>
              <w:t>保訓會</w:t>
            </w:r>
          </w:p>
        </w:tc>
        <w:tc>
          <w:tcPr>
            <w:tcW w:w="2798" w:type="dxa"/>
            <w:vMerge w:val="restart"/>
          </w:tcPr>
          <w:p>
            <w:pPr>
              <w:pStyle w:val="TableParagraph"/>
              <w:rPr>
                <w:rFonts w:ascii="Times New Roman"/>
                <w:sz w:val="20"/>
              </w:rPr>
            </w:pPr>
          </w:p>
        </w:tc>
        <w:tc>
          <w:tcPr>
            <w:tcW w:w="2793" w:type="dxa"/>
            <w:vMerge w:val="restart"/>
          </w:tcPr>
          <w:p>
            <w:pPr>
              <w:pStyle w:val="TableParagraph"/>
              <w:spacing w:before="54"/>
              <w:ind w:left="50"/>
              <w:rPr>
                <w:sz w:val="21"/>
              </w:rPr>
            </w:pPr>
            <w:r>
              <w:rPr>
                <w:w w:val="105"/>
                <w:sz w:val="21"/>
              </w:rPr>
              <w:t>一、本條新增。</w:t>
            </w:r>
          </w:p>
          <w:p>
            <w:pPr>
              <w:pStyle w:val="TableParagraph"/>
              <w:spacing w:line="321" w:lineRule="auto" w:before="86"/>
              <w:ind w:left="522" w:right="24" w:hanging="478"/>
              <w:rPr>
                <w:sz w:val="21"/>
              </w:rPr>
            </w:pPr>
            <w:r>
              <w:rPr>
                <w:w w:val="115"/>
                <w:sz w:val="21"/>
              </w:rPr>
              <w:t>二、復審之結果，將損害第三人之權利或法律上之利益者，得通知該第三人參加復審，</w:t>
            </w:r>
            <w:r>
              <w:rPr>
                <w:spacing w:val="-118"/>
                <w:w w:val="115"/>
                <w:sz w:val="21"/>
              </w:rPr>
              <w:t> </w:t>
            </w:r>
            <w:r>
              <w:rPr>
                <w:w w:val="115"/>
                <w:sz w:val="21"/>
              </w:rPr>
              <w:t>爰設本條，以確保該</w:t>
            </w:r>
          </w:p>
          <w:p>
            <w:pPr>
              <w:pStyle w:val="TableParagraph"/>
              <w:spacing w:line="268" w:lineRule="exact"/>
              <w:ind w:left="543"/>
              <w:rPr>
                <w:sz w:val="21"/>
              </w:rPr>
            </w:pPr>
            <w:r>
              <w:rPr>
                <w:w w:val="105"/>
                <w:sz w:val="21"/>
              </w:rPr>
              <w:t>第三人之權益。</w:t>
            </w:r>
          </w:p>
        </w:tc>
      </w:tr>
      <w:tr>
        <w:trPr>
          <w:trHeight w:val="348" w:hRule="atLeast"/>
        </w:trPr>
        <w:tc>
          <w:tcPr>
            <w:tcW w:w="2788" w:type="dxa"/>
            <w:tcBorders>
              <w:top w:val="nil"/>
              <w:bottom w:val="nil"/>
            </w:tcBorders>
          </w:tcPr>
          <w:p>
            <w:pPr>
              <w:pStyle w:val="TableParagraph"/>
              <w:spacing w:before="38"/>
              <w:ind w:right="52"/>
              <w:jc w:val="right"/>
              <w:rPr>
                <w:sz w:val="21"/>
              </w:rPr>
            </w:pPr>
            <w:r>
              <w:rPr>
                <w:w w:val="115"/>
                <w:sz w:val="21"/>
              </w:rPr>
              <w:t>認為復審之結果，第三</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0" w:hRule="atLeast"/>
        </w:trPr>
        <w:tc>
          <w:tcPr>
            <w:tcW w:w="2788" w:type="dxa"/>
            <w:tcBorders>
              <w:top w:val="nil"/>
              <w:bottom w:val="nil"/>
            </w:tcBorders>
          </w:tcPr>
          <w:p>
            <w:pPr>
              <w:pStyle w:val="TableParagraph"/>
              <w:spacing w:before="40"/>
              <w:ind w:right="43"/>
              <w:jc w:val="right"/>
              <w:rPr>
                <w:sz w:val="21"/>
              </w:rPr>
            </w:pPr>
            <w:r>
              <w:rPr>
                <w:w w:val="115"/>
                <w:sz w:val="21"/>
              </w:rPr>
              <w:t>人之權利或法律上利益</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0" w:hRule="atLeast"/>
        </w:trPr>
        <w:tc>
          <w:tcPr>
            <w:tcW w:w="2788" w:type="dxa"/>
            <w:tcBorders>
              <w:top w:val="nil"/>
              <w:bottom w:val="nil"/>
            </w:tcBorders>
          </w:tcPr>
          <w:p>
            <w:pPr>
              <w:pStyle w:val="TableParagraph"/>
              <w:spacing w:before="40"/>
              <w:ind w:right="50"/>
              <w:jc w:val="right"/>
              <w:rPr>
                <w:sz w:val="21"/>
              </w:rPr>
            </w:pPr>
            <w:r>
              <w:rPr>
                <w:w w:val="115"/>
                <w:sz w:val="21"/>
              </w:rPr>
              <w:t>將受損害者，得通知其</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0" w:hRule="atLeast"/>
        </w:trPr>
        <w:tc>
          <w:tcPr>
            <w:tcW w:w="2788" w:type="dxa"/>
            <w:tcBorders>
              <w:top w:val="nil"/>
              <w:bottom w:val="nil"/>
            </w:tcBorders>
          </w:tcPr>
          <w:p>
            <w:pPr>
              <w:pStyle w:val="TableParagraph"/>
              <w:spacing w:before="40"/>
              <w:ind w:right="51"/>
              <w:jc w:val="right"/>
              <w:rPr>
                <w:sz w:val="21"/>
              </w:rPr>
            </w:pPr>
            <w:r>
              <w:rPr>
                <w:w w:val="115"/>
                <w:sz w:val="21"/>
              </w:rPr>
              <w:t>參加復審，並得因該第</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48" w:hRule="atLeast"/>
        </w:trPr>
        <w:tc>
          <w:tcPr>
            <w:tcW w:w="2788" w:type="dxa"/>
            <w:tcBorders>
              <w:top w:val="nil"/>
              <w:bottom w:val="nil"/>
            </w:tcBorders>
          </w:tcPr>
          <w:p>
            <w:pPr>
              <w:pStyle w:val="TableParagraph"/>
              <w:spacing w:before="40"/>
              <w:ind w:right="30"/>
              <w:jc w:val="right"/>
              <w:rPr>
                <w:sz w:val="21"/>
              </w:rPr>
            </w:pPr>
            <w:r>
              <w:rPr>
                <w:w w:val="115"/>
                <w:sz w:val="21"/>
              </w:rPr>
              <w:t>三人之申請，允許其參</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8" w:hRule="atLeast"/>
        </w:trPr>
        <w:tc>
          <w:tcPr>
            <w:tcW w:w="2788" w:type="dxa"/>
            <w:tcBorders>
              <w:top w:val="nil"/>
            </w:tcBorders>
          </w:tcPr>
          <w:p>
            <w:pPr>
              <w:pStyle w:val="TableParagraph"/>
              <w:spacing w:before="38"/>
              <w:ind w:left="279"/>
              <w:rPr>
                <w:sz w:val="21"/>
              </w:rPr>
            </w:pPr>
            <w:r>
              <w:rPr>
                <w:w w:val="95"/>
                <w:sz w:val="21"/>
              </w:rPr>
              <w:t>加。</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6" w:hRule="atLeast"/>
        </w:trPr>
        <w:tc>
          <w:tcPr>
            <w:tcW w:w="2788" w:type="dxa"/>
            <w:tcBorders>
              <w:bottom w:val="nil"/>
            </w:tcBorders>
          </w:tcPr>
          <w:p>
            <w:pPr>
              <w:pStyle w:val="TableParagraph"/>
              <w:tabs>
                <w:tab w:pos="1974" w:val="left" w:leader="none"/>
              </w:tabs>
              <w:spacing w:before="49"/>
              <w:ind w:right="12"/>
              <w:jc w:val="right"/>
              <w:rPr>
                <w:sz w:val="21"/>
              </w:rPr>
            </w:pPr>
            <w:r>
              <w:rPr>
                <w:w w:val="115"/>
                <w:sz w:val="21"/>
              </w:rPr>
              <w:t>第三十七條之二</w:t>
              <w:tab/>
              <w:t>復審標</w:t>
            </w:r>
          </w:p>
        </w:tc>
        <w:tc>
          <w:tcPr>
            <w:tcW w:w="2798" w:type="dxa"/>
            <w:vMerge w:val="restart"/>
          </w:tcPr>
          <w:p>
            <w:pPr>
              <w:pStyle w:val="TableParagraph"/>
              <w:rPr>
                <w:rFonts w:ascii="Times New Roman"/>
                <w:sz w:val="20"/>
              </w:rPr>
            </w:pPr>
          </w:p>
        </w:tc>
        <w:tc>
          <w:tcPr>
            <w:tcW w:w="2793" w:type="dxa"/>
            <w:vMerge w:val="restart"/>
          </w:tcPr>
          <w:p>
            <w:pPr>
              <w:pStyle w:val="TableParagraph"/>
              <w:spacing w:before="54"/>
              <w:ind w:left="50"/>
              <w:rPr>
                <w:sz w:val="21"/>
              </w:rPr>
            </w:pPr>
            <w:r>
              <w:rPr>
                <w:w w:val="105"/>
                <w:sz w:val="21"/>
              </w:rPr>
              <w:t>一、本條新增。</w:t>
            </w:r>
          </w:p>
          <w:p>
            <w:pPr>
              <w:pStyle w:val="TableParagraph"/>
              <w:spacing w:line="321" w:lineRule="auto" w:before="86"/>
              <w:ind w:left="522" w:right="24" w:hanging="478"/>
              <w:jc w:val="both"/>
              <w:rPr>
                <w:sz w:val="21"/>
              </w:rPr>
            </w:pPr>
            <w:r>
              <w:rPr>
                <w:w w:val="115"/>
                <w:sz w:val="21"/>
              </w:rPr>
              <w:t>二、復審標的對於第三人及當事人一造必須合一確定者，應使該第三人有參加復審之機會，以確保該第三人之權益。並避免對於同－復審標的之決定</w:t>
            </w:r>
          </w:p>
          <w:p>
            <w:pPr>
              <w:pStyle w:val="TableParagraph"/>
              <w:spacing w:line="268" w:lineRule="exact"/>
              <w:ind w:left="522"/>
              <w:rPr>
                <w:sz w:val="21"/>
              </w:rPr>
            </w:pPr>
            <w:r>
              <w:rPr>
                <w:w w:val="105"/>
                <w:sz w:val="21"/>
              </w:rPr>
              <w:t>結果分歧。</w:t>
            </w:r>
          </w:p>
        </w:tc>
      </w:tr>
      <w:tr>
        <w:trPr>
          <w:trHeight w:val="350" w:hRule="atLeast"/>
        </w:trPr>
        <w:tc>
          <w:tcPr>
            <w:tcW w:w="2788" w:type="dxa"/>
            <w:tcBorders>
              <w:top w:val="nil"/>
              <w:bottom w:val="nil"/>
            </w:tcBorders>
          </w:tcPr>
          <w:p>
            <w:pPr>
              <w:pStyle w:val="TableParagraph"/>
              <w:spacing w:before="38"/>
              <w:ind w:right="33"/>
              <w:jc w:val="right"/>
              <w:rPr>
                <w:sz w:val="21"/>
              </w:rPr>
            </w:pPr>
            <w:r>
              <w:rPr>
                <w:w w:val="115"/>
                <w:sz w:val="21"/>
              </w:rPr>
              <w:t>的對於第三人及當事人</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2" w:hRule="atLeast"/>
        </w:trPr>
        <w:tc>
          <w:tcPr>
            <w:tcW w:w="2788" w:type="dxa"/>
            <w:tcBorders>
              <w:top w:val="nil"/>
              <w:bottom w:val="nil"/>
            </w:tcBorders>
          </w:tcPr>
          <w:p>
            <w:pPr>
              <w:pStyle w:val="TableParagraph"/>
              <w:spacing w:before="43"/>
              <w:ind w:right="108"/>
              <w:jc w:val="right"/>
              <w:rPr>
                <w:sz w:val="21"/>
              </w:rPr>
            </w:pPr>
            <w:r>
              <w:rPr>
                <w:w w:val="110"/>
                <w:sz w:val="21"/>
              </w:rPr>
              <w:t>一造必須合一確定者，</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0" w:hRule="atLeast"/>
        </w:trPr>
        <w:tc>
          <w:tcPr>
            <w:tcW w:w="2788" w:type="dxa"/>
            <w:tcBorders>
              <w:top w:val="nil"/>
              <w:bottom w:val="nil"/>
            </w:tcBorders>
          </w:tcPr>
          <w:p>
            <w:pPr>
              <w:pStyle w:val="TableParagraph"/>
              <w:spacing w:before="40"/>
              <w:ind w:right="36"/>
              <w:jc w:val="right"/>
              <w:rPr>
                <w:sz w:val="21"/>
              </w:rPr>
            </w:pPr>
            <w:r>
              <w:rPr>
                <w:w w:val="115"/>
                <w:sz w:val="21"/>
              </w:rPr>
              <w:t>保訓會應通知該第三人</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1797" w:hRule="atLeast"/>
        </w:trPr>
        <w:tc>
          <w:tcPr>
            <w:tcW w:w="2788" w:type="dxa"/>
            <w:tcBorders>
              <w:top w:val="nil"/>
            </w:tcBorders>
          </w:tcPr>
          <w:p>
            <w:pPr>
              <w:pStyle w:val="TableParagraph"/>
              <w:spacing w:before="40"/>
              <w:ind w:left="285"/>
              <w:rPr>
                <w:sz w:val="21"/>
              </w:rPr>
            </w:pPr>
            <w:r>
              <w:rPr>
                <w:w w:val="105"/>
                <w:sz w:val="21"/>
              </w:rPr>
              <w:t>參加復審。</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714" w:hRule="atLeast"/>
        </w:trPr>
        <w:tc>
          <w:tcPr>
            <w:tcW w:w="2788" w:type="dxa"/>
            <w:tcBorders>
              <w:bottom w:val="nil"/>
            </w:tcBorders>
          </w:tcPr>
          <w:p>
            <w:pPr>
              <w:pStyle w:val="TableParagraph"/>
              <w:tabs>
                <w:tab w:pos="1982" w:val="left" w:leader="none"/>
              </w:tabs>
              <w:spacing w:before="44"/>
              <w:ind w:right="10"/>
              <w:jc w:val="right"/>
              <w:rPr>
                <w:sz w:val="21"/>
              </w:rPr>
            </w:pPr>
            <w:r>
              <w:rPr>
                <w:w w:val="115"/>
                <w:position w:val="1"/>
                <w:sz w:val="21"/>
              </w:rPr>
              <w:t>第三十七條之三</w:t>
              <w:tab/>
            </w:r>
            <w:r>
              <w:rPr>
                <w:w w:val="110"/>
                <w:sz w:val="21"/>
              </w:rPr>
              <w:t>申請參</w:t>
            </w:r>
          </w:p>
          <w:p>
            <w:pPr>
              <w:pStyle w:val="TableParagraph"/>
              <w:spacing w:before="77"/>
              <w:ind w:right="56"/>
              <w:jc w:val="right"/>
              <w:rPr>
                <w:sz w:val="21"/>
              </w:rPr>
            </w:pPr>
            <w:r>
              <w:rPr>
                <w:w w:val="115"/>
                <w:sz w:val="21"/>
              </w:rPr>
              <w:t>加復審，應以書面向保</w:t>
            </w:r>
          </w:p>
        </w:tc>
        <w:tc>
          <w:tcPr>
            <w:tcW w:w="2798" w:type="dxa"/>
            <w:vMerge w:val="restart"/>
          </w:tcPr>
          <w:p>
            <w:pPr>
              <w:pStyle w:val="TableParagraph"/>
              <w:rPr>
                <w:rFonts w:ascii="Times New Roman"/>
                <w:sz w:val="20"/>
              </w:rPr>
            </w:pPr>
          </w:p>
        </w:tc>
        <w:tc>
          <w:tcPr>
            <w:tcW w:w="2793" w:type="dxa"/>
            <w:vMerge w:val="restart"/>
          </w:tcPr>
          <w:p>
            <w:pPr>
              <w:pStyle w:val="TableParagraph"/>
              <w:spacing w:before="49"/>
              <w:ind w:left="50"/>
              <w:rPr>
                <w:sz w:val="21"/>
              </w:rPr>
            </w:pPr>
            <w:r>
              <w:rPr>
                <w:w w:val="105"/>
                <w:sz w:val="21"/>
              </w:rPr>
              <w:t>一、本條新增。</w:t>
            </w:r>
          </w:p>
          <w:p>
            <w:pPr>
              <w:pStyle w:val="TableParagraph"/>
              <w:spacing w:line="321" w:lineRule="auto" w:before="87"/>
              <w:ind w:left="518" w:right="17" w:hanging="474"/>
              <w:jc w:val="both"/>
              <w:rPr>
                <w:sz w:val="21"/>
              </w:rPr>
            </w:pPr>
            <w:r>
              <w:rPr>
                <w:w w:val="115"/>
                <w:sz w:val="21"/>
              </w:rPr>
              <w:t>二、按復審參加，須經保訓會通知，始得為</w:t>
            </w:r>
            <w:r>
              <w:rPr>
                <w:spacing w:val="1"/>
                <w:w w:val="115"/>
                <w:sz w:val="21"/>
              </w:rPr>
              <w:t> </w:t>
            </w:r>
            <w:r>
              <w:rPr>
                <w:w w:val="115"/>
                <w:sz w:val="21"/>
              </w:rPr>
              <w:t>之。爰明定磬請參加復審者必須提出書面</w:t>
            </w:r>
            <w:r>
              <w:rPr>
                <w:w w:val="95"/>
                <w:sz w:val="21"/>
              </w:rPr>
              <w:t>於保訓會，表明：（一）</w:t>
            </w:r>
            <w:r>
              <w:rPr>
                <w:spacing w:val="-98"/>
                <w:w w:val="95"/>
                <w:sz w:val="21"/>
              </w:rPr>
              <w:t> </w:t>
            </w:r>
            <w:r>
              <w:rPr>
                <w:w w:val="115"/>
                <w:sz w:val="21"/>
              </w:rPr>
              <w:t>本復審及復審人；</w:t>
            </w:r>
          </w:p>
          <w:p>
            <w:pPr>
              <w:pStyle w:val="TableParagraph"/>
              <w:spacing w:line="321" w:lineRule="auto"/>
              <w:ind w:left="519" w:right="17" w:firstLine="96"/>
              <w:jc w:val="both"/>
              <w:rPr>
                <w:sz w:val="21"/>
              </w:rPr>
            </w:pPr>
            <w:r>
              <w:rPr>
                <w:w w:val="110"/>
                <w:sz w:val="21"/>
              </w:rPr>
              <w:t>（二）參加人與本復</w:t>
            </w:r>
            <w:r>
              <w:rPr>
                <w:w w:val="95"/>
                <w:sz w:val="21"/>
              </w:rPr>
              <w:t>審之利害關係。；（三）</w:t>
            </w:r>
            <w:r>
              <w:rPr>
                <w:spacing w:val="-98"/>
                <w:w w:val="95"/>
                <w:sz w:val="21"/>
              </w:rPr>
              <w:t> </w:t>
            </w:r>
            <w:r>
              <w:rPr>
                <w:w w:val="110"/>
                <w:sz w:val="21"/>
              </w:rPr>
              <w:t>參加復審之陳逑，俾供決定是否允許其參</w:t>
            </w:r>
          </w:p>
          <w:p>
            <w:pPr>
              <w:pStyle w:val="TableParagraph"/>
              <w:spacing w:line="264" w:lineRule="exact"/>
              <w:ind w:left="519"/>
              <w:rPr>
                <w:sz w:val="21"/>
              </w:rPr>
            </w:pPr>
            <w:r>
              <w:rPr>
                <w:w w:val="105"/>
                <w:sz w:val="21"/>
              </w:rPr>
              <w:t>加之依據。</w:t>
            </w:r>
          </w:p>
        </w:tc>
      </w:tr>
      <w:tr>
        <w:trPr>
          <w:trHeight w:val="710" w:hRule="atLeast"/>
        </w:trPr>
        <w:tc>
          <w:tcPr>
            <w:tcW w:w="2788" w:type="dxa"/>
            <w:tcBorders>
              <w:top w:val="nil"/>
              <w:bottom w:val="nil"/>
            </w:tcBorders>
          </w:tcPr>
          <w:p>
            <w:pPr>
              <w:pStyle w:val="TableParagraph"/>
              <w:spacing w:before="45"/>
              <w:ind w:left="279"/>
              <w:rPr>
                <w:sz w:val="21"/>
              </w:rPr>
            </w:pPr>
            <w:r>
              <w:rPr>
                <w:w w:val="105"/>
                <w:sz w:val="21"/>
              </w:rPr>
              <w:t>訓會為之。</w:t>
            </w:r>
          </w:p>
          <w:p>
            <w:pPr>
              <w:pStyle w:val="TableParagraph"/>
              <w:spacing w:before="82"/>
              <w:ind w:left="525"/>
              <w:rPr>
                <w:sz w:val="21"/>
              </w:rPr>
            </w:pPr>
            <w:r>
              <w:rPr>
                <w:w w:val="115"/>
                <w:sz w:val="21"/>
              </w:rPr>
              <w:t>參加復審應以書面記</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710" w:hRule="atLeast"/>
        </w:trPr>
        <w:tc>
          <w:tcPr>
            <w:tcW w:w="2788" w:type="dxa"/>
            <w:tcBorders>
              <w:top w:val="nil"/>
              <w:bottom w:val="nil"/>
            </w:tcBorders>
          </w:tcPr>
          <w:p>
            <w:pPr>
              <w:pStyle w:val="TableParagraph"/>
              <w:spacing w:before="45"/>
              <w:ind w:left="289"/>
              <w:rPr>
                <w:sz w:val="21"/>
              </w:rPr>
            </w:pPr>
            <w:r>
              <w:rPr>
                <w:w w:val="105"/>
                <w:sz w:val="21"/>
              </w:rPr>
              <w:t>載下列事項：</w:t>
            </w:r>
          </w:p>
          <w:p>
            <w:pPr>
              <w:pStyle w:val="TableParagraph"/>
              <w:spacing w:before="87"/>
              <w:ind w:left="291"/>
              <w:rPr>
                <w:sz w:val="21"/>
              </w:rPr>
            </w:pPr>
            <w:r>
              <w:rPr>
                <w:w w:val="105"/>
                <w:sz w:val="21"/>
              </w:rPr>
              <w:t>一、本復審及復審人。</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0" w:hRule="atLeast"/>
        </w:trPr>
        <w:tc>
          <w:tcPr>
            <w:tcW w:w="2788" w:type="dxa"/>
            <w:tcBorders>
              <w:top w:val="nil"/>
              <w:bottom w:val="nil"/>
            </w:tcBorders>
          </w:tcPr>
          <w:p>
            <w:pPr>
              <w:pStyle w:val="TableParagraph"/>
              <w:spacing w:before="40"/>
              <w:ind w:right="29"/>
              <w:jc w:val="right"/>
              <w:rPr>
                <w:sz w:val="21"/>
              </w:rPr>
            </w:pPr>
            <w:r>
              <w:rPr>
                <w:w w:val="115"/>
                <w:sz w:val="21"/>
              </w:rPr>
              <w:t>二、參加人與本復審之</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350" w:hRule="atLeast"/>
        </w:trPr>
        <w:tc>
          <w:tcPr>
            <w:tcW w:w="2788" w:type="dxa"/>
            <w:tcBorders>
              <w:top w:val="nil"/>
              <w:bottom w:val="nil"/>
            </w:tcBorders>
          </w:tcPr>
          <w:p>
            <w:pPr>
              <w:pStyle w:val="TableParagraph"/>
              <w:spacing w:before="40"/>
              <w:ind w:left="283"/>
              <w:rPr>
                <w:sz w:val="21"/>
              </w:rPr>
            </w:pPr>
            <w:r>
              <w:rPr>
                <w:w w:val="105"/>
                <w:sz w:val="21"/>
              </w:rPr>
              <w:t>利害關係。</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r>
        <w:trPr>
          <w:trHeight w:val="1432" w:hRule="atLeast"/>
        </w:trPr>
        <w:tc>
          <w:tcPr>
            <w:tcW w:w="2788" w:type="dxa"/>
            <w:tcBorders>
              <w:top w:val="nil"/>
            </w:tcBorders>
          </w:tcPr>
          <w:p>
            <w:pPr>
              <w:pStyle w:val="TableParagraph"/>
              <w:spacing w:before="40"/>
              <w:ind w:left="284"/>
              <w:rPr>
                <w:sz w:val="21"/>
              </w:rPr>
            </w:pPr>
            <w:r>
              <w:rPr>
                <w:w w:val="105"/>
                <w:sz w:val="21"/>
              </w:rPr>
              <w:t>三、參加復審之陳逑。</w:t>
            </w:r>
          </w:p>
        </w:tc>
        <w:tc>
          <w:tcPr>
            <w:tcW w:w="2798" w:type="dxa"/>
            <w:vMerge/>
            <w:tcBorders>
              <w:top w:val="nil"/>
            </w:tcBorders>
          </w:tcPr>
          <w:p>
            <w:pPr>
              <w:rPr>
                <w:sz w:val="2"/>
                <w:szCs w:val="2"/>
              </w:rPr>
            </w:pPr>
          </w:p>
        </w:tc>
        <w:tc>
          <w:tcPr>
            <w:tcW w:w="2793" w:type="dxa"/>
            <w:vMerge/>
            <w:tcBorders>
              <w:top w:val="nil"/>
            </w:tcBorders>
          </w:tcPr>
          <w:p>
            <w:pPr>
              <w:rPr>
                <w:sz w:val="2"/>
                <w:szCs w:val="2"/>
              </w:rPr>
            </w:pPr>
          </w:p>
        </w:tc>
      </w:tr>
    </w:tbl>
    <w:p>
      <w:pPr>
        <w:spacing w:after="0"/>
        <w:rPr>
          <w:sz w:val="2"/>
          <w:szCs w:val="2"/>
        </w:rPr>
        <w:sectPr>
          <w:pgSz w:w="11910" w:h="16840"/>
          <w:pgMar w:header="862" w:footer="1017" w:top="1060" w:bottom="1200" w:left="1120" w:right="1060"/>
        </w:sectPr>
      </w:pPr>
    </w:p>
    <w:p>
      <w:pPr>
        <w:pStyle w:val="BodyText"/>
        <w:rPr>
          <w:sz w:val="20"/>
        </w:rPr>
      </w:pPr>
    </w:p>
    <w:p>
      <w:pPr>
        <w:pStyle w:val="BodyText"/>
        <w:rPr>
          <w:sz w:val="20"/>
        </w:rPr>
      </w:pPr>
    </w:p>
    <w:p>
      <w:pPr>
        <w:pStyle w:val="BodyText"/>
        <w:spacing w:before="12"/>
        <w:rPr>
          <w:sz w:val="13"/>
        </w:rPr>
      </w:pPr>
    </w:p>
    <w:tbl>
      <w:tblPr>
        <w:tblW w:w="0" w:type="auto"/>
        <w:jc w:val="left"/>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88"/>
        <w:gridCol w:w="2798"/>
        <w:gridCol w:w="2793"/>
      </w:tblGrid>
      <w:tr>
        <w:trPr>
          <w:trHeight w:val="518" w:hRule="atLeast"/>
        </w:trPr>
        <w:tc>
          <w:tcPr>
            <w:tcW w:w="2788" w:type="dxa"/>
          </w:tcPr>
          <w:p>
            <w:pPr>
              <w:pStyle w:val="TableParagraph"/>
              <w:spacing w:before="44"/>
              <w:ind w:left="39"/>
              <w:rPr>
                <w:sz w:val="21"/>
              </w:rPr>
            </w:pPr>
            <w:r>
              <w:rPr>
                <w:w w:val="155"/>
                <w:sz w:val="21"/>
              </w:rPr>
              <w:t>修正條文</w:t>
            </w:r>
          </w:p>
        </w:tc>
        <w:tc>
          <w:tcPr>
            <w:tcW w:w="2798" w:type="dxa"/>
          </w:tcPr>
          <w:p>
            <w:pPr>
              <w:pStyle w:val="TableParagraph"/>
              <w:spacing w:before="44"/>
              <w:ind w:left="773"/>
              <w:rPr>
                <w:sz w:val="21"/>
              </w:rPr>
            </w:pPr>
            <w:r>
              <w:rPr>
                <w:w w:val="155"/>
                <w:sz w:val="21"/>
              </w:rPr>
              <w:t>現行條文</w:t>
            </w:r>
          </w:p>
        </w:tc>
        <w:tc>
          <w:tcPr>
            <w:tcW w:w="2793" w:type="dxa"/>
          </w:tcPr>
          <w:p>
            <w:pPr>
              <w:pStyle w:val="TableParagraph"/>
              <w:tabs>
                <w:tab w:pos="1120" w:val="left" w:leader="none"/>
              </w:tabs>
              <w:spacing w:line="206" w:lineRule="auto"/>
              <w:ind w:left="43"/>
              <w:rPr>
                <w:sz w:val="21"/>
              </w:rPr>
            </w:pPr>
            <w:r>
              <w:rPr>
                <w:spacing w:val="-10"/>
                <w:w w:val="50"/>
                <w:sz w:val="13"/>
              </w:rPr>
              <w:t>..,_</w:t>
            </w:r>
            <w:r>
              <w:rPr>
                <w:spacing w:val="-10"/>
                <w:w w:val="50"/>
                <w:sz w:val="21"/>
              </w:rPr>
              <w:t>,</w:t>
            </w:r>
            <w:r>
              <w:rPr>
                <w:spacing w:val="-10"/>
                <w:w w:val="50"/>
                <w:sz w:val="13"/>
              </w:rPr>
              <w:t>甜</w:t>
            </w:r>
            <w:r>
              <w:rPr>
                <w:spacing w:val="-9"/>
                <w:w w:val="50"/>
                <w:sz w:val="21"/>
              </w:rPr>
              <w:t>、</w:t>
            </w:r>
            <w:r>
              <w:rPr>
                <w:spacing w:val="-9"/>
                <w:w w:val="50"/>
                <w:sz w:val="13"/>
              </w:rPr>
              <w:t>兄</w:t>
              <w:tab/>
            </w:r>
            <w:r>
              <w:rPr>
                <w:position w:val="-6"/>
                <w:sz w:val="21"/>
              </w:rPr>
              <w:t>明</w:t>
            </w:r>
          </w:p>
        </w:tc>
      </w:tr>
      <w:tr>
        <w:trPr>
          <w:trHeight w:val="6852" w:hRule="atLeast"/>
        </w:trPr>
        <w:tc>
          <w:tcPr>
            <w:tcW w:w="2788" w:type="dxa"/>
          </w:tcPr>
          <w:p>
            <w:pPr>
              <w:pStyle w:val="TableParagraph"/>
              <w:spacing w:line="321" w:lineRule="auto" w:before="49"/>
              <w:ind w:left="279" w:right="12" w:hanging="217"/>
              <w:jc w:val="both"/>
              <w:rPr>
                <w:sz w:val="21"/>
              </w:rPr>
            </w:pPr>
            <w:r>
              <w:rPr>
                <w:w w:val="115"/>
                <w:sz w:val="21"/>
              </w:rPr>
              <w:t>第三十七條之四 通知參加復審，應記載復審意旨、通知參加之理由及不參加之法律效果，送達於參加人，並副知復審人。</w:t>
            </w:r>
          </w:p>
          <w:p>
            <w:pPr>
              <w:pStyle w:val="TableParagraph"/>
              <w:spacing w:line="321" w:lineRule="auto" w:before="4"/>
              <w:ind w:left="285" w:right="23" w:firstLine="234"/>
              <w:jc w:val="both"/>
              <w:rPr>
                <w:sz w:val="21"/>
              </w:rPr>
            </w:pPr>
            <w:r>
              <w:rPr>
                <w:w w:val="115"/>
                <w:sz w:val="21"/>
              </w:rPr>
              <w:t>保訓會為前項之通知前，得通知復審人或得參加復審之第三人以書面陳述意見。</w:t>
            </w:r>
          </w:p>
        </w:tc>
        <w:tc>
          <w:tcPr>
            <w:tcW w:w="2798" w:type="dxa"/>
          </w:tcPr>
          <w:p>
            <w:pPr>
              <w:pStyle w:val="TableParagraph"/>
              <w:rPr>
                <w:rFonts w:ascii="Times New Roman"/>
                <w:sz w:val="20"/>
              </w:rPr>
            </w:pPr>
          </w:p>
        </w:tc>
        <w:tc>
          <w:tcPr>
            <w:tcW w:w="2793" w:type="dxa"/>
          </w:tcPr>
          <w:p>
            <w:pPr>
              <w:pStyle w:val="TableParagraph"/>
              <w:spacing w:before="54"/>
              <w:ind w:left="50"/>
              <w:rPr>
                <w:sz w:val="21"/>
              </w:rPr>
            </w:pPr>
            <w:r>
              <w:rPr>
                <w:w w:val="105"/>
                <w:sz w:val="21"/>
              </w:rPr>
              <w:t>一、本條新增。</w:t>
            </w:r>
          </w:p>
          <w:p>
            <w:pPr>
              <w:pStyle w:val="TableParagraph"/>
              <w:spacing w:line="321" w:lineRule="auto" w:before="86"/>
              <w:ind w:left="518" w:right="27" w:hanging="474"/>
              <w:jc w:val="both"/>
              <w:rPr>
                <w:sz w:val="21"/>
              </w:rPr>
            </w:pPr>
            <w:r>
              <w:rPr>
                <w:w w:val="115"/>
                <w:sz w:val="21"/>
              </w:rPr>
              <w:t>二、為使參加人明瞭復審進行之程度，並為保護復審人，使其知悉復審參加之事實，爰規定參加之通知應記載復審意旨丶通知參加之理由及不參加之法律效果，送達於參</w:t>
            </w:r>
            <w:r>
              <w:rPr>
                <w:w w:val="105"/>
                <w:sz w:val="21"/>
              </w:rPr>
              <w:t>加人，並副知復審人。</w:t>
            </w:r>
          </w:p>
          <w:p>
            <w:pPr>
              <w:pStyle w:val="TableParagraph"/>
              <w:spacing w:line="321" w:lineRule="auto"/>
              <w:ind w:left="525" w:right="38" w:hanging="482"/>
              <w:rPr>
                <w:sz w:val="21"/>
              </w:rPr>
            </w:pPr>
            <w:r>
              <w:rPr>
                <w:w w:val="115"/>
                <w:sz w:val="21"/>
              </w:rPr>
              <w:t>三、保訓會就第三人是否符合參加復審之要件及有無參加復審之必要，應予調查審究，</w:t>
            </w:r>
            <w:r>
              <w:rPr>
                <w:spacing w:val="-118"/>
                <w:w w:val="115"/>
                <w:sz w:val="21"/>
              </w:rPr>
              <w:t> </w:t>
            </w:r>
            <w:r>
              <w:rPr>
                <w:w w:val="115"/>
                <w:sz w:val="21"/>
              </w:rPr>
              <w:t>爰規定保訓會為通知參加復審之決定前</w:t>
            </w:r>
          </w:p>
          <w:p>
            <w:pPr>
              <w:pStyle w:val="TableParagraph"/>
              <w:spacing w:line="316" w:lineRule="auto"/>
              <w:ind w:left="525" w:right="2" w:hanging="57"/>
              <w:rPr>
                <w:sz w:val="21"/>
              </w:rPr>
            </w:pPr>
            <w:r>
              <w:rPr>
                <w:w w:val="120"/>
                <w:sz w:val="21"/>
              </w:rPr>
              <w:t>，得通知復審人或得</w:t>
            </w:r>
            <w:r>
              <w:rPr>
                <w:w w:val="115"/>
                <w:sz w:val="21"/>
              </w:rPr>
              <w:t>參加復審之第三人以</w:t>
            </w:r>
          </w:p>
          <w:p>
            <w:pPr>
              <w:pStyle w:val="TableParagraph"/>
              <w:spacing w:before="14"/>
              <w:ind w:left="533"/>
              <w:rPr>
                <w:sz w:val="21"/>
              </w:rPr>
            </w:pPr>
            <w:r>
              <w:rPr>
                <w:w w:val="105"/>
                <w:sz w:val="21"/>
              </w:rPr>
              <w:t>書面陳述意見。</w:t>
            </w:r>
          </w:p>
        </w:tc>
      </w:tr>
      <w:tr>
        <w:trPr>
          <w:trHeight w:val="4684" w:hRule="atLeast"/>
        </w:trPr>
        <w:tc>
          <w:tcPr>
            <w:tcW w:w="2788" w:type="dxa"/>
          </w:tcPr>
          <w:p>
            <w:pPr>
              <w:pStyle w:val="TableParagraph"/>
              <w:spacing w:line="321" w:lineRule="auto" w:before="44"/>
              <w:ind w:left="279" w:right="18" w:hanging="217"/>
              <w:jc w:val="both"/>
              <w:rPr>
                <w:sz w:val="21"/>
              </w:rPr>
            </w:pPr>
            <w:r>
              <w:rPr>
                <w:w w:val="115"/>
                <w:sz w:val="21"/>
              </w:rPr>
              <w:t>第三十七條之五 復審決</w:t>
            </w:r>
            <w:r>
              <w:rPr>
                <w:w w:val="120"/>
                <w:sz w:val="21"/>
              </w:rPr>
              <w:t>定對於參加人亦有效</w:t>
            </w:r>
            <w:r>
              <w:rPr>
                <w:w w:val="115"/>
                <w:sz w:val="21"/>
              </w:rPr>
              <w:t>力。經保訓會通知其參加或允許其參加而未參</w:t>
            </w:r>
            <w:r>
              <w:rPr>
                <w:w w:val="120"/>
                <w:sz w:val="21"/>
              </w:rPr>
              <w:t>加者，亦同。</w:t>
            </w:r>
          </w:p>
        </w:tc>
        <w:tc>
          <w:tcPr>
            <w:tcW w:w="2798" w:type="dxa"/>
          </w:tcPr>
          <w:p>
            <w:pPr>
              <w:pStyle w:val="TableParagraph"/>
              <w:rPr>
                <w:rFonts w:ascii="Times New Roman"/>
                <w:sz w:val="20"/>
              </w:rPr>
            </w:pPr>
          </w:p>
        </w:tc>
        <w:tc>
          <w:tcPr>
            <w:tcW w:w="2793" w:type="dxa"/>
          </w:tcPr>
          <w:p>
            <w:pPr>
              <w:pStyle w:val="TableParagraph"/>
              <w:spacing w:before="49"/>
              <w:ind w:left="50"/>
              <w:rPr>
                <w:sz w:val="21"/>
              </w:rPr>
            </w:pPr>
            <w:r>
              <w:rPr>
                <w:w w:val="105"/>
                <w:sz w:val="21"/>
              </w:rPr>
              <w:t>一、本條新增。</w:t>
            </w:r>
          </w:p>
          <w:p>
            <w:pPr>
              <w:pStyle w:val="TableParagraph"/>
              <w:spacing w:line="321" w:lineRule="auto" w:before="87"/>
              <w:ind w:left="507" w:right="27" w:hanging="463"/>
              <w:rPr>
                <w:sz w:val="21"/>
              </w:rPr>
            </w:pPr>
            <w:r>
              <w:rPr>
                <w:w w:val="115"/>
                <w:sz w:val="21"/>
              </w:rPr>
              <w:t>二、參加人既參與復審程序，自應受復審決定之拘束，故復審決定</w:t>
            </w:r>
            <w:r>
              <w:rPr>
                <w:w w:val="120"/>
                <w:sz w:val="21"/>
              </w:rPr>
              <w:t>對於參加人亦有效</w:t>
            </w:r>
            <w:r>
              <w:rPr>
                <w:w w:val="115"/>
                <w:sz w:val="21"/>
              </w:rPr>
              <w:t>力。至於經保訓會通知其參加或允許其參加而未為參加者，既</w:t>
            </w:r>
            <w:r>
              <w:rPr>
                <w:w w:val="120"/>
                <w:sz w:val="21"/>
              </w:rPr>
              <w:t>給予參加復審之機</w:t>
            </w:r>
            <w:r>
              <w:rPr>
                <w:w w:val="115"/>
                <w:sz w:val="21"/>
              </w:rPr>
              <w:t>會，如仍未為參加，</w:t>
            </w:r>
            <w:r>
              <w:rPr>
                <w:spacing w:val="-118"/>
                <w:w w:val="115"/>
                <w:sz w:val="21"/>
              </w:rPr>
              <w:t> </w:t>
            </w:r>
            <w:r>
              <w:rPr>
                <w:w w:val="115"/>
                <w:sz w:val="21"/>
              </w:rPr>
              <w:t>亦應使復審決定對之發生效力，以免日後</w:t>
            </w:r>
          </w:p>
          <w:p>
            <w:pPr>
              <w:pStyle w:val="TableParagraph"/>
              <w:spacing w:before="3"/>
              <w:ind w:left="522"/>
              <w:rPr>
                <w:sz w:val="21"/>
              </w:rPr>
            </w:pPr>
            <w:r>
              <w:rPr>
                <w:w w:val="105"/>
                <w:sz w:val="21"/>
              </w:rPr>
              <w:t>再為爭訟之煩累。</w:t>
            </w:r>
          </w:p>
        </w:tc>
      </w:tr>
    </w:tbl>
    <w:p>
      <w:pPr>
        <w:spacing w:after="0"/>
        <w:rPr>
          <w:sz w:val="21"/>
        </w:rPr>
        <w:sectPr>
          <w:pgSz w:w="11910" w:h="16840"/>
          <w:pgMar w:header="862" w:footer="1017" w:top="1060" w:bottom="1200" w:left="1120" w:right="1060"/>
        </w:sectPr>
      </w:pPr>
    </w:p>
    <w:p>
      <w:pPr>
        <w:pStyle w:val="BodyText"/>
        <w:spacing w:line="240" w:lineRule="exact"/>
        <w:ind w:left="7209"/>
        <w:rPr>
          <w:sz w:val="20"/>
        </w:rPr>
      </w:pPr>
      <w:r>
        <w:rPr>
          <w:position w:val="-4"/>
          <w:sz w:val="20"/>
        </w:rPr>
        <w:drawing>
          <wp:inline distT="0" distB="0" distL="0" distR="0">
            <wp:extent cx="1524380" cy="152400"/>
            <wp:effectExtent l="0" t="0" r="0" b="0"/>
            <wp:docPr id="343" name="image140.png"/>
            <wp:cNvGraphicFramePr>
              <a:graphicFrameLocks noChangeAspect="1"/>
            </wp:cNvGraphicFramePr>
            <a:graphic>
              <a:graphicData uri="http://schemas.openxmlformats.org/drawingml/2006/picture">
                <pic:pic>
                  <pic:nvPicPr>
                    <pic:cNvPr id="344" name="image140.png"/>
                    <pic:cNvPicPr/>
                  </pic:nvPicPr>
                  <pic:blipFill>
                    <a:blip r:embed="rId146" cstate="print"/>
                    <a:stretch>
                      <a:fillRect/>
                    </a:stretch>
                  </pic:blipFill>
                  <pic:spPr>
                    <a:xfrm>
                      <a:off x="0" y="0"/>
                      <a:ext cx="1524380" cy="152400"/>
                    </a:xfrm>
                    <a:prstGeom prst="rect">
                      <a:avLst/>
                    </a:prstGeom>
                  </pic:spPr>
                </pic:pic>
              </a:graphicData>
            </a:graphic>
          </wp:inline>
        </w:drawing>
      </w:r>
      <w:r>
        <w:rPr>
          <w:position w:val="-4"/>
          <w:sz w:val="20"/>
        </w:rPr>
      </w:r>
    </w:p>
    <w:p>
      <w:pPr>
        <w:pStyle w:val="BodyText"/>
        <w:rPr>
          <w:sz w:val="20"/>
        </w:rPr>
      </w:pPr>
    </w:p>
    <w:p>
      <w:pPr>
        <w:pStyle w:val="BodyText"/>
        <w:spacing w:before="1"/>
        <w:rPr>
          <w:sz w:val="16"/>
        </w:rPr>
      </w:pPr>
      <w:r>
        <w:rPr/>
        <w:drawing>
          <wp:anchor distT="0" distB="0" distL="0" distR="0" allowOverlap="1" layoutInCell="1" locked="0" behindDoc="0" simplePos="0" relativeHeight="249">
            <wp:simplePos x="0" y="0"/>
            <wp:positionH relativeFrom="page">
              <wp:posOffset>1888489</wp:posOffset>
            </wp:positionH>
            <wp:positionV relativeFrom="paragraph">
              <wp:posOffset>156051</wp:posOffset>
            </wp:positionV>
            <wp:extent cx="3891661" cy="228600"/>
            <wp:effectExtent l="0" t="0" r="0" b="0"/>
            <wp:wrapTopAndBottom/>
            <wp:docPr id="345" name="image422.png"/>
            <wp:cNvGraphicFramePr>
              <a:graphicFrameLocks noChangeAspect="1"/>
            </wp:cNvGraphicFramePr>
            <a:graphic>
              <a:graphicData uri="http://schemas.openxmlformats.org/drawingml/2006/picture">
                <pic:pic>
                  <pic:nvPicPr>
                    <pic:cNvPr id="346" name="image422.png"/>
                    <pic:cNvPicPr/>
                  </pic:nvPicPr>
                  <pic:blipFill>
                    <a:blip r:embed="rId461" cstate="print"/>
                    <a:stretch>
                      <a:fillRect/>
                    </a:stretch>
                  </pic:blipFill>
                  <pic:spPr>
                    <a:xfrm>
                      <a:off x="0" y="0"/>
                      <a:ext cx="3891661" cy="228600"/>
                    </a:xfrm>
                    <a:prstGeom prst="rect">
                      <a:avLst/>
                    </a:prstGeom>
                  </pic:spPr>
                </pic:pic>
              </a:graphicData>
            </a:graphic>
          </wp:anchor>
        </w:drawing>
      </w:r>
    </w:p>
    <w:p>
      <w:pPr>
        <w:pStyle w:val="BodyText"/>
        <w:rPr>
          <w:sz w:val="20"/>
        </w:rPr>
      </w:pPr>
    </w:p>
    <w:p>
      <w:pPr>
        <w:pStyle w:val="BodyText"/>
        <w:rPr>
          <w:sz w:val="20"/>
        </w:rPr>
      </w:pPr>
      <w:r>
        <w:rPr/>
        <w:pict>
          <v:group style="position:absolute;margin-left:98.903999pt;margin-top:14.7775pt;width:335.95pt;height:14.05pt;mso-position-horizontal-relative:page;mso-position-vertical-relative:paragraph;z-index:-15600640;mso-wrap-distance-left:0;mso-wrap-distance-right:0" coordorigin="1978,296" coordsize="6719,281">
            <v:shape style="position:absolute;left:1978;top:295;width:6442;height:281" type="#_x0000_t75" stroked="false">
              <v:imagedata r:id="rId462" o:title=""/>
            </v:shape>
            <v:shape style="position:absolute;left:8139;top:295;width:557;height:281" type="#_x0000_t75" stroked="false">
              <v:imagedata r:id="rId463" o:title=""/>
            </v:shape>
            <w10:wrap type="topAndBottom"/>
          </v:group>
        </w:pict>
      </w:r>
    </w:p>
    <w:p>
      <w:pPr>
        <w:pStyle w:val="BodyText"/>
        <w:rPr>
          <w:sz w:val="20"/>
        </w:rPr>
      </w:pPr>
    </w:p>
    <w:p>
      <w:pPr>
        <w:pStyle w:val="BodyText"/>
        <w:spacing w:before="6"/>
        <w:rPr>
          <w:sz w:val="21"/>
        </w:rPr>
      </w:pPr>
      <w:r>
        <w:rPr/>
        <w:drawing>
          <wp:anchor distT="0" distB="0" distL="0" distR="0" allowOverlap="1" layoutInCell="1" locked="0" behindDoc="0" simplePos="0" relativeHeight="251">
            <wp:simplePos x="0" y="0"/>
            <wp:positionH relativeFrom="page">
              <wp:posOffset>2144522</wp:posOffset>
            </wp:positionH>
            <wp:positionV relativeFrom="paragraph">
              <wp:posOffset>199866</wp:posOffset>
            </wp:positionV>
            <wp:extent cx="812799" cy="202692"/>
            <wp:effectExtent l="0" t="0" r="0" b="0"/>
            <wp:wrapTopAndBottom/>
            <wp:docPr id="347" name="image368.png"/>
            <wp:cNvGraphicFramePr>
              <a:graphicFrameLocks noChangeAspect="1"/>
            </wp:cNvGraphicFramePr>
            <a:graphic>
              <a:graphicData uri="http://schemas.openxmlformats.org/drawingml/2006/picture">
                <pic:pic>
                  <pic:nvPicPr>
                    <pic:cNvPr id="348" name="image368.png"/>
                    <pic:cNvPicPr/>
                  </pic:nvPicPr>
                  <pic:blipFill>
                    <a:blip r:embed="rId402" cstate="print"/>
                    <a:stretch>
                      <a:fillRect/>
                    </a:stretch>
                  </pic:blipFill>
                  <pic:spPr>
                    <a:xfrm>
                      <a:off x="0" y="0"/>
                      <a:ext cx="812799" cy="202692"/>
                    </a:xfrm>
                    <a:prstGeom prst="rect">
                      <a:avLst/>
                    </a:prstGeom>
                  </pic:spPr>
                </pic:pic>
              </a:graphicData>
            </a:graphic>
          </wp:anchor>
        </w:drawing>
      </w:r>
      <w:r>
        <w:rPr/>
        <w:drawing>
          <wp:anchor distT="0" distB="0" distL="0" distR="0" allowOverlap="1" layoutInCell="1" locked="0" behindDoc="0" simplePos="0" relativeHeight="252">
            <wp:simplePos x="0" y="0"/>
            <wp:positionH relativeFrom="page">
              <wp:posOffset>3059302</wp:posOffset>
            </wp:positionH>
            <wp:positionV relativeFrom="paragraph">
              <wp:posOffset>199866</wp:posOffset>
            </wp:positionV>
            <wp:extent cx="2440939" cy="202692"/>
            <wp:effectExtent l="0" t="0" r="0" b="0"/>
            <wp:wrapTopAndBottom/>
            <wp:docPr id="349" name="image425.png"/>
            <wp:cNvGraphicFramePr>
              <a:graphicFrameLocks noChangeAspect="1"/>
            </wp:cNvGraphicFramePr>
            <a:graphic>
              <a:graphicData uri="http://schemas.openxmlformats.org/drawingml/2006/picture">
                <pic:pic>
                  <pic:nvPicPr>
                    <pic:cNvPr id="350" name="image425.png"/>
                    <pic:cNvPicPr/>
                  </pic:nvPicPr>
                  <pic:blipFill>
                    <a:blip r:embed="rId464" cstate="print"/>
                    <a:stretch>
                      <a:fillRect/>
                    </a:stretch>
                  </pic:blipFill>
                  <pic:spPr>
                    <a:xfrm>
                      <a:off x="0" y="0"/>
                      <a:ext cx="2440939" cy="202692"/>
                    </a:xfrm>
                    <a:prstGeom prst="rect">
                      <a:avLst/>
                    </a:prstGeom>
                  </pic:spPr>
                </pic:pic>
              </a:graphicData>
            </a:graphic>
          </wp:anchor>
        </w:drawing>
      </w:r>
      <w:r>
        <w:rPr/>
        <w:drawing>
          <wp:anchor distT="0" distB="0" distL="0" distR="0" allowOverlap="1" layoutInCell="1" locked="0" behindDoc="0" simplePos="0" relativeHeight="253">
            <wp:simplePos x="0" y="0"/>
            <wp:positionH relativeFrom="page">
              <wp:posOffset>1256080</wp:posOffset>
            </wp:positionH>
            <wp:positionV relativeFrom="paragraph">
              <wp:posOffset>667734</wp:posOffset>
            </wp:positionV>
            <wp:extent cx="3377184" cy="178307"/>
            <wp:effectExtent l="0" t="0" r="0" b="0"/>
            <wp:wrapTopAndBottom/>
            <wp:docPr id="351" name="image426.png"/>
            <wp:cNvGraphicFramePr>
              <a:graphicFrameLocks noChangeAspect="1"/>
            </wp:cNvGraphicFramePr>
            <a:graphic>
              <a:graphicData uri="http://schemas.openxmlformats.org/drawingml/2006/picture">
                <pic:pic>
                  <pic:nvPicPr>
                    <pic:cNvPr id="352" name="image426.png"/>
                    <pic:cNvPicPr/>
                  </pic:nvPicPr>
                  <pic:blipFill>
                    <a:blip r:embed="rId465" cstate="print"/>
                    <a:stretch>
                      <a:fillRect/>
                    </a:stretch>
                  </pic:blipFill>
                  <pic:spPr>
                    <a:xfrm>
                      <a:off x="0" y="0"/>
                      <a:ext cx="3377184" cy="178307"/>
                    </a:xfrm>
                    <a:prstGeom prst="rect">
                      <a:avLst/>
                    </a:prstGeom>
                  </pic:spPr>
                </pic:pic>
              </a:graphicData>
            </a:graphic>
          </wp:anchor>
        </w:drawing>
      </w:r>
    </w:p>
    <w:p>
      <w:pPr>
        <w:pStyle w:val="BodyText"/>
        <w:spacing w:before="3"/>
        <w:rPr>
          <w:sz w:val="27"/>
        </w:rPr>
      </w:pPr>
    </w:p>
    <w:p>
      <w:pPr>
        <w:pStyle w:val="BodyText"/>
        <w:rPr>
          <w:sz w:val="20"/>
        </w:rPr>
      </w:pPr>
    </w:p>
    <w:p>
      <w:pPr>
        <w:pStyle w:val="BodyText"/>
        <w:spacing w:before="10"/>
        <w:rPr>
          <w:sz w:val="23"/>
        </w:rPr>
      </w:pPr>
      <w:r>
        <w:rPr/>
        <w:pict>
          <v:group style="position:absolute;margin-left:250.850006pt;margin-top:17.2075pt;width:122.2pt;height:14.05pt;mso-position-horizontal-relative:page;mso-position-vertical-relative:paragraph;z-index:-15598592;mso-wrap-distance-left:0;mso-wrap-distance-right:0" coordorigin="5017,344" coordsize="2444,281">
            <v:shape style="position:absolute;left:5017;top:344;width:562;height:281" type="#_x0000_t75" stroked="false">
              <v:imagedata r:id="rId466" o:title=""/>
            </v:shape>
            <v:shape style="position:absolute;left:5497;top:344;width:1964;height:281" type="#_x0000_t75" stroked="false">
              <v:imagedata r:id="rId467" o:title=""/>
            </v:shape>
            <w10:wrap type="topAndBottom"/>
          </v:group>
        </w:pict>
      </w:r>
      <w:r>
        <w:rPr/>
        <w:drawing>
          <wp:anchor distT="0" distB="0" distL="0" distR="0" allowOverlap="1" layoutInCell="1" locked="0" behindDoc="0" simplePos="0" relativeHeight="255">
            <wp:simplePos x="0" y="0"/>
            <wp:positionH relativeFrom="page">
              <wp:posOffset>1256080</wp:posOffset>
            </wp:positionH>
            <wp:positionV relativeFrom="paragraph">
              <wp:posOffset>616299</wp:posOffset>
            </wp:positionV>
            <wp:extent cx="5460746" cy="178307"/>
            <wp:effectExtent l="0" t="0" r="0" b="0"/>
            <wp:wrapTopAndBottom/>
            <wp:docPr id="353" name="image429.png"/>
            <wp:cNvGraphicFramePr>
              <a:graphicFrameLocks noChangeAspect="1"/>
            </wp:cNvGraphicFramePr>
            <a:graphic>
              <a:graphicData uri="http://schemas.openxmlformats.org/drawingml/2006/picture">
                <pic:pic>
                  <pic:nvPicPr>
                    <pic:cNvPr id="354" name="image429.png"/>
                    <pic:cNvPicPr/>
                  </pic:nvPicPr>
                  <pic:blipFill>
                    <a:blip r:embed="rId468" cstate="print"/>
                    <a:stretch>
                      <a:fillRect/>
                    </a:stretch>
                  </pic:blipFill>
                  <pic:spPr>
                    <a:xfrm>
                      <a:off x="0" y="0"/>
                      <a:ext cx="5460746" cy="178307"/>
                    </a:xfrm>
                    <a:prstGeom prst="rect">
                      <a:avLst/>
                    </a:prstGeom>
                  </pic:spPr>
                </pic:pic>
              </a:graphicData>
            </a:graphic>
          </wp:anchor>
        </w:drawing>
      </w:r>
      <w:r>
        <w:rPr/>
        <w:drawing>
          <wp:anchor distT="0" distB="0" distL="0" distR="0" allowOverlap="1" layoutInCell="1" locked="0" behindDoc="0" simplePos="0" relativeHeight="256">
            <wp:simplePos x="0" y="0"/>
            <wp:positionH relativeFrom="page">
              <wp:posOffset>900988</wp:posOffset>
            </wp:positionH>
            <wp:positionV relativeFrom="paragraph">
              <wp:posOffset>895191</wp:posOffset>
            </wp:positionV>
            <wp:extent cx="5816219" cy="178307"/>
            <wp:effectExtent l="0" t="0" r="0" b="0"/>
            <wp:wrapTopAndBottom/>
            <wp:docPr id="355" name="image430.png"/>
            <wp:cNvGraphicFramePr>
              <a:graphicFrameLocks noChangeAspect="1"/>
            </wp:cNvGraphicFramePr>
            <a:graphic>
              <a:graphicData uri="http://schemas.openxmlformats.org/drawingml/2006/picture">
                <pic:pic>
                  <pic:nvPicPr>
                    <pic:cNvPr id="356" name="image430.png"/>
                    <pic:cNvPicPr/>
                  </pic:nvPicPr>
                  <pic:blipFill>
                    <a:blip r:embed="rId469" cstate="print"/>
                    <a:stretch>
                      <a:fillRect/>
                    </a:stretch>
                  </pic:blipFill>
                  <pic:spPr>
                    <a:xfrm>
                      <a:off x="0" y="0"/>
                      <a:ext cx="5816219" cy="178307"/>
                    </a:xfrm>
                    <a:prstGeom prst="rect">
                      <a:avLst/>
                    </a:prstGeom>
                  </pic:spPr>
                </pic:pic>
              </a:graphicData>
            </a:graphic>
          </wp:anchor>
        </w:drawing>
      </w:r>
      <w:r>
        <w:rPr/>
        <w:pict>
          <v:group style="position:absolute;margin-left:70.944pt;margin-top:92.447502pt;width:455.1pt;height:14.05pt;mso-position-horizontal-relative:page;mso-position-vertical-relative:paragraph;z-index:-15597056;mso-wrap-distance-left:0;mso-wrap-distance-right:0" coordorigin="1419,1849" coordsize="9102,281">
            <v:shape style="position:absolute;left:1418;top:1848;width:2245;height:281" type="#_x0000_t75" stroked="false">
              <v:imagedata r:id="rId470" o:title=""/>
            </v:shape>
            <v:shape style="position:absolute;left:3521;top:1848;width:6999;height:281" type="#_x0000_t75" stroked="false">
              <v:imagedata r:id="rId471" o:title=""/>
            </v:shape>
            <w10:wrap type="topAndBottom"/>
          </v:group>
        </w:pict>
      </w:r>
      <w:r>
        <w:rPr/>
        <w:drawing>
          <wp:anchor distT="0" distB="0" distL="0" distR="0" allowOverlap="1" layoutInCell="1" locked="0" behindDoc="0" simplePos="0" relativeHeight="258">
            <wp:simplePos x="0" y="0"/>
            <wp:positionH relativeFrom="page">
              <wp:posOffset>900988</wp:posOffset>
            </wp:positionH>
            <wp:positionV relativeFrom="paragraph">
              <wp:posOffset>1454499</wp:posOffset>
            </wp:positionV>
            <wp:extent cx="5776721" cy="178308"/>
            <wp:effectExtent l="0" t="0" r="0" b="0"/>
            <wp:wrapTopAndBottom/>
            <wp:docPr id="357" name="image433.png"/>
            <wp:cNvGraphicFramePr>
              <a:graphicFrameLocks noChangeAspect="1"/>
            </wp:cNvGraphicFramePr>
            <a:graphic>
              <a:graphicData uri="http://schemas.openxmlformats.org/drawingml/2006/picture">
                <pic:pic>
                  <pic:nvPicPr>
                    <pic:cNvPr id="358" name="image433.png"/>
                    <pic:cNvPicPr/>
                  </pic:nvPicPr>
                  <pic:blipFill>
                    <a:blip r:embed="rId472" cstate="print"/>
                    <a:stretch>
                      <a:fillRect/>
                    </a:stretch>
                  </pic:blipFill>
                  <pic:spPr>
                    <a:xfrm>
                      <a:off x="0" y="0"/>
                      <a:ext cx="5776721" cy="178308"/>
                    </a:xfrm>
                    <a:prstGeom prst="rect">
                      <a:avLst/>
                    </a:prstGeom>
                  </pic:spPr>
                </pic:pic>
              </a:graphicData>
            </a:graphic>
          </wp:anchor>
        </w:drawing>
      </w:r>
      <w:r>
        <w:rPr/>
        <w:drawing>
          <wp:anchor distT="0" distB="0" distL="0" distR="0" allowOverlap="1" layoutInCell="1" locked="0" behindDoc="0" simplePos="0" relativeHeight="259">
            <wp:simplePos x="0" y="0"/>
            <wp:positionH relativeFrom="page">
              <wp:posOffset>900988</wp:posOffset>
            </wp:positionH>
            <wp:positionV relativeFrom="paragraph">
              <wp:posOffset>1733391</wp:posOffset>
            </wp:positionV>
            <wp:extent cx="5816218" cy="178308"/>
            <wp:effectExtent l="0" t="0" r="0" b="0"/>
            <wp:wrapTopAndBottom/>
            <wp:docPr id="359" name="image434.png"/>
            <wp:cNvGraphicFramePr>
              <a:graphicFrameLocks noChangeAspect="1"/>
            </wp:cNvGraphicFramePr>
            <a:graphic>
              <a:graphicData uri="http://schemas.openxmlformats.org/drawingml/2006/picture">
                <pic:pic>
                  <pic:nvPicPr>
                    <pic:cNvPr id="360" name="image434.png"/>
                    <pic:cNvPicPr/>
                  </pic:nvPicPr>
                  <pic:blipFill>
                    <a:blip r:embed="rId473" cstate="print"/>
                    <a:stretch>
                      <a:fillRect/>
                    </a:stretch>
                  </pic:blipFill>
                  <pic:spPr>
                    <a:xfrm>
                      <a:off x="0" y="0"/>
                      <a:ext cx="5816218" cy="178308"/>
                    </a:xfrm>
                    <a:prstGeom prst="rect">
                      <a:avLst/>
                    </a:prstGeom>
                  </pic:spPr>
                </pic:pic>
              </a:graphicData>
            </a:graphic>
          </wp:anchor>
        </w:drawing>
      </w:r>
      <w:r>
        <w:rPr/>
        <w:drawing>
          <wp:anchor distT="0" distB="0" distL="0" distR="0" allowOverlap="1" layoutInCell="1" locked="0" behindDoc="0" simplePos="0" relativeHeight="260">
            <wp:simplePos x="0" y="0"/>
            <wp:positionH relativeFrom="page">
              <wp:posOffset>900988</wp:posOffset>
            </wp:positionH>
            <wp:positionV relativeFrom="paragraph">
              <wp:posOffset>2012283</wp:posOffset>
            </wp:positionV>
            <wp:extent cx="5816218" cy="178308"/>
            <wp:effectExtent l="0" t="0" r="0" b="0"/>
            <wp:wrapTopAndBottom/>
            <wp:docPr id="361" name="image435.png"/>
            <wp:cNvGraphicFramePr>
              <a:graphicFrameLocks noChangeAspect="1"/>
            </wp:cNvGraphicFramePr>
            <a:graphic>
              <a:graphicData uri="http://schemas.openxmlformats.org/drawingml/2006/picture">
                <pic:pic>
                  <pic:nvPicPr>
                    <pic:cNvPr id="362" name="image435.png"/>
                    <pic:cNvPicPr/>
                  </pic:nvPicPr>
                  <pic:blipFill>
                    <a:blip r:embed="rId474" cstate="print"/>
                    <a:stretch>
                      <a:fillRect/>
                    </a:stretch>
                  </pic:blipFill>
                  <pic:spPr>
                    <a:xfrm>
                      <a:off x="0" y="0"/>
                      <a:ext cx="5816218" cy="178308"/>
                    </a:xfrm>
                    <a:prstGeom prst="rect">
                      <a:avLst/>
                    </a:prstGeom>
                  </pic:spPr>
                </pic:pic>
              </a:graphicData>
            </a:graphic>
          </wp:anchor>
        </w:drawing>
      </w:r>
      <w:r>
        <w:rPr/>
        <w:pict>
          <v:group style="position:absolute;margin-left:70.944pt;margin-top:180.547501pt;width:458.1pt;height:14.05pt;mso-position-horizontal-relative:page;mso-position-vertical-relative:paragraph;z-index:-15595008;mso-wrap-distance-left:0;mso-wrap-distance-right:0" coordorigin="1419,3611" coordsize="9162,281">
            <v:shape style="position:absolute;left:1418;top:3610;width:7479;height:281" type="#_x0000_t75" stroked="false">
              <v:imagedata r:id="rId475" o:title=""/>
            </v:shape>
            <v:shape style="position:absolute;left:8619;top:3610;width:1961;height:281" type="#_x0000_t75" stroked="false">
              <v:imagedata r:id="rId476" o:title=""/>
            </v:shape>
            <w10:wrap type="topAndBottom"/>
          </v:group>
        </w:pict>
      </w:r>
      <w:r>
        <w:rPr/>
        <w:pict>
          <v:group style="position:absolute;margin-left:70.944pt;margin-top:201.307495pt;width:52.35pt;height:15.25pt;mso-position-horizontal-relative:page;mso-position-vertical-relative:paragraph;z-index:-15594496;mso-wrap-distance-left:0;mso-wrap-distance-right:0" coordorigin="1419,4026" coordsize="1047,305">
            <v:shape style="position:absolute;left:1418;top:4050;width:562;height:281" type="#_x0000_t75" stroked="false">
              <v:imagedata r:id="rId477" o:title=""/>
            </v:shape>
            <v:shape style="position:absolute;left:1699;top:4026;width:279;height:140" type="#_x0000_t75" stroked="false">
              <v:imagedata r:id="rId478" o:title=""/>
            </v:shape>
            <v:shape style="position:absolute;left:1908;top:4050;width:557;height:281" type="#_x0000_t75" stroked="false">
              <v:imagedata r:id="rId463" o:title=""/>
            </v:shape>
            <w10:wrap type="topAndBottom"/>
          </v:group>
        </w:pict>
      </w:r>
      <w:r>
        <w:rPr/>
        <w:drawing>
          <wp:anchor distT="0" distB="0" distL="0" distR="0" allowOverlap="1" layoutInCell="1" locked="0" behindDoc="0" simplePos="0" relativeHeight="263">
            <wp:simplePos x="0" y="0"/>
            <wp:positionH relativeFrom="page">
              <wp:posOffset>1256080</wp:posOffset>
            </wp:positionH>
            <wp:positionV relativeFrom="paragraph">
              <wp:posOffset>2850737</wp:posOffset>
            </wp:positionV>
            <wp:extent cx="5460745" cy="178308"/>
            <wp:effectExtent l="0" t="0" r="0" b="0"/>
            <wp:wrapTopAndBottom/>
            <wp:docPr id="363" name="image440.png"/>
            <wp:cNvGraphicFramePr>
              <a:graphicFrameLocks noChangeAspect="1"/>
            </wp:cNvGraphicFramePr>
            <a:graphic>
              <a:graphicData uri="http://schemas.openxmlformats.org/drawingml/2006/picture">
                <pic:pic>
                  <pic:nvPicPr>
                    <pic:cNvPr id="364" name="image440.png"/>
                    <pic:cNvPicPr/>
                  </pic:nvPicPr>
                  <pic:blipFill>
                    <a:blip r:embed="rId479" cstate="print"/>
                    <a:stretch>
                      <a:fillRect/>
                    </a:stretch>
                  </pic:blipFill>
                  <pic:spPr>
                    <a:xfrm>
                      <a:off x="0" y="0"/>
                      <a:ext cx="5460745" cy="178308"/>
                    </a:xfrm>
                    <a:prstGeom prst="rect">
                      <a:avLst/>
                    </a:prstGeom>
                  </pic:spPr>
                </pic:pic>
              </a:graphicData>
            </a:graphic>
          </wp:anchor>
        </w:drawing>
      </w:r>
      <w:r>
        <w:rPr/>
        <w:pict>
          <v:group style="position:absolute;margin-left:70.944pt;margin-top:246.547501pt;width:457.9pt;height:14.05pt;mso-position-horizontal-relative:page;mso-position-vertical-relative:paragraph;z-index:-15593472;mso-wrap-distance-left:0;mso-wrap-distance-right:0" coordorigin="1419,4931" coordsize="9158,281">
            <v:shape style="position:absolute;left:1418;top:4930;width:7579;height:281" type="#_x0000_t75" stroked="false">
              <v:imagedata r:id="rId480" o:title=""/>
            </v:shape>
            <v:shape style="position:absolute;left:8715;top:4930;width:418;height:281" type="#_x0000_t75" stroked="false">
              <v:imagedata r:id="rId481" o:title=""/>
            </v:shape>
            <v:shape style="position:absolute;left:8925;top:4930;width:1651;height:281" type="#_x0000_t75" stroked="false">
              <v:imagedata r:id="rId482" o:title=""/>
            </v:shape>
            <w10:wrap type="topAndBottom"/>
          </v:group>
        </w:pict>
      </w:r>
      <w:r>
        <w:rPr/>
        <w:pict>
          <v:group style="position:absolute;margin-left:70.944pt;margin-top:268.507507pt;width:457.95pt;height:14.05pt;mso-position-horizontal-relative:page;mso-position-vertical-relative:paragraph;z-index:-15592960;mso-wrap-distance-left:0;mso-wrap-distance-right:0" coordorigin="1419,5370" coordsize="9159,281">
            <v:shape style="position:absolute;left:1418;top:5370;width:701;height:281" type="#_x0000_t75" stroked="false">
              <v:imagedata r:id="rId483" o:title=""/>
            </v:shape>
            <v:shape style="position:absolute;left:1769;top:5370;width:418;height:281" type="#_x0000_t75" stroked="false">
              <v:imagedata r:id="rId484" o:title=""/>
            </v:shape>
            <v:shape style="position:absolute;left:1978;top:5370;width:8600;height:281" type="#_x0000_t75" stroked="false">
              <v:imagedata r:id="rId485" o:title=""/>
            </v:shape>
            <w10:wrap type="topAndBottom"/>
          </v:group>
        </w:pict>
      </w:r>
      <w:r>
        <w:rPr/>
        <w:drawing>
          <wp:anchor distT="0" distB="0" distL="0" distR="0" allowOverlap="1" layoutInCell="1" locked="0" behindDoc="0" simplePos="0" relativeHeight="266">
            <wp:simplePos x="0" y="0"/>
            <wp:positionH relativeFrom="page">
              <wp:posOffset>900988</wp:posOffset>
            </wp:positionH>
            <wp:positionV relativeFrom="paragraph">
              <wp:posOffset>3688937</wp:posOffset>
            </wp:positionV>
            <wp:extent cx="5816218" cy="178308"/>
            <wp:effectExtent l="0" t="0" r="0" b="0"/>
            <wp:wrapTopAndBottom/>
            <wp:docPr id="365" name="image447.png"/>
            <wp:cNvGraphicFramePr>
              <a:graphicFrameLocks noChangeAspect="1"/>
            </wp:cNvGraphicFramePr>
            <a:graphic>
              <a:graphicData uri="http://schemas.openxmlformats.org/drawingml/2006/picture">
                <pic:pic>
                  <pic:nvPicPr>
                    <pic:cNvPr id="366" name="image447.png"/>
                    <pic:cNvPicPr/>
                  </pic:nvPicPr>
                  <pic:blipFill>
                    <a:blip r:embed="rId486" cstate="print"/>
                    <a:stretch>
                      <a:fillRect/>
                    </a:stretch>
                  </pic:blipFill>
                  <pic:spPr>
                    <a:xfrm>
                      <a:off x="0" y="0"/>
                      <a:ext cx="5816218" cy="178308"/>
                    </a:xfrm>
                    <a:prstGeom prst="rect">
                      <a:avLst/>
                    </a:prstGeom>
                  </pic:spPr>
                </pic:pic>
              </a:graphicData>
            </a:graphic>
          </wp:anchor>
        </w:drawing>
      </w:r>
      <w:r>
        <w:rPr/>
        <w:pict>
          <v:group style="position:absolute;margin-left:70.944pt;margin-top:311.347504pt;width:178.5pt;height:15.25pt;mso-position-horizontal-relative:page;mso-position-vertical-relative:paragraph;z-index:-15591936;mso-wrap-distance-left:0;mso-wrap-distance-right:0" coordorigin="1419,6227" coordsize="3570,305">
            <v:shape style="position:absolute;left:1418;top:6250;width:3079;height:281" type="#_x0000_t75" stroked="false">
              <v:imagedata r:id="rId487" o:title=""/>
            </v:shape>
            <v:shape style="position:absolute;left:4217;top:6226;width:279;height:140" type="#_x0000_t75" stroked="false">
              <v:imagedata r:id="rId488" o:title=""/>
            </v:shape>
            <v:shape style="position:absolute;left:4426;top:6250;width:562;height:281" type="#_x0000_t75" stroked="false">
              <v:imagedata r:id="rId489" o:title=""/>
            </v:shape>
            <w10:wrap type="topAndBottom"/>
          </v:group>
        </w:pict>
      </w:r>
      <w:r>
        <w:rPr/>
        <w:drawing>
          <wp:anchor distT="0" distB="0" distL="0" distR="0" allowOverlap="1" layoutInCell="1" locked="0" behindDoc="0" simplePos="0" relativeHeight="268">
            <wp:simplePos x="0" y="0"/>
            <wp:positionH relativeFrom="page">
              <wp:posOffset>1256080</wp:posOffset>
            </wp:positionH>
            <wp:positionV relativeFrom="paragraph">
              <wp:posOffset>4248626</wp:posOffset>
            </wp:positionV>
            <wp:extent cx="5455157" cy="178308"/>
            <wp:effectExtent l="0" t="0" r="0" b="0"/>
            <wp:wrapTopAndBottom/>
            <wp:docPr id="367" name="image451.png"/>
            <wp:cNvGraphicFramePr>
              <a:graphicFrameLocks noChangeAspect="1"/>
            </wp:cNvGraphicFramePr>
            <a:graphic>
              <a:graphicData uri="http://schemas.openxmlformats.org/drawingml/2006/picture">
                <pic:pic>
                  <pic:nvPicPr>
                    <pic:cNvPr id="368" name="image451.png"/>
                    <pic:cNvPicPr/>
                  </pic:nvPicPr>
                  <pic:blipFill>
                    <a:blip r:embed="rId490" cstate="print"/>
                    <a:stretch>
                      <a:fillRect/>
                    </a:stretch>
                  </pic:blipFill>
                  <pic:spPr>
                    <a:xfrm>
                      <a:off x="0" y="0"/>
                      <a:ext cx="5455157" cy="178308"/>
                    </a:xfrm>
                    <a:prstGeom prst="rect">
                      <a:avLst/>
                    </a:prstGeom>
                  </pic:spPr>
                </pic:pic>
              </a:graphicData>
            </a:graphic>
          </wp:anchor>
        </w:drawing>
      </w:r>
      <w:r>
        <w:rPr/>
        <w:drawing>
          <wp:anchor distT="0" distB="0" distL="0" distR="0" allowOverlap="1" layoutInCell="1" locked="0" behindDoc="0" simplePos="0" relativeHeight="269">
            <wp:simplePos x="0" y="0"/>
            <wp:positionH relativeFrom="page">
              <wp:posOffset>900988</wp:posOffset>
            </wp:positionH>
            <wp:positionV relativeFrom="paragraph">
              <wp:posOffset>4527518</wp:posOffset>
            </wp:positionV>
            <wp:extent cx="5816219" cy="178307"/>
            <wp:effectExtent l="0" t="0" r="0" b="0"/>
            <wp:wrapTopAndBottom/>
            <wp:docPr id="369" name="image452.png"/>
            <wp:cNvGraphicFramePr>
              <a:graphicFrameLocks noChangeAspect="1"/>
            </wp:cNvGraphicFramePr>
            <a:graphic>
              <a:graphicData uri="http://schemas.openxmlformats.org/drawingml/2006/picture">
                <pic:pic>
                  <pic:nvPicPr>
                    <pic:cNvPr id="370" name="image452.png"/>
                    <pic:cNvPicPr/>
                  </pic:nvPicPr>
                  <pic:blipFill>
                    <a:blip r:embed="rId491" cstate="print"/>
                    <a:stretch>
                      <a:fillRect/>
                    </a:stretch>
                  </pic:blipFill>
                  <pic:spPr>
                    <a:xfrm>
                      <a:off x="0" y="0"/>
                      <a:ext cx="5816219" cy="178307"/>
                    </a:xfrm>
                    <a:prstGeom prst="rect">
                      <a:avLst/>
                    </a:prstGeom>
                  </pic:spPr>
                </pic:pic>
              </a:graphicData>
            </a:graphic>
          </wp:anchor>
        </w:drawing>
      </w:r>
      <w:r>
        <w:rPr/>
        <w:pict>
          <v:group style="position:absolute;margin-left:70.944pt;margin-top:378.577515pt;width:454.9pt;height:14.05pt;mso-position-horizontal-relative:page;mso-position-vertical-relative:paragraph;z-index:-15590400;mso-wrap-distance-left:0;mso-wrap-distance-right:0" coordorigin="1419,7572" coordsize="9098,281">
            <v:shape style="position:absolute;left:1418;top:7571;width:8682;height:281" type="#_x0000_t75" stroked="false">
              <v:imagedata r:id="rId492" o:title=""/>
            </v:shape>
            <v:shape style="position:absolute;left:9820;top:7571;width:279;height:281" type="#_x0000_t75" stroked="false">
              <v:imagedata r:id="rId493" o:title=""/>
            </v:shape>
            <v:shape style="position:absolute;left:9959;top:7571;width:557;height:281" type="#_x0000_t75" stroked="false">
              <v:imagedata r:id="rId494" o:title=""/>
            </v:shape>
            <w10:wrap type="topAndBottom"/>
          </v:group>
        </w:pict>
      </w:r>
      <w:r>
        <w:rPr/>
        <w:pict>
          <v:group style="position:absolute;margin-left:70.944pt;margin-top:400.537506pt;width:458.05pt;height:14.05pt;mso-position-horizontal-relative:page;mso-position-vertical-relative:paragraph;z-index:-15589888;mso-wrap-distance-left:0;mso-wrap-distance-right:0" coordorigin="1419,8011" coordsize="9161,281">
            <v:shape style="position:absolute;left:1418;top:8010;width:2501;height:281" type="#_x0000_t75" stroked="false">
              <v:imagedata r:id="rId495" o:title=""/>
            </v:shape>
            <v:shape style="position:absolute;left:3641;top:8010;width:279;height:281" type="#_x0000_t75" stroked="false">
              <v:imagedata r:id="rId496" o:title=""/>
            </v:shape>
            <v:shape style="position:absolute;left:3780;top:8010;width:2480;height:281" type="#_x0000_t75" stroked="false">
              <v:imagedata r:id="rId497" o:title=""/>
            </v:shape>
            <v:shape style="position:absolute;left:5984;top:8010;width:274;height:281" type="#_x0000_t75" stroked="false">
              <v:imagedata r:id="rId498" o:title=""/>
            </v:shape>
            <v:shape style="position:absolute;left:6121;top:8010;width:4458;height:281" type="#_x0000_t75" stroked="false">
              <v:imagedata r:id="rId499" o:title=""/>
            </v:shape>
            <w10:wrap type="topAndBottom"/>
          </v:group>
        </w:pict>
      </w:r>
      <w:r>
        <w:rPr/>
        <w:drawing>
          <wp:anchor distT="0" distB="0" distL="0" distR="0" allowOverlap="1" layoutInCell="1" locked="0" behindDoc="0" simplePos="0" relativeHeight="272">
            <wp:simplePos x="0" y="0"/>
            <wp:positionH relativeFrom="page">
              <wp:posOffset>900988</wp:posOffset>
            </wp:positionH>
            <wp:positionV relativeFrom="paragraph">
              <wp:posOffset>5365718</wp:posOffset>
            </wp:positionV>
            <wp:extent cx="711200" cy="178307"/>
            <wp:effectExtent l="0" t="0" r="0" b="0"/>
            <wp:wrapTopAndBottom/>
            <wp:docPr id="371" name="image461.png"/>
            <wp:cNvGraphicFramePr>
              <a:graphicFrameLocks noChangeAspect="1"/>
            </wp:cNvGraphicFramePr>
            <a:graphic>
              <a:graphicData uri="http://schemas.openxmlformats.org/drawingml/2006/picture">
                <pic:pic>
                  <pic:nvPicPr>
                    <pic:cNvPr id="372" name="image461.png"/>
                    <pic:cNvPicPr/>
                  </pic:nvPicPr>
                  <pic:blipFill>
                    <a:blip r:embed="rId500" cstate="print"/>
                    <a:stretch>
                      <a:fillRect/>
                    </a:stretch>
                  </pic:blipFill>
                  <pic:spPr>
                    <a:xfrm>
                      <a:off x="0" y="0"/>
                      <a:ext cx="711200" cy="178307"/>
                    </a:xfrm>
                    <a:prstGeom prst="rect">
                      <a:avLst/>
                    </a:prstGeom>
                  </pic:spPr>
                </pic:pic>
              </a:graphicData>
            </a:graphic>
          </wp:anchor>
        </w:drawing>
      </w:r>
      <w:r>
        <w:rPr/>
        <w:pict>
          <v:rect style="position:absolute;margin-left:94.944pt;margin-top:458.257507pt;width:144.020pt;height:.599980pt;mso-position-horizontal-relative:page;mso-position-vertical-relative:paragraph;z-index:-15588864;mso-wrap-distance-left:0;mso-wrap-distance-right:0" filled="true" fillcolor="#000000" stroked="false">
            <v:fill type="solid"/>
            <w10:wrap type="topAndBottom"/>
          </v:rect>
        </w:pict>
      </w:r>
    </w:p>
    <w:p>
      <w:pPr>
        <w:pStyle w:val="BodyText"/>
        <w:spacing w:before="8"/>
        <w:rPr>
          <w:sz w:val="21"/>
        </w:rPr>
      </w:pPr>
    </w:p>
    <w:p>
      <w:pPr>
        <w:pStyle w:val="BodyText"/>
        <w:rPr>
          <w:sz w:val="7"/>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3"/>
        <w:rPr>
          <w:sz w:val="7"/>
        </w:rPr>
      </w:pPr>
    </w:p>
    <w:p>
      <w:pPr>
        <w:pStyle w:val="BodyText"/>
        <w:spacing w:before="2"/>
        <w:rPr>
          <w:sz w:val="5"/>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4"/>
        <w:rPr>
          <w:sz w:val="5"/>
        </w:rPr>
      </w:pPr>
    </w:p>
    <w:p>
      <w:pPr>
        <w:pStyle w:val="BodyText"/>
        <w:spacing w:before="1"/>
        <w:rPr>
          <w:sz w:val="7"/>
        </w:rPr>
      </w:pPr>
    </w:p>
    <w:p>
      <w:pPr>
        <w:pStyle w:val="BodyText"/>
        <w:rPr>
          <w:sz w:val="7"/>
        </w:rPr>
      </w:pPr>
    </w:p>
    <w:p>
      <w:pPr>
        <w:pStyle w:val="BodyText"/>
        <w:spacing w:before="3"/>
        <w:rPr>
          <w:sz w:val="7"/>
        </w:rPr>
      </w:pPr>
    </w:p>
    <w:p>
      <w:pPr>
        <w:pStyle w:val="BodyText"/>
        <w:rPr>
          <w:sz w:val="7"/>
        </w:rPr>
      </w:pPr>
    </w:p>
    <w:p>
      <w:pPr>
        <w:pStyle w:val="BodyText"/>
        <w:rPr>
          <w:sz w:val="7"/>
        </w:rPr>
      </w:pPr>
    </w:p>
    <w:p>
      <w:pPr>
        <w:pStyle w:val="BodyText"/>
        <w:spacing w:before="7"/>
        <w:rPr>
          <w:sz w:val="28"/>
        </w:rPr>
      </w:pPr>
    </w:p>
    <w:p>
      <w:pPr>
        <w:pStyle w:val="BodyText"/>
        <w:spacing w:before="7"/>
        <w:rPr>
          <w:sz w:val="9"/>
        </w:rPr>
      </w:pPr>
    </w:p>
    <w:p>
      <w:pPr>
        <w:spacing w:before="94"/>
        <w:ind w:left="298" w:right="0" w:firstLine="0"/>
        <w:jc w:val="left"/>
        <w:rPr>
          <w:rFonts w:ascii="Times New Roman"/>
          <w:sz w:val="13"/>
        </w:rPr>
      </w:pPr>
      <w:r>
        <w:rPr/>
        <w:pict>
          <v:group style="position:absolute;margin-left:85.704002pt;margin-top:5.728358pt;width:439.95pt;height:12pt;mso-position-horizontal-relative:page;mso-position-vertical-relative:paragraph;z-index:15869952" coordorigin="1714,115" coordsize="8799,240">
            <v:shape style="position:absolute;left:1714;top:114;width:4501;height:240" type="#_x0000_t75" stroked="false">
              <v:imagedata r:id="rId501" o:title=""/>
            </v:shape>
            <v:shape style="position:absolute;left:5977;top:114;width:480;height:240" type="#_x0000_t75" stroked="false">
              <v:imagedata r:id="rId502" o:title=""/>
            </v:shape>
            <v:shape style="position:absolute;left:6217;top:114;width:1888;height:240" type="#_x0000_t75" stroked="false">
              <v:imagedata r:id="rId503" o:title=""/>
            </v:shape>
            <v:shape style="position:absolute;left:7868;top:114;width:240;height:240" type="#_x0000_t75" stroked="false">
              <v:imagedata r:id="rId504" o:title=""/>
            </v:shape>
            <v:shape style="position:absolute;left:7988;top:114;width:1631;height:240" type="#_x0000_t75" stroked="false">
              <v:imagedata r:id="rId505" o:title=""/>
            </v:shape>
            <v:shape style="position:absolute;left:9386;top:114;width:612;height:240" type="#_x0000_t75" stroked="false">
              <v:imagedata r:id="rId506" o:title=""/>
            </v:shape>
            <v:shape style="position:absolute;left:9875;top:114;width:638;height:240" type="#_x0000_t75" stroked="false">
              <v:imagedata r:id="rId507" o:title=""/>
            </v:shape>
            <w10:wrap type="none"/>
          </v:group>
        </w:pict>
      </w:r>
      <w:r>
        <w:rPr/>
        <w:drawing>
          <wp:anchor distT="0" distB="0" distL="0" distR="0" allowOverlap="1" layoutInCell="1" locked="0" behindDoc="0" simplePos="0" relativeHeight="15870464">
            <wp:simplePos x="0" y="0"/>
            <wp:positionH relativeFrom="page">
              <wp:posOffset>1088440</wp:posOffset>
            </wp:positionH>
            <wp:positionV relativeFrom="paragraph">
              <wp:posOffset>469244</wp:posOffset>
            </wp:positionV>
            <wp:extent cx="5487289" cy="152400"/>
            <wp:effectExtent l="0" t="0" r="0" b="0"/>
            <wp:wrapNone/>
            <wp:docPr id="373" name="image469.png"/>
            <wp:cNvGraphicFramePr>
              <a:graphicFrameLocks noChangeAspect="1"/>
            </wp:cNvGraphicFramePr>
            <a:graphic>
              <a:graphicData uri="http://schemas.openxmlformats.org/drawingml/2006/picture">
                <pic:pic>
                  <pic:nvPicPr>
                    <pic:cNvPr id="374" name="image469.png"/>
                    <pic:cNvPicPr/>
                  </pic:nvPicPr>
                  <pic:blipFill>
                    <a:blip r:embed="rId508" cstate="print"/>
                    <a:stretch>
                      <a:fillRect/>
                    </a:stretch>
                  </pic:blipFill>
                  <pic:spPr>
                    <a:xfrm>
                      <a:off x="0" y="0"/>
                      <a:ext cx="5487289" cy="152400"/>
                    </a:xfrm>
                    <a:prstGeom prst="rect">
                      <a:avLst/>
                    </a:prstGeom>
                  </pic:spPr>
                </pic:pic>
              </a:graphicData>
            </a:graphic>
          </wp:anchor>
        </w:drawing>
      </w:r>
      <w:bookmarkStart w:name="_bookmark32" w:id="33"/>
      <w:bookmarkEnd w:id="33"/>
      <w:r>
        <w:rPr/>
      </w:r>
      <w:bookmarkStart w:name="_bookmark33" w:id="34"/>
      <w:bookmarkEnd w:id="34"/>
      <w:r>
        <w:rPr/>
      </w:r>
      <w:r>
        <w:rPr>
          <w:rFonts w:ascii="Times New Roman"/>
          <w:sz w:val="13"/>
        </w:rPr>
        <w:t>119</w:t>
      </w:r>
    </w:p>
    <w:p>
      <w:pPr>
        <w:pStyle w:val="BodyText"/>
        <w:spacing w:before="7"/>
        <w:rPr>
          <w:rFonts w:ascii="Times New Roman"/>
          <w:sz w:val="12"/>
        </w:rPr>
      </w:pPr>
      <w:r>
        <w:rPr/>
        <w:pict>
          <v:group style="position:absolute;margin-left:80.903999pt;margin-top:9.200009pt;width:78pt;height:12pt;mso-position-horizontal-relative:page;mso-position-vertical-relative:paragraph;z-index:-15588352;mso-wrap-distance-left:0;mso-wrap-distance-right:0" coordorigin="1618,184" coordsize="1560,240">
            <v:shape style="position:absolute;left:1618;top:184;width:480;height:240" type="#_x0000_t75" stroked="false">
              <v:imagedata r:id="rId509" o:title=""/>
            </v:shape>
            <v:shape style="position:absolute;left:1978;top:184;width:1200;height:240" type="#_x0000_t75" stroked="false">
              <v:imagedata r:id="rId510" o:title=""/>
            </v:shape>
            <w10:wrap type="topAndBottom"/>
          </v:group>
        </w:pict>
      </w:r>
    </w:p>
    <w:p>
      <w:pPr>
        <w:spacing w:before="22"/>
        <w:ind w:left="298" w:right="0" w:firstLine="0"/>
        <w:jc w:val="left"/>
        <w:rPr>
          <w:rFonts w:ascii="Times New Roman"/>
          <w:sz w:val="13"/>
        </w:rPr>
      </w:pPr>
      <w:r>
        <w:rPr>
          <w:rFonts w:ascii="Times New Roman"/>
          <w:sz w:val="13"/>
        </w:rPr>
        <w:t>120</w:t>
      </w:r>
    </w:p>
    <w:p>
      <w:pPr>
        <w:pStyle w:val="BodyText"/>
        <w:spacing w:before="6"/>
        <w:rPr>
          <w:rFonts w:ascii="Times New Roman"/>
          <w:sz w:val="12"/>
        </w:rPr>
      </w:pPr>
      <w:r>
        <w:rPr/>
        <w:pict>
          <v:group style="position:absolute;margin-left:80.903999pt;margin-top:9.149414pt;width:300.05pt;height:12pt;mso-position-horizontal-relative:page;mso-position-vertical-relative:paragraph;z-index:-15587840;mso-wrap-distance-left:0;mso-wrap-distance-right:0" coordorigin="1618,183" coordsize="6001,240">
            <v:shape style="position:absolute;left:1618;top:182;width:2641;height:240" type="#_x0000_t75" stroked="false">
              <v:imagedata r:id="rId511" o:title=""/>
            </v:shape>
            <v:shape style="position:absolute;left:4018;top:182;width:240;height:240" type="#_x0000_t75" stroked="false">
              <v:imagedata r:id="rId504" o:title=""/>
            </v:shape>
            <v:shape style="position:absolute;left:4138;top:182;width:1681;height:240" type="#_x0000_t75" stroked="false">
              <v:imagedata r:id="rId512" o:title=""/>
            </v:shape>
            <v:shape style="position:absolute;left:5578;top:182;width:600;height:240" type="#_x0000_t75" stroked="false">
              <v:imagedata r:id="rId513" o:title=""/>
            </v:shape>
            <v:shape style="position:absolute;left:6058;top:182;width:720;height:240" type="#_x0000_t75" stroked="false">
              <v:imagedata r:id="rId514" o:title=""/>
            </v:shape>
            <v:shape style="position:absolute;left:6539;top:182;width:480;height:240" type="#_x0000_t75" stroked="false">
              <v:imagedata r:id="rId515" o:title=""/>
            </v:shape>
            <v:shape style="position:absolute;left:6899;top:182;width:720;height:240" type="#_x0000_t75" stroked="false">
              <v:imagedata r:id="rId516" o:title=""/>
            </v:shape>
            <w10:wrap type="topAndBottom"/>
          </v:group>
        </w:pict>
      </w:r>
    </w:p>
    <w:p>
      <w:pPr>
        <w:spacing w:after="0"/>
        <w:rPr>
          <w:rFonts w:ascii="Times New Roman"/>
          <w:sz w:val="12"/>
        </w:rPr>
        <w:sectPr>
          <w:headerReference w:type="default" r:id="rId459"/>
          <w:footerReference w:type="default" r:id="rId460"/>
          <w:pgSz w:w="11910" w:h="16840"/>
          <w:pgMar w:header="0" w:footer="1017" w:top="860" w:bottom="1200" w:left="1120" w:right="1060"/>
        </w:sectPr>
      </w:pPr>
    </w:p>
    <w:p>
      <w:pPr>
        <w:pStyle w:val="BodyText"/>
        <w:rPr>
          <w:rFonts w:ascii="Times New Roman"/>
          <w:sz w:val="20"/>
        </w:rPr>
      </w:pPr>
    </w:p>
    <w:p>
      <w:pPr>
        <w:pStyle w:val="BodyText"/>
        <w:spacing w:before="1"/>
        <w:rPr>
          <w:rFonts w:ascii="Times New Roman"/>
          <w:sz w:val="21"/>
        </w:rPr>
      </w:pPr>
    </w:p>
    <w:p>
      <w:pPr>
        <w:spacing w:before="66"/>
        <w:ind w:left="3774" w:right="0" w:firstLine="0"/>
        <w:jc w:val="left"/>
        <w:rPr>
          <w:sz w:val="24"/>
        </w:rPr>
      </w:pPr>
      <w:r>
        <w:rPr>
          <w:w w:val="125"/>
          <w:sz w:val="24"/>
        </w:rPr>
        <w:t>二身分保障之橫利</w:t>
      </w:r>
    </w:p>
    <w:p>
      <w:pPr>
        <w:pStyle w:val="BodyText"/>
        <w:spacing w:before="4"/>
        <w:rPr>
          <w:sz w:val="32"/>
        </w:rPr>
      </w:pPr>
    </w:p>
    <w:p>
      <w:pPr>
        <w:spacing w:before="0"/>
        <w:ind w:left="3848" w:right="0" w:firstLine="0"/>
        <w:jc w:val="left"/>
        <w:rPr>
          <w:sz w:val="24"/>
        </w:rPr>
      </w:pPr>
      <w:r>
        <w:rPr>
          <w:w w:val="110"/>
          <w:sz w:val="24"/>
        </w:rPr>
        <w:t>（一）分限虞分</w:t>
      </w:r>
    </w:p>
    <w:p>
      <w:pPr>
        <w:pStyle w:val="BodyText"/>
        <w:spacing w:before="1"/>
      </w:pPr>
    </w:p>
    <w:p>
      <w:pPr>
        <w:spacing w:line="343" w:lineRule="auto" w:before="0"/>
        <w:ind w:left="313" w:right="474" w:firstLine="573"/>
        <w:jc w:val="left"/>
        <w:rPr>
          <w:sz w:val="24"/>
        </w:rPr>
      </w:pPr>
      <w:r>
        <w:rPr>
          <w:w w:val="115"/>
          <w:sz w:val="24"/>
        </w:rPr>
        <w:t>日本公務員法制上規定，公務員若非依法定事由，不反違反其意志之降等、休職、免職之處分，公務員之身分保障已制度化。而例外允許身</w:t>
      </w:r>
      <w:r>
        <w:rPr>
          <w:spacing w:val="1"/>
          <w:w w:val="115"/>
          <w:sz w:val="24"/>
        </w:rPr>
        <w:t> </w:t>
      </w:r>
      <w:r>
        <w:rPr>
          <w:w w:val="115"/>
          <w:sz w:val="24"/>
        </w:rPr>
        <w:t>分關係之變動之制度，則有「分限」和懲戒兩者。</w:t>
      </w:r>
    </w:p>
    <w:p>
      <w:pPr>
        <w:spacing w:line="310" w:lineRule="exact" w:before="0"/>
        <w:ind w:left="863" w:right="0" w:firstLine="0"/>
        <w:jc w:val="left"/>
        <w:rPr>
          <w:sz w:val="24"/>
        </w:rPr>
      </w:pPr>
      <w:r>
        <w:rPr>
          <w:spacing w:val="1"/>
          <w:sz w:val="24"/>
        </w:rPr>
        <w:t>依日本 地公 法 </w:t>
      </w:r>
      <w:r>
        <w:rPr>
          <w:rFonts w:ascii="Times New Roman" w:eastAsia="Times New Roman"/>
          <w:sz w:val="30"/>
        </w:rPr>
        <w:t>28</w:t>
      </w:r>
      <w:r>
        <w:rPr>
          <w:rFonts w:ascii="Times New Roman" w:eastAsia="Times New Roman"/>
          <w:spacing w:val="3"/>
          <w:sz w:val="30"/>
        </w:rPr>
        <w:t> </w:t>
      </w:r>
      <w:r>
        <w:rPr>
          <w:spacing w:val="21"/>
          <w:sz w:val="24"/>
        </w:rPr>
        <w:t>條 </w:t>
      </w:r>
      <w:r>
        <w:rPr>
          <w:rFonts w:ascii="Times New Roman" w:eastAsia="Times New Roman"/>
          <w:sz w:val="30"/>
        </w:rPr>
        <w:t>l</w:t>
      </w:r>
      <w:r>
        <w:rPr>
          <w:rFonts w:ascii="Times New Roman" w:eastAsia="Times New Roman"/>
          <w:spacing w:val="71"/>
          <w:sz w:val="30"/>
        </w:rPr>
        <w:t> </w:t>
      </w:r>
      <w:r>
        <w:rPr>
          <w:spacing w:val="9"/>
          <w:sz w:val="24"/>
        </w:rPr>
        <w:t>項 </w:t>
      </w:r>
      <w:r>
        <w:rPr>
          <w:spacing w:val="-38"/>
          <w:w w:val="95"/>
          <w:sz w:val="24"/>
        </w:rPr>
        <w:t>， </w:t>
      </w:r>
      <w:r>
        <w:rPr>
          <w:spacing w:val="13"/>
          <w:sz w:val="24"/>
        </w:rPr>
        <w:t>所謂之「分限」是指在</w:t>
      </w:r>
      <w:r>
        <w:rPr>
          <w:sz w:val="24"/>
        </w:rPr>
        <w:t>（</w:t>
      </w:r>
      <w:r>
        <w:rPr>
          <w:rFonts w:ascii="Times New Roman" w:eastAsia="Times New Roman"/>
          <w:sz w:val="30"/>
        </w:rPr>
        <w:t>1</w:t>
      </w:r>
      <w:r>
        <w:rPr>
          <w:rFonts w:ascii="Times New Roman" w:eastAsia="Times New Roman"/>
          <w:spacing w:val="23"/>
          <w:sz w:val="30"/>
        </w:rPr>
        <w:t> ) </w:t>
      </w:r>
      <w:r>
        <w:rPr>
          <w:spacing w:val="23"/>
          <w:sz w:val="24"/>
        </w:rPr>
        <w:t>勤務成績不良</w:t>
      </w:r>
    </w:p>
    <w:p>
      <w:pPr>
        <w:spacing w:line="333" w:lineRule="auto" w:before="118"/>
        <w:ind w:left="302" w:right="489" w:firstLine="8"/>
        <w:jc w:val="left"/>
        <w:rPr>
          <w:sz w:val="24"/>
        </w:rPr>
      </w:pPr>
      <w:r>
        <w:rPr>
          <w:w w:val="105"/>
          <w:sz w:val="24"/>
        </w:rPr>
        <w:t>之情況 </w:t>
      </w:r>
      <w:r>
        <w:rPr>
          <w:w w:val="95"/>
          <w:sz w:val="24"/>
        </w:rPr>
        <w:t>，（</w:t>
      </w:r>
      <w:r>
        <w:rPr>
          <w:rFonts w:ascii="Times New Roman" w:eastAsia="Times New Roman"/>
          <w:w w:val="95"/>
          <w:sz w:val="27"/>
        </w:rPr>
        <w:t>2</w:t>
      </w:r>
      <w:r>
        <w:rPr>
          <w:rFonts w:ascii="Times New Roman" w:eastAsia="Times New Roman"/>
          <w:spacing w:val="6"/>
          <w:w w:val="95"/>
          <w:sz w:val="27"/>
        </w:rPr>
        <w:t> ) </w:t>
      </w:r>
      <w:r>
        <w:rPr>
          <w:spacing w:val="37"/>
          <w:w w:val="95"/>
          <w:sz w:val="24"/>
        </w:rPr>
        <w:t>因身</w:t>
      </w:r>
      <w:r>
        <w:rPr>
          <w:spacing w:val="-1"/>
          <w:w w:val="105"/>
          <w:sz w:val="24"/>
        </w:rPr>
        <w:t>心障礙 </w:t>
      </w:r>
      <w:r>
        <w:rPr>
          <w:spacing w:val="-38"/>
          <w:w w:val="95"/>
          <w:sz w:val="24"/>
        </w:rPr>
        <w:t>， </w:t>
      </w:r>
      <w:r>
        <w:rPr>
          <w:spacing w:val="15"/>
          <w:w w:val="105"/>
          <w:sz w:val="24"/>
        </w:rPr>
        <w:t>對職務之遂行產</w:t>
      </w:r>
      <w:r>
        <w:rPr>
          <w:spacing w:val="-3"/>
          <w:w w:val="95"/>
          <w:sz w:val="24"/>
        </w:rPr>
        <w:t>生阻礙 ， </w:t>
      </w:r>
      <w:r>
        <w:rPr>
          <w:spacing w:val="12"/>
          <w:w w:val="105"/>
          <w:sz w:val="24"/>
        </w:rPr>
        <w:t>又</w:t>
      </w:r>
      <w:r>
        <w:rPr>
          <w:spacing w:val="40"/>
          <w:w w:val="95"/>
          <w:sz w:val="24"/>
        </w:rPr>
        <w:t>不堪遂行職務之</w:t>
      </w:r>
      <w:r>
        <w:rPr>
          <w:w w:val="105"/>
          <w:sz w:val="24"/>
        </w:rPr>
        <w:t>情</w:t>
      </w:r>
      <w:r>
        <w:rPr>
          <w:spacing w:val="-4"/>
          <w:w w:val="95"/>
          <w:sz w:val="24"/>
        </w:rPr>
        <w:t>況 ，</w:t>
      </w:r>
      <w:r>
        <w:rPr>
          <w:w w:val="95"/>
          <w:sz w:val="24"/>
        </w:rPr>
        <w:t>（</w:t>
      </w:r>
      <w:r>
        <w:rPr>
          <w:rFonts w:ascii="Times New Roman" w:eastAsia="Times New Roman"/>
          <w:w w:val="95"/>
          <w:sz w:val="27"/>
        </w:rPr>
        <w:t>3</w:t>
      </w:r>
      <w:r>
        <w:rPr>
          <w:rFonts w:ascii="Times New Roman" w:eastAsia="Times New Roman"/>
          <w:spacing w:val="7"/>
          <w:w w:val="95"/>
          <w:sz w:val="27"/>
        </w:rPr>
        <w:t> ) </w:t>
      </w:r>
      <w:r>
        <w:rPr>
          <w:spacing w:val="12"/>
          <w:w w:val="95"/>
          <w:sz w:val="24"/>
        </w:rPr>
        <w:t>欠缺其職位之適格性的情況 ，</w:t>
      </w:r>
      <w:r>
        <w:rPr>
          <w:w w:val="95"/>
          <w:sz w:val="24"/>
        </w:rPr>
        <w:t>（</w:t>
      </w:r>
      <w:r>
        <w:rPr>
          <w:rFonts w:ascii="Times New Roman" w:eastAsia="Times New Roman"/>
          <w:w w:val="95"/>
          <w:sz w:val="27"/>
        </w:rPr>
        <w:t>4</w:t>
      </w:r>
      <w:r>
        <w:rPr>
          <w:rFonts w:ascii="Times New Roman" w:eastAsia="Times New Roman"/>
          <w:spacing w:val="7"/>
          <w:w w:val="95"/>
          <w:sz w:val="27"/>
        </w:rPr>
        <w:t> ) </w:t>
      </w:r>
      <w:r>
        <w:rPr>
          <w:spacing w:val="4"/>
          <w:w w:val="95"/>
          <w:sz w:val="24"/>
        </w:rPr>
        <w:t>職務制度或員額 之 刪 改 ， 或因</w:t>
      </w:r>
      <w:r>
        <w:rPr>
          <w:w w:val="105"/>
          <w:sz w:val="24"/>
        </w:rPr>
        <w:t>預算減少而廢除該職務，或產生冗員之情況，得違反其意志，予以降等或    </w:t>
      </w:r>
      <w:r>
        <w:rPr>
          <w:spacing w:val="6"/>
          <w:w w:val="105"/>
          <w:sz w:val="24"/>
        </w:rPr>
        <w:t> </w:t>
      </w:r>
      <w:r>
        <w:rPr>
          <w:spacing w:val="1"/>
          <w:sz w:val="24"/>
        </w:rPr>
        <w:t>免職 。其次 </w:t>
      </w:r>
      <w:r>
        <w:rPr>
          <w:spacing w:val="-11"/>
          <w:w w:val="95"/>
          <w:sz w:val="24"/>
        </w:rPr>
        <w:t>， 同條 第 </w:t>
      </w:r>
      <w:r>
        <w:rPr>
          <w:rFonts w:ascii="Times New Roman" w:eastAsia="Times New Roman"/>
          <w:w w:val="95"/>
          <w:sz w:val="30"/>
        </w:rPr>
        <w:t>2</w:t>
      </w:r>
      <w:r>
        <w:rPr>
          <w:rFonts w:ascii="Times New Roman" w:eastAsia="Times New Roman"/>
          <w:spacing w:val="19"/>
          <w:w w:val="95"/>
          <w:sz w:val="30"/>
        </w:rPr>
        <w:t> </w:t>
      </w:r>
      <w:r>
        <w:rPr>
          <w:spacing w:val="7"/>
          <w:sz w:val="24"/>
        </w:rPr>
        <w:t>項 </w:t>
      </w:r>
      <w:r>
        <w:rPr>
          <w:spacing w:val="-29"/>
          <w:w w:val="95"/>
          <w:sz w:val="24"/>
        </w:rPr>
        <w:t>， </w:t>
      </w:r>
      <w:r>
        <w:rPr>
          <w:spacing w:val="29"/>
          <w:sz w:val="24"/>
        </w:rPr>
        <w:t>則又規定</w:t>
      </w:r>
      <w:r>
        <w:rPr>
          <w:sz w:val="24"/>
        </w:rPr>
        <w:t>（</w:t>
      </w:r>
      <w:r>
        <w:rPr>
          <w:spacing w:val="-94"/>
          <w:sz w:val="24"/>
        </w:rPr>
        <w:t> </w:t>
      </w:r>
      <w:r>
        <w:rPr>
          <w:rFonts w:ascii="Times New Roman" w:eastAsia="Times New Roman"/>
          <w:w w:val="95"/>
          <w:sz w:val="30"/>
        </w:rPr>
        <w:t>1</w:t>
      </w:r>
      <w:r>
        <w:rPr>
          <w:rFonts w:ascii="Times New Roman" w:eastAsia="Times New Roman"/>
          <w:spacing w:val="-9"/>
          <w:w w:val="95"/>
          <w:sz w:val="30"/>
        </w:rPr>
        <w:t> )</w:t>
      </w:r>
      <w:r>
        <w:rPr>
          <w:rFonts w:ascii="Times New Roman" w:eastAsia="Times New Roman"/>
          <w:spacing w:val="104"/>
          <w:sz w:val="30"/>
        </w:rPr>
        <w:t> </w:t>
      </w:r>
      <w:r>
        <w:rPr>
          <w:spacing w:val="36"/>
          <w:w w:val="95"/>
          <w:sz w:val="24"/>
        </w:rPr>
        <w:t>因身</w:t>
      </w:r>
      <w:r>
        <w:rPr>
          <w:spacing w:val="25"/>
          <w:sz w:val="24"/>
        </w:rPr>
        <w:t>心障礙</w:t>
      </w:r>
      <w:r>
        <w:rPr>
          <w:spacing w:val="1"/>
          <w:w w:val="95"/>
          <w:sz w:val="24"/>
        </w:rPr>
        <w:t>而須 </w:t>
      </w:r>
      <w:r>
        <w:rPr>
          <w:spacing w:val="12"/>
          <w:sz w:val="24"/>
        </w:rPr>
        <w:t>長期休養之情</w:t>
      </w:r>
      <w:r>
        <w:rPr>
          <w:spacing w:val="-5"/>
          <w:w w:val="95"/>
          <w:sz w:val="24"/>
        </w:rPr>
        <w:t>況 ，</w:t>
      </w:r>
      <w:r>
        <w:rPr>
          <w:w w:val="95"/>
          <w:sz w:val="24"/>
        </w:rPr>
        <w:t>（</w:t>
      </w:r>
      <w:r>
        <w:rPr>
          <w:rFonts w:ascii="Times New Roman" w:eastAsia="Times New Roman"/>
          <w:w w:val="95"/>
          <w:sz w:val="27"/>
        </w:rPr>
        <w:t>2</w:t>
      </w:r>
      <w:r>
        <w:rPr>
          <w:rFonts w:ascii="Times New Roman" w:eastAsia="Times New Roman"/>
          <w:spacing w:val="6"/>
          <w:w w:val="95"/>
          <w:sz w:val="27"/>
        </w:rPr>
        <w:t> ) </w:t>
      </w:r>
      <w:r>
        <w:rPr>
          <w:spacing w:val="2"/>
          <w:w w:val="95"/>
          <w:sz w:val="24"/>
        </w:rPr>
        <w:t>在 有關之刑事事件上 ， 受到超訴之情況 ，得 違反其意志 ，使 其休</w:t>
      </w:r>
      <w:r>
        <w:rPr>
          <w:w w:val="105"/>
          <w:sz w:val="24"/>
        </w:rPr>
        <w:t>職。分限制度，是以維持公務員效率及璀保公務員制度適正之運作為目     </w:t>
      </w:r>
      <w:r>
        <w:rPr>
          <w:spacing w:val="120"/>
          <w:w w:val="105"/>
          <w:sz w:val="24"/>
        </w:rPr>
        <w:t> </w:t>
      </w:r>
      <w:r>
        <w:rPr>
          <w:w w:val="105"/>
          <w:sz w:val="24"/>
        </w:rPr>
        <w:t>的，在有一定之事由時，允許任命権者，可對公務員做出違反其意志之，   </w:t>
      </w:r>
      <w:r>
        <w:rPr>
          <w:spacing w:val="120"/>
          <w:w w:val="105"/>
          <w:sz w:val="24"/>
        </w:rPr>
        <w:t> </w:t>
      </w:r>
      <w:r>
        <w:rPr>
          <w:w w:val="105"/>
          <w:sz w:val="24"/>
        </w:rPr>
        <w:t>造成其身分變動之不利益處分，同時自公務員身分保障之觀點而言，該種</w:t>
      </w:r>
    </w:p>
    <w:p>
      <w:pPr>
        <w:spacing w:line="326" w:lineRule="auto" w:before="26"/>
        <w:ind w:left="299" w:right="491" w:firstLine="12"/>
        <w:jc w:val="left"/>
        <w:rPr>
          <w:rFonts w:ascii="Arial" w:eastAsia="Arial"/>
          <w:sz w:val="8"/>
        </w:rPr>
      </w:pPr>
      <w:r>
        <w:rPr>
          <w:w w:val="105"/>
          <w:sz w:val="24"/>
        </w:rPr>
        <w:t>制度也對處分権限有嚴格之限定。在此種意義上，其和追究公務員之違法   </w:t>
      </w:r>
      <w:r>
        <w:rPr>
          <w:spacing w:val="100"/>
          <w:w w:val="105"/>
          <w:sz w:val="24"/>
        </w:rPr>
        <w:t> </w:t>
      </w:r>
      <w:r>
        <w:rPr>
          <w:spacing w:val="12"/>
          <w:sz w:val="24"/>
        </w:rPr>
        <w:t>行為責任之懲戒 </w:t>
      </w:r>
      <w:r>
        <w:rPr>
          <w:spacing w:val="25"/>
          <w:w w:val="75"/>
          <w:sz w:val="24"/>
        </w:rPr>
        <w:t>，在 性 </w:t>
      </w:r>
      <w:r>
        <w:rPr>
          <w:spacing w:val="7"/>
          <w:sz w:val="24"/>
        </w:rPr>
        <w:t>質上 有所不同</w:t>
      </w:r>
      <w:r>
        <w:rPr>
          <w:rFonts w:ascii="Times New Roman" w:eastAsia="Times New Roman"/>
          <w:w w:val="75"/>
          <w:sz w:val="15"/>
        </w:rPr>
        <w:t>1</w:t>
      </w:r>
      <w:r>
        <w:rPr>
          <w:rFonts w:ascii="Times New Roman" w:eastAsia="Times New Roman"/>
          <w:spacing w:val="6"/>
          <w:w w:val="75"/>
          <w:sz w:val="15"/>
        </w:rPr>
        <w:t> </w:t>
      </w:r>
      <w:r>
        <w:rPr>
          <w:rFonts w:ascii="Times New Roman" w:eastAsia="Times New Roman"/>
          <w:w w:val="75"/>
          <w:sz w:val="15"/>
        </w:rPr>
        <w:t>21</w:t>
      </w:r>
      <w:r>
        <w:rPr>
          <w:rFonts w:ascii="Times New Roman" w:eastAsia="Times New Roman"/>
          <w:spacing w:val="24"/>
          <w:sz w:val="15"/>
        </w:rPr>
        <w:t>   </w:t>
      </w:r>
      <w:r>
        <w:rPr>
          <w:rFonts w:ascii="Arial" w:eastAsia="Arial"/>
          <w:w w:val="105"/>
          <w:sz w:val="8"/>
        </w:rPr>
        <w:t>0</w:t>
      </w:r>
    </w:p>
    <w:p>
      <w:pPr>
        <w:spacing w:before="139"/>
        <w:ind w:left="3848" w:right="0" w:firstLine="0"/>
        <w:jc w:val="left"/>
        <w:rPr>
          <w:sz w:val="24"/>
        </w:rPr>
      </w:pPr>
      <w:r>
        <w:rPr>
          <w:w w:val="110"/>
          <w:sz w:val="24"/>
        </w:rPr>
        <w:t>（二）懲戒處分</w:t>
      </w:r>
    </w:p>
    <w:p>
      <w:pPr>
        <w:pStyle w:val="BodyText"/>
        <w:spacing w:before="9"/>
        <w:rPr>
          <w:sz w:val="24"/>
        </w:rPr>
      </w:pPr>
    </w:p>
    <w:p>
      <w:pPr>
        <w:spacing w:line="340" w:lineRule="auto" w:before="0"/>
        <w:ind w:left="312" w:right="418" w:firstLine="557"/>
        <w:jc w:val="left"/>
        <w:rPr>
          <w:sz w:val="24"/>
        </w:rPr>
      </w:pPr>
      <w:r>
        <w:rPr>
          <w:w w:val="105"/>
          <w:sz w:val="24"/>
        </w:rPr>
        <w:t>所謂懲戒，是指在特定的身分關係中，為維持紀律或秩序，對違反－    </w:t>
      </w:r>
      <w:r>
        <w:rPr>
          <w:spacing w:val="2"/>
          <w:w w:val="105"/>
          <w:sz w:val="24"/>
        </w:rPr>
        <w:t> </w:t>
      </w:r>
      <w:r>
        <w:rPr>
          <w:w w:val="105"/>
          <w:sz w:val="24"/>
        </w:rPr>
        <w:t>定</w:t>
      </w:r>
      <w:r>
        <w:rPr>
          <w:spacing w:val="40"/>
          <w:w w:val="95"/>
          <w:sz w:val="24"/>
        </w:rPr>
        <w:t>義務者</w:t>
      </w:r>
      <w:r>
        <w:rPr>
          <w:spacing w:val="16"/>
          <w:w w:val="105"/>
          <w:sz w:val="24"/>
        </w:rPr>
        <w:t>所科處之制裁</w:t>
      </w:r>
      <w:r>
        <w:rPr>
          <w:rFonts w:ascii="Times New Roman" w:eastAsia="Times New Roman"/>
          <w:w w:val="75"/>
          <w:sz w:val="15"/>
        </w:rPr>
        <w:t>1</w:t>
      </w:r>
      <w:r>
        <w:rPr>
          <w:rFonts w:ascii="Times New Roman" w:eastAsia="Times New Roman"/>
          <w:spacing w:val="16"/>
          <w:w w:val="75"/>
          <w:sz w:val="15"/>
        </w:rPr>
        <w:t> </w:t>
      </w:r>
      <w:r>
        <w:rPr>
          <w:rFonts w:ascii="Times New Roman" w:eastAsia="Times New Roman"/>
          <w:w w:val="75"/>
          <w:sz w:val="15"/>
        </w:rPr>
        <w:t>22</w:t>
      </w:r>
      <w:r>
        <w:rPr>
          <w:rFonts w:ascii="Times New Roman" w:eastAsia="Times New Roman"/>
          <w:spacing w:val="21"/>
          <w:sz w:val="15"/>
        </w:rPr>
        <w:t>   </w:t>
      </w:r>
      <w:r>
        <w:rPr>
          <w:w w:val="75"/>
          <w:sz w:val="24"/>
        </w:rPr>
        <w:t>。在</w:t>
      </w:r>
      <w:r>
        <w:rPr>
          <w:spacing w:val="138"/>
          <w:sz w:val="24"/>
        </w:rPr>
        <w:t> </w:t>
      </w:r>
      <w:r>
        <w:rPr>
          <w:spacing w:val="-5"/>
          <w:w w:val="95"/>
          <w:sz w:val="24"/>
        </w:rPr>
        <w:t>日本 公務 員 </w:t>
      </w:r>
      <w:r>
        <w:rPr>
          <w:spacing w:val="7"/>
          <w:sz w:val="24"/>
        </w:rPr>
        <w:t>法制上 </w:t>
      </w:r>
      <w:r>
        <w:rPr>
          <w:spacing w:val="-24"/>
          <w:w w:val="75"/>
          <w:sz w:val="24"/>
        </w:rPr>
        <w:t>， </w:t>
      </w:r>
      <w:r>
        <w:rPr>
          <w:spacing w:val="24"/>
          <w:sz w:val="24"/>
        </w:rPr>
        <w:t>對於懲戒事由採法定</w:t>
      </w:r>
      <w:r>
        <w:rPr>
          <w:w w:val="95"/>
          <w:sz w:val="24"/>
        </w:rPr>
        <w:t>主</w:t>
      </w:r>
      <w:r>
        <w:rPr>
          <w:spacing w:val="3"/>
          <w:w w:val="95"/>
          <w:sz w:val="24"/>
        </w:rPr>
        <w:t>義 </w:t>
      </w:r>
      <w:r>
        <w:rPr>
          <w:spacing w:val="-15"/>
          <w:w w:val="75"/>
          <w:sz w:val="24"/>
        </w:rPr>
        <w:t>， </w:t>
      </w:r>
      <w:r>
        <w:rPr>
          <w:spacing w:val="30"/>
          <w:w w:val="95"/>
          <w:sz w:val="24"/>
        </w:rPr>
        <w:t>主要有</w:t>
      </w:r>
      <w:r>
        <w:rPr>
          <w:w w:val="95"/>
          <w:sz w:val="24"/>
        </w:rPr>
        <w:t>（</w:t>
      </w:r>
      <w:r>
        <w:rPr>
          <w:spacing w:val="-78"/>
          <w:w w:val="95"/>
          <w:sz w:val="24"/>
        </w:rPr>
        <w:t> </w:t>
      </w:r>
      <w:r>
        <w:rPr>
          <w:rFonts w:ascii="Times New Roman" w:eastAsia="Times New Roman"/>
          <w:w w:val="95"/>
          <w:sz w:val="27"/>
        </w:rPr>
        <w:t>1</w:t>
      </w:r>
      <w:r>
        <w:rPr>
          <w:rFonts w:ascii="Times New Roman" w:eastAsia="Times New Roman"/>
          <w:spacing w:val="-10"/>
          <w:w w:val="95"/>
          <w:sz w:val="27"/>
        </w:rPr>
        <w:t> )</w:t>
      </w:r>
      <w:r>
        <w:rPr>
          <w:rFonts w:ascii="Times New Roman" w:eastAsia="Times New Roman"/>
          <w:spacing w:val="87"/>
          <w:sz w:val="27"/>
        </w:rPr>
        <w:t> </w:t>
      </w:r>
      <w:r>
        <w:rPr>
          <w:spacing w:val="9"/>
          <w:w w:val="95"/>
          <w:sz w:val="24"/>
        </w:rPr>
        <w:t>違反法令 ，</w:t>
      </w:r>
      <w:r>
        <w:rPr>
          <w:w w:val="95"/>
          <w:sz w:val="24"/>
        </w:rPr>
        <w:t>（</w:t>
      </w:r>
      <w:r>
        <w:rPr>
          <w:rFonts w:ascii="Times New Roman" w:eastAsia="Times New Roman"/>
          <w:w w:val="95"/>
          <w:sz w:val="27"/>
        </w:rPr>
        <w:t>2</w:t>
      </w:r>
      <w:r>
        <w:rPr>
          <w:rFonts w:ascii="Times New Roman" w:eastAsia="Times New Roman"/>
          <w:spacing w:val="-5"/>
          <w:w w:val="95"/>
          <w:sz w:val="27"/>
        </w:rPr>
        <w:t> )</w:t>
      </w:r>
      <w:r>
        <w:rPr>
          <w:rFonts w:ascii="Times New Roman" w:eastAsia="Times New Roman"/>
          <w:spacing w:val="101"/>
          <w:sz w:val="27"/>
        </w:rPr>
        <w:t> </w:t>
      </w:r>
      <w:r>
        <w:rPr>
          <w:spacing w:val="4"/>
          <w:w w:val="95"/>
          <w:sz w:val="24"/>
        </w:rPr>
        <w:t>違反職務 上 之 義務 ，</w:t>
      </w:r>
      <w:r>
        <w:rPr>
          <w:w w:val="95"/>
          <w:sz w:val="24"/>
        </w:rPr>
        <w:t>（</w:t>
      </w:r>
      <w:r>
        <w:rPr>
          <w:rFonts w:ascii="Times New Roman" w:eastAsia="Times New Roman"/>
          <w:w w:val="95"/>
          <w:sz w:val="27"/>
        </w:rPr>
        <w:t>3</w:t>
      </w:r>
      <w:r>
        <w:rPr>
          <w:rFonts w:ascii="Times New Roman" w:eastAsia="Times New Roman"/>
          <w:spacing w:val="-12"/>
          <w:w w:val="95"/>
          <w:sz w:val="27"/>
        </w:rPr>
        <w:t> )</w:t>
      </w:r>
      <w:r>
        <w:rPr>
          <w:rFonts w:ascii="Times New Roman" w:eastAsia="Times New Roman"/>
          <w:spacing w:val="79"/>
          <w:sz w:val="27"/>
        </w:rPr>
        <w:t> </w:t>
      </w:r>
      <w:r>
        <w:rPr>
          <w:spacing w:val="25"/>
          <w:w w:val="95"/>
          <w:sz w:val="24"/>
        </w:rPr>
        <w:t>做出不適合於</w:t>
      </w:r>
      <w:r>
        <w:rPr>
          <w:w w:val="105"/>
          <w:sz w:val="24"/>
        </w:rPr>
        <w:t>全體人民之服務者的非行等。懲戒處分之種類，則又有戒告、減俸、停職丶  </w:t>
      </w:r>
      <w:r>
        <w:rPr>
          <w:spacing w:val="55"/>
          <w:w w:val="105"/>
          <w:sz w:val="24"/>
        </w:rPr>
        <w:t> </w:t>
      </w:r>
      <w:r>
        <w:rPr>
          <w:w w:val="105"/>
          <w:sz w:val="24"/>
        </w:rPr>
        <w:t>免職四種。此外，實務上，尚有訓告、嚴重注意等處分。</w:t>
      </w:r>
    </w:p>
    <w:p>
      <w:pPr>
        <w:spacing w:line="305" w:lineRule="exact" w:before="0"/>
        <w:ind w:left="866" w:right="0" w:firstLine="0"/>
        <w:jc w:val="left"/>
        <w:rPr>
          <w:sz w:val="24"/>
        </w:rPr>
      </w:pPr>
      <w:r>
        <w:rPr>
          <w:spacing w:val="9"/>
          <w:w w:val="95"/>
          <w:sz w:val="24"/>
        </w:rPr>
        <w:t>在實務上 </w:t>
      </w:r>
      <w:r>
        <w:rPr>
          <w:spacing w:val="-13"/>
          <w:w w:val="75"/>
          <w:sz w:val="24"/>
        </w:rPr>
        <w:t>， </w:t>
      </w:r>
      <w:r>
        <w:rPr>
          <w:spacing w:val="1"/>
          <w:w w:val="95"/>
          <w:sz w:val="24"/>
        </w:rPr>
        <w:t>日 本 京都地方法院於 </w:t>
      </w:r>
      <w:r>
        <w:rPr>
          <w:rFonts w:ascii="Times New Roman" w:eastAsia="Times New Roman"/>
          <w:w w:val="95"/>
          <w:sz w:val="30"/>
        </w:rPr>
        <w:t>1976</w:t>
      </w:r>
      <w:r>
        <w:rPr>
          <w:rFonts w:ascii="Times New Roman" w:eastAsia="Times New Roman"/>
          <w:spacing w:val="18"/>
          <w:w w:val="95"/>
          <w:sz w:val="30"/>
        </w:rPr>
        <w:t> </w:t>
      </w:r>
      <w:r>
        <w:rPr>
          <w:spacing w:val="-11"/>
          <w:w w:val="95"/>
          <w:sz w:val="24"/>
        </w:rPr>
        <w:t>年 </w:t>
      </w:r>
      <w:r>
        <w:rPr>
          <w:rFonts w:ascii="Times New Roman" w:eastAsia="Times New Roman"/>
          <w:w w:val="95"/>
          <w:sz w:val="30"/>
        </w:rPr>
        <w:t>2</w:t>
      </w:r>
      <w:r>
        <w:rPr>
          <w:rFonts w:ascii="Times New Roman" w:eastAsia="Times New Roman"/>
          <w:spacing w:val="41"/>
          <w:w w:val="95"/>
          <w:sz w:val="30"/>
        </w:rPr>
        <w:t> </w:t>
      </w:r>
      <w:r>
        <w:rPr>
          <w:spacing w:val="-1"/>
          <w:w w:val="95"/>
          <w:sz w:val="25"/>
        </w:rPr>
        <w:t>月 </w:t>
      </w:r>
      <w:r>
        <w:rPr>
          <w:rFonts w:ascii="Times New Roman" w:eastAsia="Times New Roman"/>
          <w:w w:val="95"/>
          <w:sz w:val="30"/>
        </w:rPr>
        <w:t>17</w:t>
      </w:r>
      <w:r>
        <w:rPr>
          <w:rFonts w:ascii="Times New Roman" w:eastAsia="Times New Roman"/>
          <w:spacing w:val="26"/>
          <w:w w:val="95"/>
          <w:sz w:val="30"/>
        </w:rPr>
        <w:t> </w:t>
      </w:r>
      <w:r>
        <w:rPr>
          <w:spacing w:val="21"/>
          <w:w w:val="95"/>
          <w:sz w:val="24"/>
        </w:rPr>
        <w:t>日作 出之判決</w:t>
      </w:r>
      <w:r>
        <w:rPr>
          <w:rFonts w:ascii="Times New Roman" w:eastAsia="Times New Roman"/>
          <w:w w:val="75"/>
          <w:sz w:val="15"/>
        </w:rPr>
        <w:t>1</w:t>
      </w:r>
      <w:r>
        <w:rPr>
          <w:rFonts w:ascii="Times New Roman" w:eastAsia="Times New Roman"/>
          <w:spacing w:val="11"/>
          <w:w w:val="75"/>
          <w:sz w:val="15"/>
        </w:rPr>
        <w:t> </w:t>
      </w:r>
      <w:r>
        <w:rPr>
          <w:rFonts w:ascii="Times New Roman" w:eastAsia="Times New Roman"/>
          <w:w w:val="75"/>
          <w:sz w:val="15"/>
        </w:rPr>
        <w:t>23</w:t>
      </w:r>
      <w:r>
        <w:rPr>
          <w:rFonts w:ascii="Times New Roman" w:eastAsia="Times New Roman"/>
          <w:spacing w:val="7"/>
          <w:w w:val="75"/>
          <w:sz w:val="15"/>
        </w:rPr>
        <w:t> </w:t>
      </w:r>
      <w:r>
        <w:rPr>
          <w:spacing w:val="8"/>
          <w:w w:val="95"/>
          <w:sz w:val="24"/>
        </w:rPr>
        <w:t>中 </w:t>
      </w:r>
      <w:r>
        <w:rPr>
          <w:w w:val="75"/>
          <w:sz w:val="24"/>
        </w:rPr>
        <w:t>，</w:t>
      </w:r>
    </w:p>
    <w:p>
      <w:pPr>
        <w:spacing w:line="343" w:lineRule="auto" w:before="142"/>
        <w:ind w:left="306" w:right="495" w:hanging="7"/>
        <w:jc w:val="both"/>
        <w:rPr>
          <w:sz w:val="24"/>
        </w:rPr>
      </w:pPr>
      <w:r>
        <w:rPr>
          <w:w w:val="115"/>
          <w:sz w:val="24"/>
        </w:rPr>
        <w:t>指出「懲戒處分和訓告處分之差異，在於前者為一種制裁，後者為拉揮監督上之具體措施，由於其並非基於處分事由或形式所作成者，因此，本件訓告處分雖有和懲戒處分同一事由，雖然是以和懲戒處分同樣，是以交付</w:t>
      </w:r>
    </w:p>
    <w:p>
      <w:pPr>
        <w:pStyle w:val="BodyText"/>
        <w:spacing w:before="11"/>
        <w:rPr>
          <w:sz w:val="27"/>
        </w:rPr>
      </w:pPr>
      <w:r>
        <w:rPr/>
        <w:pict>
          <v:shape style="position:absolute;margin-left:95.174004pt;margin-top:20.054735pt;width:144.25pt;height:.1pt;mso-position-horizontal-relative:page;mso-position-vertical-relative:paragraph;z-index:-15586304;mso-wrap-distance-left:0;mso-wrap-distance-right:0" coordorigin="1903,401" coordsize="2885,0" path="m1903,401l4788,401e" filled="false" stroked="true" strokeweight=".480547pt" strokecolor="#000000">
            <v:path arrowok="t"/>
            <v:stroke dashstyle="solid"/>
            <w10:wrap type="topAndBottom"/>
          </v:shape>
        </w:pict>
      </w:r>
    </w:p>
    <w:p>
      <w:pPr>
        <w:pStyle w:val="BodyText"/>
        <w:spacing w:before="10"/>
        <w:rPr>
          <w:sz w:val="7"/>
        </w:rPr>
      </w:pPr>
    </w:p>
    <w:p>
      <w:pPr>
        <w:spacing w:before="89"/>
        <w:ind w:left="298" w:right="0" w:firstLine="0"/>
        <w:jc w:val="left"/>
        <w:rPr>
          <w:sz w:val="22"/>
        </w:rPr>
      </w:pPr>
      <w:r>
        <w:rPr>
          <w:rFonts w:ascii="Times New Roman" w:eastAsia="Times New Roman"/>
          <w:w w:val="85"/>
          <w:position w:val="7"/>
          <w:sz w:val="13"/>
        </w:rPr>
        <w:t>121</w:t>
      </w:r>
      <w:r>
        <w:rPr>
          <w:rFonts w:ascii="Times New Roman" w:eastAsia="Times New Roman"/>
          <w:spacing w:val="25"/>
          <w:w w:val="85"/>
          <w:position w:val="7"/>
          <w:sz w:val="13"/>
        </w:rPr>
        <w:t> </w:t>
      </w:r>
      <w:r>
        <w:rPr>
          <w:spacing w:val="8"/>
          <w:w w:val="85"/>
          <w:sz w:val="21"/>
        </w:rPr>
        <w:t>塩野宏 ，行 政 法 </w:t>
      </w:r>
      <w:r>
        <w:rPr>
          <w:rFonts w:ascii="Times New Roman" w:eastAsia="Times New Roman"/>
          <w:w w:val="85"/>
          <w:sz w:val="24"/>
        </w:rPr>
        <w:t>II</w:t>
      </w:r>
      <w:r>
        <w:rPr>
          <w:rFonts w:ascii="Times New Roman" w:eastAsia="Times New Roman"/>
          <w:spacing w:val="-5"/>
          <w:w w:val="85"/>
          <w:sz w:val="24"/>
        </w:rPr>
        <w:t> </w:t>
      </w:r>
      <w:r>
        <w:rPr>
          <w:spacing w:val="1"/>
          <w:w w:val="85"/>
          <w:sz w:val="21"/>
        </w:rPr>
        <w:t>行 政救济法 ， 第 </w:t>
      </w:r>
      <w:r>
        <w:rPr>
          <w:rFonts w:ascii="Times New Roman" w:eastAsia="Times New Roman"/>
          <w:w w:val="85"/>
          <w:sz w:val="26"/>
        </w:rPr>
        <w:t>4</w:t>
      </w:r>
      <w:r>
        <w:rPr>
          <w:rFonts w:ascii="Times New Roman" w:eastAsia="Times New Roman"/>
          <w:spacing w:val="34"/>
          <w:w w:val="85"/>
          <w:sz w:val="26"/>
        </w:rPr>
        <w:t> </w:t>
      </w:r>
      <w:r>
        <w:rPr>
          <w:spacing w:val="1"/>
          <w:w w:val="85"/>
          <w:sz w:val="21"/>
        </w:rPr>
        <w:t>版 ， 有斐閣 ， </w:t>
      </w:r>
      <w:r>
        <w:rPr>
          <w:rFonts w:ascii="Times New Roman" w:eastAsia="Times New Roman"/>
          <w:w w:val="85"/>
          <w:sz w:val="26"/>
        </w:rPr>
        <w:t>2006</w:t>
      </w:r>
      <w:r>
        <w:rPr>
          <w:rFonts w:ascii="Times New Roman" w:eastAsia="Times New Roman"/>
          <w:spacing w:val="8"/>
          <w:w w:val="85"/>
          <w:sz w:val="26"/>
        </w:rPr>
        <w:t> </w:t>
      </w:r>
      <w:r>
        <w:rPr>
          <w:w w:val="85"/>
          <w:sz w:val="21"/>
        </w:rPr>
        <w:t>年 ，</w:t>
      </w:r>
      <w:r>
        <w:rPr>
          <w:rFonts w:ascii="Times New Roman" w:eastAsia="Times New Roman"/>
          <w:w w:val="85"/>
          <w:sz w:val="26"/>
        </w:rPr>
        <w:t>266-</w:t>
      </w:r>
      <w:r>
        <w:rPr>
          <w:rFonts w:ascii="Times New Roman" w:eastAsia="Times New Roman"/>
          <w:spacing w:val="50"/>
          <w:w w:val="85"/>
          <w:sz w:val="26"/>
        </w:rPr>
        <w:t> </w:t>
      </w:r>
      <w:r>
        <w:rPr>
          <w:rFonts w:ascii="Times New Roman" w:eastAsia="Times New Roman"/>
          <w:w w:val="85"/>
          <w:sz w:val="26"/>
        </w:rPr>
        <w:t>267</w:t>
      </w:r>
      <w:r>
        <w:rPr>
          <w:rFonts w:ascii="Times New Roman" w:eastAsia="Times New Roman"/>
          <w:spacing w:val="4"/>
          <w:w w:val="85"/>
          <w:sz w:val="26"/>
        </w:rPr>
        <w:t> </w:t>
      </w:r>
      <w:r>
        <w:rPr>
          <w:spacing w:val="3"/>
          <w:w w:val="85"/>
          <w:sz w:val="22"/>
        </w:rPr>
        <w:t>頁 。</w:t>
      </w:r>
    </w:p>
    <w:p>
      <w:pPr>
        <w:spacing w:before="8"/>
        <w:ind w:left="298" w:right="0" w:firstLine="0"/>
        <w:jc w:val="left"/>
        <w:rPr>
          <w:sz w:val="22"/>
        </w:rPr>
      </w:pPr>
      <w:r>
        <w:rPr>
          <w:rFonts w:ascii="Times New Roman" w:eastAsia="Times New Roman"/>
          <w:w w:val="85"/>
          <w:position w:val="7"/>
          <w:sz w:val="13"/>
        </w:rPr>
        <w:t>122  </w:t>
      </w:r>
      <w:r>
        <w:rPr>
          <w:spacing w:val="2"/>
          <w:w w:val="85"/>
          <w:sz w:val="21"/>
        </w:rPr>
        <w:t>吉野夏己 ，行 政 救 济法 ， 成文堂 ， </w:t>
      </w:r>
      <w:r>
        <w:rPr>
          <w:rFonts w:ascii="Times New Roman" w:eastAsia="Times New Roman"/>
          <w:w w:val="85"/>
          <w:sz w:val="26"/>
        </w:rPr>
        <w:t>2009</w:t>
      </w:r>
      <w:r>
        <w:rPr>
          <w:rFonts w:ascii="Times New Roman" w:eastAsia="Times New Roman"/>
          <w:spacing w:val="7"/>
          <w:w w:val="85"/>
          <w:sz w:val="26"/>
        </w:rPr>
        <w:t> </w:t>
      </w:r>
      <w:r>
        <w:rPr>
          <w:w w:val="85"/>
          <w:sz w:val="21"/>
        </w:rPr>
        <w:t>年 ，</w:t>
      </w:r>
      <w:r>
        <w:rPr>
          <w:rFonts w:ascii="Times New Roman" w:eastAsia="Times New Roman"/>
          <w:w w:val="85"/>
          <w:sz w:val="26"/>
        </w:rPr>
        <w:t>255</w:t>
      </w:r>
      <w:r>
        <w:rPr>
          <w:rFonts w:ascii="Times New Roman" w:eastAsia="Times New Roman"/>
          <w:spacing w:val="2"/>
          <w:w w:val="85"/>
          <w:sz w:val="26"/>
        </w:rPr>
        <w:t> </w:t>
      </w:r>
      <w:r>
        <w:rPr>
          <w:spacing w:val="2"/>
          <w:w w:val="85"/>
          <w:sz w:val="22"/>
        </w:rPr>
        <w:t>頁 。</w:t>
      </w:r>
    </w:p>
    <w:p>
      <w:pPr>
        <w:spacing w:before="8"/>
        <w:ind w:left="298" w:right="0" w:firstLine="0"/>
        <w:jc w:val="left"/>
        <w:rPr>
          <w:sz w:val="22"/>
        </w:rPr>
      </w:pPr>
      <w:r>
        <w:rPr>
          <w:rFonts w:ascii="Times New Roman" w:eastAsia="Times New Roman"/>
          <w:w w:val="90"/>
          <w:position w:val="8"/>
          <w:sz w:val="13"/>
        </w:rPr>
        <w:t>123</w:t>
      </w:r>
      <w:r>
        <w:rPr>
          <w:rFonts w:ascii="Times New Roman" w:eastAsia="Times New Roman"/>
          <w:spacing w:val="34"/>
          <w:position w:val="8"/>
          <w:sz w:val="13"/>
        </w:rPr>
        <w:t> </w:t>
      </w:r>
      <w:r>
        <w:rPr>
          <w:spacing w:val="-3"/>
          <w:w w:val="90"/>
          <w:sz w:val="21"/>
        </w:rPr>
        <w:t>京都 地判</w:t>
      </w:r>
      <w:r>
        <w:rPr>
          <w:rFonts w:ascii="Times New Roman" w:eastAsia="Times New Roman"/>
          <w:w w:val="90"/>
          <w:sz w:val="26"/>
        </w:rPr>
        <w:t>1976</w:t>
      </w:r>
      <w:r>
        <w:rPr>
          <w:spacing w:val="11"/>
          <w:w w:val="90"/>
          <w:sz w:val="21"/>
        </w:rPr>
        <w:t>年</w:t>
      </w:r>
      <w:r>
        <w:rPr>
          <w:rFonts w:ascii="Times New Roman" w:eastAsia="Times New Roman"/>
          <w:w w:val="90"/>
          <w:sz w:val="26"/>
        </w:rPr>
        <w:t>2</w:t>
      </w:r>
      <w:r>
        <w:rPr>
          <w:rFonts w:ascii="Times New Roman" w:eastAsia="Times New Roman"/>
          <w:spacing w:val="-29"/>
          <w:w w:val="90"/>
          <w:sz w:val="26"/>
        </w:rPr>
        <w:t> </w:t>
      </w:r>
      <w:r>
        <w:rPr>
          <w:spacing w:val="22"/>
          <w:w w:val="90"/>
          <w:sz w:val="21"/>
        </w:rPr>
        <w:t>月</w:t>
      </w:r>
      <w:r>
        <w:rPr>
          <w:rFonts w:ascii="Times New Roman" w:eastAsia="Times New Roman"/>
          <w:w w:val="90"/>
          <w:sz w:val="26"/>
        </w:rPr>
        <w:t>17</w:t>
      </w:r>
      <w:r>
        <w:rPr>
          <w:spacing w:val="23"/>
          <w:w w:val="90"/>
          <w:sz w:val="21"/>
        </w:rPr>
        <w:t>日 ，行 集</w:t>
      </w:r>
      <w:r>
        <w:rPr>
          <w:rFonts w:ascii="Times New Roman" w:eastAsia="Times New Roman"/>
          <w:spacing w:val="10"/>
          <w:w w:val="90"/>
          <w:sz w:val="26"/>
        </w:rPr>
        <w:t>27</w:t>
      </w:r>
      <w:r>
        <w:rPr>
          <w:w w:val="90"/>
          <w:sz w:val="22"/>
        </w:rPr>
        <w:t>卷</w:t>
      </w:r>
      <w:r>
        <w:rPr>
          <w:rFonts w:ascii="Times New Roman" w:eastAsia="Times New Roman"/>
          <w:spacing w:val="14"/>
          <w:w w:val="90"/>
          <w:sz w:val="26"/>
        </w:rPr>
        <w:t>2</w:t>
      </w:r>
      <w:r>
        <w:rPr>
          <w:spacing w:val="2"/>
          <w:w w:val="90"/>
          <w:sz w:val="21"/>
        </w:rPr>
        <w:t>芳 ，</w:t>
      </w:r>
      <w:r>
        <w:rPr>
          <w:rFonts w:ascii="Times New Roman" w:eastAsia="Times New Roman"/>
          <w:w w:val="90"/>
          <w:sz w:val="26"/>
        </w:rPr>
        <w:t>177</w:t>
      </w:r>
      <w:r>
        <w:rPr>
          <w:spacing w:val="2"/>
          <w:w w:val="90"/>
          <w:sz w:val="22"/>
        </w:rPr>
        <w:t>頁 。</w:t>
      </w:r>
    </w:p>
    <w:p>
      <w:pPr>
        <w:spacing w:after="0"/>
        <w:jc w:val="left"/>
        <w:rPr>
          <w:sz w:val="22"/>
        </w:rPr>
        <w:sectPr>
          <w:headerReference w:type="default" r:id="rId517"/>
          <w:footerReference w:type="default" r:id="rId518"/>
          <w:pgSz w:w="11910" w:h="16840"/>
          <w:pgMar w:header="862" w:footer="1017" w:top="1060" w:bottom="1200" w:left="1120" w:right="1060"/>
        </w:sectPr>
      </w:pPr>
    </w:p>
    <w:p>
      <w:pPr>
        <w:pStyle w:val="BodyText"/>
        <w:spacing w:before="8"/>
        <w:rPr>
          <w:sz w:val="29"/>
        </w:rPr>
      </w:pPr>
    </w:p>
    <w:p>
      <w:pPr>
        <w:spacing w:line="333" w:lineRule="auto" w:before="67"/>
        <w:ind w:left="307" w:right="532" w:firstLine="12"/>
        <w:jc w:val="both"/>
        <w:rPr>
          <w:sz w:val="24"/>
        </w:rPr>
      </w:pPr>
      <w:r>
        <w:rPr>
          <w:w w:val="115"/>
          <w:sz w:val="24"/>
        </w:rPr>
        <w:t>書面之形式作成，不過，並不能將此當成懲戒。懲戒處分其主要目的被理解為，在於對違反職務者加以制裁，其內容本身，在制度上，是有對被懲</w:t>
      </w:r>
      <w:r>
        <w:rPr>
          <w:w w:val="110"/>
          <w:sz w:val="24"/>
        </w:rPr>
        <w:t>戒者加以物質上、精神上之不利益</w:t>
      </w:r>
      <w:r>
        <w:rPr>
          <w:rFonts w:ascii="Times New Roman" w:hAnsi="Times New Roman" w:eastAsia="Times New Roman"/>
          <w:spacing w:val="10"/>
          <w:w w:val="110"/>
          <w:position w:val="-3"/>
          <w:sz w:val="28"/>
        </w:rPr>
        <w:t>…… </w:t>
      </w:r>
      <w:r>
        <w:rPr>
          <w:w w:val="110"/>
          <w:sz w:val="24"/>
        </w:rPr>
        <w:t>然而本件訓告處分，卻不具有懲戒</w:t>
      </w:r>
      <w:r>
        <w:rPr>
          <w:w w:val="115"/>
          <w:sz w:val="24"/>
        </w:rPr>
        <w:t>處分實質作用。」</w:t>
      </w:r>
    </w:p>
    <w:p>
      <w:pPr>
        <w:pStyle w:val="Heading6"/>
        <w:spacing w:before="91"/>
        <w:ind w:left="757" w:right="549"/>
        <w:jc w:val="center"/>
        <w:rPr>
          <w:rFonts w:ascii="SimSun" w:eastAsia="SimSun" w:hint="eastAsia"/>
        </w:rPr>
      </w:pPr>
      <w:r>
        <w:rPr>
          <w:rFonts w:ascii="SimSun" w:eastAsia="SimSun" w:hint="eastAsia"/>
        </w:rPr>
        <w:t>三保曄請求才植</w:t>
      </w:r>
    </w:p>
    <w:p>
      <w:pPr>
        <w:pStyle w:val="BodyText"/>
        <w:spacing w:before="5"/>
        <w:rPr>
          <w:sz w:val="31"/>
        </w:rPr>
      </w:pPr>
    </w:p>
    <w:p>
      <w:pPr>
        <w:spacing w:before="1"/>
        <w:ind w:left="0" w:right="149" w:firstLine="0"/>
        <w:jc w:val="center"/>
        <w:rPr>
          <w:sz w:val="24"/>
        </w:rPr>
      </w:pPr>
      <w:r>
        <w:rPr>
          <w:w w:val="115"/>
          <w:sz w:val="24"/>
        </w:rPr>
        <w:t>（一）人事行政機關</w:t>
      </w:r>
    </w:p>
    <w:p>
      <w:pPr>
        <w:pStyle w:val="BodyText"/>
        <w:spacing w:before="7"/>
        <w:rPr>
          <w:sz w:val="21"/>
        </w:rPr>
      </w:pPr>
    </w:p>
    <w:p>
      <w:pPr>
        <w:spacing w:line="314" w:lineRule="auto" w:before="1"/>
        <w:ind w:left="313" w:right="534" w:firstLine="562"/>
        <w:jc w:val="both"/>
        <w:rPr>
          <w:sz w:val="24"/>
        </w:rPr>
      </w:pPr>
      <w:r>
        <w:rPr>
          <w:spacing w:val="9"/>
          <w:w w:val="95"/>
          <w:sz w:val="24"/>
        </w:rPr>
        <w:t>近代國 家之公務員制 度 </w:t>
      </w:r>
      <w:r>
        <w:rPr>
          <w:spacing w:val="2"/>
          <w:w w:val="75"/>
          <w:sz w:val="24"/>
        </w:rPr>
        <w:t>，具 </w:t>
      </w:r>
      <w:r>
        <w:rPr>
          <w:spacing w:val="26"/>
          <w:w w:val="95"/>
          <w:sz w:val="24"/>
        </w:rPr>
        <w:t>有</w:t>
      </w:r>
      <w:r>
        <w:rPr>
          <w:w w:val="95"/>
          <w:sz w:val="24"/>
        </w:rPr>
        <w:t>（</w:t>
      </w:r>
      <w:r>
        <w:rPr>
          <w:spacing w:val="-81"/>
          <w:w w:val="95"/>
          <w:sz w:val="24"/>
        </w:rPr>
        <w:t> </w:t>
      </w:r>
      <w:r>
        <w:rPr>
          <w:rFonts w:ascii="Times New Roman" w:eastAsia="Times New Roman"/>
          <w:w w:val="95"/>
          <w:sz w:val="30"/>
        </w:rPr>
        <w:t>1</w:t>
      </w:r>
      <w:r>
        <w:rPr>
          <w:rFonts w:ascii="Times New Roman" w:eastAsia="Times New Roman"/>
          <w:spacing w:val="-10"/>
          <w:w w:val="95"/>
          <w:sz w:val="30"/>
        </w:rPr>
        <w:t> )</w:t>
      </w:r>
      <w:r>
        <w:rPr>
          <w:rFonts w:ascii="Times New Roman" w:eastAsia="Times New Roman"/>
          <w:spacing w:val="88"/>
          <w:sz w:val="30"/>
        </w:rPr>
        <w:t> </w:t>
      </w:r>
      <w:r>
        <w:rPr>
          <w:spacing w:val="12"/>
          <w:w w:val="95"/>
          <w:sz w:val="24"/>
        </w:rPr>
        <w:t>公務 員 為全體國民之服務 者 </w:t>
      </w:r>
      <w:r>
        <w:rPr>
          <w:spacing w:val="-10"/>
          <w:w w:val="75"/>
          <w:sz w:val="24"/>
        </w:rPr>
        <w:t>， </w:t>
      </w:r>
      <w:r>
        <w:rPr>
          <w:w w:val="95"/>
          <w:sz w:val="24"/>
        </w:rPr>
        <w:t>而</w:t>
      </w:r>
      <w:r>
        <w:rPr>
          <w:spacing w:val="31"/>
          <w:w w:val="90"/>
          <w:sz w:val="24"/>
        </w:rPr>
        <w:t>不是隸屬噹時代之権力者 ，</w:t>
      </w:r>
      <w:r>
        <w:rPr>
          <w:w w:val="90"/>
          <w:sz w:val="24"/>
        </w:rPr>
        <w:t>（</w:t>
      </w:r>
      <w:r>
        <w:rPr>
          <w:rFonts w:ascii="Times New Roman" w:eastAsia="Times New Roman"/>
          <w:w w:val="90"/>
          <w:sz w:val="27"/>
        </w:rPr>
        <w:t>2</w:t>
      </w:r>
      <w:r>
        <w:rPr>
          <w:rFonts w:ascii="Times New Roman" w:eastAsia="Times New Roman"/>
          <w:spacing w:val="22"/>
          <w:w w:val="90"/>
          <w:sz w:val="27"/>
        </w:rPr>
        <w:t> ) </w:t>
      </w:r>
      <w:r>
        <w:rPr>
          <w:spacing w:val="4"/>
          <w:w w:val="90"/>
          <w:sz w:val="24"/>
        </w:rPr>
        <w:t>公務 與 私 生活分離 ，</w:t>
      </w:r>
      <w:r>
        <w:rPr>
          <w:w w:val="90"/>
          <w:sz w:val="24"/>
        </w:rPr>
        <w:t>（</w:t>
      </w:r>
      <w:r>
        <w:rPr>
          <w:rFonts w:ascii="Times New Roman" w:eastAsia="Times New Roman"/>
          <w:w w:val="90"/>
          <w:sz w:val="27"/>
        </w:rPr>
        <w:t>3</w:t>
      </w:r>
      <w:r>
        <w:rPr>
          <w:rFonts w:ascii="Times New Roman" w:eastAsia="Times New Roman"/>
          <w:spacing w:val="10"/>
          <w:w w:val="90"/>
          <w:sz w:val="27"/>
        </w:rPr>
        <w:t> ) </w:t>
      </w:r>
      <w:r>
        <w:rPr>
          <w:spacing w:val="9"/>
          <w:w w:val="90"/>
          <w:sz w:val="24"/>
        </w:rPr>
        <w:t>公務員之 地 位 非</w:t>
      </w:r>
      <w:r>
        <w:rPr>
          <w:spacing w:val="13"/>
          <w:w w:val="95"/>
          <w:sz w:val="24"/>
        </w:rPr>
        <w:t>來自世 襲 ，</w:t>
      </w:r>
      <w:r>
        <w:rPr>
          <w:w w:val="95"/>
          <w:sz w:val="24"/>
        </w:rPr>
        <w:t>（</w:t>
      </w:r>
      <w:r>
        <w:rPr>
          <w:rFonts w:ascii="Times New Roman" w:eastAsia="Times New Roman"/>
          <w:w w:val="95"/>
          <w:sz w:val="31"/>
        </w:rPr>
        <w:t>4</w:t>
      </w:r>
      <w:r>
        <w:rPr>
          <w:w w:val="95"/>
          <w:sz w:val="24"/>
        </w:rPr>
        <w:t>）</w:t>
      </w:r>
      <w:r>
        <w:rPr>
          <w:spacing w:val="2"/>
          <w:w w:val="95"/>
          <w:sz w:val="24"/>
        </w:rPr>
        <w:t>排 除 分 贓 制度以能力本位 為基礎 </w:t>
      </w:r>
      <w:r>
        <w:rPr>
          <w:spacing w:val="28"/>
          <w:w w:val="75"/>
          <w:sz w:val="24"/>
        </w:rPr>
        <w:t>，璀 </w:t>
      </w:r>
      <w:r>
        <w:rPr>
          <w:spacing w:val="18"/>
          <w:w w:val="95"/>
          <w:sz w:val="24"/>
        </w:rPr>
        <w:t>立合理之職務階層制</w:t>
      </w:r>
      <w:r>
        <w:rPr>
          <w:spacing w:val="7"/>
          <w:w w:val="95"/>
          <w:sz w:val="24"/>
        </w:rPr>
        <w:t>度等特 色</w:t>
      </w:r>
      <w:r>
        <w:rPr>
          <w:rFonts w:ascii="Times New Roman" w:eastAsia="Times New Roman"/>
          <w:w w:val="75"/>
          <w:sz w:val="15"/>
        </w:rPr>
        <w:t>1</w:t>
      </w:r>
      <w:r>
        <w:rPr>
          <w:rFonts w:ascii="Times New Roman" w:eastAsia="Times New Roman"/>
          <w:spacing w:val="7"/>
          <w:w w:val="75"/>
          <w:sz w:val="15"/>
        </w:rPr>
        <w:t> </w:t>
      </w:r>
      <w:r>
        <w:rPr>
          <w:rFonts w:ascii="Times New Roman" w:eastAsia="Times New Roman"/>
          <w:w w:val="75"/>
          <w:sz w:val="15"/>
        </w:rPr>
        <w:t>24</w:t>
      </w:r>
      <w:r>
        <w:rPr>
          <w:rFonts w:ascii="Times New Roman" w:eastAsia="Times New Roman"/>
          <w:spacing w:val="14"/>
          <w:w w:val="75"/>
          <w:sz w:val="15"/>
        </w:rPr>
        <w:t> </w:t>
      </w:r>
      <w:r>
        <w:rPr>
          <w:spacing w:val="12"/>
          <w:w w:val="75"/>
          <w:sz w:val="24"/>
        </w:rPr>
        <w:t>。基 於 </w:t>
      </w:r>
      <w:r>
        <w:rPr>
          <w:spacing w:val="6"/>
          <w:w w:val="95"/>
          <w:sz w:val="24"/>
        </w:rPr>
        <w:t>此種宗 旨 </w:t>
      </w:r>
      <w:r>
        <w:rPr>
          <w:spacing w:val="29"/>
          <w:w w:val="75"/>
          <w:sz w:val="24"/>
        </w:rPr>
        <w:t>，人 </w:t>
      </w:r>
      <w:r>
        <w:rPr>
          <w:spacing w:val="5"/>
          <w:w w:val="95"/>
          <w:sz w:val="24"/>
        </w:rPr>
        <w:t>事行政乃由 二 元體系所構成 。</w:t>
      </w:r>
    </w:p>
    <w:p>
      <w:pPr>
        <w:spacing w:line="343" w:lineRule="auto" w:before="63"/>
        <w:ind w:left="307" w:right="479" w:firstLine="573"/>
        <w:jc w:val="left"/>
        <w:rPr>
          <w:sz w:val="24"/>
        </w:rPr>
      </w:pPr>
      <w:r>
        <w:rPr>
          <w:w w:val="115"/>
          <w:sz w:val="24"/>
        </w:rPr>
        <w:t>一方面，有關一般職之公務員之任免，以及日常之業務監等之直接人事管理，由機關首長行使。另方面，為翦保人事行政之政治中立性，進行科學化之人事管，則又設立獨立之人事行政機關。在中央設人事院，在地方則設人事委員會、公平委員會。日本人事院最重要的機能之一為，作為限制公務員勞動基本的代替措施。</w:t>
      </w:r>
    </w:p>
    <w:p>
      <w:pPr>
        <w:spacing w:before="98"/>
        <w:ind w:left="3704" w:right="0" w:firstLine="0"/>
        <w:jc w:val="left"/>
        <w:rPr>
          <w:sz w:val="24"/>
        </w:rPr>
      </w:pPr>
      <w:r>
        <w:rPr>
          <w:w w:val="110"/>
          <w:sz w:val="24"/>
        </w:rPr>
        <w:t>（二）措施要求椎</w:t>
      </w:r>
    </w:p>
    <w:p>
      <w:pPr>
        <w:pStyle w:val="BodyText"/>
        <w:spacing w:before="10"/>
        <w:rPr>
          <w:sz w:val="24"/>
        </w:rPr>
      </w:pPr>
    </w:p>
    <w:p>
      <w:pPr>
        <w:spacing w:line="345" w:lineRule="auto" w:before="0"/>
        <w:ind w:left="303" w:right="494" w:firstLine="563"/>
        <w:jc w:val="both"/>
        <w:rPr>
          <w:sz w:val="24"/>
        </w:rPr>
      </w:pPr>
      <w:r>
        <w:rPr>
          <w:w w:val="115"/>
          <w:sz w:val="24"/>
        </w:rPr>
        <w:t>在日本之公務員法制上，日本公務員有關其勤務條件，一般職國家公務員，可向人事院，一般職地方公務員，可向人事委員會或公平委員會要求當局所應採取之措施。</w:t>
      </w:r>
    </w:p>
    <w:p>
      <w:pPr>
        <w:spacing w:line="294" w:lineRule="exact" w:before="0"/>
        <w:ind w:left="452" w:right="202" w:firstLine="0"/>
        <w:jc w:val="center"/>
        <w:rPr>
          <w:sz w:val="24"/>
        </w:rPr>
      </w:pPr>
      <w:r>
        <w:rPr>
          <w:spacing w:val="-5"/>
          <w:w w:val="95"/>
          <w:sz w:val="24"/>
        </w:rPr>
        <w:t>日 本 最高法院於 </w:t>
      </w:r>
      <w:r>
        <w:rPr>
          <w:rFonts w:ascii="Times New Roman" w:eastAsia="Times New Roman"/>
          <w:w w:val="95"/>
          <w:sz w:val="30"/>
        </w:rPr>
        <w:t>1961</w:t>
      </w:r>
      <w:r>
        <w:rPr>
          <w:rFonts w:ascii="Times New Roman" w:eastAsia="Times New Roman"/>
          <w:spacing w:val="9"/>
          <w:w w:val="95"/>
          <w:sz w:val="30"/>
        </w:rPr>
        <w:t> </w:t>
      </w:r>
      <w:r>
        <w:rPr>
          <w:spacing w:val="-15"/>
          <w:w w:val="95"/>
          <w:sz w:val="24"/>
        </w:rPr>
        <w:t>年 </w:t>
      </w:r>
      <w:r>
        <w:rPr>
          <w:rFonts w:ascii="Times New Roman" w:eastAsia="Times New Roman"/>
          <w:w w:val="95"/>
          <w:sz w:val="30"/>
        </w:rPr>
        <w:t>3</w:t>
      </w:r>
      <w:r>
        <w:rPr>
          <w:rFonts w:ascii="Times New Roman" w:eastAsia="Times New Roman"/>
          <w:spacing w:val="27"/>
          <w:w w:val="95"/>
          <w:sz w:val="30"/>
        </w:rPr>
        <w:t> </w:t>
      </w:r>
      <w:r>
        <w:rPr>
          <w:spacing w:val="2"/>
          <w:w w:val="95"/>
          <w:sz w:val="25"/>
        </w:rPr>
        <w:t>月 </w:t>
      </w:r>
      <w:r>
        <w:rPr>
          <w:rFonts w:ascii="Times New Roman" w:eastAsia="Times New Roman"/>
          <w:w w:val="95"/>
          <w:sz w:val="30"/>
        </w:rPr>
        <w:t>28</w:t>
      </w:r>
      <w:r>
        <w:rPr>
          <w:rFonts w:ascii="Times New Roman" w:eastAsia="Times New Roman"/>
          <w:spacing w:val="28"/>
          <w:w w:val="95"/>
          <w:sz w:val="30"/>
        </w:rPr>
        <w:t> </w:t>
      </w:r>
      <w:r>
        <w:rPr>
          <w:spacing w:val="-11"/>
          <w:w w:val="95"/>
          <w:sz w:val="24"/>
        </w:rPr>
        <w:t>日 之 判決</w:t>
      </w:r>
      <w:r>
        <w:rPr>
          <w:rFonts w:ascii="Times New Roman" w:eastAsia="Times New Roman"/>
          <w:w w:val="75"/>
          <w:sz w:val="15"/>
        </w:rPr>
        <w:t>1</w:t>
      </w:r>
      <w:r>
        <w:rPr>
          <w:rFonts w:ascii="Times New Roman" w:eastAsia="Times New Roman"/>
          <w:spacing w:val="10"/>
          <w:w w:val="75"/>
          <w:sz w:val="15"/>
        </w:rPr>
        <w:t> </w:t>
      </w:r>
      <w:r>
        <w:rPr>
          <w:rFonts w:ascii="Times New Roman" w:eastAsia="Times New Roman"/>
          <w:w w:val="75"/>
          <w:sz w:val="15"/>
        </w:rPr>
        <w:t>25</w:t>
      </w:r>
      <w:r>
        <w:rPr>
          <w:rFonts w:ascii="Times New Roman" w:eastAsia="Times New Roman"/>
          <w:spacing w:val="26"/>
          <w:w w:val="75"/>
          <w:sz w:val="15"/>
        </w:rPr>
        <w:t> </w:t>
      </w:r>
      <w:r>
        <w:rPr>
          <w:w w:val="95"/>
          <w:sz w:val="24"/>
        </w:rPr>
        <w:t>中拉 出 </w:t>
      </w:r>
      <w:r>
        <w:rPr>
          <w:spacing w:val="-26"/>
          <w:w w:val="75"/>
          <w:sz w:val="24"/>
        </w:rPr>
        <w:t>， </w:t>
      </w:r>
      <w:r>
        <w:rPr>
          <w:spacing w:val="20"/>
          <w:w w:val="95"/>
          <w:sz w:val="24"/>
        </w:rPr>
        <w:t>該種立法意旨在</w:t>
      </w:r>
    </w:p>
    <w:p>
      <w:pPr>
        <w:spacing w:line="343" w:lineRule="auto" w:before="141"/>
        <w:ind w:left="306" w:right="496" w:hanging="4"/>
        <w:jc w:val="left"/>
        <w:rPr>
          <w:sz w:val="24"/>
        </w:rPr>
      </w:pPr>
      <w:r>
        <w:rPr>
          <w:w w:val="115"/>
          <w:sz w:val="24"/>
        </w:rPr>
        <w:t>於「為因應地方公務員法排除職員適用工會法，不承認簽訂圍體協約的権利，同時，禁止爭議行為，並阻絕其向勞動委員會罄請救濟之管道，為翦保職員之適正勤務條件，對於職員之勤務條件，乃保障以作為職員之權</w:t>
      </w:r>
      <w:r>
        <w:rPr>
          <w:spacing w:val="1"/>
          <w:w w:val="115"/>
          <w:sz w:val="24"/>
        </w:rPr>
        <w:t> </w:t>
      </w:r>
      <w:r>
        <w:rPr>
          <w:w w:val="115"/>
          <w:sz w:val="24"/>
        </w:rPr>
        <w:t>利，或是法律上之利益，保障其得向人事委員會或公平委員會要求做出適法之判定」。</w:t>
      </w:r>
    </w:p>
    <w:p>
      <w:pPr>
        <w:pStyle w:val="BodyText"/>
        <w:rPr>
          <w:sz w:val="20"/>
        </w:rPr>
      </w:pPr>
    </w:p>
    <w:p>
      <w:pPr>
        <w:pStyle w:val="BodyText"/>
        <w:rPr>
          <w:sz w:val="20"/>
        </w:rPr>
      </w:pPr>
    </w:p>
    <w:p>
      <w:pPr>
        <w:pStyle w:val="BodyText"/>
        <w:rPr>
          <w:sz w:val="20"/>
        </w:rPr>
      </w:pPr>
    </w:p>
    <w:p>
      <w:pPr>
        <w:pStyle w:val="BodyText"/>
        <w:spacing w:before="10"/>
        <w:rPr>
          <w:sz w:val="26"/>
        </w:rPr>
      </w:pPr>
      <w:r>
        <w:rPr/>
        <w:pict>
          <v:shape style="position:absolute;margin-left:95.174004pt;margin-top:19.357346pt;width:144.25pt;height:.1pt;mso-position-horizontal-relative:page;mso-position-vertical-relative:paragraph;z-index:-15585792;mso-wrap-distance-left:0;mso-wrap-distance-right:0" coordorigin="1903,387" coordsize="2885,0" path="m1903,387l4788,387e" filled="false" stroked="true" strokeweight=".480547pt" strokecolor="#000000">
            <v:path arrowok="t"/>
            <v:stroke dashstyle="solid"/>
            <w10:wrap type="topAndBottom"/>
          </v:shape>
        </w:pict>
      </w:r>
    </w:p>
    <w:p>
      <w:pPr>
        <w:pStyle w:val="BodyText"/>
        <w:spacing w:before="5"/>
        <w:rPr>
          <w:sz w:val="7"/>
        </w:rPr>
      </w:pPr>
    </w:p>
    <w:p>
      <w:pPr>
        <w:spacing w:after="0"/>
        <w:rPr>
          <w:sz w:val="7"/>
        </w:rPr>
        <w:sectPr>
          <w:pgSz w:w="11910" w:h="16840"/>
          <w:pgMar w:header="862" w:footer="1017" w:top="1060" w:bottom="1200" w:left="1120" w:right="1060"/>
        </w:sectPr>
      </w:pPr>
    </w:p>
    <w:p>
      <w:pPr>
        <w:pStyle w:val="BodyText"/>
        <w:rPr>
          <w:sz w:val="11"/>
        </w:rPr>
      </w:pPr>
    </w:p>
    <w:p>
      <w:pPr>
        <w:spacing w:before="0"/>
        <w:ind w:left="298" w:right="0" w:firstLine="0"/>
        <w:jc w:val="left"/>
        <w:rPr>
          <w:rFonts w:ascii="Times New Roman"/>
          <w:sz w:val="13"/>
        </w:rPr>
      </w:pPr>
      <w:r>
        <w:rPr>
          <w:rFonts w:ascii="Times New Roman"/>
          <w:sz w:val="13"/>
        </w:rPr>
        <w:t>124</w:t>
      </w:r>
    </w:p>
    <w:p>
      <w:pPr>
        <w:spacing w:before="90"/>
        <w:ind w:left="74" w:right="0" w:firstLine="0"/>
        <w:jc w:val="left"/>
        <w:rPr>
          <w:rFonts w:ascii="Times New Roman" w:eastAsia="Times New Roman"/>
          <w:sz w:val="26"/>
        </w:rPr>
      </w:pPr>
      <w:r>
        <w:rPr/>
        <w:br w:type="column"/>
      </w:r>
      <w:r>
        <w:rPr>
          <w:spacing w:val="-2"/>
          <w:w w:val="90"/>
          <w:sz w:val="21"/>
        </w:rPr>
        <w:t>塩野宏 ， 前揭書 ，註 </w:t>
      </w:r>
      <w:r>
        <w:rPr>
          <w:rFonts w:ascii="Times New Roman" w:eastAsia="Times New Roman"/>
          <w:w w:val="90"/>
          <w:sz w:val="26"/>
        </w:rPr>
        <w:t>1,5</w:t>
      </w:r>
    </w:p>
    <w:p>
      <w:pPr>
        <w:spacing w:before="90"/>
        <w:ind w:left="203" w:right="0" w:firstLine="0"/>
        <w:jc w:val="left"/>
        <w:rPr>
          <w:sz w:val="22"/>
        </w:rPr>
      </w:pPr>
      <w:r>
        <w:rPr/>
        <w:br w:type="column"/>
      </w:r>
      <w:r>
        <w:rPr>
          <w:rFonts w:ascii="Times New Roman" w:eastAsia="Times New Roman"/>
          <w:w w:val="85"/>
          <w:sz w:val="26"/>
        </w:rPr>
        <w:t>230</w:t>
      </w:r>
      <w:r>
        <w:rPr>
          <w:rFonts w:ascii="Times New Roman" w:eastAsia="Times New Roman"/>
          <w:spacing w:val="-3"/>
          <w:w w:val="85"/>
          <w:sz w:val="26"/>
        </w:rPr>
        <w:t> </w:t>
      </w:r>
      <w:r>
        <w:rPr>
          <w:spacing w:val="-1"/>
          <w:w w:val="85"/>
          <w:sz w:val="22"/>
        </w:rPr>
        <w:t>頁 。</w:t>
      </w:r>
    </w:p>
    <w:p>
      <w:pPr>
        <w:spacing w:after="0"/>
        <w:jc w:val="left"/>
        <w:rPr>
          <w:sz w:val="22"/>
        </w:rPr>
        <w:sectPr>
          <w:type w:val="continuous"/>
          <w:pgSz w:w="11910" w:h="16840"/>
          <w:pgMar w:top="1020" w:bottom="280" w:left="1120" w:right="1060"/>
          <w:cols w:num="3" w:equalWidth="0">
            <w:col w:w="494" w:space="40"/>
            <w:col w:w="2477" w:space="39"/>
            <w:col w:w="6680"/>
          </w:cols>
        </w:sectPr>
      </w:pPr>
    </w:p>
    <w:p>
      <w:pPr>
        <w:spacing w:before="17"/>
        <w:ind w:left="298" w:right="0" w:firstLine="0"/>
        <w:jc w:val="left"/>
        <w:rPr>
          <w:sz w:val="22"/>
        </w:rPr>
      </w:pPr>
      <w:r>
        <w:rPr>
          <w:rFonts w:ascii="Times New Roman" w:eastAsia="Times New Roman"/>
          <w:w w:val="90"/>
          <w:position w:val="8"/>
          <w:sz w:val="13"/>
        </w:rPr>
        <w:t>125</w:t>
      </w:r>
      <w:r>
        <w:rPr>
          <w:rFonts w:ascii="Times New Roman" w:eastAsia="Times New Roman"/>
          <w:spacing w:val="31"/>
          <w:position w:val="8"/>
          <w:sz w:val="13"/>
        </w:rPr>
        <w:t> </w:t>
      </w:r>
      <w:r>
        <w:rPr>
          <w:spacing w:val="7"/>
          <w:w w:val="90"/>
          <w:sz w:val="23"/>
        </w:rPr>
        <w:t>最判</w:t>
      </w:r>
      <w:r>
        <w:rPr>
          <w:rFonts w:ascii="Times New Roman" w:eastAsia="Times New Roman"/>
          <w:w w:val="90"/>
          <w:sz w:val="26"/>
        </w:rPr>
        <w:t>1961</w:t>
      </w:r>
      <w:r>
        <w:rPr>
          <w:w w:val="90"/>
          <w:sz w:val="21"/>
        </w:rPr>
        <w:t>年</w:t>
      </w:r>
      <w:r>
        <w:rPr>
          <w:rFonts w:ascii="Times New Roman" w:eastAsia="Times New Roman"/>
          <w:spacing w:val="11"/>
          <w:w w:val="90"/>
          <w:sz w:val="26"/>
        </w:rPr>
        <w:t>3</w:t>
      </w:r>
      <w:r>
        <w:rPr>
          <w:spacing w:val="-24"/>
          <w:w w:val="90"/>
          <w:sz w:val="21"/>
        </w:rPr>
        <w:t>月 </w:t>
      </w:r>
      <w:r>
        <w:rPr>
          <w:rFonts w:ascii="Times New Roman" w:eastAsia="Times New Roman"/>
          <w:w w:val="90"/>
          <w:sz w:val="26"/>
        </w:rPr>
        <w:t>28</w:t>
      </w:r>
      <w:r>
        <w:rPr>
          <w:spacing w:val="23"/>
          <w:w w:val="90"/>
          <w:sz w:val="21"/>
        </w:rPr>
        <w:t>日 ，民 集</w:t>
      </w:r>
      <w:r>
        <w:rPr>
          <w:rFonts w:ascii="Times New Roman" w:eastAsia="Times New Roman"/>
          <w:w w:val="90"/>
          <w:sz w:val="26"/>
        </w:rPr>
        <w:t>15</w:t>
      </w:r>
      <w:r>
        <w:rPr>
          <w:w w:val="90"/>
          <w:sz w:val="22"/>
        </w:rPr>
        <w:t>卷</w:t>
      </w:r>
      <w:r>
        <w:rPr>
          <w:rFonts w:ascii="Times New Roman" w:eastAsia="Times New Roman"/>
          <w:w w:val="90"/>
          <w:sz w:val="26"/>
        </w:rPr>
        <w:t>3</w:t>
      </w:r>
      <w:r>
        <w:rPr>
          <w:spacing w:val="10"/>
          <w:w w:val="90"/>
          <w:sz w:val="22"/>
        </w:rPr>
        <w:t>芳</w:t>
      </w:r>
      <w:r>
        <w:rPr>
          <w:rFonts w:ascii="Times New Roman" w:eastAsia="Times New Roman"/>
          <w:w w:val="90"/>
          <w:sz w:val="26"/>
        </w:rPr>
        <w:t>595</w:t>
      </w:r>
      <w:r>
        <w:rPr>
          <w:spacing w:val="4"/>
          <w:w w:val="90"/>
          <w:sz w:val="22"/>
        </w:rPr>
        <w:t>頁 。</w:t>
      </w:r>
    </w:p>
    <w:p>
      <w:pPr>
        <w:spacing w:after="0"/>
        <w:jc w:val="left"/>
        <w:rPr>
          <w:sz w:val="22"/>
        </w:rPr>
        <w:sectPr>
          <w:type w:val="continuous"/>
          <w:pgSz w:w="11910" w:h="16840"/>
          <w:pgMar w:top="1020" w:bottom="280" w:left="1120" w:right="1060"/>
        </w:sectPr>
      </w:pPr>
    </w:p>
    <w:p>
      <w:pPr>
        <w:pStyle w:val="BodyText"/>
        <w:rPr>
          <w:sz w:val="20"/>
        </w:rPr>
      </w:pPr>
    </w:p>
    <w:p>
      <w:pPr>
        <w:pStyle w:val="BodyText"/>
        <w:spacing w:before="1"/>
        <w:rPr>
          <w:sz w:val="16"/>
        </w:rPr>
      </w:pPr>
    </w:p>
    <w:p>
      <w:pPr>
        <w:pStyle w:val="BodyText"/>
        <w:spacing w:before="65"/>
        <w:ind w:right="2971"/>
        <w:jc w:val="right"/>
      </w:pPr>
      <w:r>
        <w:rPr>
          <w:w w:val="110"/>
        </w:rPr>
        <w:t>（三）對不利益虞分之不服申訴</w:t>
      </w:r>
    </w:p>
    <w:p>
      <w:pPr>
        <w:pStyle w:val="BodyText"/>
        <w:spacing w:before="2"/>
        <w:rPr>
          <w:sz w:val="24"/>
        </w:rPr>
      </w:pPr>
    </w:p>
    <w:p>
      <w:pPr>
        <w:pStyle w:val="BodyText"/>
        <w:spacing w:line="321" w:lineRule="auto"/>
        <w:ind w:left="305" w:right="526" w:firstLine="579"/>
        <w:rPr>
          <w:rFonts w:ascii="Arial" w:eastAsia="Arial"/>
          <w:sz w:val="8"/>
        </w:rPr>
      </w:pPr>
      <w:r>
        <w:rPr/>
        <w:t>日本公務員對於違反其意志之分限、懲戒等不利益處分，可向人事     </w:t>
      </w:r>
      <w:r>
        <w:rPr>
          <w:spacing w:val="71"/>
        </w:rPr>
        <w:t> </w:t>
      </w:r>
      <w:r>
        <w:rPr/>
        <w:t>院、人事委員會或公平委員會等，獨立之人事行機關，依日本行政不服審    </w:t>
      </w:r>
      <w:r>
        <w:rPr>
          <w:spacing w:val="20"/>
        </w:rPr>
        <w:t> </w:t>
      </w:r>
      <w:r>
        <w:rPr>
          <w:spacing w:val="12"/>
          <w:w w:val="90"/>
        </w:rPr>
        <w:t>查法 </w:t>
      </w:r>
      <w:r>
        <w:rPr>
          <w:w w:val="75"/>
        </w:rPr>
        <w:t>，提</w:t>
      </w:r>
      <w:r>
        <w:rPr>
          <w:spacing w:val="74"/>
        </w:rPr>
        <w:t> </w:t>
      </w:r>
      <w:r>
        <w:rPr>
          <w:spacing w:val="9"/>
          <w:w w:val="90"/>
        </w:rPr>
        <w:t>超申訴鹵 </w:t>
      </w:r>
      <w:r>
        <w:rPr>
          <w:w w:val="75"/>
        </w:rPr>
        <w:t>，採</w:t>
      </w:r>
      <w:r>
        <w:rPr>
          <w:spacing w:val="80"/>
        </w:rPr>
        <w:t> </w:t>
      </w:r>
      <w:r>
        <w:rPr>
          <w:spacing w:val="28"/>
          <w:w w:val="90"/>
        </w:rPr>
        <w:t>不服申訴前置主義</w:t>
      </w:r>
      <w:r>
        <w:rPr>
          <w:rFonts w:ascii="Times New Roman" w:eastAsia="Times New Roman"/>
          <w:w w:val="75"/>
          <w:sz w:val="15"/>
        </w:rPr>
        <w:t>1</w:t>
      </w:r>
      <w:r>
        <w:rPr>
          <w:rFonts w:ascii="Times New Roman" w:eastAsia="Times New Roman"/>
          <w:spacing w:val="11"/>
          <w:w w:val="75"/>
          <w:sz w:val="15"/>
        </w:rPr>
        <w:t> </w:t>
      </w:r>
      <w:r>
        <w:rPr>
          <w:rFonts w:ascii="Times New Roman" w:eastAsia="Times New Roman"/>
          <w:w w:val="75"/>
          <w:sz w:val="15"/>
        </w:rPr>
        <w:t>27</w:t>
      </w:r>
      <w:r>
        <w:rPr>
          <w:rFonts w:ascii="Times New Roman" w:eastAsia="Times New Roman"/>
          <w:spacing w:val="23"/>
          <w:sz w:val="15"/>
        </w:rPr>
        <w:t>   </w:t>
      </w:r>
      <w:r>
        <w:rPr>
          <w:rFonts w:ascii="Arial" w:eastAsia="Arial"/>
          <w:sz w:val="8"/>
        </w:rPr>
        <w:t>0</w:t>
      </w:r>
    </w:p>
    <w:p>
      <w:pPr>
        <w:tabs>
          <w:tab w:pos="4050" w:val="left" w:leader="none"/>
        </w:tabs>
        <w:spacing w:before="94"/>
        <w:ind w:left="2617" w:right="0" w:firstLine="0"/>
        <w:jc w:val="left"/>
        <w:rPr>
          <w:sz w:val="28"/>
        </w:rPr>
      </w:pPr>
      <w:bookmarkStart w:name="_bookmark34" w:id="35"/>
      <w:bookmarkEnd w:id="35"/>
      <w:r>
        <w:rPr/>
      </w:r>
      <w:r>
        <w:rPr>
          <w:w w:val="110"/>
          <w:sz w:val="30"/>
        </w:rPr>
        <w:t>第二節</w:t>
        <w:tab/>
      </w:r>
      <w:r>
        <w:rPr>
          <w:w w:val="110"/>
          <w:sz w:val="28"/>
        </w:rPr>
        <w:t>日本之人事行政機關</w:t>
      </w:r>
    </w:p>
    <w:p>
      <w:pPr>
        <w:pStyle w:val="BodyText"/>
        <w:spacing w:before="9"/>
        <w:rPr>
          <w:sz w:val="28"/>
        </w:rPr>
      </w:pPr>
    </w:p>
    <w:p>
      <w:pPr>
        <w:pStyle w:val="BodyText"/>
        <w:ind w:right="3018"/>
        <w:jc w:val="right"/>
      </w:pPr>
      <w:r>
        <w:rPr>
          <w:w w:val="115"/>
        </w:rPr>
        <w:t>一人事行政機關的基本樣態</w:t>
      </w:r>
    </w:p>
    <w:p>
      <w:pPr>
        <w:pStyle w:val="BodyText"/>
        <w:spacing w:before="1"/>
        <w:rPr>
          <w:sz w:val="24"/>
        </w:rPr>
      </w:pPr>
    </w:p>
    <w:p>
      <w:pPr>
        <w:pStyle w:val="BodyText"/>
        <w:spacing w:line="328" w:lineRule="auto"/>
        <w:ind w:left="306" w:right="518" w:firstLine="558"/>
        <w:jc w:val="both"/>
      </w:pPr>
      <w:r>
        <w:rPr>
          <w:w w:val="110"/>
        </w:rPr>
        <w:t>於日本之公務員法制中，如何界定公務員之範圍以及人事行政機關組織之基本樣態，為同樣之重要問題。人事行政範圍非常魔泛，諸如對個別公務員的職務監督，日常人事管理，以至任用、懲戒、對處分不服之申訴審查，機關內部規則之制定等。因此，在人事行政機關維織之架構上，未必只限於單一之組織體。</w:t>
      </w:r>
    </w:p>
    <w:p>
      <w:pPr>
        <w:pStyle w:val="BodyText"/>
        <w:spacing w:line="328" w:lineRule="auto" w:before="7"/>
        <w:ind w:left="313" w:right="512" w:firstLine="561"/>
        <w:jc w:val="both"/>
      </w:pPr>
      <w:r>
        <w:rPr>
          <w:w w:val="110"/>
        </w:rPr>
        <w:t>不過，一般而言，人事行政處在確保政治的中立性外，為能以科學方式進行人事管理，以有對直接從事職務監督以外之人員，賦予其適度之權限，以及確保人事行政專門性之必要。</w:t>
      </w:r>
    </w:p>
    <w:p>
      <w:pPr>
        <w:pStyle w:val="BodyText"/>
        <w:spacing w:before="5"/>
        <w:ind w:left="872"/>
      </w:pPr>
      <w:r>
        <w:rPr>
          <w:w w:val="110"/>
        </w:rPr>
        <w:t>就上述觀點而言，學說上指出，日本之公務員人事制度，有以下之特</w:t>
      </w:r>
    </w:p>
    <w:p>
      <w:pPr>
        <w:spacing w:before="51"/>
        <w:ind w:left="311" w:right="0" w:firstLine="0"/>
        <w:jc w:val="left"/>
        <w:rPr>
          <w:rFonts w:ascii="Arial" w:eastAsia="Arial"/>
          <w:sz w:val="8"/>
        </w:rPr>
      </w:pPr>
      <w:r>
        <w:rPr>
          <w:sz w:val="23"/>
        </w:rPr>
        <w:t>點</w:t>
      </w:r>
      <w:r>
        <w:rPr>
          <w:rFonts w:ascii="Times New Roman" w:eastAsia="Times New Roman"/>
          <w:w w:val="70"/>
          <w:sz w:val="15"/>
        </w:rPr>
        <w:t>1</w:t>
      </w:r>
      <w:r>
        <w:rPr>
          <w:rFonts w:ascii="Times New Roman" w:eastAsia="Times New Roman"/>
          <w:spacing w:val="4"/>
          <w:w w:val="70"/>
          <w:sz w:val="15"/>
        </w:rPr>
        <w:t> </w:t>
      </w:r>
      <w:r>
        <w:rPr>
          <w:rFonts w:ascii="Times New Roman" w:eastAsia="Times New Roman"/>
          <w:w w:val="70"/>
          <w:sz w:val="15"/>
        </w:rPr>
        <w:t>2</w:t>
      </w:r>
      <w:r>
        <w:rPr>
          <w:rFonts w:ascii="Times New Roman" w:eastAsia="Times New Roman"/>
          <w:spacing w:val="19"/>
          <w:w w:val="70"/>
          <w:sz w:val="15"/>
        </w:rPr>
        <w:t> </w:t>
      </w:r>
      <w:r>
        <w:rPr>
          <w:rFonts w:ascii="Times New Roman" w:eastAsia="Times New Roman"/>
          <w:sz w:val="15"/>
        </w:rPr>
        <w:t>8</w:t>
      </w:r>
      <w:r>
        <w:rPr>
          <w:rFonts w:ascii="Times New Roman" w:eastAsia="Times New Roman"/>
          <w:spacing w:val="30"/>
          <w:sz w:val="15"/>
        </w:rPr>
        <w:t> </w:t>
      </w:r>
      <w:r>
        <w:rPr>
          <w:rFonts w:ascii="Arial" w:eastAsia="Arial"/>
          <w:sz w:val="8"/>
        </w:rPr>
        <w:t>0</w:t>
      </w:r>
    </w:p>
    <w:p>
      <w:pPr>
        <w:pStyle w:val="BodyText"/>
        <w:spacing w:before="6"/>
        <w:rPr>
          <w:rFonts w:ascii="Arial"/>
          <w:sz w:val="18"/>
        </w:rPr>
      </w:pPr>
    </w:p>
    <w:p>
      <w:pPr>
        <w:pStyle w:val="BodyText"/>
        <w:spacing w:line="302" w:lineRule="auto" w:before="1"/>
        <w:ind w:left="310" w:right="522" w:firstLine="547"/>
        <w:jc w:val="both"/>
        <w:rPr>
          <w:rFonts w:ascii="Arial" w:hAnsi="Arial" w:eastAsia="Arial"/>
          <w:sz w:val="8"/>
        </w:rPr>
      </w:pPr>
      <w:r>
        <w:rPr>
          <w:rFonts w:ascii="MS UI Gothic" w:hAnsi="MS UI Gothic" w:eastAsia="MS UI Gothic" w:hint="eastAsia"/>
          <w:position w:val="-2"/>
          <w:sz w:val="28"/>
        </w:rPr>
        <w:t>①</w:t>
      </w:r>
      <w:r>
        <w:rPr/>
        <w:t>個別公務員之任免、勤務監督等之直接人事管理，在中央由日本中   </w:t>
      </w:r>
      <w:r>
        <w:rPr>
          <w:spacing w:val="72"/>
        </w:rPr>
        <w:t> </w:t>
      </w:r>
      <w:r>
        <w:rPr/>
        <w:t>央部 會之各省 、各廳的首長行使該種職權</w:t>
      </w:r>
      <w:r>
        <w:rPr>
          <w:rFonts w:ascii="Times New Roman" w:hAnsi="Times New Roman" w:eastAsia="Times New Roman"/>
          <w:w w:val="75"/>
          <w:sz w:val="15"/>
        </w:rPr>
        <w:t>1</w:t>
      </w:r>
      <w:r>
        <w:rPr>
          <w:rFonts w:ascii="Times New Roman" w:hAnsi="Times New Roman" w:eastAsia="Times New Roman"/>
          <w:spacing w:val="7"/>
          <w:w w:val="75"/>
          <w:sz w:val="15"/>
        </w:rPr>
        <w:t> </w:t>
      </w:r>
      <w:r>
        <w:rPr>
          <w:rFonts w:ascii="Times New Roman" w:hAnsi="Times New Roman" w:eastAsia="Times New Roman"/>
          <w:w w:val="75"/>
          <w:sz w:val="15"/>
        </w:rPr>
        <w:t>29</w:t>
      </w:r>
      <w:r>
        <w:rPr>
          <w:rFonts w:ascii="Times New Roman" w:hAnsi="Times New Roman" w:eastAsia="Times New Roman"/>
          <w:spacing w:val="22"/>
          <w:w w:val="75"/>
          <w:sz w:val="15"/>
        </w:rPr>
        <w:t> </w:t>
      </w:r>
      <w:r>
        <w:rPr>
          <w:spacing w:val="-9"/>
          <w:w w:val="75"/>
        </w:rPr>
        <w:t>。 </w:t>
      </w:r>
      <w:r>
        <w:rPr>
          <w:spacing w:val="12"/>
        </w:rPr>
        <w:t>在地方自 治圍體則由知事丶</w:t>
      </w:r>
      <w:r>
        <w:rPr>
          <w:spacing w:val="14"/>
        </w:rPr>
        <w:t>市町村長行使該種權限</w:t>
      </w:r>
      <w:r>
        <w:rPr>
          <w:rFonts w:ascii="Times New Roman" w:hAnsi="Times New Roman" w:eastAsia="Times New Roman"/>
          <w:w w:val="75"/>
          <w:sz w:val="15"/>
        </w:rPr>
        <w:t>1</w:t>
      </w:r>
      <w:r>
        <w:rPr>
          <w:rFonts w:ascii="Times New Roman" w:hAnsi="Times New Roman" w:eastAsia="Times New Roman"/>
          <w:spacing w:val="5"/>
          <w:w w:val="75"/>
          <w:sz w:val="15"/>
        </w:rPr>
        <w:t> </w:t>
      </w:r>
      <w:r>
        <w:rPr>
          <w:rFonts w:ascii="Times New Roman" w:hAnsi="Times New Roman" w:eastAsia="Times New Roman"/>
          <w:w w:val="75"/>
          <w:sz w:val="15"/>
        </w:rPr>
        <w:t>30</w:t>
      </w:r>
      <w:r>
        <w:rPr>
          <w:rFonts w:ascii="Times New Roman" w:hAnsi="Times New Roman" w:eastAsia="Times New Roman"/>
          <w:spacing w:val="21"/>
          <w:w w:val="75"/>
          <w:sz w:val="15"/>
        </w:rPr>
        <w:t> </w:t>
      </w:r>
      <w:r>
        <w:rPr>
          <w:rFonts w:ascii="Arial" w:hAnsi="Arial" w:eastAsia="Arial"/>
          <w:sz w:val="8"/>
        </w:rPr>
        <w:t>0</w:t>
      </w:r>
    </w:p>
    <w:p>
      <w:pPr>
        <w:pStyle w:val="BodyText"/>
        <w:spacing w:line="316" w:lineRule="auto" w:before="62"/>
        <w:ind w:left="302" w:right="504" w:firstLine="555"/>
        <w:jc w:val="both"/>
      </w:pPr>
      <w:r>
        <w:rPr>
          <w:rFonts w:ascii="MS UI Gothic" w:hAnsi="MS UI Gothic" w:eastAsia="MS UI Gothic" w:hint="eastAsia"/>
          <w:spacing w:val="22"/>
          <w:position w:val="-2"/>
          <w:sz w:val="28"/>
        </w:rPr>
        <w:t>②</w:t>
      </w:r>
      <w:r>
        <w:rPr/>
        <w:t>為達成人事行政之政治中立性、科學方式之人事管理，日本設置了   </w:t>
      </w:r>
      <w:r>
        <w:rPr>
          <w:spacing w:val="68"/>
        </w:rPr>
        <w:t> </w:t>
      </w:r>
      <w:r>
        <w:rPr/>
        <w:t>獨立之人事行政機關。此種獨立機關，又可區分為中央和地方兩個層級。    </w:t>
      </w:r>
      <w:r>
        <w:rPr>
          <w:spacing w:val="30"/>
        </w:rPr>
        <w:t> </w:t>
      </w:r>
      <w:r>
        <w:rPr>
          <w:spacing w:val="18"/>
          <w:w w:val="95"/>
        </w:rPr>
        <w:t>在中央層級之機關為人事院</w:t>
      </w:r>
      <w:r>
        <w:rPr>
          <w:rFonts w:ascii="Times New Roman" w:hAnsi="Times New Roman" w:eastAsia="Times New Roman"/>
          <w:w w:val="70"/>
          <w:sz w:val="15"/>
        </w:rPr>
        <w:t>1</w:t>
      </w:r>
      <w:r>
        <w:rPr>
          <w:rFonts w:ascii="Times New Roman" w:hAnsi="Times New Roman" w:eastAsia="Times New Roman"/>
          <w:spacing w:val="20"/>
          <w:w w:val="70"/>
          <w:sz w:val="15"/>
        </w:rPr>
        <w:t> </w:t>
      </w:r>
      <w:r>
        <w:rPr>
          <w:rFonts w:ascii="Times New Roman" w:hAnsi="Times New Roman" w:eastAsia="Times New Roman"/>
          <w:w w:val="70"/>
          <w:sz w:val="15"/>
        </w:rPr>
        <w:t>31</w:t>
      </w:r>
      <w:r>
        <w:rPr>
          <w:rFonts w:ascii="Times New Roman" w:hAnsi="Times New Roman" w:eastAsia="Times New Roman"/>
          <w:spacing w:val="10"/>
          <w:w w:val="70"/>
          <w:sz w:val="15"/>
        </w:rPr>
        <w:t> </w:t>
      </w:r>
      <w:r>
        <w:rPr>
          <w:spacing w:val="23"/>
          <w:w w:val="70"/>
        </w:rPr>
        <w:t>、 </w:t>
      </w:r>
      <w:r>
        <w:rPr>
          <w:spacing w:val="15"/>
          <w:w w:val="95"/>
        </w:rPr>
        <w:t>在地方自 治團體層級則為 </w:t>
      </w:r>
      <w:r>
        <w:rPr>
          <w:spacing w:val="-10"/>
          <w:w w:val="70"/>
        </w:rPr>
        <w:t>， </w:t>
      </w:r>
      <w:r>
        <w:rPr>
          <w:spacing w:val="17"/>
          <w:w w:val="95"/>
        </w:rPr>
        <w:t>人事委員會 或</w:t>
      </w:r>
      <w:r>
        <w:rPr>
          <w:spacing w:val="6"/>
          <w:w w:val="95"/>
        </w:rPr>
        <w:t>公平委員 會</w:t>
      </w:r>
      <w:r>
        <w:rPr>
          <w:rFonts w:ascii="Times New Roman" w:hAnsi="Times New Roman" w:eastAsia="Times New Roman"/>
          <w:w w:val="70"/>
          <w:sz w:val="15"/>
        </w:rPr>
        <w:t>1</w:t>
      </w:r>
      <w:r>
        <w:rPr>
          <w:rFonts w:ascii="Times New Roman" w:hAnsi="Times New Roman" w:eastAsia="Times New Roman"/>
          <w:spacing w:val="16"/>
          <w:w w:val="70"/>
          <w:sz w:val="15"/>
        </w:rPr>
        <w:t> </w:t>
      </w:r>
      <w:r>
        <w:rPr>
          <w:rFonts w:ascii="Times New Roman" w:hAnsi="Times New Roman" w:eastAsia="Times New Roman"/>
          <w:w w:val="70"/>
          <w:sz w:val="15"/>
        </w:rPr>
        <w:t>32</w:t>
      </w:r>
      <w:r>
        <w:rPr>
          <w:rFonts w:ascii="Times New Roman" w:hAnsi="Times New Roman" w:eastAsia="Times New Roman"/>
          <w:spacing w:val="14"/>
          <w:w w:val="70"/>
          <w:sz w:val="15"/>
        </w:rPr>
        <w:t> </w:t>
      </w:r>
      <w:r>
        <w:rPr>
          <w:spacing w:val="4"/>
          <w:w w:val="70"/>
        </w:rPr>
        <w:t>。 </w:t>
      </w:r>
      <w:r>
        <w:rPr>
          <w:spacing w:val="3"/>
          <w:w w:val="95"/>
        </w:rPr>
        <w:t>上述日 本之人事行政機關 </w:t>
      </w:r>
      <w:r>
        <w:rPr>
          <w:spacing w:val="-10"/>
          <w:w w:val="70"/>
        </w:rPr>
        <w:t>， </w:t>
      </w:r>
      <w:r>
        <w:rPr>
          <w:spacing w:val="12"/>
          <w:w w:val="95"/>
        </w:rPr>
        <w:t>自行 政維織法之一般論 而言 </w:t>
      </w:r>
      <w:r>
        <w:rPr>
          <w:w w:val="70"/>
        </w:rPr>
        <w:t>，</w:t>
      </w:r>
    </w:p>
    <w:p>
      <w:pPr>
        <w:pStyle w:val="BodyText"/>
        <w:rPr>
          <w:sz w:val="20"/>
        </w:rPr>
      </w:pPr>
    </w:p>
    <w:p>
      <w:pPr>
        <w:pStyle w:val="BodyText"/>
        <w:spacing w:before="7"/>
        <w:rPr>
          <w:sz w:val="15"/>
        </w:rPr>
      </w:pPr>
      <w:r>
        <w:rPr/>
        <w:pict>
          <v:shape style="position:absolute;margin-left:95.174004pt;margin-top:12.31461pt;width:144.25pt;height:.1pt;mso-position-horizontal-relative:page;mso-position-vertical-relative:paragraph;z-index:-15585280;mso-wrap-distance-left:0;mso-wrap-distance-right:0" coordorigin="1903,246" coordsize="2885,0" path="m1903,246l4788,246e" filled="false" stroked="true" strokeweight=".720821pt" strokecolor="#000000">
            <v:path arrowok="t"/>
            <v:stroke dashstyle="solid"/>
            <w10:wrap type="topAndBottom"/>
          </v:shape>
        </w:pict>
      </w:r>
    </w:p>
    <w:p>
      <w:pPr>
        <w:pStyle w:val="BodyText"/>
        <w:spacing w:before="7"/>
        <w:rPr>
          <w:sz w:val="7"/>
        </w:rPr>
      </w:pPr>
    </w:p>
    <w:p>
      <w:pPr>
        <w:spacing w:before="89"/>
        <w:ind w:left="298" w:right="0" w:firstLine="0"/>
        <w:jc w:val="left"/>
        <w:rPr>
          <w:sz w:val="24"/>
        </w:rPr>
      </w:pPr>
      <w:r>
        <w:rPr>
          <w:rFonts w:ascii="Times New Roman" w:eastAsia="Times New Roman"/>
          <w:w w:val="90"/>
          <w:position w:val="8"/>
          <w:sz w:val="13"/>
        </w:rPr>
        <w:t>126</w:t>
      </w:r>
      <w:r>
        <w:rPr>
          <w:rFonts w:ascii="Times New Roman" w:eastAsia="Times New Roman"/>
          <w:spacing w:val="15"/>
          <w:w w:val="90"/>
          <w:position w:val="8"/>
          <w:sz w:val="13"/>
        </w:rPr>
        <w:t> </w:t>
      </w:r>
      <w:r>
        <w:rPr>
          <w:spacing w:val="15"/>
          <w:w w:val="90"/>
          <w:sz w:val="21"/>
        </w:rPr>
        <w:t>日本 國公法</w:t>
      </w:r>
      <w:r>
        <w:rPr>
          <w:rFonts w:ascii="Times New Roman" w:eastAsia="Times New Roman"/>
          <w:w w:val="90"/>
          <w:sz w:val="26"/>
        </w:rPr>
        <w:t>90</w:t>
      </w:r>
      <w:r>
        <w:rPr>
          <w:spacing w:val="-18"/>
          <w:w w:val="90"/>
          <w:sz w:val="21"/>
        </w:rPr>
        <w:t>條 </w:t>
      </w:r>
      <w:r>
        <w:rPr>
          <w:rFonts w:ascii="Times New Roman" w:eastAsia="Times New Roman"/>
          <w:w w:val="90"/>
          <w:sz w:val="26"/>
        </w:rPr>
        <w:t>1</w:t>
      </w:r>
      <w:r>
        <w:rPr>
          <w:spacing w:val="7"/>
          <w:w w:val="90"/>
          <w:sz w:val="21"/>
        </w:rPr>
        <w:t>項 ，地 公 法</w:t>
      </w:r>
      <w:r>
        <w:rPr>
          <w:rFonts w:ascii="Times New Roman" w:eastAsia="Times New Roman"/>
          <w:w w:val="90"/>
          <w:sz w:val="26"/>
        </w:rPr>
        <w:t>49</w:t>
      </w:r>
      <w:r>
        <w:rPr>
          <w:spacing w:val="-17"/>
          <w:w w:val="90"/>
          <w:sz w:val="21"/>
        </w:rPr>
        <w:t>條 之 </w:t>
      </w:r>
      <w:r>
        <w:rPr>
          <w:rFonts w:ascii="Times New Roman" w:eastAsia="Times New Roman"/>
          <w:w w:val="90"/>
          <w:sz w:val="26"/>
        </w:rPr>
        <w:t>2</w:t>
      </w:r>
      <w:r>
        <w:rPr>
          <w:rFonts w:ascii="Times New Roman" w:eastAsia="Times New Roman"/>
          <w:spacing w:val="-28"/>
          <w:w w:val="90"/>
          <w:sz w:val="26"/>
        </w:rPr>
        <w:t> </w:t>
      </w:r>
      <w:r>
        <w:rPr>
          <w:spacing w:val="19"/>
          <w:w w:val="90"/>
          <w:sz w:val="21"/>
        </w:rPr>
        <w:t>第</w:t>
      </w:r>
      <w:r>
        <w:rPr>
          <w:rFonts w:ascii="Times New Roman" w:eastAsia="Times New Roman"/>
          <w:w w:val="90"/>
          <w:sz w:val="26"/>
        </w:rPr>
        <w:t>1</w:t>
      </w:r>
      <w:r>
        <w:rPr>
          <w:w w:val="90"/>
          <w:sz w:val="21"/>
        </w:rPr>
        <w:t>項</w:t>
      </w:r>
      <w:r>
        <w:rPr>
          <w:spacing w:val="107"/>
          <w:sz w:val="21"/>
        </w:rPr>
        <w:t> </w:t>
      </w:r>
      <w:r>
        <w:rPr>
          <w:w w:val="90"/>
          <w:sz w:val="24"/>
        </w:rPr>
        <w:t>。</w:t>
      </w:r>
    </w:p>
    <w:p>
      <w:pPr>
        <w:spacing w:before="3"/>
        <w:ind w:left="298" w:right="0" w:firstLine="0"/>
        <w:jc w:val="left"/>
        <w:rPr>
          <w:sz w:val="24"/>
        </w:rPr>
      </w:pPr>
      <w:r>
        <w:rPr>
          <w:rFonts w:ascii="Times New Roman" w:eastAsia="Times New Roman"/>
          <w:w w:val="90"/>
          <w:position w:val="8"/>
          <w:sz w:val="13"/>
        </w:rPr>
        <w:t>127</w:t>
      </w:r>
      <w:r>
        <w:rPr>
          <w:rFonts w:ascii="Times New Roman" w:eastAsia="Times New Roman"/>
          <w:spacing w:val="26"/>
          <w:w w:val="90"/>
          <w:position w:val="8"/>
          <w:sz w:val="13"/>
        </w:rPr>
        <w:t> </w:t>
      </w:r>
      <w:r>
        <w:rPr>
          <w:spacing w:val="17"/>
          <w:w w:val="90"/>
          <w:sz w:val="21"/>
        </w:rPr>
        <w:t>日本 國公法</w:t>
      </w:r>
      <w:r>
        <w:rPr>
          <w:rFonts w:ascii="Times New Roman" w:eastAsia="Times New Roman"/>
          <w:w w:val="90"/>
          <w:sz w:val="26"/>
        </w:rPr>
        <w:t>92</w:t>
      </w:r>
      <w:r>
        <w:rPr>
          <w:spacing w:val="-7"/>
          <w:w w:val="90"/>
          <w:sz w:val="21"/>
        </w:rPr>
        <w:t>之 </w:t>
      </w:r>
      <w:r>
        <w:rPr>
          <w:rFonts w:ascii="Times New Roman" w:eastAsia="Times New Roman"/>
          <w:w w:val="90"/>
          <w:sz w:val="26"/>
        </w:rPr>
        <w:t>2</w:t>
      </w:r>
      <w:r>
        <w:rPr>
          <w:rFonts w:ascii="Times New Roman" w:eastAsia="Times New Roman"/>
          <w:spacing w:val="25"/>
          <w:w w:val="90"/>
          <w:sz w:val="26"/>
        </w:rPr>
        <w:t> '</w:t>
      </w:r>
      <w:r>
        <w:rPr>
          <w:rFonts w:ascii="Times New Roman" w:eastAsia="Times New Roman"/>
          <w:spacing w:val="68"/>
          <w:sz w:val="26"/>
        </w:rPr>
        <w:t> </w:t>
      </w:r>
      <w:r>
        <w:rPr>
          <w:spacing w:val="-7"/>
          <w:w w:val="90"/>
          <w:sz w:val="21"/>
        </w:rPr>
        <w:t>地 公 法</w:t>
      </w:r>
      <w:r>
        <w:rPr>
          <w:rFonts w:ascii="Times New Roman" w:eastAsia="Times New Roman"/>
          <w:w w:val="90"/>
          <w:sz w:val="26"/>
        </w:rPr>
        <w:t>51</w:t>
      </w:r>
      <w:r>
        <w:rPr>
          <w:spacing w:val="-4"/>
          <w:w w:val="90"/>
          <w:sz w:val="21"/>
        </w:rPr>
        <w:t>條之 </w:t>
      </w:r>
      <w:r>
        <w:rPr>
          <w:rFonts w:ascii="Times New Roman" w:eastAsia="Times New Roman"/>
          <w:w w:val="90"/>
          <w:sz w:val="26"/>
        </w:rPr>
        <w:t>2</w:t>
      </w:r>
      <w:r>
        <w:rPr>
          <w:rFonts w:ascii="Times New Roman" w:eastAsia="Times New Roman"/>
          <w:spacing w:val="13"/>
          <w:w w:val="90"/>
          <w:sz w:val="26"/>
        </w:rPr>
        <w:t> </w:t>
      </w:r>
      <w:r>
        <w:rPr>
          <w:w w:val="90"/>
          <w:sz w:val="24"/>
        </w:rPr>
        <w:t>。</w:t>
      </w:r>
    </w:p>
    <w:p>
      <w:pPr>
        <w:spacing w:after="0"/>
        <w:jc w:val="left"/>
        <w:rPr>
          <w:sz w:val="24"/>
        </w:rPr>
        <w:sectPr>
          <w:pgSz w:w="11910" w:h="16840"/>
          <w:pgMar w:header="862" w:footer="1017" w:top="1060" w:bottom="1200" w:left="1120" w:right="1060"/>
        </w:sectPr>
      </w:pPr>
    </w:p>
    <w:p>
      <w:pPr>
        <w:spacing w:before="47"/>
        <w:ind w:left="298" w:right="0" w:firstLine="0"/>
        <w:jc w:val="left"/>
        <w:rPr>
          <w:rFonts w:ascii="Times New Roman"/>
          <w:sz w:val="13"/>
        </w:rPr>
      </w:pPr>
      <w:r>
        <w:rPr>
          <w:rFonts w:ascii="Times New Roman"/>
          <w:sz w:val="13"/>
        </w:rPr>
        <w:t>128</w:t>
      </w:r>
    </w:p>
    <w:p>
      <w:pPr>
        <w:spacing w:line="299" w:lineRule="exact" w:before="0"/>
        <w:ind w:left="74" w:right="0" w:firstLine="0"/>
        <w:jc w:val="left"/>
        <w:rPr>
          <w:rFonts w:ascii="Times New Roman" w:eastAsia="Times New Roman"/>
          <w:sz w:val="26"/>
        </w:rPr>
      </w:pPr>
      <w:r>
        <w:rPr/>
        <w:br w:type="column"/>
      </w:r>
      <w:r>
        <w:rPr>
          <w:spacing w:val="-2"/>
          <w:w w:val="90"/>
          <w:sz w:val="21"/>
        </w:rPr>
        <w:t>塩野宏 ， 前揭書 ，註 </w:t>
      </w:r>
      <w:r>
        <w:rPr>
          <w:rFonts w:ascii="Times New Roman" w:eastAsia="Times New Roman"/>
          <w:w w:val="90"/>
          <w:sz w:val="26"/>
        </w:rPr>
        <w:t>1,5</w:t>
      </w:r>
    </w:p>
    <w:p>
      <w:pPr>
        <w:spacing w:line="302" w:lineRule="exact" w:before="0"/>
        <w:ind w:left="203" w:right="0" w:firstLine="0"/>
        <w:jc w:val="left"/>
        <w:rPr>
          <w:sz w:val="22"/>
        </w:rPr>
      </w:pPr>
      <w:r>
        <w:rPr/>
        <w:br w:type="column"/>
      </w:r>
      <w:r>
        <w:rPr>
          <w:rFonts w:ascii="Times New Roman" w:eastAsia="Times New Roman"/>
          <w:w w:val="80"/>
          <w:sz w:val="26"/>
        </w:rPr>
        <w:t>245-</w:t>
      </w:r>
      <w:r>
        <w:rPr>
          <w:rFonts w:ascii="Times New Roman" w:eastAsia="Times New Roman"/>
          <w:spacing w:val="47"/>
          <w:sz w:val="26"/>
        </w:rPr>
        <w:t> </w:t>
      </w:r>
      <w:r>
        <w:rPr>
          <w:rFonts w:ascii="Times New Roman" w:eastAsia="Times New Roman"/>
          <w:w w:val="80"/>
          <w:sz w:val="26"/>
        </w:rPr>
        <w:t>246</w:t>
      </w:r>
      <w:r>
        <w:rPr>
          <w:rFonts w:ascii="Times New Roman" w:eastAsia="Times New Roman"/>
          <w:spacing w:val="10"/>
          <w:w w:val="80"/>
          <w:sz w:val="26"/>
        </w:rPr>
        <w:t> </w:t>
      </w:r>
      <w:r>
        <w:rPr>
          <w:spacing w:val="7"/>
          <w:w w:val="80"/>
          <w:sz w:val="22"/>
        </w:rPr>
        <w:t>頁 。</w:t>
      </w:r>
    </w:p>
    <w:p>
      <w:pPr>
        <w:spacing w:after="0" w:line="302" w:lineRule="exact"/>
        <w:jc w:val="left"/>
        <w:rPr>
          <w:sz w:val="22"/>
        </w:rPr>
        <w:sectPr>
          <w:type w:val="continuous"/>
          <w:pgSz w:w="11910" w:h="16840"/>
          <w:pgMar w:top="1020" w:bottom="280" w:left="1120" w:right="1060"/>
          <w:cols w:num="3" w:equalWidth="0">
            <w:col w:w="494" w:space="40"/>
            <w:col w:w="2477" w:space="39"/>
            <w:col w:w="6680"/>
          </w:cols>
        </w:sectPr>
      </w:pPr>
    </w:p>
    <w:p>
      <w:pPr>
        <w:spacing w:before="59"/>
        <w:ind w:left="298" w:right="0" w:firstLine="0"/>
        <w:jc w:val="left"/>
        <w:rPr>
          <w:rFonts w:ascii="Times New Roman"/>
          <w:sz w:val="13"/>
        </w:rPr>
      </w:pPr>
      <w:r>
        <w:rPr>
          <w:rFonts w:ascii="Times New Roman"/>
          <w:sz w:val="13"/>
        </w:rPr>
        <w:t>129</w:t>
      </w:r>
    </w:p>
    <w:p>
      <w:pPr>
        <w:spacing w:before="7"/>
        <w:ind w:left="85" w:right="0" w:firstLine="0"/>
        <w:jc w:val="left"/>
        <w:rPr>
          <w:rFonts w:ascii="Times New Roman" w:eastAsia="Times New Roman"/>
          <w:sz w:val="26"/>
        </w:rPr>
      </w:pPr>
      <w:r>
        <w:rPr/>
        <w:br w:type="column"/>
      </w:r>
      <w:r>
        <w:rPr>
          <w:spacing w:val="12"/>
          <w:w w:val="90"/>
          <w:sz w:val="21"/>
        </w:rPr>
        <w:t>日本 國公法</w:t>
      </w:r>
      <w:r>
        <w:rPr>
          <w:rFonts w:ascii="Times New Roman" w:eastAsia="Times New Roman"/>
          <w:w w:val="90"/>
          <w:sz w:val="26"/>
        </w:rPr>
        <w:t>5,5</w:t>
      </w:r>
    </w:p>
    <w:p>
      <w:pPr>
        <w:spacing w:before="7"/>
        <w:ind w:left="195" w:right="0" w:firstLine="0"/>
        <w:jc w:val="left"/>
        <w:rPr>
          <w:sz w:val="21"/>
        </w:rPr>
      </w:pPr>
      <w:r>
        <w:rPr/>
        <w:br w:type="column"/>
      </w:r>
      <w:r>
        <w:rPr>
          <w:rFonts w:ascii="Times New Roman" w:eastAsia="Times New Roman"/>
          <w:sz w:val="26"/>
        </w:rPr>
        <w:t>58</w:t>
      </w:r>
      <w:r>
        <w:rPr>
          <w:spacing w:val="-9"/>
          <w:sz w:val="21"/>
        </w:rPr>
        <w:t>條 。</w:t>
      </w:r>
    </w:p>
    <w:p>
      <w:pPr>
        <w:spacing w:after="0"/>
        <w:jc w:val="left"/>
        <w:rPr>
          <w:sz w:val="21"/>
        </w:rPr>
        <w:sectPr>
          <w:type w:val="continuous"/>
          <w:pgSz w:w="11910" w:h="16840"/>
          <w:pgMar w:top="1020" w:bottom="280" w:left="1120" w:right="1060"/>
          <w:cols w:num="3" w:equalWidth="0">
            <w:col w:w="494" w:space="40"/>
            <w:col w:w="1516" w:space="39"/>
            <w:col w:w="7641"/>
          </w:cols>
        </w:sectPr>
      </w:pPr>
    </w:p>
    <w:p>
      <w:pPr>
        <w:spacing w:before="11"/>
        <w:ind w:left="298" w:right="0" w:firstLine="0"/>
        <w:jc w:val="left"/>
        <w:rPr>
          <w:sz w:val="21"/>
        </w:rPr>
      </w:pPr>
      <w:r>
        <w:rPr>
          <w:rFonts w:ascii="Times New Roman" w:eastAsia="Times New Roman"/>
          <w:w w:val="90"/>
          <w:position w:val="7"/>
          <w:sz w:val="13"/>
        </w:rPr>
        <w:t>130</w:t>
      </w:r>
      <w:r>
        <w:rPr>
          <w:rFonts w:ascii="Times New Roman" w:eastAsia="Times New Roman"/>
          <w:spacing w:val="32"/>
          <w:position w:val="7"/>
          <w:sz w:val="13"/>
        </w:rPr>
        <w:t>  </w:t>
      </w:r>
      <w:r>
        <w:rPr>
          <w:spacing w:val="-2"/>
          <w:w w:val="90"/>
          <w:sz w:val="21"/>
        </w:rPr>
        <w:t>日本 地 公 法第</w:t>
      </w:r>
      <w:r>
        <w:rPr>
          <w:rFonts w:ascii="Times New Roman" w:eastAsia="Times New Roman"/>
          <w:w w:val="90"/>
          <w:sz w:val="26"/>
        </w:rPr>
        <w:t>6</w:t>
      </w:r>
      <w:r>
        <w:rPr>
          <w:spacing w:val="10"/>
          <w:w w:val="90"/>
          <w:sz w:val="21"/>
        </w:rPr>
        <w:t>條 。</w:t>
      </w:r>
    </w:p>
    <w:p>
      <w:pPr>
        <w:spacing w:before="11"/>
        <w:ind w:left="298" w:right="0" w:firstLine="0"/>
        <w:jc w:val="left"/>
        <w:rPr>
          <w:sz w:val="21"/>
        </w:rPr>
      </w:pPr>
      <w:r>
        <w:rPr>
          <w:rFonts w:ascii="Times New Roman" w:eastAsia="Times New Roman"/>
          <w:w w:val="95"/>
          <w:position w:val="7"/>
          <w:sz w:val="13"/>
        </w:rPr>
        <w:t>131</w:t>
      </w:r>
      <w:r>
        <w:rPr>
          <w:rFonts w:ascii="Times New Roman" w:eastAsia="Times New Roman"/>
          <w:spacing w:val="86"/>
          <w:position w:val="7"/>
          <w:sz w:val="13"/>
        </w:rPr>
        <w:t> </w:t>
      </w:r>
      <w:r>
        <w:rPr>
          <w:spacing w:val="19"/>
          <w:w w:val="95"/>
          <w:sz w:val="21"/>
        </w:rPr>
        <w:t>日本 國公法第</w:t>
      </w:r>
      <w:r>
        <w:rPr>
          <w:rFonts w:ascii="Times New Roman" w:eastAsia="Times New Roman"/>
          <w:w w:val="95"/>
          <w:sz w:val="26"/>
        </w:rPr>
        <w:t>3</w:t>
      </w:r>
      <w:r>
        <w:rPr>
          <w:spacing w:val="-2"/>
          <w:w w:val="95"/>
          <w:sz w:val="21"/>
        </w:rPr>
        <w:t>條 。</w:t>
      </w:r>
    </w:p>
    <w:p>
      <w:pPr>
        <w:spacing w:before="10"/>
        <w:ind w:left="298" w:right="0" w:firstLine="0"/>
        <w:jc w:val="left"/>
        <w:rPr>
          <w:sz w:val="21"/>
        </w:rPr>
      </w:pPr>
      <w:r>
        <w:rPr>
          <w:rFonts w:ascii="Times New Roman" w:eastAsia="Times New Roman"/>
          <w:w w:val="90"/>
          <w:position w:val="7"/>
          <w:sz w:val="13"/>
        </w:rPr>
        <w:t>132</w:t>
      </w:r>
      <w:r>
        <w:rPr>
          <w:rFonts w:ascii="Times New Roman" w:eastAsia="Times New Roman"/>
          <w:spacing w:val="32"/>
          <w:position w:val="7"/>
          <w:sz w:val="13"/>
        </w:rPr>
        <w:t>  </w:t>
      </w:r>
      <w:r>
        <w:rPr>
          <w:spacing w:val="-1"/>
          <w:w w:val="90"/>
          <w:sz w:val="21"/>
        </w:rPr>
        <w:t>日本 地 公 法第</w:t>
      </w:r>
      <w:r>
        <w:rPr>
          <w:rFonts w:ascii="Times New Roman" w:eastAsia="Times New Roman"/>
          <w:w w:val="90"/>
          <w:sz w:val="26"/>
        </w:rPr>
        <w:t>7</w:t>
      </w:r>
      <w:r>
        <w:rPr>
          <w:spacing w:val="10"/>
          <w:w w:val="90"/>
          <w:sz w:val="21"/>
        </w:rPr>
        <w:t>條 。</w:t>
      </w:r>
    </w:p>
    <w:p>
      <w:pPr>
        <w:spacing w:after="0"/>
        <w:jc w:val="left"/>
        <w:rPr>
          <w:sz w:val="21"/>
        </w:rPr>
        <w:sectPr>
          <w:type w:val="continuous"/>
          <w:pgSz w:w="11910" w:h="16840"/>
          <w:pgMar w:top="1020" w:bottom="280" w:left="1120" w:right="1060"/>
        </w:sectPr>
      </w:pPr>
    </w:p>
    <w:p>
      <w:pPr>
        <w:pStyle w:val="BodyText"/>
        <w:spacing w:before="8"/>
        <w:rPr>
          <w:sz w:val="29"/>
        </w:rPr>
      </w:pPr>
    </w:p>
    <w:p>
      <w:pPr>
        <w:spacing w:line="340" w:lineRule="auto" w:before="67"/>
        <w:ind w:left="310" w:right="559" w:firstLine="9"/>
        <w:jc w:val="left"/>
        <w:rPr>
          <w:sz w:val="24"/>
        </w:rPr>
      </w:pPr>
      <w:r>
        <w:rPr>
          <w:w w:val="115"/>
          <w:sz w:val="24"/>
        </w:rPr>
        <w:t>人事院除為具有實施公務員考試之行政機能外，尚有準立法、準司法功能之行政委員會。</w:t>
      </w:r>
    </w:p>
    <w:p>
      <w:pPr>
        <w:spacing w:line="319" w:lineRule="auto" w:before="6"/>
        <w:ind w:left="306" w:right="419" w:firstLine="551"/>
        <w:jc w:val="left"/>
        <w:rPr>
          <w:sz w:val="24"/>
        </w:rPr>
      </w:pPr>
      <w:r>
        <w:rPr>
          <w:rFonts w:ascii="MS UI Gothic" w:hAnsi="MS UI Gothic" w:eastAsia="MS UI Gothic" w:hint="eastAsia"/>
          <w:spacing w:val="22"/>
          <w:w w:val="115"/>
          <w:position w:val="-3"/>
          <w:sz w:val="28"/>
        </w:rPr>
        <w:t>③</w:t>
      </w:r>
      <w:r>
        <w:rPr>
          <w:w w:val="115"/>
          <w:sz w:val="24"/>
        </w:rPr>
        <w:t>為負起行政之最終責任，日本之內閣總理大臣和人事院，並列為日本之中央人事行政機關，掌理專屬人事院掌管事項以外之，公務員效率丶福利及退撫、服務等事項，並具有為維持人事行政上必要之綜合調整之權</w:t>
      </w:r>
    </w:p>
    <w:p>
      <w:pPr>
        <w:tabs>
          <w:tab w:pos="861" w:val="left" w:leader="none"/>
        </w:tabs>
        <w:spacing w:line="273" w:lineRule="exact" w:before="0"/>
        <w:ind w:left="324" w:right="0" w:firstLine="0"/>
        <w:jc w:val="left"/>
        <w:rPr>
          <w:sz w:val="28"/>
        </w:rPr>
      </w:pPr>
      <w:r>
        <w:rPr>
          <w:sz w:val="22"/>
        </w:rPr>
        <w:t>限</w:t>
      </w:r>
      <w:r>
        <w:rPr>
          <w:rFonts w:ascii="Times New Roman" w:eastAsia="Times New Roman"/>
          <w:w w:val="65"/>
          <w:sz w:val="16"/>
        </w:rPr>
        <w:t>133</w:t>
        <w:tab/>
      </w:r>
      <w:r>
        <w:rPr>
          <w:sz w:val="28"/>
        </w:rPr>
        <w:t>。</w:t>
      </w:r>
    </w:p>
    <w:p>
      <w:pPr>
        <w:pStyle w:val="BodyText"/>
        <w:rPr>
          <w:sz w:val="22"/>
        </w:rPr>
      </w:pPr>
    </w:p>
    <w:p>
      <w:pPr>
        <w:spacing w:before="0"/>
        <w:ind w:left="813" w:right="549" w:firstLine="0"/>
        <w:jc w:val="center"/>
        <w:rPr>
          <w:sz w:val="24"/>
        </w:rPr>
      </w:pPr>
      <w:r>
        <w:rPr>
          <w:w w:val="135"/>
          <w:sz w:val="24"/>
        </w:rPr>
        <w:t>二人事院</w:t>
      </w:r>
    </w:p>
    <w:p>
      <w:pPr>
        <w:pStyle w:val="BodyText"/>
        <w:rPr>
          <w:sz w:val="33"/>
        </w:rPr>
      </w:pPr>
    </w:p>
    <w:p>
      <w:pPr>
        <w:spacing w:before="0"/>
        <w:ind w:left="0" w:right="135" w:firstLine="0"/>
        <w:jc w:val="center"/>
        <w:rPr>
          <w:sz w:val="24"/>
        </w:rPr>
      </w:pPr>
      <w:r>
        <w:rPr>
          <w:w w:val="110"/>
          <w:sz w:val="24"/>
        </w:rPr>
        <w:t>（一）緝織</w:t>
      </w:r>
    </w:p>
    <w:p>
      <w:pPr>
        <w:pStyle w:val="BodyText"/>
        <w:spacing w:before="6"/>
        <w:rPr>
          <w:sz w:val="20"/>
        </w:rPr>
      </w:pPr>
    </w:p>
    <w:p>
      <w:pPr>
        <w:spacing w:line="336" w:lineRule="auto" w:before="0"/>
        <w:ind w:left="317" w:right="539" w:firstLine="565"/>
        <w:jc w:val="both"/>
        <w:rPr>
          <w:rFonts w:ascii="Arial" w:eastAsia="Arial"/>
          <w:sz w:val="8"/>
        </w:rPr>
      </w:pPr>
      <w:r>
        <w:rPr>
          <w:spacing w:val="12"/>
          <w:sz w:val="24"/>
        </w:rPr>
        <w:t>人事院為置於 內閣所管轄之下</w:t>
      </w:r>
      <w:r>
        <w:rPr>
          <w:rFonts w:ascii="Times New Roman" w:eastAsia="Times New Roman"/>
          <w:w w:val="65"/>
          <w:sz w:val="16"/>
        </w:rPr>
        <w:t>13</w:t>
      </w:r>
      <w:r>
        <w:rPr>
          <w:rFonts w:ascii="Times New Roman" w:eastAsia="Times New Roman"/>
          <w:spacing w:val="18"/>
          <w:sz w:val="16"/>
        </w:rPr>
        <w:t> </w:t>
      </w:r>
      <w:r>
        <w:rPr>
          <w:rFonts w:ascii="Times New Roman" w:eastAsia="Times New Roman"/>
          <w:w w:val="65"/>
          <w:sz w:val="16"/>
        </w:rPr>
        <w:t>4</w:t>
      </w:r>
      <w:r>
        <w:rPr>
          <w:rFonts w:ascii="Times New Roman" w:eastAsia="Times New Roman"/>
          <w:spacing w:val="21"/>
          <w:w w:val="65"/>
          <w:sz w:val="16"/>
        </w:rPr>
        <w:t> </w:t>
      </w:r>
      <w:r>
        <w:rPr>
          <w:rFonts w:ascii="Times New Roman" w:eastAsia="Times New Roman"/>
          <w:spacing w:val="37"/>
          <w:sz w:val="16"/>
        </w:rPr>
        <w:t>, </w:t>
      </w:r>
      <w:r>
        <w:rPr>
          <w:spacing w:val="21"/>
          <w:sz w:val="24"/>
        </w:rPr>
        <w:t>由人事官 </w:t>
      </w:r>
      <w:r>
        <w:rPr>
          <w:rFonts w:ascii="Times New Roman" w:eastAsia="Times New Roman"/>
          <w:sz w:val="30"/>
        </w:rPr>
        <w:t>3</w:t>
      </w:r>
      <w:r>
        <w:rPr>
          <w:rFonts w:ascii="Times New Roman" w:eastAsia="Times New Roman"/>
          <w:spacing w:val="-4"/>
          <w:sz w:val="30"/>
        </w:rPr>
        <w:t> </w:t>
      </w:r>
      <w:r>
        <w:rPr>
          <w:spacing w:val="2"/>
          <w:sz w:val="24"/>
        </w:rPr>
        <w:t>名 </w:t>
      </w:r>
      <w:r>
        <w:rPr>
          <w:w w:val="65"/>
          <w:sz w:val="24"/>
        </w:rPr>
        <w:t>，並</w:t>
      </w:r>
      <w:r>
        <w:rPr>
          <w:spacing w:val="57"/>
          <w:sz w:val="24"/>
        </w:rPr>
        <w:t> </w:t>
      </w:r>
      <w:r>
        <w:rPr>
          <w:w w:val="65"/>
          <w:sz w:val="24"/>
        </w:rPr>
        <w:t>以</w:t>
      </w:r>
      <w:r>
        <w:rPr>
          <w:spacing w:val="32"/>
          <w:sz w:val="24"/>
        </w:rPr>
        <w:t> 當中一人為人</w:t>
      </w:r>
      <w:r>
        <w:rPr>
          <w:spacing w:val="16"/>
          <w:sz w:val="24"/>
        </w:rPr>
        <w:t>事皖總裁</w:t>
      </w:r>
      <w:r>
        <w:rPr>
          <w:rFonts w:ascii="Times New Roman" w:eastAsia="Times New Roman"/>
          <w:w w:val="65"/>
          <w:sz w:val="16"/>
        </w:rPr>
        <w:t>135</w:t>
      </w:r>
      <w:r>
        <w:rPr>
          <w:rFonts w:ascii="Times New Roman" w:eastAsia="Times New Roman"/>
          <w:spacing w:val="23"/>
          <w:w w:val="65"/>
          <w:sz w:val="16"/>
        </w:rPr>
        <w:t> </w:t>
      </w:r>
      <w:r>
        <w:rPr>
          <w:spacing w:val="1"/>
          <w:sz w:val="24"/>
        </w:rPr>
        <w:t>所維成之行政委員 會 。在維織上法 </w:t>
      </w:r>
      <w:r>
        <w:rPr>
          <w:spacing w:val="16"/>
          <w:w w:val="65"/>
          <w:sz w:val="24"/>
        </w:rPr>
        <w:t>，並 </w:t>
      </w:r>
      <w:r>
        <w:rPr>
          <w:spacing w:val="-4"/>
          <w:sz w:val="24"/>
        </w:rPr>
        <w:t>不適用日 本 之 國 家行政</w:t>
      </w:r>
      <w:r>
        <w:rPr>
          <w:spacing w:val="6"/>
          <w:sz w:val="24"/>
        </w:rPr>
        <w:t>維織法 </w:t>
      </w:r>
      <w:r>
        <w:rPr>
          <w:spacing w:val="-13"/>
          <w:w w:val="65"/>
          <w:sz w:val="24"/>
        </w:rPr>
        <w:t>， </w:t>
      </w:r>
      <w:r>
        <w:rPr>
          <w:spacing w:val="17"/>
          <w:sz w:val="24"/>
        </w:rPr>
        <w:t>不過其被定位為內閣之輔助機關 </w:t>
      </w:r>
      <w:r>
        <w:rPr>
          <w:spacing w:val="-20"/>
          <w:w w:val="65"/>
          <w:sz w:val="24"/>
        </w:rPr>
        <w:t>， </w:t>
      </w:r>
      <w:r>
        <w:rPr>
          <w:spacing w:val="13"/>
          <w:sz w:val="24"/>
        </w:rPr>
        <w:t>屬獨立行政委員 會</w:t>
      </w:r>
      <w:r>
        <w:rPr>
          <w:rFonts w:ascii="Times New Roman" w:eastAsia="Times New Roman"/>
          <w:w w:val="65"/>
          <w:sz w:val="16"/>
        </w:rPr>
        <w:t>136</w:t>
      </w:r>
      <w:r>
        <w:rPr>
          <w:rFonts w:ascii="Times New Roman" w:eastAsia="Times New Roman"/>
          <w:spacing w:val="26"/>
          <w:w w:val="65"/>
          <w:sz w:val="16"/>
        </w:rPr>
        <w:t> </w:t>
      </w:r>
      <w:r>
        <w:rPr>
          <w:rFonts w:ascii="Arial" w:eastAsia="Arial"/>
          <w:sz w:val="8"/>
        </w:rPr>
        <w:t>0</w:t>
      </w:r>
    </w:p>
    <w:p>
      <w:pPr>
        <w:spacing w:line="319" w:lineRule="auto" w:before="0"/>
        <w:ind w:left="302" w:right="485" w:firstLine="580"/>
        <w:jc w:val="left"/>
        <w:rPr>
          <w:sz w:val="24"/>
        </w:rPr>
      </w:pPr>
      <w:r>
        <w:rPr>
          <w:spacing w:val="19"/>
          <w:w w:val="95"/>
          <w:sz w:val="24"/>
        </w:rPr>
        <w:t>人事官之任期為 </w:t>
      </w:r>
      <w:r>
        <w:rPr>
          <w:rFonts w:ascii="Times New Roman" w:eastAsia="Times New Roman"/>
          <w:w w:val="95"/>
          <w:sz w:val="30"/>
        </w:rPr>
        <w:t>4</w:t>
      </w:r>
      <w:r>
        <w:rPr>
          <w:rFonts w:ascii="Times New Roman" w:eastAsia="Times New Roman"/>
          <w:spacing w:val="14"/>
          <w:w w:val="95"/>
          <w:sz w:val="30"/>
        </w:rPr>
        <w:t> </w:t>
      </w:r>
      <w:r>
        <w:rPr>
          <w:spacing w:val="13"/>
          <w:w w:val="95"/>
          <w:sz w:val="24"/>
        </w:rPr>
        <w:t>年 ，得 再 任 ， 不過任期最多不得超過 </w:t>
      </w:r>
      <w:r>
        <w:rPr>
          <w:rFonts w:ascii="Times New Roman" w:eastAsia="Times New Roman"/>
          <w:w w:val="95"/>
          <w:sz w:val="30"/>
        </w:rPr>
        <w:t>12</w:t>
      </w:r>
      <w:r>
        <w:rPr>
          <w:rFonts w:ascii="Times New Roman" w:eastAsia="Times New Roman"/>
          <w:spacing w:val="7"/>
          <w:w w:val="95"/>
          <w:sz w:val="30"/>
        </w:rPr>
        <w:t> </w:t>
      </w:r>
      <w:r>
        <w:rPr>
          <w:w w:val="95"/>
          <w:sz w:val="24"/>
        </w:rPr>
        <w:t>年（</w:t>
      </w:r>
      <w:r>
        <w:rPr>
          <w:spacing w:val="-12"/>
          <w:w w:val="95"/>
          <w:sz w:val="24"/>
        </w:rPr>
        <w:t> 日本</w:t>
      </w:r>
      <w:r>
        <w:rPr>
          <w:spacing w:val="3"/>
          <w:w w:val="95"/>
          <w:sz w:val="24"/>
        </w:rPr>
        <w:t>國 家公務員 法第 </w:t>
      </w:r>
      <w:r>
        <w:rPr>
          <w:rFonts w:ascii="Times New Roman" w:eastAsia="Times New Roman"/>
          <w:w w:val="95"/>
          <w:sz w:val="30"/>
        </w:rPr>
        <w:t>7</w:t>
      </w:r>
      <w:r>
        <w:rPr>
          <w:rFonts w:ascii="Times New Roman" w:eastAsia="Times New Roman"/>
          <w:spacing w:val="12"/>
          <w:w w:val="95"/>
          <w:sz w:val="30"/>
        </w:rPr>
        <w:t> </w:t>
      </w:r>
      <w:r>
        <w:rPr>
          <w:w w:val="95"/>
          <w:sz w:val="24"/>
        </w:rPr>
        <w:t>條 ）</w:t>
      </w:r>
      <w:r>
        <w:rPr>
          <w:spacing w:val="13"/>
          <w:w w:val="95"/>
          <w:sz w:val="24"/>
        </w:rPr>
        <w:t>。其次 ，在 資格要件上 ， 不得有兩名人事官同屬一</w:t>
      </w:r>
      <w:r>
        <w:rPr>
          <w:spacing w:val="15"/>
          <w:w w:val="95"/>
          <w:sz w:val="24"/>
        </w:rPr>
        <w:t>個政黨 ， 或是畢業於 同一個大學之學院</w:t>
      </w:r>
      <w:r>
        <w:rPr>
          <w:spacing w:val="-59"/>
          <w:w w:val="95"/>
          <w:sz w:val="24"/>
        </w:rPr>
        <w:t>（</w:t>
      </w:r>
      <w:r>
        <w:rPr>
          <w:w w:val="95"/>
          <w:sz w:val="24"/>
        </w:rPr>
        <w:t>日 本 國 家公務員 法第 </w:t>
      </w:r>
      <w:r>
        <w:rPr>
          <w:rFonts w:ascii="Times New Roman" w:eastAsia="Times New Roman"/>
          <w:w w:val="95"/>
          <w:sz w:val="30"/>
        </w:rPr>
        <w:t>4</w:t>
      </w:r>
      <w:r>
        <w:rPr>
          <w:rFonts w:ascii="Times New Roman" w:eastAsia="Times New Roman"/>
          <w:spacing w:val="38"/>
          <w:w w:val="95"/>
          <w:sz w:val="30"/>
        </w:rPr>
        <w:t> </w:t>
      </w:r>
      <w:r>
        <w:rPr>
          <w:spacing w:val="-14"/>
          <w:w w:val="95"/>
          <w:sz w:val="24"/>
        </w:rPr>
        <w:t>條 </w:t>
      </w:r>
      <w:r>
        <w:rPr>
          <w:w w:val="95"/>
          <w:sz w:val="24"/>
        </w:rPr>
        <w:t>）</w:t>
      </w:r>
      <w:r>
        <w:rPr>
          <w:spacing w:val="16"/>
          <w:w w:val="95"/>
          <w:sz w:val="24"/>
        </w:rPr>
        <w:t>。此</w:t>
      </w:r>
      <w:r>
        <w:rPr>
          <w:spacing w:val="1"/>
          <w:w w:val="95"/>
          <w:sz w:val="24"/>
        </w:rPr>
        <w:t> </w:t>
      </w:r>
      <w:r>
        <w:rPr>
          <w:w w:val="105"/>
          <w:sz w:val="24"/>
        </w:rPr>
        <w:t>外，人事院雖亦有其所屬之內部單位，不過人事院卻是依完全依日本國家   </w:t>
      </w:r>
      <w:r>
        <w:rPr>
          <w:spacing w:val="124"/>
          <w:w w:val="105"/>
          <w:sz w:val="24"/>
        </w:rPr>
        <w:t> </w:t>
      </w:r>
      <w:r>
        <w:rPr>
          <w:w w:val="105"/>
          <w:sz w:val="24"/>
        </w:rPr>
        <w:t>公務員法設置之機關，並不適用日本之國家行政維織法（日本國家公務員   </w:t>
      </w:r>
      <w:r>
        <w:rPr>
          <w:spacing w:val="92"/>
          <w:w w:val="105"/>
          <w:sz w:val="24"/>
        </w:rPr>
        <w:t> </w:t>
      </w:r>
      <w:r>
        <w:rPr>
          <w:spacing w:val="2"/>
          <w:w w:val="105"/>
          <w:sz w:val="24"/>
        </w:rPr>
        <w:t>法第 </w:t>
      </w:r>
      <w:r>
        <w:rPr>
          <w:rFonts w:ascii="Times New Roman" w:eastAsia="Times New Roman"/>
          <w:w w:val="105"/>
          <w:sz w:val="30"/>
        </w:rPr>
        <w:t>4</w:t>
      </w:r>
      <w:r>
        <w:rPr>
          <w:rFonts w:ascii="Times New Roman" w:eastAsia="Times New Roman"/>
          <w:spacing w:val="-8"/>
          <w:w w:val="105"/>
          <w:sz w:val="30"/>
        </w:rPr>
        <w:t> </w:t>
      </w:r>
      <w:r>
        <w:rPr>
          <w:spacing w:val="-15"/>
          <w:w w:val="105"/>
          <w:sz w:val="24"/>
        </w:rPr>
        <w:t>條 第 </w:t>
      </w:r>
      <w:r>
        <w:rPr>
          <w:rFonts w:ascii="Times New Roman" w:eastAsia="Times New Roman"/>
          <w:w w:val="105"/>
          <w:sz w:val="30"/>
        </w:rPr>
        <w:t>4</w:t>
      </w:r>
      <w:r>
        <w:rPr>
          <w:rFonts w:ascii="Times New Roman" w:eastAsia="Times New Roman"/>
          <w:spacing w:val="-5"/>
          <w:w w:val="105"/>
          <w:sz w:val="30"/>
        </w:rPr>
        <w:t> </w:t>
      </w:r>
      <w:r>
        <w:rPr>
          <w:spacing w:val="23"/>
          <w:w w:val="105"/>
          <w:sz w:val="24"/>
        </w:rPr>
        <w:t>項</w:t>
      </w:r>
      <w:r>
        <w:rPr>
          <w:w w:val="105"/>
          <w:sz w:val="24"/>
        </w:rPr>
        <w:t>）。</w:t>
      </w:r>
    </w:p>
    <w:p>
      <w:pPr>
        <w:spacing w:before="100"/>
        <w:ind w:left="0" w:right="135" w:firstLine="0"/>
        <w:jc w:val="center"/>
        <w:rPr>
          <w:sz w:val="24"/>
        </w:rPr>
      </w:pPr>
      <w:r>
        <w:rPr>
          <w:w w:val="110"/>
          <w:sz w:val="24"/>
        </w:rPr>
        <w:t>（二）功能</w:t>
      </w:r>
    </w:p>
    <w:p>
      <w:pPr>
        <w:pStyle w:val="BodyText"/>
        <w:spacing w:before="2"/>
      </w:pPr>
    </w:p>
    <w:p>
      <w:pPr>
        <w:spacing w:line="340" w:lineRule="auto" w:before="0"/>
        <w:ind w:left="316" w:right="546" w:firstLine="570"/>
        <w:jc w:val="left"/>
        <w:rPr>
          <w:sz w:val="24"/>
        </w:rPr>
      </w:pPr>
      <w:r>
        <w:rPr>
          <w:w w:val="115"/>
          <w:sz w:val="24"/>
        </w:rPr>
        <w:t>日本人事院除具有一般行政機關之行政功能外，尚具有準立法、準司法之功能。其功能之特色如下：</w:t>
      </w:r>
    </w:p>
    <w:p>
      <w:pPr>
        <w:tabs>
          <w:tab w:pos="2805" w:val="left" w:leader="none"/>
          <w:tab w:pos="5771" w:val="left" w:leader="none"/>
        </w:tabs>
        <w:spacing w:line="283" w:lineRule="auto" w:before="0"/>
        <w:ind w:left="303" w:right="492" w:firstLine="555"/>
        <w:jc w:val="left"/>
        <w:rPr>
          <w:rFonts w:ascii="Times New Roman" w:hAnsi="Times New Roman" w:eastAsia="Times New Roman"/>
          <w:sz w:val="16"/>
        </w:rPr>
      </w:pPr>
      <w:r>
        <w:rPr>
          <w:rFonts w:ascii="MS UI Gothic" w:hAnsi="MS UI Gothic" w:eastAsia="MS UI Gothic" w:hint="eastAsia"/>
          <w:position w:val="-2"/>
          <w:sz w:val="28"/>
        </w:rPr>
        <w:t>①</w:t>
      </w:r>
      <w:r>
        <w:rPr>
          <w:sz w:val="24"/>
        </w:rPr>
        <w:t>依日本國家公務員法之規定，人事院在行政上之主要権限包含，公      </w:t>
      </w:r>
      <w:r>
        <w:rPr>
          <w:spacing w:val="64"/>
          <w:sz w:val="24"/>
        </w:rPr>
        <w:t> </w:t>
      </w:r>
      <w:r>
        <w:rPr>
          <w:spacing w:val="33"/>
          <w:w w:val="85"/>
          <w:sz w:val="24"/>
        </w:rPr>
        <w:t>務</w:t>
      </w:r>
      <w:r>
        <w:rPr>
          <w:w w:val="85"/>
          <w:sz w:val="24"/>
        </w:rPr>
        <w:t>員俸</w:t>
      </w:r>
      <w:r>
        <w:rPr>
          <w:spacing w:val="34"/>
          <w:w w:val="85"/>
          <w:sz w:val="24"/>
        </w:rPr>
        <w:t> </w:t>
      </w:r>
      <w:r>
        <w:rPr>
          <w:w w:val="85"/>
          <w:sz w:val="24"/>
        </w:rPr>
        <w:t>給</w:t>
      </w:r>
      <w:r>
        <w:rPr>
          <w:spacing w:val="-26"/>
          <w:w w:val="85"/>
          <w:sz w:val="24"/>
        </w:rPr>
        <w:t> </w:t>
      </w:r>
      <w:r>
        <w:rPr>
          <w:w w:val="85"/>
          <w:sz w:val="24"/>
        </w:rPr>
        <w:t>之</w:t>
      </w:r>
      <w:r>
        <w:rPr>
          <w:spacing w:val="-25"/>
          <w:w w:val="85"/>
          <w:sz w:val="24"/>
        </w:rPr>
        <w:t> </w:t>
      </w:r>
      <w:r>
        <w:rPr>
          <w:w w:val="85"/>
          <w:sz w:val="24"/>
        </w:rPr>
        <w:t>建</w:t>
      </w:r>
      <w:r>
        <w:rPr>
          <w:spacing w:val="-20"/>
          <w:w w:val="85"/>
          <w:sz w:val="24"/>
        </w:rPr>
        <w:t> </w:t>
      </w:r>
      <w:r>
        <w:rPr>
          <w:w w:val="85"/>
          <w:sz w:val="24"/>
        </w:rPr>
        <w:t>議</w:t>
      </w:r>
      <w:r>
        <w:rPr>
          <w:spacing w:val="-25"/>
          <w:w w:val="85"/>
          <w:sz w:val="24"/>
        </w:rPr>
        <w:t> </w:t>
      </w:r>
      <w:r>
        <w:rPr>
          <w:w w:val="85"/>
          <w:sz w:val="24"/>
        </w:rPr>
        <w:t>権</w:t>
      </w:r>
      <w:r>
        <w:rPr>
          <w:rFonts w:ascii="Times New Roman" w:hAnsi="Times New Roman" w:eastAsia="Times New Roman"/>
          <w:w w:val="65"/>
          <w:sz w:val="16"/>
        </w:rPr>
        <w:t>137</w:t>
        <w:tab/>
      </w:r>
      <w:r>
        <w:rPr>
          <w:w w:val="65"/>
          <w:sz w:val="24"/>
        </w:rPr>
        <w:t>、公</w:t>
      </w:r>
      <w:r>
        <w:rPr>
          <w:spacing w:val="93"/>
          <w:sz w:val="24"/>
        </w:rPr>
        <w:t> </w:t>
      </w:r>
      <w:r>
        <w:rPr>
          <w:w w:val="65"/>
          <w:sz w:val="24"/>
        </w:rPr>
        <w:t>務</w:t>
      </w:r>
      <w:r>
        <w:rPr>
          <w:spacing w:val="70"/>
          <w:sz w:val="24"/>
        </w:rPr>
        <w:t> </w:t>
      </w:r>
      <w:r>
        <w:rPr>
          <w:w w:val="95"/>
          <w:sz w:val="24"/>
        </w:rPr>
        <w:t>員</w:t>
      </w:r>
      <w:r>
        <w:rPr>
          <w:spacing w:val="-69"/>
          <w:w w:val="95"/>
          <w:sz w:val="24"/>
        </w:rPr>
        <w:t> </w:t>
      </w:r>
      <w:r>
        <w:rPr>
          <w:spacing w:val="16"/>
          <w:w w:val="95"/>
          <w:sz w:val="24"/>
        </w:rPr>
        <w:t>考試之</w:t>
      </w:r>
      <w:r>
        <w:rPr>
          <w:spacing w:val="12"/>
          <w:w w:val="95"/>
          <w:sz w:val="24"/>
        </w:rPr>
        <w:t>實</w:t>
      </w:r>
      <w:r>
        <w:rPr>
          <w:spacing w:val="17"/>
          <w:w w:val="95"/>
          <w:sz w:val="24"/>
        </w:rPr>
        <w:t>施</w:t>
      </w:r>
      <w:r>
        <w:rPr>
          <w:w w:val="95"/>
          <w:sz w:val="24"/>
        </w:rPr>
        <w:t>權</w:t>
      </w:r>
      <w:r>
        <w:rPr>
          <w:rFonts w:ascii="Times New Roman" w:hAnsi="Times New Roman" w:eastAsia="Times New Roman"/>
          <w:w w:val="65"/>
          <w:sz w:val="16"/>
        </w:rPr>
        <w:t>138</w:t>
        <w:tab/>
      </w:r>
      <w:r>
        <w:rPr>
          <w:w w:val="65"/>
          <w:sz w:val="24"/>
        </w:rPr>
        <w:t>、公</w:t>
      </w:r>
      <w:r>
        <w:rPr>
          <w:spacing w:val="71"/>
          <w:w w:val="65"/>
          <w:sz w:val="24"/>
        </w:rPr>
        <w:t> </w:t>
      </w:r>
      <w:r>
        <w:rPr>
          <w:w w:val="65"/>
          <w:sz w:val="24"/>
        </w:rPr>
        <w:t>務</w:t>
      </w:r>
      <w:r>
        <w:rPr>
          <w:spacing w:val="34"/>
          <w:w w:val="65"/>
          <w:sz w:val="24"/>
        </w:rPr>
        <w:t> </w:t>
      </w:r>
      <w:r>
        <w:rPr>
          <w:w w:val="90"/>
          <w:sz w:val="24"/>
        </w:rPr>
        <w:t>員研</w:t>
      </w:r>
      <w:r>
        <w:rPr>
          <w:spacing w:val="9"/>
          <w:w w:val="90"/>
          <w:sz w:val="24"/>
        </w:rPr>
        <w:t> </w:t>
      </w:r>
      <w:r>
        <w:rPr>
          <w:w w:val="90"/>
          <w:sz w:val="24"/>
        </w:rPr>
        <w:t>修</w:t>
      </w:r>
      <w:r>
        <w:rPr>
          <w:spacing w:val="-40"/>
          <w:w w:val="90"/>
          <w:sz w:val="24"/>
        </w:rPr>
        <w:t> </w:t>
      </w:r>
      <w:r>
        <w:rPr>
          <w:spacing w:val="24"/>
          <w:w w:val="90"/>
          <w:sz w:val="24"/>
        </w:rPr>
        <w:t>計</w:t>
      </w:r>
      <w:r>
        <w:rPr>
          <w:spacing w:val="28"/>
          <w:w w:val="90"/>
          <w:sz w:val="24"/>
        </w:rPr>
        <w:t>劃</w:t>
      </w:r>
      <w:r>
        <w:rPr>
          <w:spacing w:val="38"/>
          <w:w w:val="90"/>
          <w:sz w:val="24"/>
        </w:rPr>
        <w:t>訂</w:t>
      </w:r>
      <w:r>
        <w:rPr>
          <w:w w:val="90"/>
          <w:sz w:val="24"/>
        </w:rPr>
        <w:t>定權</w:t>
      </w:r>
      <w:r>
        <w:rPr>
          <w:rFonts w:ascii="Times New Roman" w:hAnsi="Times New Roman" w:eastAsia="Times New Roman"/>
          <w:w w:val="65"/>
          <w:sz w:val="16"/>
        </w:rPr>
        <w:t>139</w:t>
      </w:r>
      <w:r>
        <w:rPr>
          <w:rFonts w:ascii="Times New Roman" w:hAnsi="Times New Roman" w:eastAsia="Times New Roman"/>
          <w:spacing w:val="5"/>
          <w:w w:val="65"/>
          <w:sz w:val="16"/>
        </w:rPr>
        <w:t> </w:t>
      </w:r>
      <w:r>
        <w:rPr>
          <w:rFonts w:ascii="Times New Roman" w:hAnsi="Times New Roman" w:eastAsia="Times New Roman"/>
          <w:w w:val="90"/>
          <w:sz w:val="16"/>
        </w:rPr>
        <w:t>,</w:t>
      </w:r>
    </w:p>
    <w:p>
      <w:pPr>
        <w:pStyle w:val="BodyText"/>
        <w:spacing w:before="7"/>
        <w:rPr>
          <w:rFonts w:ascii="Times New Roman"/>
          <w:sz w:val="29"/>
        </w:rPr>
      </w:pPr>
      <w:r>
        <w:rPr/>
        <w:pict>
          <v:shape style="position:absolute;margin-left:95.174004pt;margin-top:19.392086pt;width:144.25pt;height:.1pt;mso-position-horizontal-relative:page;mso-position-vertical-relative:paragraph;z-index:-15584768;mso-wrap-distance-left:0;mso-wrap-distance-right:0" coordorigin="1903,388" coordsize="2885,0" path="m1903,388l4788,388e" filled="false" stroked="true" strokeweight=".720821pt" strokecolor="#000000">
            <v:path arrowok="t"/>
            <v:stroke dashstyle="solid"/>
            <w10:wrap type="topAndBottom"/>
          </v:shape>
        </w:pict>
      </w:r>
    </w:p>
    <w:p>
      <w:pPr>
        <w:pStyle w:val="BodyText"/>
        <w:spacing w:before="10"/>
        <w:rPr>
          <w:rFonts w:ascii="Times New Roman"/>
          <w:sz w:val="8"/>
        </w:rPr>
      </w:pPr>
    </w:p>
    <w:p>
      <w:pPr>
        <w:spacing w:before="92"/>
        <w:ind w:left="298" w:right="0" w:firstLine="0"/>
        <w:jc w:val="left"/>
        <w:rPr>
          <w:sz w:val="21"/>
        </w:rPr>
      </w:pPr>
      <w:r>
        <w:rPr>
          <w:rFonts w:ascii="Times New Roman" w:eastAsia="Times New Roman"/>
          <w:w w:val="95"/>
          <w:position w:val="8"/>
          <w:sz w:val="13"/>
        </w:rPr>
        <w:t>133</w:t>
      </w:r>
      <w:r>
        <w:rPr>
          <w:rFonts w:ascii="Times New Roman" w:eastAsia="Times New Roman"/>
          <w:spacing w:val="41"/>
          <w:position w:val="8"/>
          <w:sz w:val="13"/>
        </w:rPr>
        <w:t> </w:t>
      </w:r>
      <w:r>
        <w:rPr>
          <w:spacing w:val="20"/>
          <w:w w:val="95"/>
          <w:sz w:val="21"/>
        </w:rPr>
        <w:t>日本 國公法第</w:t>
      </w:r>
      <w:r>
        <w:rPr>
          <w:rFonts w:ascii="Arial" w:eastAsia="Arial"/>
          <w:w w:val="95"/>
          <w:sz w:val="25"/>
        </w:rPr>
        <w:t>18</w:t>
      </w:r>
      <w:r>
        <w:rPr>
          <w:spacing w:val="-20"/>
          <w:w w:val="95"/>
          <w:sz w:val="21"/>
        </w:rPr>
        <w:t>條 之 </w:t>
      </w:r>
      <w:r>
        <w:rPr>
          <w:rFonts w:ascii="Arial" w:eastAsia="Arial"/>
          <w:w w:val="95"/>
          <w:sz w:val="25"/>
        </w:rPr>
        <w:t>2'</w:t>
      </w:r>
      <w:r>
        <w:rPr>
          <w:rFonts w:ascii="Arial" w:eastAsia="Arial"/>
          <w:spacing w:val="133"/>
          <w:sz w:val="25"/>
        </w:rPr>
        <w:t> </w:t>
      </w:r>
      <w:r>
        <w:rPr>
          <w:spacing w:val="1"/>
          <w:w w:val="95"/>
          <w:sz w:val="21"/>
        </w:rPr>
        <w:t>其輔佐機關則為日本總務 省 。參照日本 總務省設 置法 第</w:t>
      </w:r>
      <w:r>
        <w:rPr>
          <w:rFonts w:ascii="Arial" w:eastAsia="Arial"/>
          <w:w w:val="95"/>
          <w:sz w:val="25"/>
        </w:rPr>
        <w:t>4</w:t>
      </w:r>
      <w:r>
        <w:rPr>
          <w:w w:val="95"/>
          <w:sz w:val="21"/>
        </w:rPr>
        <w:t>條</w:t>
      </w:r>
    </w:p>
    <w:p>
      <w:pPr>
        <w:spacing w:before="11"/>
        <w:ind w:left="529" w:right="0" w:firstLine="0"/>
        <w:jc w:val="left"/>
        <w:rPr>
          <w:sz w:val="21"/>
        </w:rPr>
      </w:pPr>
      <w:r>
        <w:rPr>
          <w:spacing w:val="35"/>
          <w:w w:val="90"/>
          <w:sz w:val="23"/>
        </w:rPr>
        <w:t>第</w:t>
      </w:r>
      <w:r>
        <w:rPr>
          <w:rFonts w:ascii="Times New Roman" w:eastAsia="Times New Roman"/>
          <w:w w:val="90"/>
          <w:sz w:val="26"/>
        </w:rPr>
        <w:t>2</w:t>
      </w:r>
      <w:r>
        <w:rPr>
          <w:spacing w:val="3"/>
          <w:w w:val="90"/>
          <w:sz w:val="21"/>
        </w:rPr>
        <w:t>款 。</w:t>
      </w:r>
    </w:p>
    <w:p>
      <w:pPr>
        <w:spacing w:before="0"/>
        <w:ind w:left="298" w:right="0" w:firstLine="0"/>
        <w:jc w:val="left"/>
        <w:rPr>
          <w:sz w:val="21"/>
        </w:rPr>
      </w:pPr>
      <w:r>
        <w:rPr>
          <w:rFonts w:ascii="Times New Roman" w:eastAsia="Times New Roman"/>
          <w:w w:val="95"/>
          <w:position w:val="7"/>
          <w:sz w:val="13"/>
        </w:rPr>
        <w:t>134</w:t>
      </w:r>
      <w:r>
        <w:rPr>
          <w:rFonts w:ascii="Times New Roman" w:eastAsia="Times New Roman"/>
          <w:spacing w:val="86"/>
          <w:position w:val="7"/>
          <w:sz w:val="13"/>
        </w:rPr>
        <w:t> </w:t>
      </w:r>
      <w:r>
        <w:rPr>
          <w:spacing w:val="19"/>
          <w:w w:val="95"/>
          <w:sz w:val="21"/>
        </w:rPr>
        <w:t>日本 國公法第</w:t>
      </w:r>
      <w:r>
        <w:rPr>
          <w:rFonts w:ascii="Times New Roman" w:eastAsia="Times New Roman"/>
          <w:w w:val="95"/>
          <w:sz w:val="26"/>
        </w:rPr>
        <w:t>3</w:t>
      </w:r>
      <w:r>
        <w:rPr>
          <w:spacing w:val="-2"/>
          <w:w w:val="95"/>
          <w:sz w:val="21"/>
        </w:rPr>
        <w:t>條 。</w:t>
      </w:r>
    </w:p>
    <w:p>
      <w:pPr>
        <w:spacing w:before="11"/>
        <w:ind w:left="298" w:right="0" w:firstLine="0"/>
        <w:jc w:val="left"/>
        <w:rPr>
          <w:sz w:val="21"/>
        </w:rPr>
      </w:pPr>
      <w:r>
        <w:rPr>
          <w:rFonts w:ascii="Times New Roman" w:eastAsia="Times New Roman"/>
          <w:w w:val="95"/>
          <w:position w:val="7"/>
          <w:sz w:val="13"/>
        </w:rPr>
        <w:t>135</w:t>
      </w:r>
      <w:r>
        <w:rPr>
          <w:rFonts w:ascii="Times New Roman" w:eastAsia="Times New Roman"/>
          <w:spacing w:val="74"/>
          <w:position w:val="7"/>
          <w:sz w:val="13"/>
        </w:rPr>
        <w:t> </w:t>
      </w:r>
      <w:r>
        <w:rPr>
          <w:spacing w:val="18"/>
          <w:w w:val="95"/>
          <w:sz w:val="21"/>
        </w:rPr>
        <w:t>日本 國公法第</w:t>
      </w:r>
      <w:r>
        <w:rPr>
          <w:rFonts w:ascii="Times New Roman" w:eastAsia="Times New Roman"/>
          <w:w w:val="95"/>
          <w:sz w:val="26"/>
        </w:rPr>
        <w:t>4</w:t>
      </w:r>
      <w:r>
        <w:rPr>
          <w:spacing w:val="-1"/>
          <w:w w:val="95"/>
          <w:sz w:val="21"/>
        </w:rPr>
        <w:t>條 。</w:t>
      </w:r>
    </w:p>
    <w:p>
      <w:pPr>
        <w:spacing w:line="268" w:lineRule="auto" w:before="43"/>
        <w:ind w:left="503" w:right="485" w:hanging="205"/>
        <w:jc w:val="both"/>
        <w:rPr>
          <w:sz w:val="24"/>
        </w:rPr>
      </w:pPr>
      <w:r>
        <w:rPr>
          <w:rFonts w:ascii="Times New Roman" w:eastAsia="Times New Roman"/>
          <w:sz w:val="21"/>
          <w:vertAlign w:val="superscript"/>
        </w:rPr>
        <w:t>136</w:t>
      </w:r>
      <w:r>
        <w:rPr>
          <w:rFonts w:ascii="Times New Roman" w:eastAsia="Times New Roman"/>
          <w:spacing w:val="1"/>
          <w:sz w:val="21"/>
          <w:vertAlign w:val="baseline"/>
        </w:rPr>
        <w:t>                  </w:t>
      </w:r>
      <w:r>
        <w:rPr>
          <w:sz w:val="21"/>
          <w:vertAlign w:val="baseline"/>
        </w:rPr>
        <w:t>其性質上屬於一種獨立行政委員會，其他例如：合計検査浣（其功能類似我國審計部）丶公正取引委員合（相當於我國的公平交易委員會）等，作為日本行政權機關最       高頂點的「內閣」，在法律的範圍內，必須尊重其專業獨立之行政判斷，參見藤田宙       </w:t>
      </w:r>
      <w:r>
        <w:rPr>
          <w:w w:val="85"/>
          <w:sz w:val="24"/>
          <w:vertAlign w:val="baseline"/>
        </w:rPr>
        <w:t>靖</w:t>
      </w:r>
      <w:r>
        <w:rPr>
          <w:spacing w:val="-19"/>
          <w:w w:val="85"/>
          <w:sz w:val="24"/>
          <w:vertAlign w:val="baseline"/>
        </w:rPr>
        <w:t> </w:t>
      </w:r>
      <w:r>
        <w:rPr>
          <w:spacing w:val="-15"/>
          <w:w w:val="85"/>
          <w:sz w:val="24"/>
          <w:vertAlign w:val="baseline"/>
        </w:rPr>
        <w:t>， 行政組織法， 新版 ， </w:t>
      </w:r>
      <w:r>
        <w:rPr>
          <w:rFonts w:ascii="Arial" w:eastAsia="Arial"/>
          <w:w w:val="85"/>
          <w:sz w:val="25"/>
          <w:vertAlign w:val="baseline"/>
        </w:rPr>
        <w:t>2001</w:t>
      </w:r>
      <w:r>
        <w:rPr>
          <w:spacing w:val="-9"/>
          <w:w w:val="85"/>
          <w:sz w:val="24"/>
          <w:vertAlign w:val="baseline"/>
        </w:rPr>
        <w:t>年 ， 良書普及合 ， 頁</w:t>
      </w:r>
      <w:r>
        <w:rPr>
          <w:rFonts w:ascii="Arial" w:eastAsia="Arial"/>
          <w:w w:val="85"/>
          <w:sz w:val="25"/>
          <w:vertAlign w:val="baseline"/>
        </w:rPr>
        <w:t>86</w:t>
      </w:r>
      <w:r>
        <w:rPr>
          <w:rFonts w:ascii="Arial" w:eastAsia="Arial"/>
          <w:spacing w:val="2"/>
          <w:w w:val="85"/>
          <w:sz w:val="25"/>
          <w:vertAlign w:val="baseline"/>
        </w:rPr>
        <w:t>- </w:t>
      </w:r>
      <w:r>
        <w:rPr>
          <w:rFonts w:ascii="Arial" w:eastAsia="Arial"/>
          <w:w w:val="85"/>
          <w:sz w:val="25"/>
          <w:vertAlign w:val="baseline"/>
        </w:rPr>
        <w:t>92</w:t>
      </w:r>
      <w:r>
        <w:rPr>
          <w:rFonts w:ascii="Arial" w:eastAsia="Arial"/>
          <w:spacing w:val="16"/>
          <w:w w:val="85"/>
          <w:sz w:val="25"/>
          <w:vertAlign w:val="baseline"/>
        </w:rPr>
        <w:t> </w:t>
      </w:r>
      <w:r>
        <w:rPr>
          <w:w w:val="85"/>
          <w:sz w:val="24"/>
          <w:vertAlign w:val="baseline"/>
        </w:rPr>
        <w:t>。</w:t>
      </w:r>
    </w:p>
    <w:p>
      <w:pPr>
        <w:spacing w:line="275" w:lineRule="exact" w:before="0"/>
        <w:ind w:left="298" w:right="0" w:firstLine="0"/>
        <w:jc w:val="left"/>
        <w:rPr>
          <w:sz w:val="21"/>
        </w:rPr>
      </w:pPr>
      <w:r>
        <w:rPr>
          <w:rFonts w:ascii="Times New Roman" w:eastAsia="Times New Roman"/>
          <w:w w:val="90"/>
          <w:position w:val="8"/>
          <w:sz w:val="13"/>
        </w:rPr>
        <w:t>137</w:t>
      </w:r>
      <w:r>
        <w:rPr>
          <w:rFonts w:ascii="Times New Roman" w:eastAsia="Times New Roman"/>
          <w:spacing w:val="28"/>
          <w:w w:val="90"/>
          <w:position w:val="8"/>
          <w:sz w:val="13"/>
        </w:rPr>
        <w:t> </w:t>
      </w:r>
      <w:r>
        <w:rPr>
          <w:spacing w:val="23"/>
          <w:w w:val="90"/>
          <w:sz w:val="21"/>
        </w:rPr>
        <w:t>日本 國公法第</w:t>
      </w:r>
      <w:r>
        <w:rPr>
          <w:rFonts w:ascii="Arial" w:eastAsia="Arial"/>
          <w:w w:val="90"/>
          <w:sz w:val="25"/>
        </w:rPr>
        <w:t>28</w:t>
      </w:r>
      <w:r>
        <w:rPr>
          <w:spacing w:val="-13"/>
          <w:w w:val="90"/>
          <w:sz w:val="21"/>
        </w:rPr>
        <w:t>條 </w:t>
      </w:r>
      <w:r>
        <w:rPr>
          <w:rFonts w:ascii="Arial" w:eastAsia="Arial"/>
          <w:w w:val="90"/>
          <w:sz w:val="25"/>
        </w:rPr>
        <w:t>2</w:t>
      </w:r>
      <w:r>
        <w:rPr>
          <w:spacing w:val="1"/>
          <w:w w:val="90"/>
          <w:sz w:val="21"/>
        </w:rPr>
        <w:t>項 。</w:t>
      </w:r>
    </w:p>
    <w:p>
      <w:pPr>
        <w:spacing w:after="0" w:line="275" w:lineRule="exact"/>
        <w:jc w:val="left"/>
        <w:rPr>
          <w:sz w:val="21"/>
        </w:rPr>
        <w:sectPr>
          <w:pgSz w:w="11910" w:h="16840"/>
          <w:pgMar w:header="862" w:footer="1017" w:top="1060" w:bottom="1200" w:left="1120" w:right="1060"/>
        </w:sectPr>
      </w:pPr>
    </w:p>
    <w:p>
      <w:pPr>
        <w:pStyle w:val="BodyText"/>
        <w:spacing w:before="6"/>
        <w:rPr>
          <w:sz w:val="26"/>
        </w:rPr>
      </w:pPr>
    </w:p>
    <w:p>
      <w:pPr>
        <w:spacing w:before="65"/>
        <w:ind w:left="314" w:right="0" w:firstLine="0"/>
        <w:jc w:val="left"/>
        <w:rPr>
          <w:rFonts w:ascii="Arial" w:eastAsia="Arial"/>
          <w:sz w:val="8"/>
        </w:rPr>
      </w:pPr>
      <w:r>
        <w:rPr>
          <w:sz w:val="25"/>
        </w:rPr>
        <w:t>公務員 兼職核可権</w:t>
      </w:r>
      <w:r>
        <w:rPr>
          <w:rFonts w:ascii="Times New Roman" w:eastAsia="Times New Roman"/>
          <w:w w:val="75"/>
          <w:sz w:val="15"/>
        </w:rPr>
        <w:t>1</w:t>
      </w:r>
      <w:r>
        <w:rPr>
          <w:rFonts w:ascii="Times New Roman" w:eastAsia="Times New Roman"/>
          <w:spacing w:val="2"/>
          <w:w w:val="75"/>
          <w:sz w:val="15"/>
        </w:rPr>
        <w:t> </w:t>
      </w:r>
      <w:r>
        <w:rPr>
          <w:rFonts w:ascii="Times New Roman" w:eastAsia="Times New Roman"/>
          <w:w w:val="75"/>
          <w:sz w:val="15"/>
        </w:rPr>
        <w:t>40</w:t>
      </w:r>
      <w:r>
        <w:rPr>
          <w:rFonts w:ascii="Times New Roman" w:eastAsia="Times New Roman"/>
          <w:spacing w:val="20"/>
          <w:sz w:val="15"/>
        </w:rPr>
        <w:t>   </w:t>
      </w:r>
      <w:r>
        <w:rPr>
          <w:rFonts w:ascii="Arial" w:eastAsia="Arial"/>
          <w:sz w:val="8"/>
        </w:rPr>
        <w:t>0</w:t>
      </w:r>
    </w:p>
    <w:p>
      <w:pPr>
        <w:pStyle w:val="BodyText"/>
        <w:spacing w:line="268" w:lineRule="auto" w:before="150"/>
        <w:ind w:left="309" w:right="504" w:firstLine="548"/>
      </w:pPr>
      <w:r>
        <w:rPr>
          <w:rFonts w:ascii="MS UI Gothic" w:hAnsi="MS UI Gothic" w:eastAsia="MS UI Gothic" w:hint="eastAsia"/>
          <w:spacing w:val="22"/>
          <w:w w:val="105"/>
          <w:position w:val="-3"/>
          <w:sz w:val="28"/>
        </w:rPr>
        <w:t>②</w:t>
      </w:r>
      <w:r>
        <w:rPr>
          <w:w w:val="105"/>
        </w:rPr>
        <w:t>人事院為實紇法律，或基於法律之委任，應制定人事院規則（日本</w:t>
      </w:r>
      <w:r>
        <w:rPr>
          <w:spacing w:val="1"/>
          <w:w w:val="105"/>
        </w:rPr>
        <w:t> </w:t>
      </w:r>
      <w:r>
        <w:rPr>
          <w:spacing w:val="3"/>
        </w:rPr>
        <w:t>國家公務 員 法第 </w:t>
      </w:r>
      <w:r>
        <w:rPr>
          <w:rFonts w:ascii="Times New Roman" w:hAnsi="Times New Roman" w:eastAsia="Times New Roman"/>
          <w:sz w:val="30"/>
        </w:rPr>
        <w:t>16</w:t>
      </w:r>
      <w:r>
        <w:rPr>
          <w:rFonts w:ascii="Times New Roman" w:hAnsi="Times New Roman" w:eastAsia="Times New Roman"/>
          <w:spacing w:val="16"/>
          <w:sz w:val="30"/>
        </w:rPr>
        <w:t> </w:t>
      </w:r>
      <w:r>
        <w:rPr>
          <w:spacing w:val="26"/>
        </w:rPr>
        <w:t>條</w:t>
      </w:r>
      <w:r>
        <w:rPr/>
        <w:t>）</w:t>
      </w:r>
      <w:r>
        <w:rPr>
          <w:spacing w:val="-6"/>
        </w:rPr>
        <w:t>。由於日 本人事院規則所規範之範圍非常廣 泛其規</w:t>
      </w:r>
    </w:p>
    <w:p>
      <w:pPr>
        <w:pStyle w:val="BodyText"/>
        <w:spacing w:line="328" w:lineRule="auto" w:before="81"/>
        <w:ind w:left="305" w:right="522" w:firstLine="4"/>
      </w:pPr>
      <w:r>
        <w:rPr>
          <w:w w:val="110"/>
        </w:rPr>
        <w:t>範之密度較國會立法高，因此人事院之規則制定權。即有學說指出，人事院的規則制定権在日本行政委員會噹中，乃準立法權限之典型。</w:t>
      </w:r>
    </w:p>
    <w:p>
      <w:pPr>
        <w:pStyle w:val="BodyText"/>
        <w:spacing w:line="331" w:lineRule="auto"/>
        <w:ind w:left="303" w:right="503" w:firstLine="580"/>
      </w:pPr>
      <w:r>
        <w:rPr>
          <w:w w:val="110"/>
        </w:rPr>
        <w:t>日本之人事院規則，其規範之範圍，並非完全須以法律加以規定。例如，有關公務員勤務條件之人事院規則，乃是依日本國家公務員法之勤務條件法定主義的必然結果。而有關日本公務員考試事項，亦被理解為，必須以法律以及基於法律委任的人事院規則之形式加以規定。在該種意義</w:t>
      </w:r>
      <w:r>
        <w:rPr>
          <w:spacing w:val="1"/>
          <w:w w:val="110"/>
        </w:rPr>
        <w:t> </w:t>
      </w:r>
      <w:r>
        <w:rPr>
          <w:w w:val="110"/>
        </w:rPr>
        <w:t>上，人事院的準立法權限，為基於公務員關係之規範方法，在法政策上所產生之結果，因此，必須留意，此種命令和一般法規命令之界限範圍，可能會有所不同。</w:t>
      </w:r>
    </w:p>
    <w:p>
      <w:pPr>
        <w:pStyle w:val="BodyText"/>
        <w:spacing w:line="312" w:lineRule="auto"/>
        <w:ind w:left="293" w:right="515" w:firstLine="591"/>
      </w:pPr>
      <w:r>
        <w:rPr/>
        <w:t>日本之人事院規則，有其特殊之代號，依其內容而有各種不同之系     </w:t>
      </w:r>
      <w:r>
        <w:rPr>
          <w:spacing w:val="82"/>
        </w:rPr>
        <w:t> </w:t>
      </w:r>
      <w:r>
        <w:rPr>
          <w:spacing w:val="-21"/>
        </w:rPr>
        <w:t>列 </w:t>
      </w:r>
      <w:r>
        <w:rPr>
          <w:spacing w:val="-34"/>
          <w:w w:val="95"/>
        </w:rPr>
        <w:t>， </w:t>
      </w:r>
      <w:r>
        <w:rPr>
          <w:spacing w:val="-5"/>
        </w:rPr>
        <w:t>而 此種</w:t>
      </w:r>
      <w:r>
        <w:rPr>
          <w:spacing w:val="-32"/>
          <w:w w:val="95"/>
        </w:rPr>
        <w:t>系 </w:t>
      </w:r>
      <w:r>
        <w:rPr>
          <w:spacing w:val="10"/>
        </w:rPr>
        <w:t>列之代號並非依制定之先後加以區分。例如 </w:t>
      </w:r>
      <w:r>
        <w:rPr>
          <w:rFonts w:ascii="Times New Roman" w:eastAsia="Times New Roman"/>
          <w:sz w:val="29"/>
        </w:rPr>
        <w:t>l</w:t>
      </w:r>
      <w:r>
        <w:rPr>
          <w:rFonts w:ascii="Times New Roman" w:eastAsia="Times New Roman"/>
          <w:spacing w:val="70"/>
          <w:sz w:val="29"/>
        </w:rPr>
        <w:t> </w:t>
      </w:r>
      <w:r>
        <w:rPr>
          <w:spacing w:val="18"/>
          <w:w w:val="95"/>
        </w:rPr>
        <w:t>系列有 </w:t>
      </w:r>
      <w:r>
        <w:rPr>
          <w:spacing w:val="20"/>
        </w:rPr>
        <w:t>有關總</w:t>
      </w:r>
      <w:r>
        <w:rPr>
          <w:spacing w:val="-12"/>
          <w:w w:val="90"/>
        </w:rPr>
        <w:t>則 ， </w:t>
      </w:r>
      <w:r>
        <w:rPr>
          <w:rFonts w:ascii="Arial" w:eastAsia="Arial"/>
          <w:w w:val="90"/>
          <w:sz w:val="28"/>
        </w:rPr>
        <w:t>8</w:t>
      </w:r>
      <w:r>
        <w:rPr>
          <w:rFonts w:ascii="Arial" w:eastAsia="Arial"/>
          <w:spacing w:val="62"/>
          <w:w w:val="90"/>
          <w:sz w:val="28"/>
        </w:rPr>
        <w:t> </w:t>
      </w:r>
      <w:r>
        <w:rPr>
          <w:spacing w:val="15"/>
          <w:w w:val="90"/>
        </w:rPr>
        <w:t>系列 為有關任免 、</w:t>
      </w:r>
      <w:r>
        <w:rPr>
          <w:rFonts w:ascii="Arial" w:eastAsia="Arial"/>
          <w:w w:val="90"/>
          <w:sz w:val="28"/>
        </w:rPr>
        <w:t>9</w:t>
      </w:r>
      <w:r>
        <w:rPr>
          <w:rFonts w:ascii="Arial" w:eastAsia="Arial"/>
          <w:spacing w:val="64"/>
          <w:w w:val="90"/>
          <w:sz w:val="28"/>
        </w:rPr>
        <w:t> </w:t>
      </w:r>
      <w:r>
        <w:rPr>
          <w:spacing w:val="3"/>
          <w:w w:val="90"/>
        </w:rPr>
        <w:t>系列 為有關公務 員俸 給等 ， 現今日本 人事院共</w:t>
      </w:r>
      <w:r>
        <w:rPr>
          <w:spacing w:val="22"/>
          <w:w w:val="95"/>
          <w:sz w:val="26"/>
        </w:rPr>
        <w:t>發布了 </w:t>
      </w:r>
      <w:r>
        <w:rPr>
          <w:rFonts w:ascii="Arial" w:eastAsia="Arial"/>
          <w:w w:val="95"/>
          <w:sz w:val="29"/>
        </w:rPr>
        <w:t>25</w:t>
      </w:r>
      <w:r>
        <w:rPr>
          <w:rFonts w:ascii="Arial" w:eastAsia="Arial"/>
          <w:spacing w:val="31"/>
          <w:w w:val="95"/>
          <w:sz w:val="29"/>
        </w:rPr>
        <w:t> </w:t>
      </w:r>
      <w:r>
        <w:rPr>
          <w:spacing w:val="9"/>
          <w:w w:val="95"/>
        </w:rPr>
        <w:t>個系 類之人事院規則</w:t>
      </w:r>
      <w:r>
        <w:rPr>
          <w:rFonts w:ascii="Times New Roman" w:eastAsia="Times New Roman"/>
          <w:w w:val="75"/>
          <w:sz w:val="15"/>
        </w:rPr>
        <w:t>1</w:t>
      </w:r>
      <w:r>
        <w:rPr>
          <w:rFonts w:ascii="Times New Roman" w:eastAsia="Times New Roman"/>
          <w:spacing w:val="5"/>
          <w:w w:val="75"/>
          <w:sz w:val="15"/>
        </w:rPr>
        <w:t> </w:t>
      </w:r>
      <w:r>
        <w:rPr>
          <w:rFonts w:ascii="Times New Roman" w:eastAsia="Times New Roman"/>
          <w:w w:val="95"/>
          <w:sz w:val="15"/>
        </w:rPr>
        <w:t>4</w:t>
      </w:r>
      <w:r>
        <w:rPr>
          <w:rFonts w:ascii="Times New Roman" w:eastAsia="Times New Roman"/>
          <w:spacing w:val="4"/>
          <w:w w:val="95"/>
          <w:sz w:val="15"/>
        </w:rPr>
        <w:t> </w:t>
      </w:r>
      <w:r>
        <w:rPr>
          <w:rFonts w:ascii="Times New Roman" w:eastAsia="Times New Roman"/>
          <w:w w:val="75"/>
          <w:sz w:val="15"/>
        </w:rPr>
        <w:t>1</w:t>
      </w:r>
      <w:r>
        <w:rPr>
          <w:rFonts w:ascii="Times New Roman" w:eastAsia="Times New Roman"/>
          <w:spacing w:val="6"/>
          <w:w w:val="75"/>
          <w:sz w:val="15"/>
        </w:rPr>
        <w:t> </w:t>
      </w:r>
      <w:r>
        <w:rPr>
          <w:spacing w:val="13"/>
          <w:w w:val="75"/>
        </w:rPr>
        <w:t>。 </w:t>
      </w:r>
      <w:r>
        <w:rPr>
          <w:w w:val="95"/>
        </w:rPr>
        <w:t>主要 有如 下之內容。公務員之 任免</w:t>
      </w:r>
      <w:r>
        <w:rPr>
          <w:spacing w:val="18"/>
          <w:w w:val="95"/>
        </w:rPr>
        <w:t>（</w:t>
      </w:r>
      <w:r>
        <w:rPr>
          <w:w w:val="95"/>
        </w:rPr>
        <w:t>人</w:t>
      </w:r>
      <w:r>
        <w:rPr>
          <w:spacing w:val="8"/>
          <w:w w:val="95"/>
        </w:rPr>
        <w:t>事院規則 </w:t>
      </w:r>
      <w:r>
        <w:rPr>
          <w:rFonts w:ascii="Times New Roman" w:eastAsia="Times New Roman"/>
          <w:w w:val="95"/>
          <w:sz w:val="29"/>
        </w:rPr>
        <w:t>8-</w:t>
      </w:r>
      <w:r>
        <w:rPr>
          <w:rFonts w:ascii="Times New Roman" w:eastAsia="Times New Roman"/>
          <w:spacing w:val="-33"/>
          <w:w w:val="95"/>
          <w:sz w:val="29"/>
        </w:rPr>
        <w:t> </w:t>
      </w:r>
      <w:r>
        <w:rPr>
          <w:rFonts w:ascii="Times New Roman" w:eastAsia="Times New Roman"/>
          <w:w w:val="95"/>
          <w:sz w:val="29"/>
        </w:rPr>
        <w:t>12</w:t>
      </w:r>
      <w:r>
        <w:rPr>
          <w:rFonts w:ascii="Times New Roman" w:eastAsia="Times New Roman"/>
          <w:spacing w:val="5"/>
          <w:w w:val="95"/>
          <w:sz w:val="29"/>
        </w:rPr>
        <w:t> ) </w:t>
      </w:r>
      <w:r>
        <w:rPr>
          <w:spacing w:val="10"/>
          <w:w w:val="95"/>
        </w:rPr>
        <w:t>、公務 員之 退撫 </w:t>
      </w:r>
      <w:r>
        <w:rPr>
          <w:rFonts w:ascii="Times New Roman" w:eastAsia="Times New Roman"/>
          <w:spacing w:val="-13"/>
          <w:w w:val="95"/>
          <w:sz w:val="29"/>
        </w:rPr>
        <w:t>( </w:t>
      </w:r>
      <w:r>
        <w:rPr>
          <w:rFonts w:ascii="Times New Roman" w:eastAsia="Times New Roman"/>
          <w:w w:val="95"/>
          <w:sz w:val="29"/>
        </w:rPr>
        <w:t>11-</w:t>
      </w:r>
      <w:r>
        <w:rPr>
          <w:rFonts w:ascii="Times New Roman" w:eastAsia="Times New Roman"/>
          <w:spacing w:val="-24"/>
          <w:w w:val="95"/>
          <w:sz w:val="29"/>
        </w:rPr>
        <w:t> </w:t>
      </w:r>
      <w:r>
        <w:rPr>
          <w:rFonts w:ascii="Times New Roman" w:eastAsia="Times New Roman"/>
          <w:w w:val="95"/>
          <w:sz w:val="29"/>
        </w:rPr>
        <w:t>8</w:t>
      </w:r>
      <w:r>
        <w:rPr>
          <w:rFonts w:ascii="Times New Roman" w:eastAsia="Times New Roman"/>
          <w:spacing w:val="-1"/>
          <w:w w:val="95"/>
          <w:sz w:val="29"/>
        </w:rPr>
        <w:t> ) </w:t>
      </w:r>
      <w:r>
        <w:rPr>
          <w:spacing w:val="13"/>
          <w:w w:val="95"/>
        </w:rPr>
        <w:t>、審理不利 益處分之不服申訴</w:t>
      </w:r>
    </w:p>
    <w:p>
      <w:pPr>
        <w:spacing w:before="0"/>
        <w:ind w:left="430" w:right="0" w:firstLine="0"/>
        <w:jc w:val="left"/>
        <w:rPr>
          <w:sz w:val="25"/>
        </w:rPr>
      </w:pPr>
      <w:r>
        <w:rPr>
          <w:rFonts w:ascii="Times New Roman" w:eastAsia="Times New Roman"/>
          <w:spacing w:val="-11"/>
          <w:sz w:val="29"/>
        </w:rPr>
        <w:t>( </w:t>
      </w:r>
      <w:r>
        <w:rPr>
          <w:rFonts w:ascii="Times New Roman" w:eastAsia="Times New Roman"/>
          <w:sz w:val="29"/>
        </w:rPr>
        <w:t>13-</w:t>
      </w:r>
      <w:r>
        <w:rPr>
          <w:rFonts w:ascii="Times New Roman" w:eastAsia="Times New Roman"/>
          <w:spacing w:val="-34"/>
          <w:sz w:val="29"/>
        </w:rPr>
        <w:t> </w:t>
      </w:r>
      <w:r>
        <w:rPr>
          <w:rFonts w:ascii="Times New Roman" w:eastAsia="Times New Roman"/>
          <w:sz w:val="29"/>
        </w:rPr>
        <w:t>1</w:t>
      </w:r>
      <w:r>
        <w:rPr>
          <w:rFonts w:ascii="Times New Roman" w:eastAsia="Times New Roman"/>
          <w:spacing w:val="-11"/>
          <w:sz w:val="29"/>
        </w:rPr>
        <w:t> )</w:t>
      </w:r>
      <w:r>
        <w:rPr>
          <w:spacing w:val="3"/>
          <w:sz w:val="25"/>
        </w:rPr>
        <w:t>丶有 關勤務條件之行政措紇要求 </w:t>
      </w:r>
      <w:r>
        <w:rPr>
          <w:rFonts w:ascii="Times New Roman" w:eastAsia="Times New Roman"/>
          <w:spacing w:val="-14"/>
          <w:sz w:val="29"/>
        </w:rPr>
        <w:t>( </w:t>
      </w:r>
      <w:r>
        <w:rPr>
          <w:rFonts w:ascii="Times New Roman" w:eastAsia="Times New Roman"/>
          <w:sz w:val="29"/>
        </w:rPr>
        <w:t>13-</w:t>
      </w:r>
      <w:r>
        <w:rPr>
          <w:rFonts w:ascii="Times New Roman" w:eastAsia="Times New Roman"/>
          <w:spacing w:val="-14"/>
          <w:sz w:val="29"/>
        </w:rPr>
        <w:t> </w:t>
      </w:r>
      <w:r>
        <w:rPr>
          <w:rFonts w:ascii="Times New Roman" w:eastAsia="Times New Roman"/>
          <w:sz w:val="29"/>
        </w:rPr>
        <w:t>2</w:t>
      </w:r>
      <w:r>
        <w:rPr>
          <w:rFonts w:ascii="Times New Roman" w:eastAsia="Times New Roman"/>
          <w:spacing w:val="3"/>
          <w:sz w:val="29"/>
        </w:rPr>
        <w:t> )</w:t>
      </w:r>
      <w:r>
        <w:rPr>
          <w:spacing w:val="4"/>
          <w:sz w:val="25"/>
        </w:rPr>
        <w:t>丶公務 員政治行為之 限制</w:t>
      </w:r>
    </w:p>
    <w:p>
      <w:pPr>
        <w:spacing w:before="101"/>
        <w:ind w:left="430" w:right="0" w:firstLine="0"/>
        <w:jc w:val="left"/>
        <w:rPr>
          <w:sz w:val="25"/>
        </w:rPr>
      </w:pPr>
      <w:r>
        <w:rPr>
          <w:rFonts w:ascii="Times New Roman" w:eastAsia="Times New Roman"/>
          <w:spacing w:val="-12"/>
          <w:w w:val="95"/>
          <w:sz w:val="29"/>
        </w:rPr>
        <w:t>( </w:t>
      </w:r>
      <w:r>
        <w:rPr>
          <w:rFonts w:ascii="Times New Roman" w:eastAsia="Times New Roman"/>
          <w:w w:val="95"/>
          <w:sz w:val="29"/>
        </w:rPr>
        <w:t>14-</w:t>
      </w:r>
      <w:r>
        <w:rPr>
          <w:rFonts w:ascii="Times New Roman" w:eastAsia="Times New Roman"/>
          <w:spacing w:val="-21"/>
          <w:w w:val="95"/>
          <w:sz w:val="29"/>
        </w:rPr>
        <w:t> </w:t>
      </w:r>
      <w:r>
        <w:rPr>
          <w:rFonts w:ascii="Times New Roman" w:eastAsia="Times New Roman"/>
          <w:w w:val="95"/>
          <w:sz w:val="29"/>
        </w:rPr>
        <w:t>7</w:t>
      </w:r>
      <w:r>
        <w:rPr>
          <w:rFonts w:ascii="Times New Roman" w:eastAsia="Times New Roman"/>
          <w:spacing w:val="6"/>
          <w:w w:val="95"/>
          <w:sz w:val="29"/>
        </w:rPr>
        <w:t> ) </w:t>
      </w:r>
      <w:r>
        <w:rPr>
          <w:spacing w:val="-8"/>
          <w:w w:val="95"/>
          <w:sz w:val="25"/>
        </w:rPr>
        <w:t>等 。</w:t>
      </w:r>
    </w:p>
    <w:p>
      <w:pPr>
        <w:pStyle w:val="BodyText"/>
        <w:spacing w:line="309" w:lineRule="auto" w:before="117"/>
        <w:ind w:left="304" w:right="504" w:firstLine="553"/>
        <w:jc w:val="both"/>
      </w:pPr>
      <w:r>
        <w:rPr>
          <w:rFonts w:ascii="MS UI Gothic" w:hAnsi="MS UI Gothic" w:eastAsia="MS UI Gothic" w:hint="eastAsia"/>
          <w:spacing w:val="22"/>
          <w:position w:val="-2"/>
          <w:sz w:val="28"/>
        </w:rPr>
        <w:t>③</w:t>
      </w:r>
      <w:r>
        <w:rPr/>
        <w:t>人事院具有審查對處分不服之申訴的功能。具體而言，包含對不利   </w:t>
      </w:r>
      <w:r>
        <w:rPr>
          <w:spacing w:val="80"/>
        </w:rPr>
        <w:t> </w:t>
      </w:r>
      <w:r>
        <w:rPr>
          <w:spacing w:val="18"/>
          <w:w w:val="95"/>
        </w:rPr>
        <w:t>益處分不服申訴之審查</w:t>
      </w:r>
      <w:r>
        <w:rPr>
          <w:rFonts w:ascii="Times New Roman" w:hAnsi="Times New Roman" w:eastAsia="Times New Roman"/>
          <w:w w:val="75"/>
          <w:sz w:val="15"/>
        </w:rPr>
        <w:t>1</w:t>
      </w:r>
      <w:r>
        <w:rPr>
          <w:rFonts w:ascii="Times New Roman" w:hAnsi="Times New Roman" w:eastAsia="Times New Roman"/>
          <w:spacing w:val="10"/>
          <w:w w:val="75"/>
          <w:sz w:val="15"/>
        </w:rPr>
        <w:t> </w:t>
      </w:r>
      <w:r>
        <w:rPr>
          <w:rFonts w:ascii="Times New Roman" w:hAnsi="Times New Roman" w:eastAsia="Times New Roman"/>
          <w:w w:val="75"/>
          <w:sz w:val="15"/>
        </w:rPr>
        <w:t>42</w:t>
      </w:r>
      <w:r>
        <w:rPr>
          <w:rFonts w:ascii="Times New Roman" w:hAnsi="Times New Roman" w:eastAsia="Times New Roman"/>
          <w:spacing w:val="50"/>
          <w:sz w:val="15"/>
        </w:rPr>
        <w:t> </w:t>
      </w:r>
      <w:r>
        <w:rPr>
          <w:spacing w:val="4"/>
          <w:w w:val="75"/>
        </w:rPr>
        <w:t>、 </w:t>
      </w:r>
      <w:r>
        <w:rPr>
          <w:w w:val="95"/>
        </w:rPr>
        <w:t>有關人事院對持有公 司股 份 之 關係 等通知之異</w:t>
      </w:r>
      <w:r>
        <w:rPr>
          <w:spacing w:val="15"/>
          <w:w w:val="95"/>
        </w:rPr>
        <w:t>議的申訴</w:t>
      </w:r>
      <w:r>
        <w:rPr>
          <w:rFonts w:ascii="Times New Roman" w:hAnsi="Times New Roman" w:eastAsia="Times New Roman"/>
          <w:w w:val="75"/>
          <w:sz w:val="15"/>
        </w:rPr>
        <w:t>1</w:t>
      </w:r>
      <w:r>
        <w:rPr>
          <w:rFonts w:ascii="Times New Roman" w:hAnsi="Times New Roman" w:eastAsia="Times New Roman"/>
          <w:spacing w:val="14"/>
          <w:w w:val="75"/>
          <w:sz w:val="15"/>
        </w:rPr>
        <w:t> </w:t>
      </w:r>
      <w:r>
        <w:rPr>
          <w:rFonts w:ascii="Times New Roman" w:hAnsi="Times New Roman" w:eastAsia="Times New Roman"/>
          <w:w w:val="75"/>
          <w:sz w:val="15"/>
        </w:rPr>
        <w:t>43</w:t>
      </w:r>
      <w:r>
        <w:rPr>
          <w:rFonts w:ascii="Times New Roman" w:hAnsi="Times New Roman" w:eastAsia="Times New Roman"/>
          <w:spacing w:val="11"/>
          <w:w w:val="75"/>
          <w:sz w:val="15"/>
        </w:rPr>
        <w:t> </w:t>
      </w:r>
      <w:r>
        <w:rPr>
          <w:spacing w:val="16"/>
          <w:w w:val="95"/>
        </w:rPr>
        <w:t>等 。上述有關日本 人事院之種種功能噹中 </w:t>
      </w:r>
      <w:r>
        <w:rPr>
          <w:spacing w:val="-12"/>
          <w:w w:val="75"/>
        </w:rPr>
        <w:t>， </w:t>
      </w:r>
      <w:r>
        <w:rPr>
          <w:spacing w:val="21"/>
          <w:w w:val="95"/>
        </w:rPr>
        <w:t>有關由人事院對不</w:t>
      </w:r>
    </w:p>
    <w:p>
      <w:pPr>
        <w:pStyle w:val="BodyText"/>
        <w:spacing w:line="331" w:lineRule="auto" w:before="32"/>
        <w:ind w:left="331" w:right="525" w:hanging="25"/>
      </w:pPr>
      <w:r>
        <w:rPr>
          <w:w w:val="110"/>
        </w:rPr>
        <w:t>利益處分之申訴進行審查之部分，由於該種審查在程序上具有準司法之性質，因此學說上，將其稱為行政審判。</w:t>
      </w:r>
    </w:p>
    <w:p>
      <w:pPr>
        <w:pStyle w:val="BodyText"/>
        <w:spacing w:line="349" w:lineRule="exact"/>
        <w:ind w:left="858"/>
      </w:pPr>
      <w:r>
        <w:rPr>
          <w:rFonts w:ascii="MS UI Gothic" w:hAnsi="MS UI Gothic" w:eastAsia="MS UI Gothic" w:hint="eastAsia"/>
          <w:spacing w:val="19"/>
          <w:w w:val="110"/>
          <w:position w:val="-1"/>
          <w:sz w:val="28"/>
        </w:rPr>
        <w:t>④</w:t>
      </w:r>
      <w:r>
        <w:rPr>
          <w:w w:val="110"/>
        </w:rPr>
        <w:t>關於人事官的身分保障及其會計，設有以人事院獨立保障作為目的</w:t>
      </w:r>
    </w:p>
    <w:p>
      <w:pPr>
        <w:pStyle w:val="BodyText"/>
        <w:rPr>
          <w:sz w:val="20"/>
        </w:rPr>
      </w:pPr>
    </w:p>
    <w:p>
      <w:pPr>
        <w:pStyle w:val="BodyText"/>
        <w:rPr>
          <w:sz w:val="20"/>
        </w:rPr>
      </w:pPr>
    </w:p>
    <w:p>
      <w:pPr>
        <w:spacing w:after="0"/>
        <w:rPr>
          <w:sz w:val="20"/>
        </w:rPr>
        <w:sectPr>
          <w:pgSz w:w="11910" w:h="16840"/>
          <w:pgMar w:header="862" w:footer="1017" w:top="1060" w:bottom="1200" w:left="1120" w:right="1060"/>
        </w:sectPr>
      </w:pPr>
    </w:p>
    <w:p>
      <w:pPr>
        <w:pStyle w:val="BodyText"/>
        <w:rPr>
          <w:sz w:val="14"/>
        </w:rPr>
      </w:pPr>
    </w:p>
    <w:p>
      <w:pPr>
        <w:spacing w:before="108"/>
        <w:ind w:left="298" w:right="0" w:firstLine="0"/>
        <w:jc w:val="left"/>
        <w:rPr>
          <w:rFonts w:ascii="Times New Roman"/>
          <w:sz w:val="13"/>
        </w:rPr>
      </w:pPr>
      <w:r>
        <w:rPr/>
        <w:pict>
          <v:line style="position:absolute;mso-position-horizontal-relative:page;mso-position-vertical-relative:paragraph;z-index:15873024" from="95.174004pt,-8.052596pt" to="549.89426pt,-8.052596pt" stroked="true" strokeweight=".480547pt" strokecolor="#000000">
            <v:stroke dashstyle="solid"/>
            <w10:wrap type="none"/>
          </v:line>
        </w:pict>
      </w:r>
      <w:r>
        <w:rPr>
          <w:rFonts w:ascii="Times New Roman"/>
          <w:sz w:val="13"/>
        </w:rPr>
        <w:t>138</w:t>
      </w:r>
    </w:p>
    <w:p>
      <w:pPr>
        <w:pStyle w:val="BodyText"/>
        <w:spacing w:before="1"/>
        <w:rPr>
          <w:rFonts w:ascii="Times New Roman"/>
          <w:sz w:val="14"/>
        </w:rPr>
      </w:pPr>
    </w:p>
    <w:p>
      <w:pPr>
        <w:spacing w:before="0"/>
        <w:ind w:left="298" w:right="0" w:firstLine="0"/>
        <w:jc w:val="left"/>
        <w:rPr>
          <w:rFonts w:ascii="Times New Roman"/>
          <w:sz w:val="13"/>
        </w:rPr>
      </w:pPr>
      <w:r>
        <w:rPr>
          <w:rFonts w:ascii="Times New Roman"/>
          <w:sz w:val="13"/>
        </w:rPr>
        <w:t>139</w:t>
      </w:r>
    </w:p>
    <w:p>
      <w:pPr>
        <w:pStyle w:val="BodyText"/>
        <w:spacing w:before="2"/>
        <w:rPr>
          <w:rFonts w:ascii="Times New Roman"/>
          <w:sz w:val="14"/>
        </w:rPr>
      </w:pPr>
    </w:p>
    <w:p>
      <w:pPr>
        <w:spacing w:before="0"/>
        <w:ind w:left="298" w:right="0" w:firstLine="0"/>
        <w:jc w:val="left"/>
        <w:rPr>
          <w:rFonts w:ascii="Times New Roman"/>
          <w:sz w:val="13"/>
        </w:rPr>
      </w:pPr>
      <w:r>
        <w:rPr>
          <w:rFonts w:ascii="Times New Roman"/>
          <w:sz w:val="13"/>
        </w:rPr>
        <w:t>140</w:t>
      </w:r>
    </w:p>
    <w:p>
      <w:pPr>
        <w:pStyle w:val="BodyText"/>
        <w:spacing w:before="4"/>
        <w:rPr>
          <w:rFonts w:ascii="Times New Roman"/>
          <w:sz w:val="14"/>
        </w:rPr>
      </w:pPr>
    </w:p>
    <w:p>
      <w:pPr>
        <w:spacing w:before="0"/>
        <w:ind w:left="298" w:right="0" w:firstLine="0"/>
        <w:jc w:val="left"/>
        <w:rPr>
          <w:rFonts w:ascii="Times New Roman"/>
          <w:sz w:val="13"/>
        </w:rPr>
      </w:pPr>
      <w:r>
        <w:rPr>
          <w:rFonts w:ascii="Times New Roman"/>
          <w:sz w:val="13"/>
        </w:rPr>
        <w:t>141</w:t>
      </w:r>
    </w:p>
    <w:p>
      <w:pPr>
        <w:spacing w:line="254" w:lineRule="auto" w:before="237"/>
        <w:ind w:left="87" w:right="1331" w:firstLine="0"/>
        <w:jc w:val="left"/>
        <w:rPr>
          <w:sz w:val="20"/>
        </w:rPr>
      </w:pPr>
      <w:r>
        <w:rPr/>
        <w:br w:type="column"/>
      </w:r>
      <w:r>
        <w:rPr>
          <w:spacing w:val="10"/>
          <w:w w:val="90"/>
          <w:sz w:val="20"/>
        </w:rPr>
        <w:t>日本 國公法 第</w:t>
      </w:r>
      <w:r>
        <w:rPr>
          <w:rFonts w:ascii="Times New Roman" w:eastAsia="Times New Roman"/>
          <w:w w:val="90"/>
          <w:sz w:val="26"/>
        </w:rPr>
        <w:t>42</w:t>
      </w:r>
      <w:r>
        <w:rPr>
          <w:w w:val="90"/>
          <w:sz w:val="20"/>
        </w:rPr>
        <w:t>條 以 下 。</w:t>
      </w:r>
      <w:r>
        <w:rPr>
          <w:spacing w:val="10"/>
          <w:w w:val="90"/>
          <w:sz w:val="20"/>
        </w:rPr>
        <w:t>日本 國公法 第</w:t>
      </w:r>
      <w:r>
        <w:rPr>
          <w:rFonts w:ascii="Times New Roman" w:eastAsia="Times New Roman"/>
          <w:w w:val="90"/>
          <w:sz w:val="26"/>
        </w:rPr>
        <w:t>42</w:t>
      </w:r>
      <w:r>
        <w:rPr>
          <w:spacing w:val="18"/>
          <w:w w:val="90"/>
          <w:sz w:val="20"/>
        </w:rPr>
        <w:t>條 。</w:t>
      </w:r>
    </w:p>
    <w:p>
      <w:pPr>
        <w:spacing w:line="295" w:lineRule="exact" w:before="0"/>
        <w:ind w:left="87" w:right="0" w:firstLine="0"/>
        <w:jc w:val="left"/>
        <w:rPr>
          <w:sz w:val="20"/>
        </w:rPr>
      </w:pPr>
      <w:r>
        <w:rPr>
          <w:spacing w:val="9"/>
          <w:w w:val="95"/>
          <w:sz w:val="20"/>
        </w:rPr>
        <w:t>日本 國公法 第</w:t>
      </w:r>
      <w:r>
        <w:rPr>
          <w:rFonts w:ascii="Times New Roman" w:eastAsia="Times New Roman"/>
          <w:w w:val="95"/>
          <w:sz w:val="26"/>
        </w:rPr>
        <w:t>103</w:t>
      </w:r>
      <w:r>
        <w:rPr>
          <w:spacing w:val="4"/>
          <w:w w:val="95"/>
          <w:sz w:val="20"/>
        </w:rPr>
        <w:t>條 第</w:t>
      </w:r>
      <w:r>
        <w:rPr>
          <w:rFonts w:ascii="Times New Roman" w:eastAsia="Times New Roman"/>
          <w:w w:val="95"/>
          <w:sz w:val="26"/>
        </w:rPr>
        <w:t>3</w:t>
      </w:r>
      <w:r>
        <w:rPr>
          <w:w w:val="95"/>
          <w:sz w:val="20"/>
        </w:rPr>
        <w:t>項 。</w:t>
      </w:r>
    </w:p>
    <w:p>
      <w:pPr>
        <w:spacing w:before="3"/>
        <w:ind w:left="87" w:right="0" w:firstLine="0"/>
        <w:jc w:val="left"/>
        <w:rPr>
          <w:rFonts w:ascii="Times New Roman" w:eastAsia="Times New Roman"/>
          <w:sz w:val="26"/>
        </w:rPr>
      </w:pPr>
      <w:r>
        <w:rPr>
          <w:spacing w:val="10"/>
          <w:w w:val="85"/>
          <w:sz w:val="20"/>
        </w:rPr>
        <w:t>日本 人 事院之分類 ，依 人 事 浣 規 則</w:t>
      </w:r>
      <w:r>
        <w:rPr>
          <w:rFonts w:ascii="Times New Roman" w:eastAsia="Times New Roman"/>
          <w:w w:val="85"/>
          <w:sz w:val="26"/>
        </w:rPr>
        <w:t>1-,1</w:t>
      </w:r>
    </w:p>
    <w:p>
      <w:pPr>
        <w:pStyle w:val="BodyText"/>
        <w:rPr>
          <w:rFonts w:ascii="Times New Roman"/>
          <w:sz w:val="28"/>
        </w:rPr>
      </w:pPr>
      <w:r>
        <w:rPr/>
        <w:br w:type="column"/>
      </w:r>
      <w:r>
        <w:rPr>
          <w:rFonts w:ascii="Times New Roman"/>
          <w:sz w:val="28"/>
        </w:rPr>
      </w:r>
    </w:p>
    <w:p>
      <w:pPr>
        <w:pStyle w:val="BodyText"/>
        <w:rPr>
          <w:rFonts w:ascii="Times New Roman"/>
          <w:sz w:val="28"/>
        </w:rPr>
      </w:pPr>
    </w:p>
    <w:p>
      <w:pPr>
        <w:pStyle w:val="BodyText"/>
        <w:rPr>
          <w:rFonts w:ascii="Times New Roman"/>
          <w:sz w:val="28"/>
        </w:rPr>
      </w:pPr>
    </w:p>
    <w:p>
      <w:pPr>
        <w:spacing w:before="203"/>
        <w:ind w:left="217" w:right="0" w:firstLine="0"/>
        <w:jc w:val="left"/>
        <w:rPr>
          <w:sz w:val="20"/>
        </w:rPr>
      </w:pPr>
      <w:r>
        <w:rPr>
          <w:spacing w:val="23"/>
          <w:w w:val="90"/>
          <w:sz w:val="20"/>
        </w:rPr>
        <w:t>共區分為</w:t>
      </w:r>
      <w:r>
        <w:rPr>
          <w:rFonts w:ascii="Times New Roman" w:eastAsia="Times New Roman"/>
          <w:w w:val="90"/>
          <w:sz w:val="26"/>
        </w:rPr>
        <w:t>25</w:t>
      </w:r>
      <w:r>
        <w:rPr>
          <w:rFonts w:ascii="Times New Roman" w:eastAsia="Times New Roman"/>
          <w:spacing w:val="-32"/>
          <w:w w:val="90"/>
          <w:sz w:val="26"/>
        </w:rPr>
        <w:t> </w:t>
      </w:r>
      <w:r>
        <w:rPr>
          <w:spacing w:val="4"/>
          <w:w w:val="90"/>
          <w:sz w:val="20"/>
        </w:rPr>
        <w:t>個 系類 。其 內 容 ，參 閱日本 人</w:t>
      </w:r>
    </w:p>
    <w:p>
      <w:pPr>
        <w:spacing w:after="0"/>
        <w:jc w:val="left"/>
        <w:rPr>
          <w:sz w:val="20"/>
        </w:rPr>
        <w:sectPr>
          <w:type w:val="continuous"/>
          <w:pgSz w:w="11910" w:h="16840"/>
          <w:pgMar w:top="1020" w:bottom="280" w:left="1120" w:right="1060"/>
          <w:cols w:num="3" w:equalWidth="0">
            <w:col w:w="494" w:space="40"/>
            <w:col w:w="4034" w:space="39"/>
            <w:col w:w="5123"/>
          </w:cols>
        </w:sectPr>
      </w:pPr>
    </w:p>
    <w:p>
      <w:pPr>
        <w:pStyle w:val="Heading6"/>
        <w:spacing w:before="28"/>
        <w:ind w:left="520"/>
      </w:pPr>
      <w:r>
        <w:rPr>
          <w:rFonts w:ascii="SimSun" w:eastAsia="SimSun" w:hint="eastAsia"/>
          <w:spacing w:val="23"/>
          <w:sz w:val="20"/>
        </w:rPr>
        <w:t>事院網頁</w:t>
      </w:r>
      <w:r>
        <w:rPr/>
        <w:t>ht t</w:t>
      </w:r>
      <w:r>
        <w:rPr>
          <w:spacing w:val="-19"/>
        </w:rPr>
        <w:t> </w:t>
      </w:r>
      <w:r>
        <w:rPr/>
        <w:t>p:</w:t>
      </w:r>
      <w:r>
        <w:rPr>
          <w:spacing w:val="-8"/>
        </w:rPr>
        <w:t> </w:t>
      </w:r>
      <w:r>
        <w:rPr/>
        <w:t>//law</w:t>
      </w:r>
      <w:r>
        <w:rPr>
          <w:spacing w:val="-5"/>
        </w:rPr>
        <w:t>. </w:t>
      </w:r>
      <w:r>
        <w:rPr/>
        <w:t>e-gov</w:t>
      </w:r>
      <w:r>
        <w:rPr>
          <w:spacing w:val="-2"/>
        </w:rPr>
        <w:t>. </w:t>
      </w:r>
      <w:r>
        <w:rPr/>
        <w:t>go.</w:t>
      </w:r>
      <w:r>
        <w:rPr>
          <w:spacing w:val="49"/>
        </w:rPr>
        <w:t> </w:t>
      </w:r>
      <w:r>
        <w:rPr/>
        <w:t>jp/htmldata/S24/S24F04501001</w:t>
      </w:r>
      <w:r>
        <w:rPr>
          <w:spacing w:val="-9"/>
        </w:rPr>
        <w:t>. </w:t>
      </w:r>
      <w:r>
        <w:rPr/>
        <w:t>html</w:t>
      </w:r>
    </w:p>
    <w:p>
      <w:pPr>
        <w:spacing w:line="281" w:lineRule="exact" w:before="12"/>
        <w:ind w:left="298" w:right="0" w:firstLine="0"/>
        <w:jc w:val="left"/>
        <w:rPr>
          <w:sz w:val="20"/>
        </w:rPr>
      </w:pPr>
      <w:r>
        <w:rPr>
          <w:rFonts w:ascii="Times New Roman" w:eastAsia="Times New Roman"/>
          <w:w w:val="85"/>
          <w:position w:val="7"/>
          <w:sz w:val="13"/>
        </w:rPr>
        <w:t>142</w:t>
      </w:r>
      <w:r>
        <w:rPr>
          <w:rFonts w:ascii="Times New Roman" w:eastAsia="Times New Roman"/>
          <w:spacing w:val="35"/>
          <w:position w:val="7"/>
          <w:sz w:val="13"/>
        </w:rPr>
        <w:t> </w:t>
      </w:r>
      <w:r>
        <w:rPr>
          <w:spacing w:val="14"/>
          <w:w w:val="85"/>
          <w:sz w:val="20"/>
        </w:rPr>
        <w:t>日本 國公法 第</w:t>
      </w:r>
      <w:r>
        <w:rPr>
          <w:rFonts w:ascii="Arial" w:eastAsia="Arial"/>
          <w:w w:val="85"/>
          <w:sz w:val="25"/>
        </w:rPr>
        <w:t>90</w:t>
      </w:r>
      <w:r>
        <w:rPr>
          <w:spacing w:val="12"/>
          <w:w w:val="85"/>
          <w:sz w:val="20"/>
        </w:rPr>
        <w:t>條 以 下 。</w:t>
      </w:r>
    </w:p>
    <w:p>
      <w:pPr>
        <w:spacing w:line="349" w:lineRule="exact" w:before="0"/>
        <w:ind w:left="298" w:right="0" w:firstLine="0"/>
        <w:jc w:val="left"/>
        <w:rPr>
          <w:sz w:val="20"/>
        </w:rPr>
      </w:pPr>
      <w:r>
        <w:rPr>
          <w:rFonts w:ascii="Times New Roman" w:eastAsia="Times New Roman"/>
          <w:w w:val="90"/>
          <w:position w:val="8"/>
          <w:sz w:val="13"/>
        </w:rPr>
        <w:t>143</w:t>
      </w:r>
      <w:r>
        <w:rPr>
          <w:rFonts w:ascii="Times New Roman" w:eastAsia="Times New Roman"/>
          <w:spacing w:val="47"/>
          <w:position w:val="8"/>
          <w:sz w:val="13"/>
        </w:rPr>
        <w:t> </w:t>
      </w:r>
      <w:r>
        <w:rPr>
          <w:spacing w:val="13"/>
          <w:w w:val="90"/>
          <w:sz w:val="20"/>
        </w:rPr>
        <w:t>日本 國公法 第</w:t>
      </w:r>
      <w:r>
        <w:rPr>
          <w:rFonts w:ascii="Times New Roman" w:eastAsia="Times New Roman"/>
          <w:w w:val="90"/>
          <w:sz w:val="26"/>
        </w:rPr>
        <w:t>103</w:t>
      </w:r>
      <w:r>
        <w:rPr>
          <w:spacing w:val="9"/>
          <w:w w:val="90"/>
          <w:sz w:val="20"/>
        </w:rPr>
        <w:t>條 第</w:t>
      </w:r>
      <w:r>
        <w:rPr>
          <w:rFonts w:ascii="Times New Roman" w:eastAsia="Times New Roman"/>
          <w:w w:val="90"/>
          <w:sz w:val="26"/>
        </w:rPr>
        <w:t>6</w:t>
      </w:r>
      <w:r>
        <w:rPr>
          <w:rFonts w:ascii="Times New Roman" w:eastAsia="Times New Roman"/>
          <w:spacing w:val="22"/>
          <w:w w:val="90"/>
          <w:sz w:val="26"/>
        </w:rPr>
        <w:t> </w:t>
      </w:r>
      <w:r>
        <w:rPr>
          <w:spacing w:val="-55"/>
          <w:w w:val="90"/>
          <w:sz w:val="28"/>
        </w:rPr>
        <w:t>、</w:t>
      </w:r>
      <w:r>
        <w:rPr>
          <w:rFonts w:ascii="Times New Roman" w:eastAsia="Times New Roman"/>
          <w:w w:val="90"/>
          <w:sz w:val="26"/>
        </w:rPr>
        <w:t>7</w:t>
      </w:r>
      <w:r>
        <w:rPr>
          <w:spacing w:val="7"/>
          <w:w w:val="90"/>
          <w:sz w:val="20"/>
        </w:rPr>
        <w:t>項 。</w:t>
      </w:r>
    </w:p>
    <w:p>
      <w:pPr>
        <w:spacing w:after="0" w:line="349" w:lineRule="exact"/>
        <w:jc w:val="left"/>
        <w:rPr>
          <w:sz w:val="20"/>
        </w:rPr>
        <w:sectPr>
          <w:type w:val="continuous"/>
          <w:pgSz w:w="11910" w:h="16840"/>
          <w:pgMar w:top="1020" w:bottom="280" w:left="1120" w:right="1060"/>
        </w:sectPr>
      </w:pPr>
    </w:p>
    <w:p>
      <w:pPr>
        <w:pStyle w:val="BodyText"/>
        <w:spacing w:before="12"/>
        <w:rPr>
          <w:sz w:val="28"/>
        </w:rPr>
      </w:pPr>
    </w:p>
    <w:p>
      <w:pPr>
        <w:pStyle w:val="BodyText"/>
        <w:spacing w:line="328" w:lineRule="auto" w:before="65"/>
        <w:ind w:left="298" w:right="512" w:firstLine="11"/>
        <w:jc w:val="both"/>
        <w:rPr>
          <w:rFonts w:ascii="Times New Roman" w:eastAsia="Times New Roman"/>
          <w:sz w:val="15"/>
        </w:rPr>
      </w:pPr>
      <w:r>
        <w:rPr>
          <w:w w:val="110"/>
        </w:rPr>
        <w:t>之規定，其不僅擁有行政權的性質，尚賦予其準立法及準司法的権限，就此些權限所作成之人事院決定、處分僅受人事院自己之審查。若按日本現行法制，人事院內部機構的人事管理，不適用日本國家行政維織法，其維織丶員額不受法律拘束，得於預算範圍內由人事院自行定之。若言及其準立法權限，現行人事院所擁有的廣泛權力，早有批判存在，尤其是人事院規則，規定有公務員政治行為禁止，其違憲性；公務員勞動條件魔泛依據人事院規則而為詳鈿規定，均為爭議間題。而準司法権限，則為對公務員不利益處分之審查與關於勤務條件之措花要求判定。至於行政權限，特別在人事行政改善之勸告。人事院的勸告機制，大多環繞在其係作為公務員</w:t>
      </w:r>
      <w:r>
        <w:rPr>
          <w:spacing w:val="-13"/>
          <w:w w:val="105"/>
        </w:rPr>
        <w:t>勞動 基本権的代償措施的議題上 。</w:t>
      </w:r>
      <w:r>
        <w:rPr>
          <w:rFonts w:ascii="Times New Roman" w:eastAsia="Times New Roman"/>
          <w:w w:val="75"/>
          <w:sz w:val="15"/>
        </w:rPr>
        <w:t>1</w:t>
      </w:r>
      <w:r>
        <w:rPr>
          <w:rFonts w:ascii="Times New Roman" w:eastAsia="Times New Roman"/>
          <w:spacing w:val="1"/>
          <w:w w:val="75"/>
          <w:sz w:val="15"/>
        </w:rPr>
        <w:t> </w:t>
      </w:r>
      <w:r>
        <w:rPr>
          <w:rFonts w:ascii="Times New Roman" w:eastAsia="Times New Roman"/>
          <w:w w:val="75"/>
          <w:sz w:val="15"/>
        </w:rPr>
        <w:t>44</w:t>
      </w:r>
    </w:p>
    <w:p>
      <w:pPr>
        <w:pStyle w:val="BodyText"/>
        <w:spacing w:before="105"/>
        <w:ind w:left="3638"/>
      </w:pPr>
      <w:r>
        <w:rPr>
          <w:w w:val="115"/>
        </w:rPr>
        <w:t>三地方人事行政機關</w:t>
      </w:r>
    </w:p>
    <w:p>
      <w:pPr>
        <w:pStyle w:val="BodyText"/>
        <w:spacing w:before="2"/>
        <w:rPr>
          <w:sz w:val="24"/>
        </w:rPr>
      </w:pPr>
    </w:p>
    <w:p>
      <w:pPr>
        <w:pStyle w:val="BodyText"/>
        <w:spacing w:line="321" w:lineRule="auto"/>
        <w:ind w:left="298" w:right="511" w:firstLine="566"/>
      </w:pPr>
      <w:r>
        <w:rPr/>
        <w:t>除上述中央之人事院外，在日本地方自治團體中，亦設有作為中立之   </w:t>
      </w:r>
      <w:r>
        <w:rPr>
          <w:spacing w:val="106"/>
        </w:rPr>
        <w:t> </w:t>
      </w:r>
      <w:r>
        <w:rPr/>
        <w:t>人事行政機關的人事委員會，或公平委員會。人事委員會設於縣級（日本    </w:t>
      </w:r>
      <w:r>
        <w:rPr>
          <w:spacing w:val="47"/>
        </w:rPr>
        <w:t> </w:t>
      </w:r>
      <w:r>
        <w:rPr/>
        <w:t>之都道府縣）之地方自治圍體，以及政令指定都市，公平委員會則設於人    </w:t>
      </w:r>
      <w:r>
        <w:rPr>
          <w:spacing w:val="33"/>
        </w:rPr>
        <w:t> </w:t>
      </w:r>
      <w:r>
        <w:rPr>
          <w:spacing w:val="4"/>
          <w:w w:val="95"/>
        </w:rPr>
        <w:t>口未滿 </w:t>
      </w:r>
      <w:r>
        <w:rPr>
          <w:rFonts w:ascii="Times New Roman" w:eastAsia="Times New Roman"/>
          <w:w w:val="95"/>
          <w:sz w:val="30"/>
        </w:rPr>
        <w:t>15</w:t>
      </w:r>
      <w:r>
        <w:rPr>
          <w:rFonts w:ascii="Times New Roman" w:eastAsia="Times New Roman"/>
          <w:spacing w:val="53"/>
          <w:w w:val="95"/>
          <w:sz w:val="30"/>
        </w:rPr>
        <w:t> </w:t>
      </w:r>
      <w:r>
        <w:rPr>
          <w:spacing w:val="-3"/>
          <w:w w:val="95"/>
        </w:rPr>
        <w:t>萬的 市鄉鎮 。不過 ， 人口滿 </w:t>
      </w:r>
      <w:r>
        <w:rPr>
          <w:rFonts w:ascii="Times New Roman" w:eastAsia="Times New Roman"/>
          <w:w w:val="95"/>
          <w:sz w:val="30"/>
        </w:rPr>
        <w:t>15</w:t>
      </w:r>
      <w:r>
        <w:rPr>
          <w:rFonts w:ascii="Times New Roman" w:eastAsia="Times New Roman"/>
          <w:spacing w:val="53"/>
          <w:w w:val="95"/>
          <w:sz w:val="30"/>
        </w:rPr>
        <w:t> </w:t>
      </w:r>
      <w:r>
        <w:rPr>
          <w:spacing w:val="-1"/>
          <w:w w:val="95"/>
        </w:rPr>
        <w:t>萬 人以上的市以及特別區 ， 則可</w:t>
      </w:r>
      <w:r>
        <w:rPr/>
        <w:t>以自治條例，自行選擇設置人事委員會或公平委員會。日本人事院在維織    </w:t>
      </w:r>
      <w:r>
        <w:rPr>
          <w:spacing w:val="47"/>
        </w:rPr>
        <w:t> </w:t>
      </w:r>
      <w:r>
        <w:rPr/>
        <w:t>法上，並不適用日本之國家行政紐織法，不過依日本地方自治法之規定，    </w:t>
      </w:r>
      <w:r>
        <w:rPr>
          <w:spacing w:val="44"/>
        </w:rPr>
        <w:t> </w:t>
      </w:r>
      <w:r>
        <w:rPr>
          <w:spacing w:val="-6"/>
          <w:w w:val="95"/>
        </w:rPr>
        <w:t>人事委 員 會 ，以 及公平委員 會則被 定位為地 方執行 機關</w:t>
      </w:r>
      <w:r>
        <w:rPr>
          <w:spacing w:val="17"/>
          <w:w w:val="95"/>
        </w:rPr>
        <w:t>（</w:t>
      </w:r>
      <w:r>
        <w:rPr>
          <w:spacing w:val="-16"/>
          <w:w w:val="95"/>
        </w:rPr>
        <w:t>法 </w:t>
      </w:r>
      <w:r>
        <w:rPr>
          <w:rFonts w:ascii="Times New Roman" w:eastAsia="Times New Roman"/>
          <w:w w:val="95"/>
          <w:sz w:val="30"/>
        </w:rPr>
        <w:t>180</w:t>
      </w:r>
      <w:r>
        <w:rPr>
          <w:rFonts w:ascii="Times New Roman" w:eastAsia="Times New Roman"/>
          <w:spacing w:val="25"/>
          <w:w w:val="95"/>
          <w:sz w:val="30"/>
        </w:rPr>
        <w:t> </w:t>
      </w:r>
      <w:r>
        <w:rPr>
          <w:spacing w:val="-7"/>
          <w:w w:val="95"/>
        </w:rPr>
        <w:t>條之 </w:t>
      </w:r>
      <w:r>
        <w:rPr>
          <w:rFonts w:ascii="Times New Roman" w:eastAsia="Times New Roman"/>
          <w:w w:val="95"/>
          <w:sz w:val="30"/>
        </w:rPr>
        <w:t>5</w:t>
      </w:r>
      <w:r>
        <w:rPr>
          <w:rFonts w:ascii="Times New Roman" w:eastAsia="Times New Roman"/>
          <w:spacing w:val="45"/>
          <w:w w:val="95"/>
          <w:sz w:val="30"/>
        </w:rPr>
        <w:t> </w:t>
      </w:r>
      <w:r>
        <w:rPr>
          <w:w w:val="95"/>
          <w:sz w:val="26"/>
        </w:rPr>
        <w:t>第</w:t>
      </w:r>
      <w:r>
        <w:rPr>
          <w:rFonts w:ascii="Times New Roman" w:eastAsia="Times New Roman"/>
          <w:w w:val="95"/>
          <w:sz w:val="29"/>
        </w:rPr>
        <w:t>l</w:t>
      </w:r>
      <w:r>
        <w:rPr>
          <w:rFonts w:ascii="Times New Roman" w:eastAsia="Times New Roman"/>
          <w:spacing w:val="83"/>
          <w:sz w:val="29"/>
        </w:rPr>
        <w:t> </w:t>
      </w:r>
      <w:r>
        <w:rPr>
          <w:spacing w:val="50"/>
          <w:w w:val="95"/>
        </w:rPr>
        <w:t>項</w:t>
      </w:r>
      <w:r>
        <w:rPr>
          <w:w w:val="95"/>
        </w:rPr>
        <w:t>）</w:t>
      </w:r>
      <w:r>
        <w:rPr>
          <w:spacing w:val="-11"/>
          <w:w w:val="95"/>
        </w:rPr>
        <w:t>。儘管如 此 ， 人事委 員 會 ， 以及公平委員 會亦具有和 其管轄之地方 </w:t>
      </w:r>
      <w:r>
        <w:rPr/>
        <w:t>公務員有關之規則制定權，對不服之申訴的裁決權等準立法、準司法之権     限，此種功能和中央人事行政機關之人事院具有相同之特質。</w:t>
      </w:r>
    </w:p>
    <w:p>
      <w:pPr>
        <w:pStyle w:val="BodyText"/>
        <w:spacing w:before="110"/>
        <w:ind w:left="3703"/>
      </w:pPr>
      <w:r>
        <w:rPr>
          <w:w w:val="110"/>
        </w:rPr>
        <w:t>（一）人事委員會</w:t>
      </w:r>
    </w:p>
    <w:p>
      <w:pPr>
        <w:pStyle w:val="BodyText"/>
        <w:spacing w:before="5"/>
        <w:rPr>
          <w:sz w:val="23"/>
        </w:rPr>
      </w:pPr>
    </w:p>
    <w:p>
      <w:pPr>
        <w:pStyle w:val="BodyText"/>
        <w:spacing w:line="331" w:lineRule="auto"/>
        <w:ind w:left="306" w:right="512" w:firstLine="576"/>
      </w:pPr>
      <w:r>
        <w:rPr>
          <w:w w:val="110"/>
        </w:rPr>
        <w:t>人事委員會是為確保專門技術性的人事行政順暢運作以及人事行政</w:t>
      </w:r>
      <w:r>
        <w:rPr>
          <w:spacing w:val="1"/>
          <w:w w:val="110"/>
        </w:rPr>
        <w:t> </w:t>
      </w:r>
      <w:r>
        <w:rPr>
          <w:w w:val="110"/>
        </w:rPr>
        <w:t>的公正性，而擁有獨立於任命権者之權限所設立之機關，有關此點，和中央的人事院具有相同之目的。其主要權限，職員的待遇、勤務時間或關於其他勤務條件措花的審查，不利益處分審查等準司法権限。就基於法律或自治條例而賦予其權限的事項，制定委員會規則的準立法権限。有關人事</w:t>
      </w:r>
    </w:p>
    <w:p>
      <w:pPr>
        <w:pStyle w:val="BodyText"/>
        <w:rPr>
          <w:sz w:val="20"/>
        </w:rPr>
      </w:pPr>
    </w:p>
    <w:p>
      <w:pPr>
        <w:pStyle w:val="BodyText"/>
        <w:spacing w:before="9"/>
        <w:rPr>
          <w:sz w:val="19"/>
        </w:rPr>
      </w:pPr>
      <w:r>
        <w:rPr/>
        <w:pict>
          <v:shape style="position:absolute;margin-left:95.174004pt;margin-top:14.869707pt;width:144.25pt;height:.1pt;mso-position-horizontal-relative:page;mso-position-vertical-relative:paragraph;z-index:-15583744;mso-wrap-distance-left:0;mso-wrap-distance-right:0" coordorigin="1903,297" coordsize="2885,0" path="m1903,297l4788,297e" filled="false" stroked="true" strokeweight=".480547pt" strokecolor="#000000">
            <v:path arrowok="t"/>
            <v:stroke dashstyle="solid"/>
            <w10:wrap type="topAndBottom"/>
          </v:shape>
        </w:pict>
      </w:r>
    </w:p>
    <w:p>
      <w:pPr>
        <w:pStyle w:val="BodyText"/>
        <w:spacing w:before="10"/>
        <w:rPr>
          <w:sz w:val="7"/>
        </w:rPr>
      </w:pPr>
    </w:p>
    <w:p>
      <w:pPr>
        <w:spacing w:before="89"/>
        <w:ind w:left="0" w:right="266" w:firstLine="0"/>
        <w:jc w:val="center"/>
        <w:rPr>
          <w:rFonts w:ascii="Times New Roman" w:eastAsia="Times New Roman"/>
          <w:sz w:val="26"/>
        </w:rPr>
      </w:pPr>
      <w:r>
        <w:rPr>
          <w:rFonts w:ascii="Times New Roman" w:eastAsia="Times New Roman"/>
          <w:w w:val="90"/>
          <w:position w:val="7"/>
          <w:sz w:val="13"/>
        </w:rPr>
        <w:t>144</w:t>
      </w:r>
      <w:r>
        <w:rPr>
          <w:rFonts w:ascii="Times New Roman" w:eastAsia="Times New Roman"/>
          <w:spacing w:val="13"/>
          <w:w w:val="90"/>
          <w:position w:val="7"/>
          <w:sz w:val="13"/>
        </w:rPr>
        <w:t> </w:t>
      </w:r>
      <w:r>
        <w:rPr>
          <w:spacing w:val="-5"/>
          <w:w w:val="90"/>
          <w:sz w:val="21"/>
        </w:rPr>
        <w:t>參見： 藤田宙靖 ，行 政 維織法 ， 新版 ， </w:t>
      </w:r>
      <w:r>
        <w:rPr>
          <w:rFonts w:ascii="Times New Roman" w:eastAsia="Times New Roman"/>
          <w:w w:val="90"/>
          <w:sz w:val="26"/>
        </w:rPr>
        <w:t>2001</w:t>
      </w:r>
      <w:r>
        <w:rPr>
          <w:rFonts w:ascii="Times New Roman" w:eastAsia="Times New Roman"/>
          <w:spacing w:val="2"/>
          <w:w w:val="90"/>
          <w:sz w:val="26"/>
        </w:rPr>
        <w:t> </w:t>
      </w:r>
      <w:r>
        <w:rPr>
          <w:w w:val="90"/>
          <w:sz w:val="21"/>
        </w:rPr>
        <w:t>年</w:t>
      </w:r>
      <w:r>
        <w:rPr>
          <w:rFonts w:ascii="Times New Roman" w:eastAsia="Times New Roman"/>
          <w:w w:val="90"/>
          <w:sz w:val="26"/>
        </w:rPr>
        <w:t>6</w:t>
      </w:r>
      <w:r>
        <w:rPr>
          <w:rFonts w:ascii="Times New Roman" w:eastAsia="Times New Roman"/>
          <w:spacing w:val="-30"/>
          <w:w w:val="90"/>
          <w:sz w:val="26"/>
        </w:rPr>
        <w:t> </w:t>
      </w:r>
      <w:r>
        <w:rPr>
          <w:spacing w:val="-27"/>
          <w:w w:val="90"/>
          <w:sz w:val="21"/>
        </w:rPr>
        <w:t>月 </w:t>
      </w:r>
      <w:r>
        <w:rPr>
          <w:rFonts w:ascii="Times New Roman" w:eastAsia="Times New Roman"/>
          <w:w w:val="90"/>
          <w:sz w:val="26"/>
        </w:rPr>
        <w:t>25</w:t>
      </w:r>
      <w:r>
        <w:rPr>
          <w:rFonts w:ascii="Times New Roman" w:eastAsia="Times New Roman"/>
          <w:spacing w:val="-18"/>
          <w:w w:val="90"/>
          <w:sz w:val="26"/>
        </w:rPr>
        <w:t> </w:t>
      </w:r>
      <w:r>
        <w:rPr>
          <w:spacing w:val="-3"/>
          <w:w w:val="90"/>
          <w:sz w:val="21"/>
        </w:rPr>
        <w:t>日 ， 良書普及 合 ， 頁</w:t>
      </w:r>
      <w:r>
        <w:rPr>
          <w:rFonts w:ascii="Times New Roman" w:eastAsia="Times New Roman"/>
          <w:w w:val="90"/>
          <w:sz w:val="26"/>
        </w:rPr>
        <w:t>356-</w:t>
      </w:r>
      <w:r>
        <w:rPr>
          <w:rFonts w:ascii="Times New Roman" w:eastAsia="Times New Roman"/>
          <w:spacing w:val="-33"/>
          <w:w w:val="90"/>
          <w:sz w:val="26"/>
        </w:rPr>
        <w:t> </w:t>
      </w:r>
      <w:r>
        <w:rPr>
          <w:rFonts w:ascii="Times New Roman" w:eastAsia="Times New Roman"/>
          <w:w w:val="90"/>
          <w:sz w:val="26"/>
        </w:rPr>
        <w:t>360</w:t>
      </w:r>
      <w:r>
        <w:rPr>
          <w:rFonts w:ascii="Times New Roman" w:eastAsia="Times New Roman"/>
          <w:spacing w:val="20"/>
          <w:w w:val="90"/>
          <w:sz w:val="26"/>
        </w:rPr>
        <w:t> ;</w:t>
      </w:r>
    </w:p>
    <w:p>
      <w:pPr>
        <w:tabs>
          <w:tab w:pos="2163" w:val="left" w:leader="none"/>
        </w:tabs>
        <w:spacing w:before="11"/>
        <w:ind w:left="0" w:right="211" w:firstLine="0"/>
        <w:jc w:val="center"/>
        <w:rPr>
          <w:sz w:val="24"/>
        </w:rPr>
      </w:pPr>
      <w:r>
        <w:rPr>
          <w:sz w:val="21"/>
        </w:rPr>
        <w:t>大橋洋一，行政法</w:t>
        <w:tab/>
      </w:r>
      <w:r>
        <w:rPr>
          <w:w w:val="90"/>
          <w:sz w:val="21"/>
        </w:rPr>
        <w:t>現代</w:t>
      </w:r>
      <w:r>
        <w:rPr>
          <w:spacing w:val="22"/>
          <w:w w:val="90"/>
          <w:sz w:val="21"/>
        </w:rPr>
        <w:t>行</w:t>
      </w:r>
      <w:r>
        <w:rPr>
          <w:spacing w:val="10"/>
          <w:w w:val="90"/>
          <w:sz w:val="21"/>
        </w:rPr>
        <w:t>政</w:t>
      </w:r>
      <w:r>
        <w:rPr>
          <w:w w:val="90"/>
          <w:sz w:val="21"/>
        </w:rPr>
        <w:t>過程論</w:t>
      </w:r>
      <w:r>
        <w:rPr>
          <w:spacing w:val="24"/>
          <w:w w:val="90"/>
          <w:sz w:val="21"/>
        </w:rPr>
        <w:t> </w:t>
      </w:r>
      <w:r>
        <w:rPr>
          <w:w w:val="90"/>
          <w:sz w:val="21"/>
        </w:rPr>
        <w:t>，</w:t>
      </w:r>
      <w:r>
        <w:rPr>
          <w:spacing w:val="-57"/>
          <w:w w:val="90"/>
          <w:sz w:val="21"/>
        </w:rPr>
        <w:t> </w:t>
      </w:r>
      <w:r>
        <w:rPr>
          <w:spacing w:val="10"/>
          <w:w w:val="90"/>
          <w:sz w:val="21"/>
        </w:rPr>
        <w:t>初</w:t>
      </w:r>
      <w:r>
        <w:rPr>
          <w:w w:val="90"/>
          <w:sz w:val="21"/>
        </w:rPr>
        <w:t>版</w:t>
      </w:r>
      <w:r>
        <w:rPr>
          <w:spacing w:val="36"/>
          <w:w w:val="90"/>
          <w:sz w:val="21"/>
        </w:rPr>
        <w:t> </w:t>
      </w:r>
      <w:r>
        <w:rPr>
          <w:w w:val="90"/>
          <w:sz w:val="21"/>
        </w:rPr>
        <w:t>，</w:t>
      </w:r>
      <w:r>
        <w:rPr>
          <w:spacing w:val="-55"/>
          <w:w w:val="90"/>
          <w:sz w:val="21"/>
        </w:rPr>
        <w:t> </w:t>
      </w:r>
      <w:r>
        <w:rPr>
          <w:rFonts w:ascii="Times New Roman" w:eastAsia="Times New Roman"/>
          <w:w w:val="90"/>
          <w:sz w:val="26"/>
        </w:rPr>
        <w:t>2001</w:t>
      </w:r>
      <w:r>
        <w:rPr>
          <w:rFonts w:ascii="Times New Roman" w:eastAsia="Times New Roman"/>
          <w:spacing w:val="14"/>
          <w:w w:val="90"/>
          <w:sz w:val="26"/>
        </w:rPr>
        <w:t> </w:t>
      </w:r>
      <w:r>
        <w:rPr>
          <w:w w:val="90"/>
          <w:sz w:val="21"/>
        </w:rPr>
        <w:t>年</w:t>
      </w:r>
      <w:r>
        <w:rPr>
          <w:rFonts w:ascii="Times New Roman" w:eastAsia="Times New Roman"/>
          <w:spacing w:val="11"/>
          <w:w w:val="90"/>
          <w:sz w:val="26"/>
        </w:rPr>
        <w:t>3</w:t>
      </w:r>
      <w:r>
        <w:rPr>
          <w:w w:val="90"/>
          <w:sz w:val="21"/>
        </w:rPr>
        <w:t>月</w:t>
      </w:r>
      <w:r>
        <w:rPr>
          <w:spacing w:val="-45"/>
          <w:w w:val="90"/>
          <w:sz w:val="21"/>
        </w:rPr>
        <w:t> </w:t>
      </w:r>
      <w:r>
        <w:rPr>
          <w:rFonts w:ascii="Times New Roman" w:eastAsia="Times New Roman"/>
          <w:w w:val="90"/>
          <w:sz w:val="26"/>
        </w:rPr>
        <w:t>20</w:t>
      </w:r>
      <w:r>
        <w:rPr>
          <w:rFonts w:ascii="Times New Roman" w:eastAsia="Times New Roman"/>
          <w:spacing w:val="-10"/>
          <w:w w:val="90"/>
          <w:sz w:val="26"/>
        </w:rPr>
        <w:t> </w:t>
      </w:r>
      <w:r>
        <w:rPr>
          <w:w w:val="90"/>
          <w:sz w:val="21"/>
        </w:rPr>
        <w:t>日</w:t>
      </w:r>
      <w:r>
        <w:rPr>
          <w:spacing w:val="57"/>
          <w:w w:val="90"/>
          <w:sz w:val="21"/>
        </w:rPr>
        <w:t> </w:t>
      </w:r>
      <w:r>
        <w:rPr>
          <w:w w:val="90"/>
          <w:sz w:val="21"/>
        </w:rPr>
        <w:t>，</w:t>
      </w:r>
      <w:r>
        <w:rPr>
          <w:spacing w:val="-46"/>
          <w:w w:val="90"/>
          <w:sz w:val="21"/>
        </w:rPr>
        <w:t> </w:t>
      </w:r>
      <w:r>
        <w:rPr>
          <w:spacing w:val="39"/>
          <w:w w:val="90"/>
          <w:sz w:val="21"/>
        </w:rPr>
        <w:t>有</w:t>
      </w:r>
      <w:r>
        <w:rPr>
          <w:spacing w:val="18"/>
          <w:w w:val="90"/>
          <w:sz w:val="21"/>
        </w:rPr>
        <w:t>斐</w:t>
      </w:r>
      <w:r>
        <w:rPr>
          <w:w w:val="90"/>
          <w:sz w:val="21"/>
        </w:rPr>
        <w:t>閣</w:t>
      </w:r>
      <w:r>
        <w:rPr>
          <w:spacing w:val="26"/>
          <w:w w:val="90"/>
          <w:sz w:val="21"/>
        </w:rPr>
        <w:t> </w:t>
      </w:r>
      <w:r>
        <w:rPr>
          <w:w w:val="90"/>
          <w:sz w:val="21"/>
        </w:rPr>
        <w:t>，</w:t>
      </w:r>
      <w:r>
        <w:rPr>
          <w:spacing w:val="-34"/>
          <w:w w:val="90"/>
          <w:sz w:val="21"/>
        </w:rPr>
        <w:t> </w:t>
      </w:r>
      <w:r>
        <w:rPr>
          <w:spacing w:val="35"/>
          <w:w w:val="90"/>
          <w:sz w:val="21"/>
        </w:rPr>
        <w:t>頁</w:t>
      </w:r>
      <w:r>
        <w:rPr>
          <w:rFonts w:ascii="Times New Roman" w:eastAsia="Times New Roman"/>
          <w:w w:val="90"/>
          <w:sz w:val="26"/>
        </w:rPr>
        <w:t>226</w:t>
      </w:r>
      <w:r>
        <w:rPr>
          <w:rFonts w:ascii="Times New Roman" w:eastAsia="Times New Roman"/>
          <w:spacing w:val="57"/>
          <w:sz w:val="26"/>
        </w:rPr>
        <w:t> </w:t>
      </w:r>
      <w:r>
        <w:rPr>
          <w:w w:val="90"/>
          <w:sz w:val="24"/>
        </w:rPr>
        <w:t>。</w:t>
      </w:r>
    </w:p>
    <w:p>
      <w:pPr>
        <w:spacing w:after="0"/>
        <w:jc w:val="center"/>
        <w:rPr>
          <w:sz w:val="24"/>
        </w:rPr>
        <w:sectPr>
          <w:pgSz w:w="11910" w:h="16840"/>
          <w:pgMar w:header="862" w:footer="1017" w:top="1060" w:bottom="1200" w:left="1120" w:right="1060"/>
        </w:sectPr>
      </w:pPr>
    </w:p>
    <w:p>
      <w:pPr>
        <w:pStyle w:val="BodyText"/>
        <w:spacing w:before="8"/>
        <w:rPr>
          <w:sz w:val="29"/>
        </w:rPr>
      </w:pPr>
    </w:p>
    <w:p>
      <w:pPr>
        <w:spacing w:line="343" w:lineRule="auto" w:before="67"/>
        <w:ind w:left="308" w:right="503" w:hanging="10"/>
        <w:jc w:val="both"/>
        <w:rPr>
          <w:sz w:val="24"/>
        </w:rPr>
      </w:pPr>
      <w:r>
        <w:rPr>
          <w:w w:val="115"/>
          <w:sz w:val="24"/>
        </w:rPr>
        <w:t>行政調查研究、企劃立案外，擁有作成薪給表改訂建議等行政権限。人事委員會對地方公務員之俸玲的俸玲建議權，係作為地方公務員勞動基本權限制的代償措花。</w:t>
      </w:r>
    </w:p>
    <w:p>
      <w:pPr>
        <w:spacing w:before="98"/>
        <w:ind w:left="0" w:right="142" w:firstLine="0"/>
        <w:jc w:val="center"/>
        <w:rPr>
          <w:sz w:val="24"/>
        </w:rPr>
      </w:pPr>
      <w:r>
        <w:rPr>
          <w:w w:val="115"/>
          <w:sz w:val="24"/>
        </w:rPr>
        <w:t>（二）公平委員會</w:t>
      </w:r>
    </w:p>
    <w:p>
      <w:pPr>
        <w:pStyle w:val="BodyText"/>
        <w:spacing w:before="10"/>
        <w:rPr>
          <w:sz w:val="24"/>
        </w:rPr>
      </w:pPr>
    </w:p>
    <w:p>
      <w:pPr>
        <w:spacing w:line="338" w:lineRule="auto" w:before="0"/>
        <w:ind w:left="306" w:right="482" w:firstLine="570"/>
        <w:jc w:val="both"/>
        <w:rPr>
          <w:rFonts w:ascii="Arial" w:eastAsia="Arial"/>
          <w:sz w:val="8"/>
        </w:rPr>
      </w:pPr>
      <w:r>
        <w:rPr>
          <w:w w:val="115"/>
          <w:sz w:val="24"/>
        </w:rPr>
        <w:t>公平委員會，亦為日本之地方人事行政機關，其功能類似上述之人事院，以及人事委員會。其在日本地方公務員法上，乃設在規模較小且未置人事委員會的地方自治圍體中，權管審查勤務條件與不利益處分的獨立行政委員會。其與人事委員會最主要的差異在於，就俸給增加事項，無對任</w:t>
      </w:r>
      <w:r>
        <w:rPr>
          <w:spacing w:val="13"/>
          <w:w w:val="115"/>
          <w:sz w:val="24"/>
        </w:rPr>
        <w:t>命権人勸告的行政權限</w:t>
      </w:r>
      <w:r>
        <w:rPr>
          <w:rFonts w:ascii="Times New Roman" w:eastAsia="Times New Roman"/>
          <w:w w:val="75"/>
          <w:sz w:val="15"/>
        </w:rPr>
        <w:t>1</w:t>
      </w:r>
      <w:r>
        <w:rPr>
          <w:rFonts w:ascii="Times New Roman" w:eastAsia="Times New Roman"/>
          <w:spacing w:val="-1"/>
          <w:w w:val="75"/>
          <w:sz w:val="15"/>
        </w:rPr>
        <w:t> </w:t>
      </w:r>
      <w:r>
        <w:rPr>
          <w:rFonts w:ascii="Times New Roman" w:eastAsia="Times New Roman"/>
          <w:w w:val="75"/>
          <w:sz w:val="15"/>
        </w:rPr>
        <w:t>45</w:t>
      </w:r>
      <w:r>
        <w:rPr>
          <w:rFonts w:ascii="Times New Roman" w:eastAsia="Times New Roman"/>
          <w:spacing w:val="4"/>
          <w:w w:val="75"/>
          <w:sz w:val="15"/>
        </w:rPr>
        <w:t> </w:t>
      </w:r>
      <w:r>
        <w:rPr>
          <w:rFonts w:ascii="Arial" w:eastAsia="Arial"/>
          <w:w w:val="115"/>
          <w:sz w:val="8"/>
        </w:rPr>
        <w:t>0</w:t>
      </w:r>
    </w:p>
    <w:p>
      <w:pPr>
        <w:spacing w:before="33"/>
        <w:ind w:left="315" w:right="0" w:firstLine="1121"/>
        <w:jc w:val="left"/>
        <w:rPr>
          <w:sz w:val="24"/>
        </w:rPr>
      </w:pPr>
      <w:r>
        <w:rPr>
          <w:w w:val="115"/>
          <w:sz w:val="24"/>
        </w:rPr>
        <w:t>學說指出，公平委員會為設置於小規模地方自治圍體之維織，為</w:t>
      </w:r>
    </w:p>
    <w:p>
      <w:pPr>
        <w:spacing w:before="134"/>
        <w:ind w:left="321" w:right="0" w:hanging="6"/>
        <w:jc w:val="left"/>
        <w:rPr>
          <w:sz w:val="24"/>
        </w:rPr>
      </w:pPr>
      <w:r>
        <w:rPr>
          <w:w w:val="115"/>
          <w:sz w:val="24"/>
        </w:rPr>
        <w:t>達成行政維織簡素化丶合理化之目的，日本地方公務員法上，尚有複數地</w:t>
      </w:r>
    </w:p>
    <w:p>
      <w:pPr>
        <w:spacing w:line="256" w:lineRule="auto" w:before="130"/>
        <w:ind w:left="313" w:right="558" w:firstLine="7"/>
        <w:jc w:val="left"/>
        <w:rPr>
          <w:sz w:val="28"/>
        </w:rPr>
      </w:pPr>
      <w:r>
        <w:rPr>
          <w:w w:val="110"/>
          <w:sz w:val="24"/>
        </w:rPr>
        <w:t>方自治團體共同設置公平委員會，或是委託人事委員會從事相關業務之制</w:t>
      </w:r>
      <w:r>
        <w:rPr>
          <w:spacing w:val="9"/>
          <w:w w:val="110"/>
          <w:sz w:val="24"/>
        </w:rPr>
        <w:t> </w:t>
      </w:r>
      <w:r>
        <w:rPr>
          <w:w w:val="110"/>
          <w:sz w:val="24"/>
        </w:rPr>
        <w:t>度</w:t>
      </w:r>
      <w:r>
        <w:rPr>
          <w:rFonts w:ascii="Times New Roman" w:eastAsia="Times New Roman"/>
          <w:w w:val="75"/>
          <w:sz w:val="15"/>
        </w:rPr>
        <w:t>1 46</w:t>
      </w:r>
      <w:r>
        <w:rPr>
          <w:rFonts w:ascii="Times New Roman" w:eastAsia="Times New Roman"/>
          <w:spacing w:val="19"/>
          <w:w w:val="75"/>
          <w:sz w:val="15"/>
        </w:rPr>
        <w:t> </w:t>
      </w:r>
      <w:r>
        <w:rPr>
          <w:w w:val="110"/>
          <w:sz w:val="28"/>
        </w:rPr>
        <w:t>。</w:t>
      </w:r>
    </w:p>
    <w:p>
      <w:pPr>
        <w:tabs>
          <w:tab w:pos="1419" w:val="left" w:leader="none"/>
        </w:tabs>
        <w:spacing w:before="222"/>
        <w:ind w:left="0" w:right="262" w:firstLine="0"/>
        <w:jc w:val="center"/>
        <w:rPr>
          <w:sz w:val="28"/>
        </w:rPr>
      </w:pPr>
      <w:bookmarkStart w:name="_bookmark35" w:id="36"/>
      <w:bookmarkEnd w:id="36"/>
      <w:r>
        <w:rPr/>
      </w:r>
      <w:r>
        <w:rPr>
          <w:w w:val="110"/>
          <w:sz w:val="30"/>
        </w:rPr>
        <w:t>第三節</w:t>
        <w:tab/>
      </w:r>
      <w:r>
        <w:rPr>
          <w:w w:val="110"/>
          <w:sz w:val="28"/>
        </w:rPr>
        <w:t>不利益人事行政處分之審查</w:t>
      </w:r>
    </w:p>
    <w:p>
      <w:pPr>
        <w:pStyle w:val="BodyText"/>
        <w:spacing w:before="5"/>
        <w:rPr>
          <w:sz w:val="29"/>
        </w:rPr>
      </w:pPr>
    </w:p>
    <w:p>
      <w:pPr>
        <w:spacing w:before="1"/>
        <w:ind w:left="602" w:right="549" w:firstLine="0"/>
        <w:jc w:val="center"/>
        <w:rPr>
          <w:sz w:val="24"/>
        </w:rPr>
      </w:pPr>
      <w:r>
        <w:rPr>
          <w:w w:val="110"/>
          <w:sz w:val="24"/>
        </w:rPr>
        <w:t>一概說</w:t>
      </w:r>
    </w:p>
    <w:p>
      <w:pPr>
        <w:pStyle w:val="BodyText"/>
        <w:spacing w:before="1"/>
      </w:pPr>
    </w:p>
    <w:p>
      <w:pPr>
        <w:spacing w:line="343" w:lineRule="auto" w:before="0"/>
        <w:ind w:left="309" w:right="478" w:firstLine="556"/>
        <w:jc w:val="both"/>
        <w:rPr>
          <w:sz w:val="24"/>
        </w:rPr>
      </w:pPr>
      <w:r>
        <w:rPr>
          <w:w w:val="110"/>
          <w:sz w:val="24"/>
        </w:rPr>
        <w:t>在公務員法制上，賦予公務員身分保障，俸給等之財產權保障，為使</w:t>
      </w:r>
      <w:r>
        <w:rPr>
          <w:spacing w:val="72"/>
          <w:w w:val="110"/>
          <w:sz w:val="24"/>
        </w:rPr>
        <w:t> </w:t>
      </w:r>
      <w:r>
        <w:rPr>
          <w:w w:val="110"/>
          <w:sz w:val="24"/>
        </w:rPr>
        <w:t>公務員能遂行職務之必要保障。其次，在公務員受到懲戒等不利處分時，</w:t>
      </w:r>
      <w:r>
        <w:rPr>
          <w:spacing w:val="100"/>
          <w:w w:val="110"/>
          <w:sz w:val="24"/>
        </w:rPr>
        <w:t> </w:t>
      </w:r>
      <w:r>
        <w:rPr>
          <w:w w:val="110"/>
          <w:sz w:val="24"/>
        </w:rPr>
        <w:t>亦必須設計出能使公務員以公正之方法獲得救濟之管道，方能提振公務員</w:t>
      </w:r>
      <w:r>
        <w:rPr>
          <w:spacing w:val="100"/>
          <w:w w:val="110"/>
          <w:sz w:val="24"/>
        </w:rPr>
        <w:t> </w:t>
      </w:r>
      <w:r>
        <w:rPr>
          <w:w w:val="110"/>
          <w:sz w:val="24"/>
        </w:rPr>
        <w:t>之士氙。基於此種觀點，於日本公務員法制上，除規定在做出對公務員之</w:t>
      </w:r>
      <w:r>
        <w:rPr>
          <w:spacing w:val="100"/>
          <w:w w:val="110"/>
          <w:sz w:val="24"/>
        </w:rPr>
        <w:t> </w:t>
      </w:r>
      <w:r>
        <w:rPr>
          <w:w w:val="110"/>
          <w:sz w:val="24"/>
        </w:rPr>
        <w:t>分限丶懲戒等不利益處分，或對該噹職員處分時，應該交付事由說明書外，</w:t>
      </w:r>
      <w:r>
        <w:rPr>
          <w:spacing w:val="1"/>
          <w:w w:val="110"/>
          <w:sz w:val="24"/>
        </w:rPr>
        <w:t> </w:t>
      </w:r>
      <w:r>
        <w:rPr>
          <w:w w:val="110"/>
          <w:sz w:val="24"/>
        </w:rPr>
        <w:t>日本之公務員人事制度上，尚設有對可向中央之人事院，或地方之人事委</w:t>
      </w:r>
      <w:r>
        <w:rPr>
          <w:spacing w:val="124"/>
          <w:w w:val="110"/>
          <w:sz w:val="24"/>
        </w:rPr>
        <w:t> </w:t>
      </w:r>
      <w:r>
        <w:rPr>
          <w:spacing w:val="6"/>
          <w:sz w:val="24"/>
        </w:rPr>
        <w:t>員 會 、公平委員 會申訴之行政救濟管道</w:t>
      </w:r>
      <w:r>
        <w:rPr>
          <w:rFonts w:ascii="Times New Roman" w:eastAsia="Times New Roman"/>
          <w:w w:val="75"/>
          <w:sz w:val="15"/>
        </w:rPr>
        <w:t>1</w:t>
      </w:r>
      <w:r>
        <w:rPr>
          <w:rFonts w:ascii="Times New Roman" w:eastAsia="Times New Roman"/>
          <w:spacing w:val="4"/>
          <w:w w:val="75"/>
          <w:sz w:val="15"/>
        </w:rPr>
        <w:t> </w:t>
      </w:r>
      <w:r>
        <w:rPr>
          <w:rFonts w:ascii="Times New Roman" w:eastAsia="Times New Roman"/>
          <w:w w:val="75"/>
          <w:sz w:val="15"/>
        </w:rPr>
        <w:t>47  </w:t>
      </w:r>
      <w:r>
        <w:rPr>
          <w:spacing w:val="7"/>
          <w:w w:val="75"/>
          <w:sz w:val="24"/>
        </w:rPr>
        <w:t>。 </w:t>
      </w:r>
      <w:r>
        <w:rPr>
          <w:spacing w:val="8"/>
          <w:sz w:val="24"/>
        </w:rPr>
        <w:t>此種制度 </w:t>
      </w:r>
      <w:r>
        <w:rPr>
          <w:spacing w:val="-20"/>
          <w:w w:val="75"/>
          <w:sz w:val="24"/>
        </w:rPr>
        <w:t>， </w:t>
      </w:r>
      <w:r>
        <w:rPr>
          <w:spacing w:val="24"/>
          <w:sz w:val="24"/>
        </w:rPr>
        <w:t>有以下幾點值得利</w:t>
      </w:r>
      <w:r>
        <w:rPr>
          <w:w w:val="110"/>
          <w:sz w:val="24"/>
        </w:rPr>
        <w:t>益之處。</w:t>
      </w:r>
    </w:p>
    <w:p>
      <w:pPr>
        <w:spacing w:line="326" w:lineRule="auto" w:before="5"/>
        <w:ind w:left="307" w:right="549" w:firstLine="575"/>
        <w:jc w:val="both"/>
        <w:rPr>
          <w:sz w:val="24"/>
        </w:rPr>
      </w:pPr>
      <w:r>
        <w:rPr>
          <w:w w:val="105"/>
          <w:sz w:val="24"/>
        </w:rPr>
        <w:t>人事院等人事行政機關對不利益處分之審查，雖然屬於日本行政不服  </w:t>
      </w:r>
      <w:r>
        <w:rPr>
          <w:spacing w:val="79"/>
          <w:w w:val="105"/>
          <w:sz w:val="24"/>
        </w:rPr>
        <w:t> </w:t>
      </w:r>
      <w:r>
        <w:rPr>
          <w:spacing w:val="26"/>
          <w:sz w:val="24"/>
        </w:rPr>
        <w:t>審查法之不服申訴</w:t>
      </w:r>
      <w:r>
        <w:rPr>
          <w:rFonts w:ascii="Times New Roman" w:eastAsia="Times New Roman"/>
          <w:w w:val="80"/>
          <w:sz w:val="14"/>
        </w:rPr>
        <w:t>1</w:t>
      </w:r>
      <w:r>
        <w:rPr>
          <w:rFonts w:ascii="Times New Roman" w:eastAsia="Times New Roman"/>
          <w:spacing w:val="1"/>
          <w:w w:val="80"/>
          <w:sz w:val="14"/>
        </w:rPr>
        <w:t> </w:t>
      </w:r>
      <w:r>
        <w:rPr>
          <w:rFonts w:ascii="Times New Roman" w:eastAsia="Times New Roman"/>
          <w:w w:val="80"/>
          <w:sz w:val="14"/>
        </w:rPr>
        <w:t>48</w:t>
      </w:r>
      <w:r>
        <w:rPr>
          <w:rFonts w:ascii="Times New Roman" w:eastAsia="Times New Roman"/>
          <w:spacing w:val="4"/>
          <w:w w:val="80"/>
          <w:sz w:val="14"/>
        </w:rPr>
        <w:t> </w:t>
      </w:r>
      <w:r>
        <w:rPr>
          <w:spacing w:val="-5"/>
          <w:w w:val="80"/>
          <w:sz w:val="24"/>
        </w:rPr>
        <w:t>。 </w:t>
      </w:r>
      <w:r>
        <w:rPr>
          <w:spacing w:val="7"/>
          <w:sz w:val="24"/>
        </w:rPr>
        <w:t>不過 </w:t>
      </w:r>
      <w:r>
        <w:rPr>
          <w:spacing w:val="21"/>
          <w:w w:val="80"/>
          <w:sz w:val="24"/>
        </w:rPr>
        <w:t>，由 於 </w:t>
      </w:r>
      <w:r>
        <w:rPr>
          <w:spacing w:val="18"/>
          <w:sz w:val="24"/>
        </w:rPr>
        <w:t>審理機關之獨立性受到保障</w:t>
      </w:r>
      <w:r>
        <w:rPr>
          <w:rFonts w:ascii="Times New Roman" w:eastAsia="Times New Roman"/>
          <w:w w:val="80"/>
          <w:sz w:val="14"/>
        </w:rPr>
        <w:t>1</w:t>
      </w:r>
      <w:r>
        <w:rPr>
          <w:rFonts w:ascii="Times New Roman" w:eastAsia="Times New Roman"/>
          <w:spacing w:val="2"/>
          <w:w w:val="80"/>
          <w:sz w:val="14"/>
        </w:rPr>
        <w:t> </w:t>
      </w:r>
      <w:r>
        <w:rPr>
          <w:rFonts w:ascii="Times New Roman" w:eastAsia="Times New Roman"/>
          <w:w w:val="80"/>
          <w:sz w:val="14"/>
        </w:rPr>
        <w:t>49</w:t>
      </w:r>
      <w:r>
        <w:rPr>
          <w:rFonts w:ascii="Times New Roman" w:eastAsia="Times New Roman"/>
          <w:spacing w:val="5"/>
          <w:w w:val="80"/>
          <w:sz w:val="14"/>
        </w:rPr>
        <w:t> , </w:t>
      </w:r>
      <w:r>
        <w:rPr>
          <w:spacing w:val="16"/>
          <w:sz w:val="24"/>
        </w:rPr>
        <w:t>審理是</w:t>
      </w:r>
    </w:p>
    <w:p>
      <w:pPr>
        <w:pStyle w:val="BodyText"/>
        <w:spacing w:before="7"/>
        <w:rPr>
          <w:sz w:val="16"/>
        </w:rPr>
      </w:pPr>
      <w:r>
        <w:rPr/>
        <w:pict>
          <v:shape style="position:absolute;margin-left:95.174004pt;margin-top:12.963362pt;width:144.25pt;height:.1pt;mso-position-horizontal-relative:page;mso-position-vertical-relative:paragraph;z-index:-15583232;mso-wrap-distance-left:0;mso-wrap-distance-right:0" coordorigin="1903,259" coordsize="2885,0" path="m1903,259l4788,259e" filled="false" stroked="true" strokeweight=".720821pt" strokecolor="#000000">
            <v:path arrowok="t"/>
            <v:stroke dashstyle="solid"/>
            <w10:wrap type="topAndBottom"/>
          </v:shape>
        </w:pict>
      </w:r>
    </w:p>
    <w:p>
      <w:pPr>
        <w:pStyle w:val="BodyText"/>
        <w:spacing w:before="2"/>
        <w:rPr>
          <w:sz w:val="7"/>
        </w:rPr>
      </w:pPr>
    </w:p>
    <w:p>
      <w:pPr>
        <w:spacing w:after="0"/>
        <w:rPr>
          <w:sz w:val="7"/>
        </w:rPr>
        <w:sectPr>
          <w:pgSz w:w="11910" w:h="16840"/>
          <w:pgMar w:header="862" w:footer="1017" w:top="1060" w:bottom="1200" w:left="1120" w:right="1060"/>
        </w:sectPr>
      </w:pPr>
    </w:p>
    <w:p>
      <w:pPr>
        <w:pStyle w:val="BodyText"/>
        <w:spacing w:before="11"/>
        <w:rPr>
          <w:sz w:val="10"/>
        </w:rPr>
      </w:pPr>
    </w:p>
    <w:p>
      <w:pPr>
        <w:spacing w:before="0"/>
        <w:ind w:left="298" w:right="0" w:firstLine="0"/>
        <w:jc w:val="left"/>
        <w:rPr>
          <w:rFonts w:ascii="Times New Roman"/>
          <w:sz w:val="13"/>
        </w:rPr>
      </w:pPr>
      <w:r>
        <w:rPr>
          <w:rFonts w:ascii="Times New Roman"/>
          <w:sz w:val="13"/>
        </w:rPr>
        <w:t>145</w:t>
      </w:r>
    </w:p>
    <w:p>
      <w:pPr>
        <w:pStyle w:val="BodyText"/>
        <w:spacing w:before="4"/>
        <w:rPr>
          <w:rFonts w:ascii="Times New Roman"/>
          <w:sz w:val="14"/>
        </w:rPr>
      </w:pPr>
    </w:p>
    <w:p>
      <w:pPr>
        <w:spacing w:before="0"/>
        <w:ind w:left="298" w:right="0" w:firstLine="0"/>
        <w:jc w:val="left"/>
        <w:rPr>
          <w:rFonts w:ascii="Times New Roman"/>
          <w:sz w:val="13"/>
        </w:rPr>
      </w:pPr>
      <w:r>
        <w:rPr>
          <w:rFonts w:ascii="Times New Roman"/>
          <w:sz w:val="13"/>
        </w:rPr>
        <w:t>146</w:t>
      </w:r>
    </w:p>
    <w:p>
      <w:pPr>
        <w:spacing w:before="90"/>
        <w:ind w:left="74" w:right="0" w:firstLine="0"/>
        <w:jc w:val="left"/>
        <w:rPr>
          <w:rFonts w:ascii="Times New Roman" w:eastAsia="Times New Roman"/>
          <w:sz w:val="26"/>
        </w:rPr>
      </w:pPr>
      <w:r>
        <w:rPr/>
        <w:br w:type="column"/>
      </w:r>
      <w:r>
        <w:rPr>
          <w:spacing w:val="-2"/>
          <w:w w:val="90"/>
          <w:sz w:val="21"/>
        </w:rPr>
        <w:t>塩野宏 ， 前揭書 ，註 </w:t>
      </w:r>
      <w:r>
        <w:rPr>
          <w:rFonts w:ascii="Times New Roman" w:eastAsia="Times New Roman"/>
          <w:w w:val="90"/>
          <w:sz w:val="26"/>
        </w:rPr>
        <w:t>1,5</w:t>
      </w:r>
    </w:p>
    <w:p>
      <w:pPr>
        <w:spacing w:before="10"/>
        <w:ind w:left="85" w:right="0" w:firstLine="0"/>
        <w:jc w:val="left"/>
        <w:rPr>
          <w:sz w:val="21"/>
        </w:rPr>
      </w:pPr>
      <w:r>
        <w:rPr>
          <w:spacing w:val="6"/>
          <w:w w:val="85"/>
          <w:sz w:val="21"/>
        </w:rPr>
        <w:t>日本 地 公 法第</w:t>
      </w:r>
      <w:r>
        <w:rPr>
          <w:rFonts w:ascii="Times New Roman" w:eastAsia="Times New Roman"/>
          <w:w w:val="85"/>
          <w:sz w:val="26"/>
        </w:rPr>
        <w:t>7</w:t>
      </w:r>
      <w:r>
        <w:rPr>
          <w:spacing w:val="20"/>
          <w:w w:val="85"/>
          <w:sz w:val="21"/>
        </w:rPr>
        <w:t>條 。</w:t>
      </w:r>
    </w:p>
    <w:p>
      <w:pPr>
        <w:spacing w:before="90"/>
        <w:ind w:left="203" w:right="0" w:firstLine="0"/>
        <w:jc w:val="left"/>
        <w:rPr>
          <w:sz w:val="22"/>
        </w:rPr>
      </w:pPr>
      <w:r>
        <w:rPr/>
        <w:br w:type="column"/>
      </w:r>
      <w:r>
        <w:rPr>
          <w:rFonts w:ascii="Times New Roman" w:eastAsia="Times New Roman"/>
          <w:w w:val="85"/>
          <w:sz w:val="26"/>
        </w:rPr>
        <w:t>248</w:t>
      </w:r>
      <w:r>
        <w:rPr>
          <w:spacing w:val="16"/>
          <w:w w:val="85"/>
          <w:sz w:val="22"/>
        </w:rPr>
        <w:t>頁 。</w:t>
      </w:r>
    </w:p>
    <w:p>
      <w:pPr>
        <w:spacing w:after="0"/>
        <w:jc w:val="left"/>
        <w:rPr>
          <w:sz w:val="22"/>
        </w:rPr>
        <w:sectPr>
          <w:type w:val="continuous"/>
          <w:pgSz w:w="11910" w:h="16840"/>
          <w:pgMar w:top="1020" w:bottom="280" w:left="1120" w:right="1060"/>
          <w:cols w:num="3" w:equalWidth="0">
            <w:col w:w="494" w:space="40"/>
            <w:col w:w="2477" w:space="39"/>
            <w:col w:w="6680"/>
          </w:cols>
        </w:sectPr>
      </w:pPr>
    </w:p>
    <w:p>
      <w:pPr>
        <w:spacing w:before="11"/>
        <w:ind w:left="298" w:right="0" w:firstLine="0"/>
        <w:jc w:val="left"/>
        <w:rPr>
          <w:sz w:val="21"/>
        </w:rPr>
      </w:pPr>
      <w:r>
        <w:rPr>
          <w:rFonts w:ascii="Times New Roman" w:eastAsia="Times New Roman"/>
          <w:w w:val="95"/>
          <w:position w:val="7"/>
          <w:sz w:val="13"/>
        </w:rPr>
        <w:t>147</w:t>
      </w:r>
      <w:r>
        <w:rPr>
          <w:rFonts w:ascii="Times New Roman" w:eastAsia="Times New Roman"/>
          <w:spacing w:val="3"/>
          <w:w w:val="95"/>
          <w:position w:val="7"/>
          <w:sz w:val="13"/>
        </w:rPr>
        <w:t> </w:t>
      </w:r>
      <w:r>
        <w:rPr>
          <w:spacing w:val="10"/>
          <w:w w:val="95"/>
          <w:sz w:val="21"/>
        </w:rPr>
        <w:t>日本 國家公務員 法第</w:t>
      </w:r>
      <w:r>
        <w:rPr>
          <w:rFonts w:ascii="Times New Roman" w:eastAsia="Times New Roman"/>
          <w:w w:val="95"/>
          <w:sz w:val="26"/>
        </w:rPr>
        <w:t>89</w:t>
      </w:r>
      <w:r>
        <w:rPr>
          <w:spacing w:val="-16"/>
          <w:w w:val="95"/>
          <w:sz w:val="21"/>
        </w:rPr>
        <w:t>條 以 下 、地方公 務 員 法第</w:t>
      </w:r>
      <w:r>
        <w:rPr>
          <w:rFonts w:ascii="Times New Roman" w:eastAsia="Times New Roman"/>
          <w:w w:val="95"/>
          <w:sz w:val="26"/>
        </w:rPr>
        <w:t>49</w:t>
      </w:r>
      <w:r>
        <w:rPr>
          <w:spacing w:val="-11"/>
          <w:w w:val="95"/>
          <w:sz w:val="21"/>
        </w:rPr>
        <w:t>條 以 下 。</w:t>
      </w:r>
    </w:p>
    <w:p>
      <w:pPr>
        <w:spacing w:before="15"/>
        <w:ind w:left="298" w:right="0" w:firstLine="0"/>
        <w:jc w:val="left"/>
        <w:rPr>
          <w:sz w:val="21"/>
        </w:rPr>
      </w:pPr>
      <w:r>
        <w:rPr>
          <w:rFonts w:ascii="Times New Roman" w:eastAsia="Times New Roman"/>
          <w:w w:val="90"/>
          <w:position w:val="7"/>
          <w:sz w:val="13"/>
        </w:rPr>
        <w:t>148</w:t>
      </w:r>
      <w:r>
        <w:rPr>
          <w:rFonts w:ascii="Times New Roman" w:eastAsia="Times New Roman"/>
          <w:spacing w:val="19"/>
          <w:w w:val="90"/>
          <w:position w:val="7"/>
          <w:sz w:val="13"/>
        </w:rPr>
        <w:t> </w:t>
      </w:r>
      <w:r>
        <w:rPr>
          <w:spacing w:val="8"/>
          <w:w w:val="90"/>
          <w:sz w:val="21"/>
        </w:rPr>
        <w:t>日本 國家公務員 法</w:t>
      </w:r>
      <w:r>
        <w:rPr>
          <w:rFonts w:ascii="Times New Roman" w:eastAsia="Times New Roman"/>
          <w:w w:val="90"/>
          <w:sz w:val="26"/>
        </w:rPr>
        <w:t>90</w:t>
      </w:r>
      <w:r>
        <w:rPr>
          <w:spacing w:val="8"/>
          <w:w w:val="90"/>
          <w:sz w:val="21"/>
        </w:rPr>
        <w:t>條 ，地 方公務 員 法第</w:t>
      </w:r>
      <w:r>
        <w:rPr>
          <w:rFonts w:ascii="Times New Roman" w:eastAsia="Times New Roman"/>
          <w:w w:val="90"/>
          <w:sz w:val="26"/>
        </w:rPr>
        <w:t>49</w:t>
      </w:r>
      <w:r>
        <w:rPr>
          <w:spacing w:val="-16"/>
          <w:w w:val="90"/>
          <w:sz w:val="21"/>
        </w:rPr>
        <w:t>條 之 </w:t>
      </w:r>
      <w:r>
        <w:rPr>
          <w:rFonts w:ascii="Times New Roman" w:eastAsia="Times New Roman"/>
          <w:w w:val="90"/>
          <w:sz w:val="26"/>
        </w:rPr>
        <w:t>2</w:t>
      </w:r>
      <w:r>
        <w:rPr>
          <w:rFonts w:ascii="Times New Roman" w:eastAsia="Times New Roman"/>
          <w:spacing w:val="14"/>
          <w:w w:val="90"/>
          <w:sz w:val="26"/>
        </w:rPr>
        <w:t> </w:t>
      </w:r>
      <w:r>
        <w:rPr>
          <w:w w:val="90"/>
          <w:sz w:val="21"/>
        </w:rPr>
        <w:t>。</w:t>
      </w:r>
    </w:p>
    <w:p>
      <w:pPr>
        <w:spacing w:before="19"/>
        <w:ind w:left="298" w:right="0" w:firstLine="0"/>
        <w:jc w:val="left"/>
        <w:rPr>
          <w:sz w:val="21"/>
        </w:rPr>
      </w:pPr>
      <w:r>
        <w:rPr>
          <w:rFonts w:ascii="Times New Roman" w:eastAsia="Times New Roman"/>
          <w:w w:val="85"/>
          <w:position w:val="8"/>
          <w:sz w:val="13"/>
        </w:rPr>
        <w:t>149</w:t>
      </w:r>
      <w:r>
        <w:rPr>
          <w:rFonts w:ascii="Times New Roman" w:eastAsia="Times New Roman"/>
          <w:spacing w:val="43"/>
          <w:position w:val="8"/>
          <w:sz w:val="13"/>
        </w:rPr>
        <w:t> </w:t>
      </w:r>
      <w:r>
        <w:rPr>
          <w:spacing w:val="16"/>
          <w:w w:val="85"/>
          <w:sz w:val="21"/>
        </w:rPr>
        <w:t>日本 國家公務員 法第</w:t>
      </w:r>
      <w:r>
        <w:rPr>
          <w:rFonts w:ascii="Arial" w:eastAsia="Arial"/>
          <w:w w:val="85"/>
          <w:sz w:val="25"/>
        </w:rPr>
        <w:t>8</w:t>
      </w:r>
      <w:r>
        <w:rPr>
          <w:rFonts w:ascii="Arial" w:eastAsia="Arial"/>
          <w:spacing w:val="27"/>
          <w:w w:val="85"/>
          <w:sz w:val="25"/>
        </w:rPr>
        <w:t> </w:t>
      </w:r>
      <w:r>
        <w:rPr>
          <w:w w:val="85"/>
          <w:sz w:val="21"/>
        </w:rPr>
        <w:t>、</w:t>
      </w:r>
      <w:r>
        <w:rPr>
          <w:rFonts w:ascii="Arial" w:eastAsia="Arial"/>
          <w:w w:val="85"/>
          <w:sz w:val="25"/>
        </w:rPr>
        <w:t>9</w:t>
      </w:r>
      <w:r>
        <w:rPr>
          <w:w w:val="85"/>
          <w:sz w:val="21"/>
        </w:rPr>
        <w:t>條</w:t>
      </w:r>
      <w:r>
        <w:rPr>
          <w:spacing w:val="78"/>
          <w:sz w:val="21"/>
        </w:rPr>
        <w:t> </w:t>
      </w:r>
      <w:r>
        <w:rPr>
          <w:w w:val="85"/>
          <w:sz w:val="21"/>
        </w:rPr>
        <w:t>，地</w:t>
      </w:r>
      <w:r>
        <w:rPr>
          <w:spacing w:val="81"/>
          <w:sz w:val="21"/>
        </w:rPr>
        <w:t> </w:t>
      </w:r>
      <w:r>
        <w:rPr>
          <w:spacing w:val="4"/>
          <w:w w:val="85"/>
          <w:sz w:val="21"/>
        </w:rPr>
        <w:t>方公務 員 法第</w:t>
      </w:r>
      <w:r>
        <w:rPr>
          <w:rFonts w:ascii="Arial" w:eastAsia="Arial"/>
          <w:w w:val="85"/>
          <w:sz w:val="25"/>
        </w:rPr>
        <w:t>9</w:t>
      </w:r>
      <w:r>
        <w:rPr>
          <w:spacing w:val="1"/>
          <w:w w:val="85"/>
          <w:sz w:val="21"/>
        </w:rPr>
        <w:t>條 之 </w:t>
      </w:r>
      <w:r>
        <w:rPr>
          <w:rFonts w:ascii="Arial" w:eastAsia="Arial"/>
          <w:w w:val="85"/>
          <w:sz w:val="25"/>
        </w:rPr>
        <w:t>2</w:t>
      </w:r>
      <w:r>
        <w:rPr>
          <w:rFonts w:ascii="Arial" w:eastAsia="Arial"/>
          <w:spacing w:val="-24"/>
          <w:w w:val="85"/>
          <w:sz w:val="25"/>
        </w:rPr>
        <w:t> </w:t>
      </w:r>
      <w:r>
        <w:rPr>
          <w:spacing w:val="30"/>
          <w:w w:val="85"/>
          <w:sz w:val="21"/>
        </w:rPr>
        <w:t>第</w:t>
      </w:r>
      <w:r>
        <w:rPr>
          <w:rFonts w:ascii="Arial" w:eastAsia="Arial"/>
          <w:w w:val="85"/>
          <w:sz w:val="25"/>
        </w:rPr>
        <w:t>6</w:t>
      </w:r>
      <w:r>
        <w:rPr>
          <w:rFonts w:ascii="Arial" w:eastAsia="Arial"/>
          <w:spacing w:val="29"/>
          <w:w w:val="85"/>
          <w:sz w:val="25"/>
        </w:rPr>
        <w:t> </w:t>
      </w:r>
      <w:r>
        <w:rPr>
          <w:spacing w:val="11"/>
          <w:w w:val="85"/>
          <w:sz w:val="21"/>
        </w:rPr>
        <w:t>、</w:t>
      </w:r>
      <w:r>
        <w:rPr>
          <w:rFonts w:ascii="Arial" w:eastAsia="Arial"/>
          <w:spacing w:val="10"/>
          <w:w w:val="85"/>
          <w:sz w:val="25"/>
        </w:rPr>
        <w:t>7</w:t>
      </w:r>
      <w:r>
        <w:rPr>
          <w:spacing w:val="6"/>
          <w:w w:val="85"/>
          <w:sz w:val="21"/>
        </w:rPr>
        <w:t>項 。</w:t>
      </w:r>
    </w:p>
    <w:p>
      <w:pPr>
        <w:spacing w:after="0"/>
        <w:jc w:val="left"/>
        <w:rPr>
          <w:sz w:val="21"/>
        </w:rPr>
        <w:sectPr>
          <w:type w:val="continuous"/>
          <w:pgSz w:w="11910" w:h="16840"/>
          <w:pgMar w:top="1020" w:bottom="280" w:left="1120" w:right="1060"/>
        </w:sectPr>
      </w:pPr>
    </w:p>
    <w:p>
      <w:pPr>
        <w:pStyle w:val="BodyText"/>
        <w:spacing w:before="12"/>
        <w:rPr>
          <w:sz w:val="28"/>
        </w:rPr>
      </w:pPr>
    </w:p>
    <w:p>
      <w:pPr>
        <w:pStyle w:val="BodyText"/>
        <w:spacing w:line="316" w:lineRule="auto" w:before="65"/>
        <w:ind w:left="320" w:right="533" w:hanging="23"/>
        <w:rPr>
          <w:rFonts w:ascii="Times New Roman" w:eastAsia="Times New Roman"/>
          <w:sz w:val="15"/>
        </w:rPr>
      </w:pPr>
      <w:r>
        <w:rPr>
          <w:w w:val="105"/>
        </w:rPr>
        <w:t>以口頭公開審理，在程序上近似司法審判之言詞辯論程序，因此學說上將</w:t>
      </w:r>
      <w:r>
        <w:rPr>
          <w:spacing w:val="119"/>
          <w:w w:val="105"/>
        </w:rPr>
        <w:t> </w:t>
      </w:r>
      <w:r>
        <w:rPr>
          <w:spacing w:val="8"/>
        </w:rPr>
        <w:t>此種制度定位為準司法程序之行政審判制度 。</w:t>
      </w:r>
      <w:r>
        <w:rPr>
          <w:rFonts w:ascii="Times New Roman" w:eastAsia="Times New Roman"/>
          <w:w w:val="75"/>
          <w:sz w:val="15"/>
        </w:rPr>
        <w:t>1</w:t>
      </w:r>
      <w:r>
        <w:rPr>
          <w:rFonts w:ascii="Times New Roman" w:eastAsia="Times New Roman"/>
          <w:spacing w:val="5"/>
          <w:w w:val="75"/>
          <w:sz w:val="15"/>
        </w:rPr>
        <w:t> </w:t>
      </w:r>
      <w:r>
        <w:rPr>
          <w:rFonts w:ascii="Times New Roman" w:eastAsia="Times New Roman"/>
          <w:w w:val="75"/>
          <w:sz w:val="15"/>
        </w:rPr>
        <w:t>50</w:t>
      </w:r>
    </w:p>
    <w:p>
      <w:pPr>
        <w:pStyle w:val="BodyText"/>
        <w:spacing w:line="324" w:lineRule="auto" w:before="34"/>
        <w:ind w:left="308" w:right="505" w:firstLine="573"/>
      </w:pPr>
      <w:r>
        <w:rPr/>
        <w:t>人事院在受理申訴之後，依審查結果，可作成維持、變更或撒銷原處   </w:t>
      </w:r>
      <w:r>
        <w:rPr>
          <w:spacing w:val="95"/>
        </w:rPr>
        <w:t> </w:t>
      </w:r>
      <w:r>
        <w:rPr/>
        <w:t>分之裁決或決定。對不利益處分不服者，公務員固然可以提超撤銷訴訟，    </w:t>
      </w:r>
      <w:r>
        <w:rPr>
          <w:spacing w:val="43"/>
        </w:rPr>
        <w:t> </w:t>
      </w:r>
      <w:r>
        <w:rPr/>
        <w:t>不過依現行日本公務員法制，在該種情況，和日本一般之行政爭訟制度，    </w:t>
      </w:r>
      <w:r>
        <w:rPr>
          <w:spacing w:val="43"/>
        </w:rPr>
        <w:t> </w:t>
      </w:r>
      <w:r>
        <w:rPr/>
        <w:t>不採申訴前置主義有所不同，原則上必須經過向人事院等人事行政機關提    </w:t>
      </w:r>
      <w:r>
        <w:rPr>
          <w:spacing w:val="42"/>
        </w:rPr>
        <w:t> </w:t>
      </w:r>
      <w:r>
        <w:rPr>
          <w:spacing w:val="5"/>
          <w:w w:val="95"/>
        </w:rPr>
        <w:t>超申訴之後 ， 才可提 超行政訴訟</w:t>
      </w:r>
      <w:r>
        <w:rPr>
          <w:w w:val="95"/>
        </w:rPr>
        <w:t>（</w:t>
      </w:r>
      <w:r>
        <w:rPr>
          <w:spacing w:val="-3"/>
          <w:w w:val="95"/>
        </w:rPr>
        <w:t> 國家公務 員 法第 </w:t>
      </w:r>
      <w:r>
        <w:rPr>
          <w:rFonts w:ascii="Times New Roman" w:eastAsia="Times New Roman"/>
          <w:w w:val="95"/>
          <w:sz w:val="30"/>
        </w:rPr>
        <w:t>92</w:t>
      </w:r>
      <w:r>
        <w:rPr>
          <w:rFonts w:ascii="Times New Roman" w:eastAsia="Times New Roman"/>
          <w:spacing w:val="49"/>
          <w:w w:val="95"/>
          <w:sz w:val="30"/>
        </w:rPr>
        <w:t> </w:t>
      </w:r>
      <w:r>
        <w:rPr>
          <w:spacing w:val="-2"/>
          <w:w w:val="95"/>
        </w:rPr>
        <w:t>條之 </w:t>
      </w:r>
      <w:r>
        <w:rPr>
          <w:rFonts w:ascii="Times New Roman" w:eastAsia="Times New Roman"/>
          <w:w w:val="95"/>
          <w:sz w:val="30"/>
        </w:rPr>
        <w:t>2</w:t>
      </w:r>
      <w:r>
        <w:rPr>
          <w:rFonts w:ascii="Times New Roman" w:eastAsia="Times New Roman"/>
          <w:spacing w:val="73"/>
          <w:sz w:val="30"/>
        </w:rPr>
        <w:t> </w:t>
      </w:r>
      <w:r>
        <w:rPr>
          <w:rFonts w:ascii="Times New Roman" w:eastAsia="Times New Roman"/>
          <w:w w:val="95"/>
          <w:sz w:val="30"/>
        </w:rPr>
        <w:t>'</w:t>
      </w:r>
      <w:r>
        <w:rPr>
          <w:rFonts w:ascii="Times New Roman" w:eastAsia="Times New Roman"/>
          <w:spacing w:val="95"/>
          <w:sz w:val="30"/>
        </w:rPr>
        <w:t> </w:t>
      </w:r>
      <w:r>
        <w:rPr>
          <w:spacing w:val="2"/>
          <w:w w:val="95"/>
        </w:rPr>
        <w:t>地方公務員</w:t>
      </w:r>
      <w:r>
        <w:rPr>
          <w:spacing w:val="-63"/>
          <w:w w:val="95"/>
        </w:rPr>
        <w:t> </w:t>
      </w:r>
      <w:r>
        <w:rPr>
          <w:spacing w:val="4"/>
          <w:w w:val="95"/>
        </w:rPr>
        <w:t>法第 </w:t>
      </w:r>
      <w:r>
        <w:rPr>
          <w:rFonts w:ascii="Times New Roman" w:eastAsia="Times New Roman"/>
          <w:w w:val="95"/>
          <w:sz w:val="28"/>
        </w:rPr>
        <w:t>51</w:t>
      </w:r>
      <w:r>
        <w:rPr>
          <w:rFonts w:ascii="Times New Roman" w:eastAsia="Times New Roman"/>
          <w:spacing w:val="6"/>
          <w:w w:val="95"/>
          <w:sz w:val="28"/>
        </w:rPr>
        <w:t> </w:t>
      </w:r>
      <w:r>
        <w:rPr>
          <w:spacing w:val="-6"/>
          <w:w w:val="95"/>
        </w:rPr>
        <w:t>條之 </w:t>
      </w:r>
      <w:r>
        <w:rPr>
          <w:rFonts w:ascii="Times New Roman" w:eastAsia="Times New Roman"/>
          <w:w w:val="95"/>
          <w:sz w:val="28"/>
        </w:rPr>
        <w:t>l</w:t>
      </w:r>
      <w:r>
        <w:rPr>
          <w:rFonts w:ascii="Times New Roman" w:eastAsia="Times New Roman"/>
          <w:spacing w:val="4"/>
          <w:w w:val="95"/>
          <w:sz w:val="28"/>
        </w:rPr>
        <w:t> ) </w:t>
      </w:r>
      <w:r>
        <w:rPr>
          <w:spacing w:val="16"/>
          <w:w w:val="95"/>
        </w:rPr>
        <w:t>。亦即，採 不服申訴前置主義 。</w:t>
      </w:r>
    </w:p>
    <w:p>
      <w:pPr>
        <w:pStyle w:val="BodyText"/>
        <w:spacing w:line="331" w:lineRule="auto"/>
        <w:ind w:left="301" w:right="513" w:firstLine="572"/>
        <w:jc w:val="both"/>
      </w:pPr>
      <w:r>
        <w:rPr>
          <w:w w:val="110"/>
        </w:rPr>
        <w:t>對於人事院等人事行政機關所作成之判定不服，提超行政訴訟之後，</w:t>
      </w:r>
      <w:r>
        <w:rPr>
          <w:spacing w:val="-136"/>
          <w:w w:val="110"/>
        </w:rPr>
        <w:t> </w:t>
      </w:r>
      <w:r>
        <w:rPr>
          <w:w w:val="110"/>
        </w:rPr>
        <w:t>法院之審理，是以並不以人事院等人事行政機關所作成之判定為基礎，而是以原處分為對象進行審理。因此，學說指出，在此種層面上，其準司法作用之意義將會受大幅減損。</w:t>
      </w:r>
    </w:p>
    <w:p>
      <w:pPr>
        <w:pStyle w:val="BodyText"/>
        <w:spacing w:before="85"/>
        <w:ind w:left="760" w:right="549"/>
        <w:jc w:val="center"/>
      </w:pPr>
      <w:r>
        <w:rPr>
          <w:w w:val="115"/>
        </w:rPr>
        <w:t>二對不利益虞分的不服申訴</w:t>
      </w:r>
    </w:p>
    <w:p>
      <w:pPr>
        <w:pStyle w:val="BodyText"/>
        <w:spacing w:before="1"/>
        <w:rPr>
          <w:sz w:val="24"/>
        </w:rPr>
      </w:pPr>
    </w:p>
    <w:p>
      <w:pPr>
        <w:pStyle w:val="BodyText"/>
        <w:spacing w:line="321" w:lineRule="auto"/>
        <w:ind w:left="301" w:right="512" w:firstLine="568"/>
      </w:pPr>
      <w:r>
        <w:rPr>
          <w:w w:val="105"/>
        </w:rPr>
        <w:t>所謂對不利益處分的不服申訴，係指任命權人對地方自治圍體職員，</w:t>
      </w:r>
      <w:r>
        <w:rPr>
          <w:spacing w:val="81"/>
          <w:w w:val="105"/>
        </w:rPr>
        <w:t> </w:t>
      </w:r>
      <w:r>
        <w:rPr>
          <w:w w:val="105"/>
        </w:rPr>
        <w:t>作成懲戒或其他得認為係違反職員意願的不利益處分時，受處分人向人事</w:t>
      </w:r>
      <w:r>
        <w:rPr>
          <w:spacing w:val="124"/>
          <w:w w:val="105"/>
        </w:rPr>
        <w:t> </w:t>
      </w:r>
      <w:r>
        <w:rPr>
          <w:w w:val="105"/>
        </w:rPr>
        <w:t>委員會或公評委員會，依日本行政不服審查法（相噹於我國訴願法），提</w:t>
      </w:r>
      <w:r>
        <w:rPr>
          <w:spacing w:val="124"/>
          <w:w w:val="105"/>
        </w:rPr>
        <w:t> </w:t>
      </w:r>
      <w:r>
        <w:rPr>
          <w:w w:val="105"/>
        </w:rPr>
        <w:t>出不服罄明之謂。此外，日本法上對於其中央公務員，也賦予彼等得依日</w:t>
      </w:r>
      <w:r>
        <w:rPr>
          <w:spacing w:val="119"/>
          <w:w w:val="105"/>
        </w:rPr>
        <w:t> </w:t>
      </w:r>
      <w:r>
        <w:rPr>
          <w:spacing w:val="5"/>
        </w:rPr>
        <w:t>本國家公務 </w:t>
      </w:r>
      <w:r>
        <w:rPr>
          <w:spacing w:val="-22"/>
          <w:w w:val="85"/>
        </w:rPr>
        <w:t>員 </w:t>
      </w:r>
      <w:r>
        <w:rPr>
          <w:spacing w:val="38"/>
        </w:rPr>
        <w:t>法</w:t>
      </w:r>
      <w:r>
        <w:rPr>
          <w:spacing w:val="6"/>
          <w:w w:val="85"/>
        </w:rPr>
        <w:t>第 </w:t>
      </w:r>
      <w:r>
        <w:rPr>
          <w:rFonts w:ascii="Times New Roman" w:eastAsia="Times New Roman"/>
          <w:w w:val="85"/>
          <w:sz w:val="30"/>
        </w:rPr>
        <w:t>90</w:t>
      </w:r>
      <w:r>
        <w:rPr>
          <w:rFonts w:ascii="Times New Roman" w:eastAsia="Times New Roman"/>
          <w:spacing w:val="43"/>
          <w:w w:val="85"/>
          <w:sz w:val="30"/>
        </w:rPr>
        <w:t> </w:t>
      </w:r>
      <w:r>
        <w:rPr>
          <w:spacing w:val="13"/>
        </w:rPr>
        <w:t>條至第 </w:t>
      </w:r>
      <w:r>
        <w:rPr>
          <w:rFonts w:ascii="Times New Roman" w:eastAsia="Times New Roman"/>
          <w:w w:val="85"/>
          <w:sz w:val="30"/>
        </w:rPr>
        <w:t>92</w:t>
      </w:r>
      <w:r>
        <w:rPr>
          <w:rFonts w:ascii="Times New Roman" w:eastAsia="Times New Roman"/>
          <w:spacing w:val="49"/>
          <w:w w:val="85"/>
          <w:sz w:val="30"/>
        </w:rPr>
        <w:t> </w:t>
      </w:r>
      <w:r>
        <w:rPr>
          <w:spacing w:val="11"/>
        </w:rPr>
        <w:t>條以及</w:t>
      </w:r>
      <w:r>
        <w:rPr>
          <w:spacing w:val="8"/>
          <w:w w:val="85"/>
        </w:rPr>
        <w:t>日本 </w:t>
      </w:r>
      <w:r>
        <w:rPr>
          <w:spacing w:val="6"/>
        </w:rPr>
        <w:t>人事院規則 </w:t>
      </w:r>
      <w:r>
        <w:rPr>
          <w:rFonts w:ascii="Times New Roman" w:eastAsia="Times New Roman"/>
          <w:sz w:val="30"/>
        </w:rPr>
        <w:t>13</w:t>
      </w:r>
      <w:r>
        <w:rPr>
          <w:rFonts w:ascii="Times New Roman" w:eastAsia="Times New Roman"/>
          <w:spacing w:val="11"/>
          <w:sz w:val="30"/>
        </w:rPr>
        <w:t> </w:t>
      </w:r>
      <w:r>
        <w:rPr>
          <w:spacing w:val="-11"/>
        </w:rPr>
        <w:t>之 </w:t>
      </w:r>
      <w:r>
        <w:rPr>
          <w:rFonts w:ascii="Times New Roman" w:eastAsia="Times New Roman"/>
          <w:sz w:val="30"/>
        </w:rPr>
        <w:t>l</w:t>
      </w:r>
      <w:r>
        <w:rPr>
          <w:rFonts w:ascii="Times New Roman" w:eastAsia="Times New Roman"/>
          <w:spacing w:val="47"/>
          <w:sz w:val="30"/>
        </w:rPr>
        <w:t> </w:t>
      </w:r>
      <w:r>
        <w:rPr>
          <w:spacing w:val="-3"/>
        </w:rPr>
        <w:t>規定 </w:t>
      </w:r>
      <w:r>
        <w:rPr>
          <w:spacing w:val="-26"/>
          <w:w w:val="85"/>
        </w:rPr>
        <w:t>， </w:t>
      </w:r>
      <w:r>
        <w:rPr/>
        <w:t>對</w:t>
      </w:r>
      <w:r>
        <w:rPr>
          <w:spacing w:val="-1"/>
          <w:w w:val="95"/>
        </w:rPr>
        <w:t>人事院所為之 不利 益處分 </w:t>
      </w:r>
      <w:r>
        <w:rPr>
          <w:spacing w:val="25"/>
          <w:w w:val="85"/>
        </w:rPr>
        <w:t>，提 </w:t>
      </w:r>
      <w:r>
        <w:rPr>
          <w:spacing w:val="-3"/>
          <w:w w:val="95"/>
        </w:rPr>
        <w:t>超不服 磬明</w:t>
      </w:r>
      <w:r>
        <w:rPr>
          <w:rFonts w:ascii="Times New Roman" w:eastAsia="Times New Roman"/>
          <w:w w:val="70"/>
          <w:sz w:val="15"/>
        </w:rPr>
        <w:t>1</w:t>
      </w:r>
      <w:r>
        <w:rPr>
          <w:rFonts w:ascii="Times New Roman" w:eastAsia="Times New Roman"/>
          <w:spacing w:val="9"/>
          <w:w w:val="70"/>
          <w:sz w:val="15"/>
        </w:rPr>
        <w:t> </w:t>
      </w:r>
      <w:r>
        <w:rPr>
          <w:rFonts w:ascii="Times New Roman" w:eastAsia="Times New Roman"/>
          <w:w w:val="85"/>
          <w:sz w:val="15"/>
        </w:rPr>
        <w:t>51</w:t>
      </w:r>
      <w:r>
        <w:rPr>
          <w:rFonts w:ascii="Times New Roman" w:eastAsia="Times New Roman"/>
          <w:spacing w:val="52"/>
          <w:sz w:val="15"/>
        </w:rPr>
        <w:t>  </w:t>
      </w:r>
      <w:r>
        <w:rPr>
          <w:w w:val="70"/>
        </w:rPr>
        <w:t>。</w:t>
      </w:r>
    </w:p>
    <w:p>
      <w:pPr>
        <w:pStyle w:val="BodyText"/>
        <w:spacing w:before="126"/>
        <w:ind w:left="3424"/>
      </w:pPr>
      <w:r>
        <w:rPr>
          <w:w w:val="110"/>
        </w:rPr>
        <w:t>（一）不服申訴的對象</w:t>
      </w:r>
    </w:p>
    <w:p>
      <w:pPr>
        <w:pStyle w:val="BodyText"/>
        <w:spacing w:before="2"/>
      </w:pPr>
    </w:p>
    <w:p>
      <w:pPr>
        <w:pStyle w:val="ListParagraph"/>
        <w:numPr>
          <w:ilvl w:val="0"/>
          <w:numId w:val="5"/>
        </w:numPr>
        <w:tabs>
          <w:tab w:pos="1148" w:val="left" w:leader="none"/>
        </w:tabs>
        <w:spacing w:line="240" w:lineRule="auto" w:before="73" w:after="0"/>
        <w:ind w:left="1147" w:right="0" w:hanging="370"/>
        <w:jc w:val="left"/>
        <w:rPr>
          <w:sz w:val="25"/>
        </w:rPr>
      </w:pPr>
      <w:r>
        <w:rPr>
          <w:w w:val="110"/>
          <w:sz w:val="25"/>
        </w:rPr>
        <w:t>懲戒虞分</w:t>
      </w:r>
    </w:p>
    <w:p>
      <w:pPr>
        <w:pStyle w:val="BodyText"/>
        <w:spacing w:before="6"/>
        <w:rPr>
          <w:sz w:val="17"/>
        </w:rPr>
      </w:pPr>
    </w:p>
    <w:p>
      <w:pPr>
        <w:pStyle w:val="BodyText"/>
        <w:spacing w:line="316" w:lineRule="auto" w:before="65"/>
        <w:ind w:left="303" w:right="503" w:firstLine="580"/>
      </w:pPr>
      <w:r>
        <w:rPr/>
        <w:t>日本法上所謂公務員懲戒處分，與我國法意義相同，係指於職員有違   </w:t>
      </w:r>
      <w:r>
        <w:rPr>
          <w:spacing w:val="81"/>
        </w:rPr>
        <w:t> </w:t>
      </w:r>
      <w:r>
        <w:rPr>
          <w:spacing w:val="-2"/>
          <w:w w:val="95"/>
        </w:rPr>
        <w:t>法或非法行為時 ， 而應對其制裁者而言 ， 規定在日 本國家公務 員 法第 </w:t>
      </w:r>
      <w:r>
        <w:rPr>
          <w:rFonts w:ascii="Arial" w:eastAsia="Arial"/>
          <w:w w:val="95"/>
          <w:sz w:val="28"/>
        </w:rPr>
        <w:t>82</w:t>
      </w:r>
      <w:r>
        <w:rPr>
          <w:rFonts w:ascii="Arial" w:eastAsia="Arial"/>
          <w:spacing w:val="1"/>
          <w:w w:val="95"/>
          <w:sz w:val="28"/>
        </w:rPr>
        <w:t> </w:t>
      </w:r>
      <w:r>
        <w:rPr>
          <w:spacing w:val="4"/>
          <w:w w:val="95"/>
        </w:rPr>
        <w:t>條及其地方公務 員 法第 </w:t>
      </w:r>
      <w:r>
        <w:rPr>
          <w:rFonts w:ascii="Times New Roman" w:eastAsia="Times New Roman"/>
          <w:w w:val="95"/>
          <w:sz w:val="30"/>
        </w:rPr>
        <w:t>29</w:t>
      </w:r>
      <w:r>
        <w:rPr>
          <w:rFonts w:ascii="Times New Roman" w:eastAsia="Times New Roman"/>
          <w:spacing w:val="45"/>
          <w:w w:val="95"/>
          <w:sz w:val="30"/>
        </w:rPr>
        <w:t> </w:t>
      </w:r>
      <w:r>
        <w:rPr>
          <w:w w:val="95"/>
        </w:rPr>
        <w:t>條 。而其職 員 ， 非有法定事由者 ， 不受懲戒處</w:t>
      </w:r>
      <w:r>
        <w:rPr/>
        <w:t>分，此或可謂是「懲戒法定原則」。任命權人依其違法程度與情狀而決定</w:t>
      </w:r>
    </w:p>
    <w:p>
      <w:pPr>
        <w:pStyle w:val="BodyText"/>
        <w:rPr>
          <w:sz w:val="20"/>
        </w:rPr>
      </w:pPr>
    </w:p>
    <w:p>
      <w:pPr>
        <w:pStyle w:val="BodyText"/>
        <w:spacing w:before="11"/>
        <w:rPr>
          <w:sz w:val="19"/>
        </w:rPr>
      </w:pPr>
      <w:r>
        <w:rPr/>
        <w:pict>
          <v:shape style="position:absolute;margin-left:95.174004pt;margin-top:14.955916pt;width:144.25pt;height:.1pt;mso-position-horizontal-relative:page;mso-position-vertical-relative:paragraph;z-index:-15582720;mso-wrap-distance-left:0;mso-wrap-distance-right:0" coordorigin="1903,299" coordsize="2885,0" path="m1903,299l4788,299e" filled="false" stroked="true" strokeweight=".480547pt" strokecolor="#000000">
            <v:path arrowok="t"/>
            <v:stroke dashstyle="solid"/>
            <w10:wrap type="topAndBottom"/>
          </v:shape>
        </w:pict>
      </w:r>
    </w:p>
    <w:p>
      <w:pPr>
        <w:pStyle w:val="BodyText"/>
        <w:spacing w:before="10"/>
        <w:rPr>
          <w:sz w:val="7"/>
        </w:rPr>
      </w:pPr>
    </w:p>
    <w:p>
      <w:pPr>
        <w:spacing w:before="89"/>
        <w:ind w:left="298" w:right="0" w:firstLine="0"/>
        <w:jc w:val="left"/>
        <w:rPr>
          <w:sz w:val="24"/>
        </w:rPr>
      </w:pPr>
      <w:r>
        <w:rPr>
          <w:rFonts w:ascii="Times New Roman" w:eastAsia="Times New Roman"/>
          <w:w w:val="90"/>
          <w:position w:val="7"/>
          <w:sz w:val="13"/>
        </w:rPr>
        <w:t>150</w:t>
      </w:r>
      <w:r>
        <w:rPr>
          <w:rFonts w:ascii="Times New Roman" w:eastAsia="Times New Roman"/>
          <w:spacing w:val="13"/>
          <w:w w:val="90"/>
          <w:position w:val="7"/>
          <w:sz w:val="13"/>
        </w:rPr>
        <w:t> </w:t>
      </w:r>
      <w:r>
        <w:rPr>
          <w:spacing w:val="2"/>
          <w:w w:val="90"/>
          <w:sz w:val="21"/>
        </w:rPr>
        <w:t>藤田宙靖 ，行 政 法 </w:t>
      </w:r>
      <w:r>
        <w:rPr>
          <w:rFonts w:ascii="Times New Roman" w:eastAsia="Times New Roman"/>
          <w:w w:val="90"/>
          <w:sz w:val="23"/>
        </w:rPr>
        <w:t>l</w:t>
      </w:r>
      <w:r>
        <w:rPr>
          <w:rFonts w:ascii="Times New Roman" w:eastAsia="Times New Roman"/>
          <w:spacing w:val="7"/>
          <w:w w:val="90"/>
          <w:sz w:val="23"/>
        </w:rPr>
        <w:t> </w:t>
      </w:r>
      <w:r>
        <w:rPr>
          <w:w w:val="90"/>
          <w:sz w:val="21"/>
        </w:rPr>
        <w:t>（</w:t>
      </w:r>
      <w:r>
        <w:rPr>
          <w:spacing w:val="-9"/>
          <w:w w:val="90"/>
          <w:sz w:val="21"/>
        </w:rPr>
        <w:t> 総論</w:t>
      </w:r>
      <w:r>
        <w:rPr>
          <w:w w:val="90"/>
          <w:sz w:val="21"/>
        </w:rPr>
        <w:t>），</w:t>
      </w:r>
      <w:r>
        <w:rPr>
          <w:rFonts w:ascii="Times New Roman" w:eastAsia="Times New Roman"/>
          <w:w w:val="90"/>
          <w:sz w:val="26"/>
        </w:rPr>
        <w:t>3</w:t>
      </w:r>
      <w:r>
        <w:rPr>
          <w:spacing w:val="4"/>
          <w:w w:val="90"/>
          <w:sz w:val="21"/>
        </w:rPr>
        <w:t>版 再訂版 ，</w:t>
      </w:r>
      <w:r>
        <w:rPr>
          <w:rFonts w:ascii="Times New Roman" w:eastAsia="Times New Roman"/>
          <w:w w:val="90"/>
          <w:sz w:val="26"/>
        </w:rPr>
        <w:t>2000</w:t>
      </w:r>
      <w:r>
        <w:rPr>
          <w:rFonts w:ascii="Times New Roman" w:eastAsia="Times New Roman"/>
          <w:spacing w:val="7"/>
          <w:w w:val="90"/>
          <w:sz w:val="26"/>
        </w:rPr>
        <w:t> </w:t>
      </w:r>
      <w:r>
        <w:rPr>
          <w:w w:val="90"/>
          <w:sz w:val="21"/>
        </w:rPr>
        <w:t>年</w:t>
      </w:r>
      <w:r>
        <w:rPr>
          <w:rFonts w:ascii="Times New Roman" w:eastAsia="Times New Roman"/>
          <w:spacing w:val="11"/>
          <w:w w:val="90"/>
          <w:sz w:val="26"/>
        </w:rPr>
        <w:t>3</w:t>
      </w:r>
      <w:r>
        <w:rPr>
          <w:spacing w:val="32"/>
          <w:w w:val="90"/>
          <w:sz w:val="21"/>
        </w:rPr>
        <w:t>月</w:t>
      </w:r>
      <w:r>
        <w:rPr>
          <w:rFonts w:ascii="Times New Roman" w:eastAsia="Times New Roman"/>
          <w:w w:val="90"/>
          <w:sz w:val="26"/>
        </w:rPr>
        <w:t>31</w:t>
      </w:r>
      <w:r>
        <w:rPr>
          <w:spacing w:val="-11"/>
          <w:w w:val="90"/>
          <w:sz w:val="21"/>
        </w:rPr>
        <w:t>日 ， 青林 書院 ， 頁</w:t>
      </w:r>
      <w:r>
        <w:rPr>
          <w:rFonts w:ascii="Times New Roman" w:eastAsia="Times New Roman"/>
          <w:w w:val="90"/>
          <w:sz w:val="26"/>
        </w:rPr>
        <w:t>450-</w:t>
      </w:r>
      <w:r>
        <w:rPr>
          <w:rFonts w:ascii="Times New Roman" w:eastAsia="Times New Roman"/>
          <w:spacing w:val="14"/>
          <w:w w:val="90"/>
          <w:sz w:val="26"/>
        </w:rPr>
        <w:t> </w:t>
      </w:r>
      <w:r>
        <w:rPr>
          <w:rFonts w:ascii="Times New Roman" w:eastAsia="Times New Roman"/>
          <w:w w:val="90"/>
          <w:sz w:val="26"/>
        </w:rPr>
        <w:t>453</w:t>
      </w:r>
      <w:r>
        <w:rPr>
          <w:rFonts w:ascii="Times New Roman" w:eastAsia="Times New Roman"/>
          <w:spacing w:val="25"/>
          <w:w w:val="90"/>
          <w:sz w:val="26"/>
        </w:rPr>
        <w:t> </w:t>
      </w:r>
      <w:r>
        <w:rPr>
          <w:w w:val="90"/>
          <w:sz w:val="24"/>
        </w:rPr>
        <w:t>。</w:t>
      </w:r>
    </w:p>
    <w:p>
      <w:pPr>
        <w:spacing w:line="266" w:lineRule="auto" w:before="30"/>
        <w:ind w:left="497" w:right="491" w:hanging="200"/>
        <w:jc w:val="left"/>
        <w:rPr>
          <w:sz w:val="24"/>
        </w:rPr>
      </w:pPr>
      <w:r>
        <w:rPr>
          <w:rFonts w:ascii="Times New Roman" w:eastAsia="Times New Roman"/>
          <w:sz w:val="21"/>
          <w:vertAlign w:val="superscript"/>
        </w:rPr>
        <w:t>151</w:t>
      </w:r>
      <w:r>
        <w:rPr>
          <w:rFonts w:ascii="Times New Roman" w:eastAsia="Times New Roman"/>
          <w:sz w:val="21"/>
          <w:vertAlign w:val="baseline"/>
        </w:rPr>
        <w:t>                  </w:t>
      </w:r>
      <w:r>
        <w:rPr>
          <w:sz w:val="21"/>
          <w:vertAlign w:val="baseline"/>
        </w:rPr>
        <w:t>所謂不利益處分，係指行政機關駁回相對人民申請許認可等受益處分，或課予相對人公法上金錢給付義務者而言，參見：高木光＝常岡孝好＝橋本博之＝</w:t>
      </w:r>
      <w:r>
        <w:rPr>
          <w:spacing w:val="1"/>
          <w:sz w:val="21"/>
          <w:vertAlign w:val="baseline"/>
        </w:rPr>
        <w:t>櫻井敬子，         </w:t>
      </w:r>
      <w:r>
        <w:rPr>
          <w:spacing w:val="8"/>
          <w:w w:val="95"/>
          <w:sz w:val="21"/>
          <w:vertAlign w:val="baseline"/>
        </w:rPr>
        <w:t>行政</w:t>
      </w:r>
      <w:r>
        <w:rPr>
          <w:spacing w:val="-15"/>
          <w:w w:val="95"/>
          <w:sz w:val="21"/>
          <w:vertAlign w:val="baseline"/>
        </w:rPr>
        <w:t>救济法 ， 初版 ， 弘文堂 ， </w:t>
      </w:r>
      <w:r>
        <w:rPr>
          <w:rFonts w:ascii="Times New Roman" w:eastAsia="Times New Roman"/>
          <w:w w:val="95"/>
          <w:sz w:val="26"/>
          <w:vertAlign w:val="baseline"/>
        </w:rPr>
        <w:t>2007</w:t>
      </w:r>
      <w:r>
        <w:rPr>
          <w:rFonts w:ascii="Times New Roman" w:eastAsia="Times New Roman"/>
          <w:spacing w:val="44"/>
          <w:w w:val="95"/>
          <w:sz w:val="26"/>
          <w:vertAlign w:val="baseline"/>
        </w:rPr>
        <w:t> </w:t>
      </w:r>
      <w:r>
        <w:rPr>
          <w:w w:val="95"/>
          <w:sz w:val="24"/>
          <w:vertAlign w:val="baseline"/>
        </w:rPr>
        <w:t>。</w:t>
      </w:r>
    </w:p>
    <w:p>
      <w:pPr>
        <w:spacing w:after="0" w:line="266" w:lineRule="auto"/>
        <w:jc w:val="left"/>
        <w:rPr>
          <w:sz w:val="24"/>
        </w:rPr>
        <w:sectPr>
          <w:pgSz w:w="11910" w:h="16840"/>
          <w:pgMar w:header="862" w:footer="1017" w:top="1060" w:bottom="1200" w:left="1120" w:right="1060"/>
        </w:sectPr>
      </w:pPr>
    </w:p>
    <w:p>
      <w:pPr>
        <w:pStyle w:val="BodyText"/>
        <w:spacing w:before="12"/>
        <w:rPr>
          <w:sz w:val="28"/>
        </w:rPr>
      </w:pPr>
    </w:p>
    <w:p>
      <w:pPr>
        <w:pStyle w:val="BodyText"/>
        <w:spacing w:line="328" w:lineRule="auto" w:before="65"/>
        <w:ind w:left="301" w:right="512" w:firstLine="4"/>
        <w:jc w:val="both"/>
      </w:pPr>
      <w:r>
        <w:rPr>
          <w:w w:val="110"/>
        </w:rPr>
        <w:t>懲戒處分的內容，關於處分的選擇，則委諸任命權人的裁量。不過，就一個違法行為，不得重複科以兩種類以上的懲戒處分。儘管涉及公務員懲戒處分者，就國家與地方公務員，分別在人事院規則與各個地方自治圍體的自治條例，均有詳鈿規定，但是實際作為上，通常均規定要求交付記載有此些規範意旨的書面。</w:t>
      </w:r>
    </w:p>
    <w:p>
      <w:pPr>
        <w:pStyle w:val="BodyText"/>
        <w:spacing w:line="295" w:lineRule="auto" w:before="7"/>
        <w:ind w:left="303" w:right="448" w:firstLine="580"/>
      </w:pPr>
      <w:r>
        <w:rPr>
          <w:spacing w:val="2"/>
        </w:rPr>
        <w:t>日本之懲戒處分，有以下幾種類型。</w:t>
      </w:r>
      <w:r>
        <w:rPr>
          <w:rFonts w:ascii="MS UI Gothic" w:hAnsi="MS UI Gothic" w:eastAsia="MS UI Gothic" w:hint="eastAsia"/>
          <w:spacing w:val="10"/>
          <w:position w:val="-2"/>
          <w:sz w:val="28"/>
        </w:rPr>
        <w:t>①      </w:t>
      </w:r>
      <w:r>
        <w:rPr/>
        <w:t>免職。是指違反職員意願而使其</w:t>
      </w:r>
      <w:r>
        <w:rPr>
          <w:spacing w:val="4"/>
        </w:rPr>
        <w:t>喪失職位的處分。   </w:t>
      </w:r>
      <w:r>
        <w:rPr>
          <w:rFonts w:ascii="MS UI Gothic" w:hAnsi="MS UI Gothic" w:eastAsia="MS UI Gothic" w:hint="eastAsia"/>
          <w:position w:val="-2"/>
          <w:sz w:val="28"/>
        </w:rPr>
        <w:t>②</w:t>
      </w:r>
      <w:r>
        <w:rPr>
          <w:spacing w:val="1"/>
        </w:rPr>
        <w:t>停職，是指在一定期間內，停止其從事職務的處分。在</w:t>
      </w:r>
      <w:r>
        <w:rPr>
          <w:spacing w:val="-1"/>
        </w:rPr>
        <w:t>國家公務 員 的情形 </w:t>
      </w:r>
      <w:r>
        <w:rPr>
          <w:spacing w:val="-33"/>
          <w:w w:val="95"/>
        </w:rPr>
        <w:t>， </w:t>
      </w:r>
      <w:r>
        <w:rPr>
          <w:spacing w:val="16"/>
        </w:rPr>
        <w:t>此項期間為 </w:t>
      </w:r>
      <w:r>
        <w:rPr>
          <w:rFonts w:ascii="Arial" w:hAnsi="Arial" w:eastAsia="Arial"/>
          <w:sz w:val="29"/>
        </w:rPr>
        <w:t>l</w:t>
      </w:r>
      <w:r>
        <w:rPr>
          <w:rFonts w:ascii="Arial" w:hAnsi="Arial" w:eastAsia="Arial"/>
          <w:spacing w:val="36"/>
          <w:sz w:val="29"/>
        </w:rPr>
        <w:t> </w:t>
      </w:r>
      <w:r>
        <w:rPr>
          <w:spacing w:val="-14"/>
        </w:rPr>
        <w:t>日 以上 </w:t>
      </w:r>
      <w:r>
        <w:rPr>
          <w:rFonts w:ascii="Arial" w:hAnsi="Arial" w:eastAsia="Arial"/>
          <w:sz w:val="29"/>
        </w:rPr>
        <w:t>l</w:t>
      </w:r>
      <w:r>
        <w:rPr>
          <w:rFonts w:ascii="Arial" w:hAnsi="Arial" w:eastAsia="Arial"/>
          <w:spacing w:val="25"/>
          <w:sz w:val="29"/>
        </w:rPr>
        <w:t> </w:t>
      </w:r>
      <w:r>
        <w:rPr>
          <w:spacing w:val="-24"/>
        </w:rPr>
        <w:t>年以下 。</w:t>
      </w:r>
      <w:r>
        <w:rPr>
          <w:rFonts w:ascii="MS UI Gothic" w:hAnsi="MS UI Gothic" w:eastAsia="MS UI Gothic" w:hint="eastAsia"/>
          <w:spacing w:val="-22"/>
          <w:position w:val="-2"/>
          <w:sz w:val="28"/>
        </w:rPr>
        <w:t>③ </w:t>
      </w:r>
      <w:r>
        <w:rPr>
          <w:spacing w:val="-15"/>
        </w:rPr>
        <w:t>減俸，是指在－ 定</w:t>
      </w:r>
      <w:r>
        <w:rPr>
          <w:spacing w:val="3"/>
        </w:rPr>
        <w:t>期間，減少支給一定比例職員待遇之謂。人事院規則規定國家公務員之     </w:t>
      </w:r>
      <w:r>
        <w:rPr>
          <w:w w:val="95"/>
        </w:rPr>
        <w:t>減俸</w:t>
      </w:r>
      <w:r>
        <w:rPr>
          <w:spacing w:val="23"/>
          <w:w w:val="95"/>
        </w:rPr>
        <w:t> </w:t>
      </w:r>
      <w:r>
        <w:rPr>
          <w:w w:val="95"/>
        </w:rPr>
        <w:t>， 期間以 </w:t>
      </w:r>
      <w:r>
        <w:rPr>
          <w:rFonts w:ascii="Times New Roman" w:hAnsi="Times New Roman" w:eastAsia="Times New Roman"/>
          <w:w w:val="95"/>
          <w:sz w:val="30"/>
        </w:rPr>
        <w:t>l</w:t>
      </w:r>
      <w:r>
        <w:rPr>
          <w:rFonts w:ascii="Times New Roman" w:hAnsi="Times New Roman" w:eastAsia="Times New Roman"/>
          <w:spacing w:val="71"/>
          <w:sz w:val="30"/>
        </w:rPr>
        <w:t> </w:t>
      </w:r>
      <w:r>
        <w:rPr>
          <w:spacing w:val="-1"/>
          <w:w w:val="95"/>
        </w:rPr>
        <w:t>年以下為限 ， 而 減少支給的額度 ， 則為其原俸給的 </w:t>
      </w:r>
      <w:r>
        <w:rPr>
          <w:rFonts w:ascii="Times New Roman" w:hAnsi="Times New Roman" w:eastAsia="Times New Roman"/>
          <w:w w:val="95"/>
          <w:sz w:val="30"/>
        </w:rPr>
        <w:t>5</w:t>
      </w:r>
      <w:r>
        <w:rPr>
          <w:rFonts w:ascii="Times New Roman" w:hAnsi="Times New Roman" w:eastAsia="Times New Roman"/>
          <w:spacing w:val="34"/>
          <w:w w:val="95"/>
          <w:sz w:val="30"/>
        </w:rPr>
        <w:t> </w:t>
      </w:r>
      <w:r>
        <w:rPr>
          <w:w w:val="95"/>
        </w:rPr>
        <w:t>分之</w:t>
      </w:r>
      <w:r>
        <w:rPr>
          <w:rFonts w:ascii="Times New Roman" w:hAnsi="Times New Roman" w:eastAsia="Times New Roman"/>
          <w:sz w:val="30"/>
        </w:rPr>
        <w:t>l</w:t>
      </w:r>
      <w:r>
        <w:rPr>
          <w:rFonts w:ascii="Times New Roman" w:hAnsi="Times New Roman" w:eastAsia="Times New Roman"/>
          <w:spacing w:val="27"/>
          <w:sz w:val="30"/>
        </w:rPr>
        <w:t> </w:t>
      </w:r>
      <w:r>
        <w:rPr>
          <w:spacing w:val="24"/>
        </w:rPr>
        <w:t>以</w:t>
      </w:r>
      <w:r>
        <w:rPr>
          <w:spacing w:val="-35"/>
        </w:rPr>
        <w:t>下 。</w:t>
      </w:r>
      <w:r>
        <w:rPr>
          <w:rFonts w:ascii="Times New Roman" w:hAnsi="Times New Roman" w:eastAsia="Times New Roman"/>
          <w:sz w:val="30"/>
        </w:rPr>
        <w:t>D</w:t>
      </w:r>
      <w:r>
        <w:rPr>
          <w:spacing w:val="-19"/>
        </w:rPr>
        <w:t>．戒告： 就職員 違法行為所 為的璀 認 </w:t>
      </w:r>
      <w:r>
        <w:rPr>
          <w:spacing w:val="-41"/>
          <w:w w:val="95"/>
        </w:rPr>
        <w:t>， </w:t>
      </w:r>
      <w:r>
        <w:rPr>
          <w:spacing w:val="1"/>
        </w:rPr>
        <w:t>係警告性質的 處分 。</w:t>
      </w:r>
    </w:p>
    <w:p>
      <w:pPr>
        <w:pStyle w:val="BodyText"/>
        <w:tabs>
          <w:tab w:pos="4718" w:val="left" w:leader="none"/>
        </w:tabs>
        <w:spacing w:line="292" w:lineRule="auto" w:before="30"/>
        <w:ind w:left="318" w:right="540" w:firstLine="559"/>
      </w:pPr>
      <w:r>
        <w:rPr>
          <w:spacing w:val="20"/>
          <w:w w:val="95"/>
        </w:rPr>
        <w:t>其</w:t>
      </w:r>
      <w:r>
        <w:rPr>
          <w:w w:val="95"/>
        </w:rPr>
        <w:t>次</w:t>
      </w:r>
      <w:r>
        <w:rPr>
          <w:spacing w:val="-9"/>
          <w:w w:val="95"/>
        </w:rPr>
        <w:t> </w:t>
      </w:r>
      <w:r>
        <w:rPr>
          <w:w w:val="75"/>
        </w:rPr>
        <w:t>，</w:t>
      </w:r>
      <w:r>
        <w:rPr>
          <w:spacing w:val="-36"/>
          <w:w w:val="75"/>
        </w:rPr>
        <w:t> </w:t>
      </w:r>
      <w:r>
        <w:rPr>
          <w:spacing w:val="24"/>
          <w:w w:val="95"/>
        </w:rPr>
        <w:t>懲</w:t>
      </w:r>
      <w:r>
        <w:rPr>
          <w:spacing w:val="13"/>
          <w:w w:val="95"/>
        </w:rPr>
        <w:t>戒</w:t>
      </w:r>
      <w:r>
        <w:rPr>
          <w:spacing w:val="22"/>
          <w:w w:val="95"/>
        </w:rPr>
        <w:t>處</w:t>
      </w:r>
      <w:r>
        <w:rPr>
          <w:w w:val="95"/>
        </w:rPr>
        <w:t>分</w:t>
      </w:r>
      <w:r>
        <w:rPr>
          <w:spacing w:val="34"/>
          <w:w w:val="95"/>
        </w:rPr>
        <w:t>的</w:t>
      </w:r>
      <w:r>
        <w:rPr>
          <w:spacing w:val="43"/>
          <w:w w:val="95"/>
        </w:rPr>
        <w:t>對</w:t>
      </w:r>
      <w:r>
        <w:rPr>
          <w:w w:val="95"/>
        </w:rPr>
        <w:t>象事</w:t>
      </w:r>
      <w:r>
        <w:rPr>
          <w:spacing w:val="40"/>
          <w:w w:val="95"/>
        </w:rPr>
        <w:t>由</w:t>
      </w:r>
      <w:r>
        <w:rPr>
          <w:rFonts w:ascii="Times New Roman" w:hAnsi="Times New Roman" w:eastAsia="Times New Roman"/>
          <w:w w:val="75"/>
          <w:sz w:val="15"/>
        </w:rPr>
        <w:t>1</w:t>
      </w:r>
      <w:r>
        <w:rPr>
          <w:rFonts w:ascii="Times New Roman" w:hAnsi="Times New Roman" w:eastAsia="Times New Roman"/>
          <w:spacing w:val="13"/>
          <w:w w:val="75"/>
          <w:sz w:val="15"/>
        </w:rPr>
        <w:t> </w:t>
      </w:r>
      <w:r>
        <w:rPr>
          <w:rFonts w:ascii="Times New Roman" w:hAnsi="Times New Roman" w:eastAsia="Times New Roman"/>
          <w:w w:val="75"/>
          <w:sz w:val="15"/>
        </w:rPr>
        <w:t>52</w:t>
      </w:r>
      <w:r>
        <w:rPr>
          <w:rFonts w:ascii="Times New Roman" w:hAnsi="Times New Roman" w:eastAsia="Times New Roman"/>
          <w:spacing w:val="73"/>
          <w:sz w:val="15"/>
        </w:rPr>
        <w:t> </w:t>
      </w:r>
      <w:r>
        <w:rPr>
          <w:rFonts w:ascii="Times New Roman" w:hAnsi="Times New Roman" w:eastAsia="Times New Roman"/>
          <w:w w:val="95"/>
          <w:sz w:val="15"/>
        </w:rPr>
        <w:t>,</w:t>
        <w:tab/>
      </w:r>
      <w:r>
        <w:rPr>
          <w:spacing w:val="22"/>
        </w:rPr>
        <w:t>依</w:t>
      </w:r>
      <w:r>
        <w:rPr/>
        <w:t>日</w:t>
      </w:r>
      <w:r>
        <w:rPr>
          <w:spacing w:val="-80"/>
        </w:rPr>
        <w:t> </w:t>
      </w:r>
      <w:r>
        <w:rPr>
          <w:spacing w:val="15"/>
        </w:rPr>
        <w:t>本</w:t>
      </w:r>
      <w:r>
        <w:rPr>
          <w:spacing w:val="22"/>
        </w:rPr>
        <w:t>國</w:t>
      </w:r>
      <w:r>
        <w:rPr/>
        <w:t>家公務</w:t>
      </w:r>
      <w:r>
        <w:rPr>
          <w:spacing w:val="-36"/>
        </w:rPr>
        <w:t> </w:t>
      </w:r>
      <w:r>
        <w:rPr/>
        <w:t>員</w:t>
      </w:r>
      <w:r>
        <w:rPr>
          <w:spacing w:val="-70"/>
        </w:rPr>
        <w:t> </w:t>
      </w:r>
      <w:r>
        <w:rPr/>
        <w:t>法</w:t>
      </w:r>
      <w:r>
        <w:rPr>
          <w:spacing w:val="-30"/>
        </w:rPr>
        <w:t> </w:t>
      </w:r>
      <w:r>
        <w:rPr>
          <w:w w:val="75"/>
        </w:rPr>
        <w:t>，</w:t>
      </w:r>
      <w:r>
        <w:rPr>
          <w:spacing w:val="-22"/>
          <w:w w:val="75"/>
        </w:rPr>
        <w:t> </w:t>
      </w:r>
      <w:r>
        <w:rPr>
          <w:spacing w:val="17"/>
        </w:rPr>
        <w:t>包</w:t>
      </w:r>
      <w:r>
        <w:rPr/>
        <w:t>含</w:t>
      </w:r>
      <w:r>
        <w:rPr>
          <w:rFonts w:ascii="MS UI Gothic" w:hAnsi="MS UI Gothic" w:eastAsia="MS UI Gothic" w:hint="eastAsia"/>
          <w:position w:val="-4"/>
          <w:sz w:val="28"/>
        </w:rPr>
        <w:t>①</w:t>
      </w:r>
      <w:r>
        <w:rPr/>
        <w:t>、違反國家公務員法或國家公務員倫理法或其授權命令的情形。</w:t>
      </w:r>
      <w:r>
        <w:rPr>
          <w:spacing w:val="7"/>
        </w:rPr>
        <w:t> </w:t>
      </w:r>
      <w:r>
        <w:rPr>
          <w:rFonts w:ascii="MS UI Gothic" w:hAnsi="MS UI Gothic" w:eastAsia="MS UI Gothic" w:hint="eastAsia"/>
          <w:spacing w:val="-55"/>
          <w:position w:val="-2"/>
          <w:sz w:val="28"/>
        </w:rPr>
        <w:t>②</w:t>
      </w:r>
      <w:r>
        <w:rPr/>
        <w:t>、違反職務義</w:t>
      </w:r>
    </w:p>
    <w:p>
      <w:pPr>
        <w:spacing w:after="0" w:line="292" w:lineRule="auto"/>
        <w:sectPr>
          <w:pgSz w:w="11910" w:h="16840"/>
          <w:pgMar w:header="862" w:footer="1017" w:top="1060" w:bottom="1200" w:left="1120" w:right="1060"/>
        </w:sectPr>
      </w:pPr>
    </w:p>
    <w:p>
      <w:pPr>
        <w:pStyle w:val="BodyText"/>
        <w:spacing w:before="3"/>
        <w:ind w:left="302"/>
      </w:pPr>
      <w:r>
        <w:rPr>
          <w:w w:val="105"/>
        </w:rPr>
        <w:t>務或廢弛職務的場合。</w:t>
      </w:r>
    </w:p>
    <w:p>
      <w:pPr>
        <w:pStyle w:val="BodyText"/>
        <w:spacing w:before="3"/>
        <w:ind w:left="78"/>
      </w:pPr>
      <w:r>
        <w:rPr/>
        <w:br w:type="column"/>
      </w:r>
      <w:r>
        <w:rPr>
          <w:rFonts w:ascii="MS UI Gothic" w:hAnsi="MS UI Gothic" w:eastAsia="MS UI Gothic" w:hint="eastAsia"/>
          <w:w w:val="110"/>
          <w:position w:val="-2"/>
          <w:sz w:val="28"/>
        </w:rPr>
        <w:t>③</w:t>
      </w:r>
      <w:r>
        <w:rPr>
          <w:w w:val="110"/>
        </w:rPr>
        <w:t>、其他與作為國民服務者不相符合之行為的場</w:t>
      </w:r>
    </w:p>
    <w:p>
      <w:pPr>
        <w:spacing w:after="0"/>
        <w:sectPr>
          <w:type w:val="continuous"/>
          <w:pgSz w:w="11910" w:h="16840"/>
          <w:pgMar w:top="1020" w:bottom="280" w:left="1120" w:right="1060"/>
          <w:cols w:num="2" w:equalWidth="0">
            <w:col w:w="2982" w:space="40"/>
            <w:col w:w="6708"/>
          </w:cols>
        </w:sectPr>
      </w:pPr>
    </w:p>
    <w:p>
      <w:pPr>
        <w:pStyle w:val="BodyText"/>
        <w:spacing w:before="64"/>
        <w:ind w:left="306"/>
        <w:rPr>
          <w:rFonts w:ascii="Times New Roman" w:eastAsia="Times New Roman"/>
          <w:sz w:val="15"/>
        </w:rPr>
      </w:pPr>
      <w:r>
        <w:rPr>
          <w:spacing w:val="2"/>
          <w:w w:val="95"/>
        </w:rPr>
        <w:t>合 。而在地方公務 員方 面 </w:t>
      </w:r>
      <w:r>
        <w:rPr>
          <w:spacing w:val="-30"/>
          <w:w w:val="75"/>
        </w:rPr>
        <w:t>， </w:t>
      </w:r>
      <w:r>
        <w:rPr>
          <w:spacing w:val="10"/>
          <w:w w:val="95"/>
        </w:rPr>
        <w:t>懲戒處分對象事由 則有</w:t>
      </w:r>
      <w:r>
        <w:rPr>
          <w:rFonts w:ascii="Times New Roman" w:eastAsia="Times New Roman"/>
          <w:w w:val="75"/>
          <w:sz w:val="15"/>
        </w:rPr>
        <w:t>1</w:t>
      </w:r>
      <w:r>
        <w:rPr>
          <w:rFonts w:ascii="Times New Roman" w:eastAsia="Times New Roman"/>
          <w:spacing w:val="8"/>
          <w:w w:val="75"/>
          <w:sz w:val="15"/>
        </w:rPr>
        <w:t> </w:t>
      </w:r>
      <w:r>
        <w:rPr>
          <w:rFonts w:ascii="Times New Roman" w:eastAsia="Times New Roman"/>
          <w:w w:val="75"/>
          <w:sz w:val="15"/>
        </w:rPr>
        <w:t>53</w:t>
      </w:r>
      <w:r>
        <w:rPr>
          <w:rFonts w:ascii="Times New Roman" w:eastAsia="Times New Roman"/>
          <w:spacing w:val="13"/>
          <w:w w:val="75"/>
          <w:sz w:val="15"/>
        </w:rPr>
        <w:t> </w:t>
      </w:r>
      <w:r>
        <w:rPr>
          <w:rFonts w:ascii="Times New Roman" w:eastAsia="Times New Roman"/>
          <w:w w:val="95"/>
          <w:sz w:val="15"/>
        </w:rPr>
        <w:t>,</w:t>
      </w:r>
    </w:p>
    <w:p>
      <w:pPr>
        <w:spacing w:before="64"/>
        <w:ind w:left="205" w:right="0" w:firstLine="0"/>
        <w:jc w:val="left"/>
        <w:rPr>
          <w:sz w:val="25"/>
        </w:rPr>
      </w:pPr>
      <w:r>
        <w:rPr/>
        <w:br w:type="column"/>
      </w:r>
      <w:r>
        <w:rPr>
          <w:rFonts w:ascii="MS UI Gothic" w:hAnsi="MS UI Gothic" w:eastAsia="MS UI Gothic" w:hint="eastAsia"/>
          <w:w w:val="110"/>
          <w:position w:val="-3"/>
          <w:sz w:val="28"/>
        </w:rPr>
        <w:t>①</w:t>
      </w:r>
      <w:r>
        <w:rPr>
          <w:w w:val="110"/>
          <w:sz w:val="25"/>
        </w:rPr>
        <w:t>、違反地方公務</w:t>
      </w:r>
    </w:p>
    <w:p>
      <w:pPr>
        <w:spacing w:after="0"/>
        <w:jc w:val="left"/>
        <w:rPr>
          <w:sz w:val="25"/>
        </w:rPr>
        <w:sectPr>
          <w:type w:val="continuous"/>
          <w:pgSz w:w="11910" w:h="16840"/>
          <w:pgMar w:top="1020" w:bottom="280" w:left="1120" w:right="1060"/>
          <w:cols w:num="2" w:equalWidth="0">
            <w:col w:w="6696" w:space="40"/>
            <w:col w:w="2994"/>
          </w:cols>
        </w:sectPr>
      </w:pPr>
    </w:p>
    <w:p>
      <w:pPr>
        <w:pStyle w:val="BodyText"/>
        <w:spacing w:line="328" w:lineRule="auto" w:before="82"/>
        <w:ind w:left="315" w:right="533" w:firstLine="15"/>
      </w:pPr>
      <w:r>
        <w:rPr>
          <w:w w:val="110"/>
        </w:rPr>
        <w:t>員法或同法所規定之特例，其所定之法律或基於其所制定之條例；地方自</w:t>
      </w:r>
      <w:r>
        <w:rPr>
          <w:spacing w:val="2"/>
          <w:w w:val="110"/>
        </w:rPr>
        <w:t>治團體之自治規則或其地方自治機關所定之規程。</w:t>
      </w:r>
      <w:r>
        <w:rPr>
          <w:rFonts w:ascii="MS UI Gothic" w:hAnsi="MS UI Gothic" w:eastAsia="MS UI Gothic" w:hint="eastAsia"/>
          <w:spacing w:val="-56"/>
          <w:w w:val="110"/>
          <w:position w:val="-2"/>
          <w:sz w:val="28"/>
        </w:rPr>
        <w:t>②</w:t>
      </w:r>
      <w:r>
        <w:rPr>
          <w:w w:val="110"/>
        </w:rPr>
        <w:t>、違反職務義務或廢</w:t>
      </w:r>
    </w:p>
    <w:p>
      <w:pPr>
        <w:spacing w:after="0" w:line="328" w:lineRule="auto"/>
        <w:sectPr>
          <w:type w:val="continuous"/>
          <w:pgSz w:w="11910" w:h="16840"/>
          <w:pgMar w:top="1020" w:bottom="280" w:left="1120" w:right="1060"/>
        </w:sectPr>
      </w:pPr>
    </w:p>
    <w:p>
      <w:pPr>
        <w:pStyle w:val="BodyText"/>
        <w:spacing w:line="275" w:lineRule="exact"/>
        <w:ind w:left="316"/>
      </w:pPr>
      <w:r>
        <w:rPr>
          <w:spacing w:val="-3"/>
          <w:w w:val="105"/>
        </w:rPr>
        <w:t>弛職務的場合。</w:t>
      </w:r>
    </w:p>
    <w:p>
      <w:pPr>
        <w:pStyle w:val="BodyText"/>
        <w:spacing w:line="314" w:lineRule="exact"/>
        <w:ind w:left="62"/>
      </w:pPr>
      <w:r>
        <w:rPr/>
        <w:br w:type="column"/>
      </w:r>
      <w:r>
        <w:rPr>
          <w:rFonts w:ascii="MS UI Gothic" w:hAnsi="MS UI Gothic" w:eastAsia="MS UI Gothic" w:hint="eastAsia"/>
          <w:w w:val="110"/>
          <w:position w:val="-2"/>
          <w:sz w:val="28"/>
        </w:rPr>
        <w:t>③</w:t>
      </w:r>
      <w:r>
        <w:rPr>
          <w:w w:val="110"/>
        </w:rPr>
        <w:t>、其他與作為公務服務者不相符合之行為的場合。</w:t>
      </w:r>
    </w:p>
    <w:p>
      <w:pPr>
        <w:spacing w:after="0" w:line="314" w:lineRule="exact"/>
        <w:sectPr>
          <w:type w:val="continuous"/>
          <w:pgSz w:w="11910" w:h="16840"/>
          <w:pgMar w:top="1020" w:bottom="280" w:left="1120" w:right="1060"/>
          <w:cols w:num="2" w:equalWidth="0">
            <w:col w:w="2158" w:space="40"/>
            <w:col w:w="7532"/>
          </w:cols>
        </w:sectPr>
      </w:pPr>
    </w:p>
    <w:p>
      <w:pPr>
        <w:pStyle w:val="ListParagraph"/>
        <w:numPr>
          <w:ilvl w:val="0"/>
          <w:numId w:val="6"/>
        </w:numPr>
        <w:tabs>
          <w:tab w:pos="1028" w:val="left" w:leader="none"/>
        </w:tabs>
        <w:spacing w:line="240" w:lineRule="auto" w:before="168" w:after="0"/>
        <w:ind w:left="1027" w:right="0" w:hanging="730"/>
        <w:jc w:val="left"/>
        <w:rPr>
          <w:sz w:val="25"/>
        </w:rPr>
      </w:pPr>
      <w:r>
        <w:rPr>
          <w:w w:val="110"/>
          <w:sz w:val="25"/>
        </w:rPr>
        <w:t>懲戒虞分與刑罰</w:t>
      </w:r>
    </w:p>
    <w:p>
      <w:pPr>
        <w:pStyle w:val="BodyText"/>
        <w:spacing w:line="321" w:lineRule="auto" w:before="221"/>
        <w:ind w:left="299" w:right="511" w:firstLine="584"/>
      </w:pPr>
      <w:r>
        <w:rPr>
          <w:spacing w:val="6"/>
          <w:w w:val="95"/>
        </w:rPr>
        <w:t>因日本 憲法 第 </w:t>
      </w:r>
      <w:r>
        <w:rPr>
          <w:rFonts w:ascii="Arial" w:eastAsia="Arial"/>
          <w:w w:val="85"/>
          <w:sz w:val="29"/>
        </w:rPr>
        <w:t>39</w:t>
      </w:r>
      <w:r>
        <w:rPr>
          <w:rFonts w:ascii="Arial" w:eastAsia="Arial"/>
          <w:spacing w:val="38"/>
          <w:w w:val="85"/>
          <w:sz w:val="29"/>
        </w:rPr>
        <w:t> </w:t>
      </w:r>
      <w:r>
        <w:rPr>
          <w:spacing w:val="4"/>
          <w:w w:val="95"/>
        </w:rPr>
        <w:t>條定有重複 處罰禁止 規定之故 </w:t>
      </w:r>
      <w:r>
        <w:rPr>
          <w:spacing w:val="-32"/>
          <w:w w:val="85"/>
        </w:rPr>
        <w:t>， </w:t>
      </w:r>
      <w:r>
        <w:rPr>
          <w:spacing w:val="14"/>
          <w:w w:val="95"/>
        </w:rPr>
        <w:t>刑懲得否併行 </w:t>
      </w:r>
      <w:r>
        <w:rPr>
          <w:spacing w:val="-28"/>
          <w:w w:val="85"/>
        </w:rPr>
        <w:t>， </w:t>
      </w:r>
      <w:r>
        <w:rPr>
          <w:w w:val="95"/>
        </w:rPr>
        <w:t>即</w:t>
      </w:r>
      <w:r>
        <w:rPr>
          <w:w w:val="105"/>
        </w:rPr>
        <w:t>為問題。就此間題，懲戒處分乃基於任命權人所擁有的懲戒權所作成的行</w:t>
      </w:r>
      <w:r>
        <w:rPr>
          <w:spacing w:val="127"/>
          <w:w w:val="105"/>
        </w:rPr>
        <w:t> </w:t>
      </w:r>
      <w:r>
        <w:rPr>
          <w:w w:val="105"/>
        </w:rPr>
        <w:t>政內部處分，其與本於國家一般統治權，係為維持公安所科處的刑罰，其</w:t>
      </w:r>
      <w:r>
        <w:rPr>
          <w:spacing w:val="127"/>
          <w:w w:val="105"/>
        </w:rPr>
        <w:t> </w:t>
      </w:r>
      <w:r>
        <w:rPr>
          <w:w w:val="105"/>
        </w:rPr>
        <w:t>目的迥異，因此刑懲併行上似有不合之處。而此在日本國家公務員法第  </w:t>
      </w:r>
      <w:r>
        <w:rPr>
          <w:spacing w:val="104"/>
          <w:w w:val="105"/>
        </w:rPr>
        <w:t> </w:t>
      </w:r>
      <w:r>
        <w:rPr>
          <w:rFonts w:ascii="Times New Roman" w:eastAsia="Times New Roman"/>
          <w:w w:val="95"/>
          <w:sz w:val="30"/>
        </w:rPr>
        <w:t>85</w:t>
      </w:r>
      <w:r>
        <w:rPr>
          <w:rFonts w:ascii="Times New Roman" w:eastAsia="Times New Roman"/>
          <w:spacing w:val="5"/>
          <w:w w:val="95"/>
          <w:sz w:val="30"/>
        </w:rPr>
        <w:t> </w:t>
      </w:r>
      <w:r>
        <w:rPr>
          <w:w w:val="95"/>
        </w:rPr>
        <w:t>條</w:t>
      </w:r>
      <w:r>
        <w:rPr>
          <w:rFonts w:ascii="Times New Roman" w:eastAsia="Times New Roman"/>
          <w:w w:val="75"/>
          <w:sz w:val="15"/>
        </w:rPr>
        <w:t>1</w:t>
      </w:r>
      <w:r>
        <w:rPr>
          <w:rFonts w:ascii="Times New Roman" w:eastAsia="Times New Roman"/>
          <w:spacing w:val="13"/>
          <w:w w:val="75"/>
          <w:sz w:val="15"/>
        </w:rPr>
        <w:t> </w:t>
      </w:r>
      <w:r>
        <w:rPr>
          <w:rFonts w:ascii="Times New Roman" w:eastAsia="Times New Roman"/>
          <w:w w:val="85"/>
          <w:sz w:val="15"/>
        </w:rPr>
        <w:t>54</w:t>
      </w:r>
      <w:r>
        <w:rPr>
          <w:rFonts w:ascii="Times New Roman" w:eastAsia="Times New Roman"/>
          <w:spacing w:val="24"/>
          <w:w w:val="85"/>
          <w:sz w:val="15"/>
        </w:rPr>
        <w:t> </w:t>
      </w:r>
      <w:r>
        <w:rPr>
          <w:spacing w:val="-9"/>
          <w:w w:val="95"/>
        </w:rPr>
        <w:t>定有明 文 </w:t>
      </w:r>
      <w:r>
        <w:rPr>
          <w:spacing w:val="-27"/>
          <w:w w:val="85"/>
        </w:rPr>
        <w:t>， </w:t>
      </w:r>
      <w:r>
        <w:rPr>
          <w:spacing w:val="10"/>
          <w:w w:val="95"/>
        </w:rPr>
        <w:t>又地方公務 </w:t>
      </w:r>
      <w:r>
        <w:rPr>
          <w:spacing w:val="-18"/>
          <w:w w:val="85"/>
        </w:rPr>
        <w:t>員 </w:t>
      </w:r>
      <w:r>
        <w:rPr>
          <w:spacing w:val="6"/>
          <w:w w:val="95"/>
        </w:rPr>
        <w:t>法雖未明定 </w:t>
      </w:r>
      <w:r>
        <w:rPr>
          <w:spacing w:val="20"/>
          <w:w w:val="85"/>
        </w:rPr>
        <w:t>，</w:t>
      </w:r>
      <w:r>
        <w:rPr>
          <w:spacing w:val="12"/>
          <w:w w:val="95"/>
        </w:rPr>
        <w:t>但其應與國家公務 </w:t>
      </w:r>
      <w:r>
        <w:rPr>
          <w:spacing w:val="13"/>
          <w:w w:val="85"/>
        </w:rPr>
        <w:t>員做 </w:t>
      </w:r>
      <w:r>
        <w:rPr>
          <w:spacing w:val="17"/>
          <w:w w:val="95"/>
        </w:rPr>
        <w:t>相同</w:t>
      </w:r>
    </w:p>
    <w:p>
      <w:pPr>
        <w:pStyle w:val="BodyText"/>
        <w:rPr>
          <w:sz w:val="20"/>
        </w:rPr>
      </w:pPr>
    </w:p>
    <w:p>
      <w:pPr>
        <w:pStyle w:val="BodyText"/>
        <w:spacing w:before="2"/>
        <w:rPr>
          <w:sz w:val="24"/>
        </w:rPr>
      </w:pPr>
      <w:r>
        <w:rPr/>
        <w:pict>
          <v:shape style="position:absolute;margin-left:95.174004pt;margin-top:17.830667pt;width:144.25pt;height:.1pt;mso-position-horizontal-relative:page;mso-position-vertical-relative:paragraph;z-index:-15582208;mso-wrap-distance-left:0;mso-wrap-distance-right:0" coordorigin="1903,357" coordsize="2885,0" path="m1903,357l4788,357e" filled="false" stroked="true" strokeweight=".720821pt" strokecolor="#000000">
            <v:path arrowok="t"/>
            <v:stroke dashstyle="solid"/>
            <w10:wrap type="topAndBottom"/>
          </v:shape>
        </w:pict>
      </w:r>
    </w:p>
    <w:p>
      <w:pPr>
        <w:pStyle w:val="BodyText"/>
        <w:spacing w:before="7"/>
        <w:rPr>
          <w:sz w:val="7"/>
        </w:rPr>
      </w:pPr>
    </w:p>
    <w:p>
      <w:pPr>
        <w:spacing w:before="89"/>
        <w:ind w:left="298" w:right="0" w:firstLine="0"/>
        <w:jc w:val="left"/>
        <w:rPr>
          <w:sz w:val="21"/>
        </w:rPr>
      </w:pPr>
      <w:r>
        <w:rPr>
          <w:rFonts w:ascii="Times New Roman" w:eastAsia="Times New Roman"/>
          <w:w w:val="90"/>
          <w:position w:val="8"/>
          <w:sz w:val="13"/>
        </w:rPr>
        <w:t>152</w:t>
      </w:r>
      <w:r>
        <w:rPr>
          <w:rFonts w:ascii="Times New Roman" w:eastAsia="Times New Roman"/>
          <w:spacing w:val="47"/>
          <w:position w:val="8"/>
          <w:sz w:val="13"/>
        </w:rPr>
        <w:t>  </w:t>
      </w:r>
      <w:r>
        <w:rPr>
          <w:spacing w:val="24"/>
          <w:w w:val="90"/>
          <w:sz w:val="21"/>
        </w:rPr>
        <w:t>日本 國公法第</w:t>
      </w:r>
      <w:r>
        <w:rPr>
          <w:rFonts w:ascii="Times New Roman" w:eastAsia="Times New Roman"/>
          <w:w w:val="90"/>
          <w:sz w:val="26"/>
        </w:rPr>
        <w:t>82</w:t>
      </w:r>
      <w:r>
        <w:rPr>
          <w:spacing w:val="13"/>
          <w:w w:val="90"/>
          <w:sz w:val="21"/>
        </w:rPr>
        <w:t>條 第</w:t>
      </w:r>
      <w:r>
        <w:rPr>
          <w:rFonts w:ascii="Times New Roman" w:eastAsia="Times New Roman"/>
          <w:w w:val="90"/>
          <w:sz w:val="26"/>
        </w:rPr>
        <w:t>1</w:t>
      </w:r>
      <w:r>
        <w:rPr>
          <w:spacing w:val="4"/>
          <w:w w:val="90"/>
          <w:sz w:val="21"/>
        </w:rPr>
        <w:t>項 。</w:t>
      </w:r>
    </w:p>
    <w:p>
      <w:pPr>
        <w:spacing w:before="11"/>
        <w:ind w:left="298" w:right="0" w:firstLine="0"/>
        <w:jc w:val="left"/>
        <w:rPr>
          <w:sz w:val="21"/>
        </w:rPr>
      </w:pPr>
      <w:r>
        <w:rPr>
          <w:rFonts w:ascii="Times New Roman" w:eastAsia="Times New Roman"/>
          <w:w w:val="90"/>
          <w:position w:val="8"/>
          <w:sz w:val="13"/>
        </w:rPr>
        <w:t>153</w:t>
      </w:r>
      <w:r>
        <w:rPr>
          <w:rFonts w:ascii="Times New Roman" w:eastAsia="Times New Roman"/>
          <w:spacing w:val="38"/>
          <w:position w:val="8"/>
          <w:sz w:val="13"/>
        </w:rPr>
        <w:t>  </w:t>
      </w:r>
      <w:r>
        <w:rPr>
          <w:w w:val="90"/>
          <w:sz w:val="21"/>
        </w:rPr>
        <w:t>日本 地 公 法第</w:t>
      </w:r>
      <w:r>
        <w:rPr>
          <w:rFonts w:ascii="Times New Roman" w:eastAsia="Times New Roman"/>
          <w:spacing w:val="10"/>
          <w:w w:val="90"/>
          <w:sz w:val="26"/>
        </w:rPr>
        <w:t>29</w:t>
      </w:r>
      <w:r>
        <w:rPr>
          <w:spacing w:val="5"/>
          <w:w w:val="90"/>
          <w:sz w:val="21"/>
        </w:rPr>
        <w:t>條 第</w:t>
      </w:r>
      <w:r>
        <w:rPr>
          <w:rFonts w:ascii="Times New Roman" w:eastAsia="Times New Roman"/>
          <w:w w:val="90"/>
          <w:sz w:val="26"/>
        </w:rPr>
        <w:t>1</w:t>
      </w:r>
      <w:r>
        <w:rPr>
          <w:w w:val="90"/>
          <w:sz w:val="21"/>
        </w:rPr>
        <w:t>項 。</w:t>
      </w:r>
    </w:p>
    <w:p>
      <w:pPr>
        <w:spacing w:line="271" w:lineRule="auto" w:before="11"/>
        <w:ind w:left="509" w:right="522" w:hanging="211"/>
        <w:jc w:val="left"/>
        <w:rPr>
          <w:rFonts w:ascii="Times New Roman" w:hAnsi="Times New Roman" w:eastAsia="Times New Roman"/>
          <w:sz w:val="11"/>
        </w:rPr>
      </w:pPr>
      <w:r>
        <w:rPr>
          <w:rFonts w:ascii="Times New Roman" w:hAnsi="Times New Roman" w:eastAsia="Times New Roman"/>
          <w:w w:val="99"/>
          <w:position w:val="8"/>
          <w:sz w:val="13"/>
        </w:rPr>
        <w:t>154</w:t>
      </w:r>
      <w:r>
        <w:rPr>
          <w:rFonts w:ascii="Times New Roman" w:hAnsi="Times New Roman" w:eastAsia="Times New Roman"/>
          <w:spacing w:val="-2"/>
          <w:position w:val="8"/>
          <w:sz w:val="13"/>
        </w:rPr>
        <w:t>    </w:t>
      </w:r>
      <w:r>
        <w:rPr>
          <w:spacing w:val="11"/>
          <w:w w:val="100"/>
          <w:sz w:val="21"/>
        </w:rPr>
        <w:t>囯家公務</w:t>
      </w:r>
      <w:r>
        <w:rPr>
          <w:spacing w:val="-12"/>
          <w:sz w:val="21"/>
        </w:rPr>
        <w:t> </w:t>
      </w:r>
      <w:r>
        <w:rPr>
          <w:w w:val="87"/>
          <w:sz w:val="21"/>
        </w:rPr>
        <w:t>員</w:t>
      </w:r>
      <w:r>
        <w:rPr>
          <w:spacing w:val="-61"/>
          <w:sz w:val="21"/>
        </w:rPr>
        <w:t> </w:t>
      </w:r>
      <w:r>
        <w:rPr>
          <w:spacing w:val="35"/>
          <w:w w:val="107"/>
          <w:sz w:val="21"/>
        </w:rPr>
        <w:t>法</w:t>
      </w:r>
      <w:r>
        <w:rPr>
          <w:spacing w:val="25"/>
          <w:w w:val="87"/>
          <w:sz w:val="21"/>
        </w:rPr>
        <w:t>第</w:t>
      </w:r>
      <w:r>
        <w:rPr>
          <w:rFonts w:ascii="Times New Roman" w:hAnsi="Times New Roman" w:eastAsia="Times New Roman"/>
          <w:w w:val="99"/>
          <w:sz w:val="26"/>
        </w:rPr>
        <w:t>8</w:t>
      </w:r>
      <w:r>
        <w:rPr>
          <w:rFonts w:ascii="Times New Roman" w:hAnsi="Times New Roman" w:eastAsia="Times New Roman"/>
          <w:spacing w:val="-3"/>
          <w:w w:val="99"/>
          <w:sz w:val="26"/>
        </w:rPr>
        <w:t>5</w:t>
      </w:r>
      <w:r>
        <w:rPr>
          <w:w w:val="106"/>
          <w:sz w:val="21"/>
        </w:rPr>
        <w:t>茶（</w:t>
      </w:r>
      <w:r>
        <w:rPr>
          <w:spacing w:val="-75"/>
          <w:sz w:val="21"/>
        </w:rPr>
        <w:t> </w:t>
      </w:r>
      <w:r>
        <w:rPr>
          <w:spacing w:val="33"/>
          <w:w w:val="106"/>
          <w:sz w:val="21"/>
        </w:rPr>
        <w:t>刑</w:t>
      </w:r>
      <w:r>
        <w:rPr>
          <w:spacing w:val="18"/>
          <w:w w:val="103"/>
          <w:sz w:val="21"/>
        </w:rPr>
        <w:t>事</w:t>
      </w:r>
      <w:r>
        <w:rPr>
          <w:spacing w:val="18"/>
          <w:w w:val="108"/>
          <w:sz w:val="21"/>
        </w:rPr>
        <w:t>裁</w:t>
      </w:r>
      <w:r>
        <w:rPr>
          <w:spacing w:val="15"/>
          <w:w w:val="104"/>
          <w:sz w:val="21"/>
        </w:rPr>
        <w:t>判</w:t>
      </w:r>
      <w:r>
        <w:rPr>
          <w:w w:val="93"/>
          <w:sz w:val="21"/>
        </w:rPr>
        <w:t>匕</w:t>
      </w:r>
      <w:r>
        <w:rPr>
          <w:spacing w:val="-28"/>
          <w:sz w:val="21"/>
        </w:rPr>
        <w:t> </w:t>
      </w:r>
      <w:r>
        <w:rPr>
          <w:rFonts w:ascii="Times New Roman" w:hAnsi="Times New Roman" w:eastAsia="Times New Roman"/>
          <w:w w:val="110"/>
          <w:sz w:val="15"/>
        </w:rPr>
        <w:t>(</w:t>
      </w:r>
      <w:r>
        <w:rPr>
          <w:rFonts w:ascii="Times New Roman" w:hAnsi="Times New Roman" w:eastAsia="Times New Roman"/>
          <w:spacing w:val="-1"/>
          <w:w w:val="110"/>
          <w:sz w:val="15"/>
        </w:rPr>
        <w:t>J</w:t>
      </w:r>
      <w:r>
        <w:rPr>
          <w:rFonts w:ascii="Times New Roman" w:hAnsi="Times New Roman" w:eastAsia="Times New Roman"/>
          <w:w w:val="110"/>
          <w:sz w:val="15"/>
        </w:rPr>
        <w:t>)</w:t>
      </w:r>
      <w:r>
        <w:rPr>
          <w:rFonts w:ascii="Times New Roman" w:hAnsi="Times New Roman" w:eastAsia="Times New Roman"/>
          <w:spacing w:val="8"/>
          <w:sz w:val="15"/>
        </w:rPr>
        <w:t> </w:t>
      </w:r>
      <w:r>
        <w:rPr>
          <w:spacing w:val="25"/>
          <w:w w:val="104"/>
          <w:sz w:val="21"/>
        </w:rPr>
        <w:t>関係</w:t>
      </w:r>
      <w:r>
        <w:rPr>
          <w:spacing w:val="-165"/>
          <w:w w:val="104"/>
          <w:sz w:val="21"/>
        </w:rPr>
        <w:t>）</w:t>
      </w:r>
      <w:r>
        <w:rPr>
          <w:w w:val="109"/>
          <w:sz w:val="21"/>
        </w:rPr>
        <w:t>：</w:t>
      </w:r>
      <w:r>
        <w:rPr>
          <w:spacing w:val="-37"/>
          <w:sz w:val="21"/>
        </w:rPr>
        <w:t> </w:t>
      </w:r>
      <w:r>
        <w:rPr>
          <w:spacing w:val="27"/>
          <w:w w:val="104"/>
          <w:sz w:val="21"/>
        </w:rPr>
        <w:t>懲</w:t>
      </w:r>
      <w:r>
        <w:rPr>
          <w:spacing w:val="15"/>
          <w:w w:val="108"/>
          <w:sz w:val="21"/>
        </w:rPr>
        <w:t>戒匕付</w:t>
      </w:r>
      <w:r>
        <w:rPr>
          <w:w w:val="102"/>
          <w:sz w:val="21"/>
        </w:rPr>
        <w:t>吐</w:t>
      </w:r>
      <w:r>
        <w:rPr>
          <w:spacing w:val="-29"/>
          <w:sz w:val="21"/>
        </w:rPr>
        <w:t> </w:t>
      </w:r>
      <w:r>
        <w:rPr>
          <w:rFonts w:ascii="Times New Roman" w:hAnsi="Times New Roman" w:eastAsia="Times New Roman"/>
          <w:w w:val="108"/>
          <w:sz w:val="26"/>
        </w:rPr>
        <w:t>6</w:t>
      </w:r>
      <w:r>
        <w:rPr>
          <w:rFonts w:ascii="Times New Roman" w:hAnsi="Times New Roman" w:eastAsia="Times New Roman"/>
          <w:spacing w:val="27"/>
          <w:sz w:val="26"/>
        </w:rPr>
        <w:t> </w:t>
      </w:r>
      <w:r>
        <w:rPr>
          <w:w w:val="66"/>
          <w:sz w:val="21"/>
        </w:rPr>
        <w:t>石</w:t>
      </w:r>
      <w:r>
        <w:rPr>
          <w:spacing w:val="-24"/>
          <w:sz w:val="21"/>
        </w:rPr>
        <w:t> </w:t>
      </w:r>
      <w:r>
        <w:rPr>
          <w:rFonts w:ascii="Times New Roman" w:hAnsi="Times New Roman" w:eastAsia="Times New Roman"/>
          <w:w w:val="66"/>
          <w:sz w:val="26"/>
        </w:rPr>
        <w:t>^</w:t>
      </w:r>
      <w:r>
        <w:rPr>
          <w:rFonts w:ascii="Times New Roman" w:hAnsi="Times New Roman" w:eastAsia="Times New Roman"/>
          <w:spacing w:val="-3"/>
          <w:sz w:val="26"/>
        </w:rPr>
        <w:t>   </w:t>
      </w:r>
      <w:r>
        <w:rPr>
          <w:rFonts w:ascii="Times New Roman" w:hAnsi="Times New Roman" w:eastAsia="Times New Roman"/>
          <w:w w:val="66"/>
          <w:sz w:val="26"/>
        </w:rPr>
        <w:t>3</w:t>
      </w:r>
      <w:r>
        <w:rPr>
          <w:rFonts w:ascii="Times New Roman" w:hAnsi="Times New Roman" w:eastAsia="Times New Roman"/>
          <w:spacing w:val="-6"/>
          <w:sz w:val="26"/>
        </w:rPr>
        <w:t>  </w:t>
      </w:r>
      <w:r>
        <w:rPr>
          <w:spacing w:val="18"/>
          <w:w w:val="106"/>
          <w:sz w:val="21"/>
        </w:rPr>
        <w:t>事件</w:t>
      </w:r>
      <w:r>
        <w:rPr>
          <w:spacing w:val="-55"/>
          <w:w w:val="59"/>
          <w:sz w:val="21"/>
        </w:rPr>
        <w:t>力</w:t>
      </w:r>
      <w:r>
        <w:rPr>
          <w:spacing w:val="-10"/>
          <w:w w:val="110"/>
          <w:sz w:val="21"/>
        </w:rPr>
        <w:t>丶、刑</w:t>
      </w:r>
      <w:r>
        <w:rPr>
          <w:spacing w:val="18"/>
          <w:w w:val="103"/>
          <w:sz w:val="21"/>
        </w:rPr>
        <w:t>事</w:t>
      </w:r>
      <w:r>
        <w:rPr>
          <w:w w:val="108"/>
          <w:sz w:val="21"/>
        </w:rPr>
        <w:t>裁</w:t>
      </w:r>
      <w:r>
        <w:rPr>
          <w:spacing w:val="4"/>
          <w:w w:val="95"/>
          <w:sz w:val="21"/>
        </w:rPr>
        <w:t>判所匕係厲寸 </w:t>
      </w:r>
      <w:r>
        <w:rPr>
          <w:spacing w:val="-13"/>
          <w:w w:val="90"/>
          <w:sz w:val="21"/>
        </w:rPr>
        <w:t>石 </w:t>
      </w:r>
      <w:r>
        <w:rPr>
          <w:spacing w:val="9"/>
          <w:w w:val="95"/>
          <w:sz w:val="21"/>
        </w:rPr>
        <w:t>間仁 耘</w:t>
      </w:r>
      <w:r>
        <w:rPr>
          <w:w w:val="90"/>
          <w:sz w:val="21"/>
        </w:rPr>
        <w:t>＼丶</w:t>
      </w:r>
      <w:r>
        <w:rPr>
          <w:rFonts w:ascii="Arial" w:hAnsi="Arial" w:eastAsia="Arial"/>
          <w:w w:val="90"/>
          <w:sz w:val="21"/>
        </w:rPr>
        <w:t>T</w:t>
      </w:r>
      <w:r>
        <w:rPr>
          <w:rFonts w:ascii="Arial" w:hAnsi="Arial" w:eastAsia="Arial"/>
          <w:spacing w:val="125"/>
          <w:sz w:val="21"/>
        </w:rPr>
        <w:t> </w:t>
      </w:r>
      <w:r>
        <w:rPr>
          <w:spacing w:val="20"/>
          <w:w w:val="90"/>
          <w:sz w:val="21"/>
        </w:rPr>
        <w:t>心 、人 </w:t>
      </w:r>
      <w:r>
        <w:rPr>
          <w:spacing w:val="18"/>
          <w:w w:val="95"/>
          <w:sz w:val="21"/>
        </w:rPr>
        <w:t>事浣又這人 事浣</w:t>
      </w:r>
      <w:r>
        <w:rPr>
          <w:rFonts w:ascii="Times New Roman" w:hAnsi="Times New Roman" w:eastAsia="Times New Roman"/>
          <w:w w:val="95"/>
          <w:sz w:val="15"/>
        </w:rPr>
        <w:t>(J</w:t>
      </w:r>
      <w:r>
        <w:rPr>
          <w:rFonts w:ascii="Times New Roman" w:hAnsi="Times New Roman" w:eastAsia="Times New Roman"/>
          <w:spacing w:val="4"/>
          <w:w w:val="95"/>
          <w:sz w:val="15"/>
        </w:rPr>
        <w:t>) </w:t>
      </w:r>
      <w:r>
        <w:rPr>
          <w:spacing w:val="2"/>
          <w:w w:val="95"/>
          <w:sz w:val="21"/>
        </w:rPr>
        <w:t>承認仝 経</w:t>
      </w:r>
      <w:r>
        <w:rPr>
          <w:rFonts w:ascii="Arial" w:hAnsi="Arial" w:eastAsia="Arial"/>
          <w:w w:val="95"/>
          <w:sz w:val="21"/>
        </w:rPr>
        <w:t>T</w:t>
      </w:r>
      <w:r>
        <w:rPr>
          <w:rFonts w:ascii="Arial" w:hAnsi="Arial" w:eastAsia="Arial"/>
          <w:spacing w:val="32"/>
          <w:w w:val="95"/>
          <w:sz w:val="21"/>
        </w:rPr>
        <w:t> </w:t>
      </w:r>
      <w:r>
        <w:rPr>
          <w:spacing w:val="10"/>
          <w:w w:val="95"/>
          <w:sz w:val="21"/>
        </w:rPr>
        <w:t>任命権者國丶同 ­</w:t>
      </w:r>
      <w:r>
        <w:rPr>
          <w:spacing w:val="1"/>
          <w:w w:val="95"/>
          <w:sz w:val="21"/>
        </w:rPr>
        <w:t> </w:t>
      </w:r>
      <w:r>
        <w:rPr>
          <w:spacing w:val="-7"/>
          <w:w w:val="85"/>
          <w:sz w:val="21"/>
        </w:rPr>
        <w:t>事件 </w:t>
      </w:r>
      <w:r>
        <w:rPr>
          <w:rFonts w:ascii="Arial" w:hAnsi="Arial" w:eastAsia="Arial"/>
          <w:spacing w:val="24"/>
          <w:w w:val="85"/>
          <w:sz w:val="21"/>
        </w:rPr>
        <w:t>l</w:t>
      </w:r>
      <w:r>
        <w:rPr>
          <w:w w:val="85"/>
          <w:sz w:val="21"/>
        </w:rPr>
        <w:t>之九丶</w:t>
      </w:r>
      <w:r>
        <w:rPr>
          <w:rFonts w:ascii="Arial" w:hAnsi="Arial" w:eastAsia="Arial"/>
          <w:w w:val="85"/>
          <w:sz w:val="21"/>
        </w:rPr>
        <w:t>T</w:t>
      </w:r>
      <w:r>
        <w:rPr>
          <w:rFonts w:ascii="Arial" w:hAnsi="Arial" w:eastAsia="Arial"/>
          <w:spacing w:val="21"/>
          <w:w w:val="85"/>
          <w:sz w:val="21"/>
        </w:rPr>
        <w:t> </w:t>
      </w:r>
      <w:r>
        <w:rPr>
          <w:spacing w:val="1"/>
          <w:w w:val="85"/>
          <w:sz w:val="21"/>
        </w:rPr>
        <w:t>、適宜仁 、懲戒手繞在 進叻 石 乙 匕 力尸 </w:t>
      </w:r>
      <w:r>
        <w:rPr>
          <w:rFonts w:ascii="Arial" w:hAnsi="Arial" w:eastAsia="Arial"/>
          <w:w w:val="85"/>
          <w:sz w:val="21"/>
        </w:rPr>
        <w:t>C</w:t>
      </w:r>
      <w:r>
        <w:rPr>
          <w:rFonts w:ascii="Arial" w:hAnsi="Arial" w:eastAsia="Arial"/>
          <w:spacing w:val="36"/>
          <w:w w:val="85"/>
          <w:sz w:val="21"/>
        </w:rPr>
        <w:t> </w:t>
      </w:r>
      <w:r>
        <w:rPr>
          <w:w w:val="85"/>
          <w:sz w:val="21"/>
        </w:rPr>
        <w:t>色 石 。 二 句 法律 仁 上石</w:t>
      </w:r>
      <w:r>
        <w:rPr>
          <w:spacing w:val="87"/>
          <w:sz w:val="21"/>
        </w:rPr>
        <w:t> </w:t>
      </w:r>
      <w:r>
        <w:rPr>
          <w:spacing w:val="15"/>
          <w:w w:val="85"/>
          <w:sz w:val="21"/>
        </w:rPr>
        <w:t>懲戒処</w:t>
      </w:r>
      <w:r>
        <w:rPr>
          <w:spacing w:val="4"/>
          <w:w w:val="95"/>
          <w:sz w:val="21"/>
        </w:rPr>
        <w:t>分國丶 </w:t>
      </w:r>
      <w:r>
        <w:rPr>
          <w:spacing w:val="-25"/>
          <w:w w:val="90"/>
          <w:sz w:val="21"/>
        </w:rPr>
        <w:t>蚩 </w:t>
      </w:r>
      <w:r>
        <w:rPr>
          <w:spacing w:val="-1"/>
          <w:w w:val="95"/>
          <w:sz w:val="21"/>
        </w:rPr>
        <w:t>該職員 </w:t>
      </w:r>
      <w:r>
        <w:rPr>
          <w:spacing w:val="-55"/>
          <w:w w:val="90"/>
          <w:sz w:val="21"/>
        </w:rPr>
        <w:t>力</w:t>
      </w:r>
      <w:r>
        <w:rPr>
          <w:spacing w:val="2"/>
          <w:w w:val="95"/>
          <w:sz w:val="21"/>
        </w:rPr>
        <w:t>丶丶同 一又以関連 </w:t>
      </w:r>
      <w:r>
        <w:rPr>
          <w:rFonts w:ascii="Times New Roman" w:hAnsi="Times New Roman" w:eastAsia="Times New Roman"/>
          <w:w w:val="95"/>
          <w:sz w:val="15"/>
        </w:rPr>
        <w:t>(J</w:t>
      </w:r>
      <w:r>
        <w:rPr>
          <w:rFonts w:ascii="Times New Roman" w:hAnsi="Times New Roman" w:eastAsia="Times New Roman"/>
          <w:spacing w:val="4"/>
          <w:w w:val="95"/>
          <w:sz w:val="15"/>
        </w:rPr>
        <w:t>) </w:t>
      </w:r>
      <w:r>
        <w:rPr>
          <w:spacing w:val="26"/>
          <w:w w:val="95"/>
          <w:sz w:val="21"/>
        </w:rPr>
        <w:t>事件</w:t>
      </w:r>
      <w:r>
        <w:rPr>
          <w:rFonts w:ascii="Arial" w:hAnsi="Arial" w:eastAsia="Arial"/>
          <w:spacing w:val="21"/>
          <w:w w:val="95"/>
          <w:sz w:val="23"/>
        </w:rPr>
        <w:t>l</w:t>
      </w:r>
      <w:r>
        <w:rPr>
          <w:w w:val="95"/>
          <w:sz w:val="22"/>
        </w:rPr>
        <w:t>訌</w:t>
      </w:r>
      <w:r>
        <w:rPr>
          <w:spacing w:val="-7"/>
          <w:w w:val="90"/>
          <w:sz w:val="22"/>
        </w:rPr>
        <w:t>悶 </w:t>
      </w:r>
      <w:r>
        <w:rPr>
          <w:rFonts w:ascii="Arial" w:hAnsi="Arial" w:eastAsia="Arial"/>
          <w:w w:val="90"/>
          <w:sz w:val="23"/>
        </w:rPr>
        <w:t>L</w:t>
      </w:r>
      <w:r>
        <w:rPr>
          <w:rFonts w:ascii="Arial" w:hAnsi="Arial" w:eastAsia="Arial"/>
          <w:spacing w:val="49"/>
          <w:w w:val="90"/>
          <w:sz w:val="23"/>
        </w:rPr>
        <w:t> </w:t>
      </w:r>
      <w:r>
        <w:rPr>
          <w:spacing w:val="40"/>
          <w:w w:val="95"/>
          <w:sz w:val="21"/>
        </w:rPr>
        <w:t>丶重相</w:t>
      </w:r>
      <w:r>
        <w:rPr>
          <w:rFonts w:ascii="Arial" w:hAnsi="Arial" w:eastAsia="Arial"/>
          <w:w w:val="95"/>
          <w:sz w:val="23"/>
        </w:rPr>
        <w:t>T</w:t>
      </w:r>
      <w:r>
        <w:rPr>
          <w:rFonts w:ascii="Arial" w:hAnsi="Arial" w:eastAsia="Arial"/>
          <w:spacing w:val="33"/>
          <w:w w:val="95"/>
          <w:sz w:val="23"/>
        </w:rPr>
        <w:t> </w:t>
      </w:r>
      <w:r>
        <w:rPr>
          <w:spacing w:val="1"/>
          <w:w w:val="95"/>
          <w:sz w:val="21"/>
        </w:rPr>
        <w:t>刑 事上叨訴追令 受吋 </w:t>
      </w:r>
      <w:r>
        <w:rPr>
          <w:spacing w:val="4"/>
          <w:w w:val="90"/>
          <w:sz w:val="21"/>
        </w:rPr>
        <w:t>石 二</w:t>
      </w:r>
      <w:r>
        <w:rPr>
          <w:spacing w:val="14"/>
          <w:w w:val="95"/>
          <w:sz w:val="21"/>
        </w:rPr>
        <w:t>匕 令妨仔在</w:t>
      </w:r>
      <w:r>
        <w:rPr>
          <w:w w:val="90"/>
          <w:sz w:val="21"/>
        </w:rPr>
        <w:t>＼</w:t>
      </w:r>
      <w:r>
        <w:rPr>
          <w:spacing w:val="11"/>
          <w:w w:val="90"/>
          <w:sz w:val="21"/>
        </w:rPr>
        <w:t>丶</w:t>
      </w:r>
      <w:r>
        <w:rPr>
          <w:rFonts w:ascii="Times New Roman" w:hAnsi="Times New Roman" w:eastAsia="Times New Roman"/>
          <w:w w:val="95"/>
          <w:sz w:val="11"/>
        </w:rPr>
        <w:t>o</w:t>
      </w:r>
    </w:p>
    <w:p>
      <w:pPr>
        <w:spacing w:after="0" w:line="271" w:lineRule="auto"/>
        <w:jc w:val="left"/>
        <w:rPr>
          <w:rFonts w:ascii="Times New Roman" w:hAnsi="Times New Roman" w:eastAsia="Times New Roman"/>
          <w:sz w:val="11"/>
        </w:rPr>
        <w:sectPr>
          <w:type w:val="continuous"/>
          <w:pgSz w:w="11910" w:h="16840"/>
          <w:pgMar w:top="1020" w:bottom="280" w:left="1120" w:right="1060"/>
        </w:sectPr>
      </w:pPr>
    </w:p>
    <w:p>
      <w:pPr>
        <w:pStyle w:val="BodyText"/>
        <w:rPr>
          <w:rFonts w:ascii="Times New Roman"/>
          <w:sz w:val="20"/>
        </w:rPr>
      </w:pPr>
    </w:p>
    <w:p>
      <w:pPr>
        <w:pStyle w:val="BodyText"/>
        <w:spacing w:before="201"/>
        <w:ind w:left="304"/>
      </w:pPr>
      <w:r>
        <w:rPr/>
        <w:t>理解。</w:t>
      </w:r>
    </w:p>
    <w:p>
      <w:pPr>
        <w:pStyle w:val="ListParagraph"/>
        <w:numPr>
          <w:ilvl w:val="0"/>
          <w:numId w:val="6"/>
        </w:numPr>
        <w:tabs>
          <w:tab w:pos="1028" w:val="left" w:leader="none"/>
        </w:tabs>
        <w:spacing w:line="240" w:lineRule="auto" w:before="206" w:after="0"/>
        <w:ind w:left="1027" w:right="0" w:hanging="730"/>
        <w:jc w:val="left"/>
        <w:rPr>
          <w:sz w:val="25"/>
        </w:rPr>
      </w:pPr>
      <w:r>
        <w:rPr>
          <w:w w:val="110"/>
          <w:sz w:val="25"/>
        </w:rPr>
        <w:t>懲戒虞分與分限處分</w:t>
      </w:r>
    </w:p>
    <w:p>
      <w:pPr>
        <w:pStyle w:val="BodyText"/>
        <w:spacing w:line="326" w:lineRule="auto" w:before="233"/>
        <w:ind w:left="300" w:right="520" w:firstLine="566"/>
        <w:rPr>
          <w:rFonts w:ascii="Times New Roman" w:eastAsia="Times New Roman"/>
          <w:sz w:val="16"/>
        </w:rPr>
      </w:pPr>
      <w:r>
        <w:rPr>
          <w:w w:val="110"/>
        </w:rPr>
        <w:t>與帶有懲罰性意味的懲戒處分不同，分限處分目的在於保持公務運作的效率性。懲戒處分與考績處分兩者有同時適用可能的場合（如在免職，</w:t>
      </w:r>
      <w:r>
        <w:rPr>
          <w:spacing w:val="-135"/>
          <w:w w:val="110"/>
        </w:rPr>
        <w:t> </w:t>
      </w:r>
      <w:r>
        <w:rPr>
          <w:w w:val="110"/>
        </w:rPr>
        <w:t>依據不同的處分，能否領取退職金即有不同），其選擇上，悉依任命権人的裁量，其應依個案而為適切的判斷。因此，如前所述，懲戒處分與考績處分二者目的不同，因同一事由而兩者併處，僅在依據任一處分而職員不</w:t>
      </w:r>
      <w:r>
        <w:rPr>
          <w:spacing w:val="7"/>
        </w:rPr>
        <w:t>喪失其身分時 </w:t>
      </w:r>
      <w:r>
        <w:rPr>
          <w:spacing w:val="-20"/>
          <w:w w:val="65"/>
        </w:rPr>
        <w:t>， </w:t>
      </w:r>
      <w:r>
        <w:rPr>
          <w:spacing w:val="-13"/>
        </w:rPr>
        <w:t>始有可能 。</w:t>
      </w:r>
      <w:r>
        <w:rPr>
          <w:rFonts w:ascii="Times New Roman" w:eastAsia="Times New Roman"/>
          <w:w w:val="65"/>
          <w:sz w:val="16"/>
        </w:rPr>
        <w:t>155</w:t>
      </w:r>
    </w:p>
    <w:p>
      <w:pPr>
        <w:pStyle w:val="ListParagraph"/>
        <w:numPr>
          <w:ilvl w:val="0"/>
          <w:numId w:val="6"/>
        </w:numPr>
        <w:tabs>
          <w:tab w:pos="1028" w:val="left" w:leader="none"/>
        </w:tabs>
        <w:spacing w:line="240" w:lineRule="auto" w:before="119" w:after="0"/>
        <w:ind w:left="1027" w:right="0" w:hanging="730"/>
        <w:jc w:val="left"/>
        <w:rPr>
          <w:sz w:val="25"/>
        </w:rPr>
      </w:pPr>
      <w:r>
        <w:rPr>
          <w:w w:val="110"/>
          <w:sz w:val="25"/>
        </w:rPr>
        <w:t>懲戒虞分與失職的不同</w:t>
      </w:r>
    </w:p>
    <w:p>
      <w:pPr>
        <w:pStyle w:val="BodyText"/>
        <w:spacing w:line="331" w:lineRule="auto" w:before="228"/>
        <w:ind w:left="314" w:right="515" w:firstLine="555"/>
        <w:jc w:val="both"/>
      </w:pPr>
      <w:r>
        <w:rPr>
          <w:w w:val="110"/>
        </w:rPr>
        <w:t>所謂失職，係指職員不適格場合，其有人事院規則或地方自治圍體自治條例所定情形以外時，無須任命権人的處分，而喪失其職。因此，從是否需要任命權人的觀點，失職與懲戒處分有其不同之處。</w:t>
      </w:r>
    </w:p>
    <w:p>
      <w:pPr>
        <w:pStyle w:val="ListParagraph"/>
        <w:numPr>
          <w:ilvl w:val="0"/>
          <w:numId w:val="6"/>
        </w:numPr>
        <w:tabs>
          <w:tab w:pos="1028" w:val="left" w:leader="none"/>
        </w:tabs>
        <w:spacing w:line="240" w:lineRule="auto" w:before="61" w:after="0"/>
        <w:ind w:left="1027" w:right="0" w:hanging="730"/>
        <w:jc w:val="left"/>
        <w:rPr>
          <w:sz w:val="25"/>
        </w:rPr>
      </w:pPr>
      <w:r>
        <w:rPr>
          <w:w w:val="105"/>
          <w:sz w:val="25"/>
        </w:rPr>
        <w:t>懲戒夷分的效力</w:t>
      </w:r>
    </w:p>
    <w:p>
      <w:pPr>
        <w:pStyle w:val="BodyText"/>
        <w:spacing w:line="331" w:lineRule="auto" w:before="233"/>
        <w:ind w:left="305" w:right="515" w:firstLine="568"/>
        <w:jc w:val="both"/>
      </w:pPr>
      <w:r>
        <w:rPr>
          <w:w w:val="110"/>
        </w:rPr>
        <w:t>懲戒處分於適法且有效成立之後，非有依法令認可之情形及在公益上不能使其存續之新事由，不得使其消滅效力。易言之，縱使有處分作成權者，也不能自行撤銷或撤回已作成之懲戒處分。另外，亦得依據公務員懲戒免除等相關法律，發動免除。</w:t>
      </w:r>
    </w:p>
    <w:p>
      <w:pPr>
        <w:pStyle w:val="BodyText"/>
        <w:spacing w:line="326" w:lineRule="auto"/>
        <w:ind w:left="303" w:right="490" w:firstLine="566"/>
        <w:jc w:val="both"/>
      </w:pPr>
      <w:r>
        <w:rPr/>
        <w:t>雖然人事院公平審查並非司法裁判，但在相噹程度上，亦可將受處分   </w:t>
      </w:r>
      <w:r>
        <w:rPr>
          <w:spacing w:val="122"/>
        </w:rPr>
        <w:t> </w:t>
      </w:r>
      <w:r>
        <w:rPr/>
        <w:t>人與處分人稱為原告與被告，而公平委員係以類似司法審判的形式進行審    </w:t>
      </w:r>
      <w:r>
        <w:rPr>
          <w:spacing w:val="63"/>
        </w:rPr>
        <w:t> </w:t>
      </w:r>
      <w:r>
        <w:rPr/>
        <w:t>查。其得以開放旁聽之公開審查，亦得以非公開審查方式行之。而公平審    </w:t>
      </w:r>
      <w:r>
        <w:rPr>
          <w:spacing w:val="63"/>
        </w:rPr>
        <w:t> </w:t>
      </w:r>
      <w:r>
        <w:rPr/>
        <w:t>查與司法裁判畢竟有其不同，因此其不採律師強制代理，受處分人亦得委    </w:t>
      </w:r>
      <w:r>
        <w:rPr>
          <w:spacing w:val="63"/>
        </w:rPr>
        <w:t> </w:t>
      </w:r>
      <w:r>
        <w:rPr/>
        <w:t>任指定代理人。不論受處分人或處分人均得申請傳訊證人。雖然受處分人    </w:t>
      </w:r>
      <w:r>
        <w:rPr>
          <w:spacing w:val="63"/>
        </w:rPr>
        <w:t> </w:t>
      </w:r>
      <w:r>
        <w:rPr/>
        <w:t>亦得請求傳訊處分人方面的證人出席，但是否有其必要，仍依公平委員的    </w:t>
      </w:r>
      <w:r>
        <w:rPr>
          <w:spacing w:val="63"/>
        </w:rPr>
        <w:t> </w:t>
      </w:r>
      <w:r>
        <w:rPr/>
        <w:t>裁量。審理時，應以受處分人與處分人所預為準備的書面，作為證據書類。  </w:t>
      </w:r>
      <w:r>
        <w:rPr>
          <w:spacing w:val="63"/>
        </w:rPr>
        <w:t> </w:t>
      </w:r>
      <w:r>
        <w:rPr/>
        <w:t>公平委員並循其書面而為訊間，受處分人亦得詰問處分人方面的證人。而    </w:t>
      </w:r>
      <w:r>
        <w:rPr>
          <w:spacing w:val="56"/>
        </w:rPr>
        <w:t> </w:t>
      </w:r>
      <w:r>
        <w:rPr>
          <w:spacing w:val="18"/>
          <w:w w:val="95"/>
        </w:rPr>
        <w:t>審理期間以 </w:t>
      </w:r>
      <w:r>
        <w:rPr>
          <w:rFonts w:ascii="Times New Roman" w:eastAsia="Times New Roman"/>
          <w:w w:val="95"/>
          <w:sz w:val="30"/>
        </w:rPr>
        <w:t>l</w:t>
      </w:r>
      <w:r>
        <w:rPr>
          <w:rFonts w:ascii="Times New Roman" w:eastAsia="Times New Roman"/>
          <w:spacing w:val="15"/>
          <w:w w:val="95"/>
          <w:sz w:val="30"/>
        </w:rPr>
        <w:t> </w:t>
      </w:r>
      <w:r>
        <w:rPr>
          <w:spacing w:val="-15"/>
          <w:w w:val="95"/>
        </w:rPr>
        <w:t>日 至 </w:t>
      </w:r>
      <w:r>
        <w:rPr>
          <w:rFonts w:ascii="Times New Roman" w:eastAsia="Times New Roman"/>
          <w:w w:val="90"/>
          <w:sz w:val="30"/>
        </w:rPr>
        <w:t>2</w:t>
      </w:r>
      <w:r>
        <w:rPr>
          <w:rFonts w:ascii="Times New Roman" w:eastAsia="Times New Roman"/>
          <w:spacing w:val="48"/>
          <w:w w:val="90"/>
          <w:sz w:val="30"/>
        </w:rPr>
        <w:t> </w:t>
      </w:r>
      <w:r>
        <w:rPr>
          <w:spacing w:val="19"/>
          <w:w w:val="95"/>
        </w:rPr>
        <w:t>日行 之</w:t>
      </w:r>
      <w:r>
        <w:rPr>
          <w:spacing w:val="-40"/>
          <w:w w:val="90"/>
        </w:rPr>
        <w:t>， </w:t>
      </w:r>
      <w:r>
        <w:rPr>
          <w:spacing w:val="21"/>
          <w:w w:val="95"/>
        </w:rPr>
        <w:t>而公平審查局作成決定則約在 </w:t>
      </w:r>
      <w:r>
        <w:rPr>
          <w:rFonts w:ascii="Times New Roman" w:eastAsia="Times New Roman"/>
          <w:w w:val="90"/>
          <w:sz w:val="30"/>
        </w:rPr>
        <w:t>6</w:t>
      </w:r>
      <w:r>
        <w:rPr>
          <w:rFonts w:ascii="Times New Roman" w:eastAsia="Times New Roman"/>
          <w:spacing w:val="26"/>
          <w:w w:val="90"/>
          <w:sz w:val="30"/>
        </w:rPr>
        <w:t> </w:t>
      </w:r>
      <w:r>
        <w:rPr>
          <w:spacing w:val="-6"/>
          <w:w w:val="95"/>
        </w:rPr>
        <w:t>個月 至 </w:t>
      </w:r>
      <w:r>
        <w:rPr>
          <w:rFonts w:ascii="Times New Roman" w:eastAsia="Times New Roman"/>
          <w:w w:val="95"/>
          <w:sz w:val="30"/>
        </w:rPr>
        <w:t>l</w:t>
      </w:r>
      <w:r>
        <w:rPr>
          <w:rFonts w:ascii="Times New Roman" w:eastAsia="Times New Roman"/>
          <w:spacing w:val="6"/>
          <w:w w:val="95"/>
          <w:sz w:val="30"/>
        </w:rPr>
        <w:t> </w:t>
      </w:r>
      <w:r>
        <w:rPr>
          <w:w w:val="95"/>
          <w:sz w:val="24"/>
        </w:rPr>
        <w:t>年</w:t>
      </w:r>
      <w:r>
        <w:rPr/>
        <w:t>間。</w:t>
      </w:r>
    </w:p>
    <w:p>
      <w:pPr>
        <w:pStyle w:val="BodyText"/>
        <w:rPr>
          <w:sz w:val="20"/>
        </w:rPr>
      </w:pPr>
    </w:p>
    <w:p>
      <w:pPr>
        <w:pStyle w:val="BodyText"/>
        <w:spacing w:before="5"/>
        <w:rPr>
          <w:sz w:val="23"/>
        </w:rPr>
      </w:pPr>
      <w:r>
        <w:rPr/>
        <w:pict>
          <v:shape style="position:absolute;margin-left:95.174004pt;margin-top:17.371002pt;width:144.25pt;height:.1pt;mso-position-horizontal-relative:page;mso-position-vertical-relative:paragraph;z-index:-15581696;mso-wrap-distance-left:0;mso-wrap-distance-right:0" coordorigin="1903,347" coordsize="2885,0" path="m1903,347l4788,347e" filled="false" stroked="true" strokeweight=".720821pt" strokecolor="#000000">
            <v:path arrowok="t"/>
            <v:stroke dashstyle="solid"/>
            <w10:wrap type="topAndBottom"/>
          </v:shape>
        </w:pict>
      </w:r>
    </w:p>
    <w:p>
      <w:pPr>
        <w:pStyle w:val="BodyText"/>
        <w:spacing w:before="10"/>
        <w:rPr>
          <w:sz w:val="6"/>
        </w:rPr>
      </w:pPr>
    </w:p>
    <w:p>
      <w:pPr>
        <w:spacing w:after="0"/>
        <w:rPr>
          <w:sz w:val="6"/>
        </w:rPr>
        <w:sectPr>
          <w:pgSz w:w="11910" w:h="16840"/>
          <w:pgMar w:header="862" w:footer="1017" w:top="1060" w:bottom="1200" w:left="1120" w:right="1060"/>
        </w:sectPr>
      </w:pPr>
    </w:p>
    <w:p>
      <w:pPr>
        <w:pStyle w:val="BodyText"/>
        <w:rPr>
          <w:sz w:val="11"/>
        </w:rPr>
      </w:pPr>
    </w:p>
    <w:p>
      <w:pPr>
        <w:spacing w:before="0"/>
        <w:ind w:left="298" w:right="0" w:firstLine="0"/>
        <w:jc w:val="left"/>
        <w:rPr>
          <w:rFonts w:ascii="Times New Roman"/>
          <w:sz w:val="13"/>
        </w:rPr>
      </w:pPr>
      <w:r>
        <w:rPr>
          <w:rFonts w:ascii="Times New Roman"/>
          <w:sz w:val="13"/>
        </w:rPr>
        <w:t>155</w:t>
      </w:r>
    </w:p>
    <w:p>
      <w:pPr>
        <w:spacing w:before="90"/>
        <w:ind w:left="74" w:right="0" w:firstLine="0"/>
        <w:jc w:val="left"/>
        <w:rPr>
          <w:rFonts w:ascii="Times New Roman" w:eastAsia="Times New Roman"/>
          <w:sz w:val="26"/>
        </w:rPr>
      </w:pPr>
      <w:r>
        <w:rPr/>
        <w:br w:type="column"/>
      </w:r>
      <w:r>
        <w:rPr>
          <w:spacing w:val="-3"/>
          <w:w w:val="90"/>
          <w:sz w:val="21"/>
        </w:rPr>
        <w:t>參 見： 藤田宙靖 ， 前揭書 ，註 </w:t>
      </w:r>
      <w:r>
        <w:rPr>
          <w:rFonts w:ascii="Times New Roman" w:eastAsia="Times New Roman"/>
          <w:w w:val="90"/>
          <w:sz w:val="26"/>
        </w:rPr>
        <w:t>4,0</w:t>
      </w:r>
    </w:p>
    <w:p>
      <w:pPr>
        <w:spacing w:before="90"/>
        <w:ind w:left="210" w:right="0" w:firstLine="0"/>
        <w:jc w:val="left"/>
        <w:rPr>
          <w:sz w:val="22"/>
        </w:rPr>
      </w:pPr>
      <w:r>
        <w:rPr/>
        <w:br w:type="column"/>
      </w:r>
      <w:r>
        <w:rPr>
          <w:rFonts w:ascii="Times New Roman" w:eastAsia="Times New Roman"/>
          <w:w w:val="90"/>
          <w:sz w:val="26"/>
        </w:rPr>
        <w:t>321-</w:t>
      </w:r>
      <w:r>
        <w:rPr>
          <w:rFonts w:ascii="Times New Roman" w:eastAsia="Times New Roman"/>
          <w:spacing w:val="-27"/>
          <w:w w:val="90"/>
          <w:sz w:val="26"/>
        </w:rPr>
        <w:t> </w:t>
      </w:r>
      <w:r>
        <w:rPr>
          <w:rFonts w:ascii="Times New Roman" w:eastAsia="Times New Roman"/>
          <w:w w:val="90"/>
          <w:sz w:val="26"/>
        </w:rPr>
        <w:t>322</w:t>
      </w:r>
      <w:r>
        <w:rPr>
          <w:spacing w:val="8"/>
          <w:w w:val="90"/>
          <w:sz w:val="22"/>
        </w:rPr>
        <w:t>頁 。</w:t>
      </w:r>
    </w:p>
    <w:p>
      <w:pPr>
        <w:spacing w:after="0"/>
        <w:jc w:val="left"/>
        <w:rPr>
          <w:sz w:val="22"/>
        </w:rPr>
        <w:sectPr>
          <w:type w:val="continuous"/>
          <w:pgSz w:w="11910" w:h="16840"/>
          <w:pgMar w:top="1020" w:bottom="280" w:left="1120" w:right="1060"/>
          <w:cols w:num="3" w:equalWidth="0">
            <w:col w:w="494" w:space="40"/>
            <w:col w:w="3427" w:space="39"/>
            <w:col w:w="5730"/>
          </w:cols>
        </w:sectPr>
      </w:pPr>
    </w:p>
    <w:p>
      <w:pPr>
        <w:pStyle w:val="BodyText"/>
        <w:rPr>
          <w:sz w:val="20"/>
        </w:rPr>
      </w:pPr>
    </w:p>
    <w:p>
      <w:pPr>
        <w:pStyle w:val="ListParagraph"/>
        <w:numPr>
          <w:ilvl w:val="0"/>
          <w:numId w:val="6"/>
        </w:numPr>
        <w:tabs>
          <w:tab w:pos="1020" w:val="left" w:leader="none"/>
        </w:tabs>
        <w:spacing w:line="240" w:lineRule="auto" w:before="241" w:after="0"/>
        <w:ind w:left="1019" w:right="0" w:hanging="722"/>
        <w:jc w:val="left"/>
        <w:rPr>
          <w:sz w:val="25"/>
        </w:rPr>
      </w:pPr>
      <w:r>
        <w:rPr>
          <w:w w:val="110"/>
          <w:sz w:val="25"/>
        </w:rPr>
        <w:t>行政裁量椎與司法審查</w:t>
      </w:r>
    </w:p>
    <w:p>
      <w:pPr>
        <w:pStyle w:val="BodyText"/>
        <w:spacing w:line="324" w:lineRule="auto" w:before="228"/>
        <w:ind w:left="301" w:right="512" w:firstLine="564"/>
      </w:pPr>
      <w:r>
        <w:rPr>
          <w:w w:val="105"/>
        </w:rPr>
        <w:t>如前所逑，對於有非法或違法行為之職員，如何予以懲戒處分，悉委</w:t>
      </w:r>
      <w:r>
        <w:rPr>
          <w:spacing w:val="85"/>
          <w:w w:val="105"/>
        </w:rPr>
        <w:t> </w:t>
      </w:r>
      <w:r>
        <w:rPr>
          <w:w w:val="105"/>
        </w:rPr>
        <w:t>諸任命権人以裁量行之，但關於前述的不服磬明後經向法院超訴的情形，</w:t>
      </w:r>
      <w:r>
        <w:rPr>
          <w:spacing w:val="124"/>
          <w:w w:val="105"/>
        </w:rPr>
        <w:t> </w:t>
      </w:r>
      <w:r>
        <w:rPr>
          <w:w w:val="105"/>
        </w:rPr>
        <w:t>對於任命権人所為之裁量，應為如何程度之司法審查（合違法審查），則</w:t>
      </w:r>
      <w:r>
        <w:rPr>
          <w:spacing w:val="124"/>
          <w:w w:val="105"/>
        </w:rPr>
        <w:t> </w:t>
      </w:r>
      <w:r>
        <w:rPr>
          <w:w w:val="105"/>
        </w:rPr>
        <w:t>成為問題。關此問題，日本最高法院，就在涉及以爭議行為禁止規定違反</w:t>
      </w:r>
      <w:r>
        <w:rPr>
          <w:spacing w:val="110"/>
          <w:w w:val="105"/>
        </w:rPr>
        <w:t> </w:t>
      </w:r>
      <w:r>
        <w:rPr>
          <w:spacing w:val="-12"/>
        </w:rPr>
        <w:t>作為理 由 </w:t>
      </w:r>
      <w:r>
        <w:rPr>
          <w:spacing w:val="-7"/>
          <w:w w:val="65"/>
        </w:rPr>
        <w:t>， </w:t>
      </w:r>
      <w:r>
        <w:rPr>
          <w:spacing w:val="16"/>
        </w:rPr>
        <w:t>而將由海關</w:t>
      </w:r>
      <w:r>
        <w:rPr/>
        <w:t>（</w:t>
      </w:r>
      <w:r>
        <w:rPr>
          <w:spacing w:val="-16"/>
        </w:rPr>
        <w:t> 税関</w:t>
      </w:r>
      <w:r>
        <w:rPr/>
        <w:t>）</w:t>
      </w:r>
      <w:r>
        <w:rPr>
          <w:spacing w:val="16"/>
        </w:rPr>
        <w:t>職員所維成的工會幹部 </w:t>
      </w:r>
      <w:r>
        <w:rPr>
          <w:rFonts w:ascii="Times New Roman" w:eastAsia="Times New Roman"/>
          <w:sz w:val="30"/>
        </w:rPr>
        <w:t>3</w:t>
      </w:r>
      <w:r>
        <w:rPr>
          <w:rFonts w:ascii="Times New Roman" w:eastAsia="Times New Roman"/>
          <w:spacing w:val="-3"/>
          <w:sz w:val="30"/>
        </w:rPr>
        <w:t> </w:t>
      </w:r>
      <w:r>
        <w:rPr>
          <w:spacing w:val="-8"/>
        </w:rPr>
        <w:t>名 </w:t>
      </w:r>
      <w:r>
        <w:rPr>
          <w:spacing w:val="10"/>
          <w:w w:val="65"/>
        </w:rPr>
        <w:t>，以 </w:t>
      </w:r>
      <w:r>
        <w:rPr/>
        <w:t>日 本國家</w:t>
      </w:r>
      <w:r>
        <w:rPr>
          <w:spacing w:val="-16"/>
        </w:rPr>
        <w:t>公務 員 法第 </w:t>
      </w:r>
      <w:r>
        <w:rPr>
          <w:rFonts w:ascii="Times New Roman" w:eastAsia="Times New Roman"/>
          <w:sz w:val="30"/>
        </w:rPr>
        <w:t>82</w:t>
      </w:r>
      <w:r>
        <w:rPr>
          <w:rFonts w:ascii="Times New Roman" w:eastAsia="Times New Roman"/>
          <w:spacing w:val="-15"/>
          <w:sz w:val="30"/>
        </w:rPr>
        <w:t> </w:t>
      </w:r>
      <w:r>
        <w:rPr>
          <w:spacing w:val="8"/>
        </w:rPr>
        <w:t>條第 </w:t>
      </w:r>
      <w:r>
        <w:rPr>
          <w:rFonts w:ascii="Times New Roman" w:eastAsia="Times New Roman"/>
          <w:sz w:val="30"/>
        </w:rPr>
        <w:t>l</w:t>
      </w:r>
      <w:r>
        <w:rPr>
          <w:rFonts w:ascii="Times New Roman" w:eastAsia="Times New Roman"/>
          <w:spacing w:val="31"/>
          <w:sz w:val="30"/>
        </w:rPr>
        <w:t> </w:t>
      </w:r>
      <w:r>
        <w:rPr/>
        <w:t>、</w:t>
      </w:r>
      <w:r>
        <w:rPr>
          <w:rFonts w:ascii="Times New Roman" w:eastAsia="Times New Roman"/>
          <w:sz w:val="30"/>
        </w:rPr>
        <w:t>3</w:t>
      </w:r>
      <w:r>
        <w:rPr>
          <w:rFonts w:ascii="Times New Roman" w:eastAsia="Times New Roman"/>
          <w:spacing w:val="-2"/>
          <w:sz w:val="30"/>
        </w:rPr>
        <w:t> </w:t>
      </w:r>
      <w:r>
        <w:rPr>
          <w:spacing w:val="-26"/>
        </w:rPr>
        <w:t>款 </w:t>
      </w:r>
      <w:r>
        <w:rPr>
          <w:spacing w:val="-27"/>
          <w:w w:val="65"/>
        </w:rPr>
        <w:t>， </w:t>
      </w:r>
      <w:r>
        <w:rPr>
          <w:spacing w:val="9"/>
        </w:rPr>
        <w:t>所為之懲戒處分 </w:t>
      </w:r>
      <w:r>
        <w:rPr>
          <w:spacing w:val="-13"/>
          <w:w w:val="65"/>
        </w:rPr>
        <w:t>， </w:t>
      </w:r>
      <w:r>
        <w:rPr>
          <w:spacing w:val="2"/>
        </w:rPr>
        <w:t>而在其 </w:t>
      </w:r>
      <w:r>
        <w:rPr>
          <w:rFonts w:ascii="Times New Roman" w:eastAsia="Times New Roman"/>
          <w:sz w:val="30"/>
        </w:rPr>
        <w:t>3</w:t>
      </w:r>
      <w:r>
        <w:rPr>
          <w:rFonts w:ascii="Times New Roman" w:eastAsia="Times New Roman"/>
          <w:spacing w:val="-14"/>
          <w:sz w:val="30"/>
        </w:rPr>
        <w:t> </w:t>
      </w:r>
      <w:r>
        <w:rPr>
          <w:spacing w:val="18"/>
        </w:rPr>
        <w:t>名所提之系爭懲</w:t>
      </w:r>
      <w:r>
        <w:rPr>
          <w:spacing w:val="10"/>
          <w:w w:val="95"/>
        </w:rPr>
        <w:t>戒處分之無效翦認及撤銷訴訟中 </w:t>
      </w:r>
      <w:r>
        <w:rPr>
          <w:spacing w:val="-9"/>
          <w:w w:val="65"/>
        </w:rPr>
        <w:t>， </w:t>
      </w:r>
      <w:r>
        <w:rPr>
          <w:spacing w:val="8"/>
          <w:w w:val="95"/>
        </w:rPr>
        <w:t>日 本最高法院 在判決中</w:t>
      </w:r>
      <w:r>
        <w:rPr>
          <w:rFonts w:ascii="Times New Roman" w:eastAsia="Times New Roman"/>
          <w:w w:val="65"/>
          <w:sz w:val="16"/>
        </w:rPr>
        <w:t>156</w:t>
      </w:r>
      <w:r>
        <w:rPr>
          <w:rFonts w:ascii="Times New Roman" w:eastAsia="Times New Roman"/>
          <w:spacing w:val="27"/>
          <w:sz w:val="16"/>
        </w:rPr>
        <w:t>   </w:t>
      </w:r>
      <w:r>
        <w:rPr>
          <w:w w:val="65"/>
        </w:rPr>
        <w:t>認</w:t>
      </w:r>
      <w:r>
        <w:rPr>
          <w:spacing w:val="77"/>
        </w:rPr>
        <w:t> </w:t>
      </w:r>
      <w:r>
        <w:rPr>
          <w:spacing w:val="6"/>
          <w:w w:val="95"/>
        </w:rPr>
        <w:t>為 </w:t>
      </w:r>
      <w:r>
        <w:rPr>
          <w:w w:val="65"/>
        </w:rPr>
        <w:t>：「</w:t>
      </w:r>
      <w:r>
        <w:rPr>
          <w:spacing w:val="41"/>
        </w:rPr>
        <w:t> </w:t>
      </w:r>
      <w:r>
        <w:rPr>
          <w:w w:val="95"/>
        </w:rPr>
        <w:t>其處</w:t>
      </w:r>
      <w:r>
        <w:rPr>
          <w:w w:val="105"/>
        </w:rPr>
        <w:t>分欠缺社會通念上顯著之妥噹性，限於得認為係屬裁量權濫用之場合，應</w:t>
      </w:r>
      <w:r>
        <w:rPr>
          <w:spacing w:val="124"/>
          <w:w w:val="105"/>
        </w:rPr>
        <w:t> </w:t>
      </w:r>
      <w:r>
        <w:rPr>
          <w:w w:val="105"/>
        </w:rPr>
        <w:t>判定其屬違法」。</w:t>
      </w:r>
    </w:p>
    <w:p>
      <w:pPr>
        <w:pStyle w:val="BodyText"/>
        <w:spacing w:line="331" w:lineRule="auto"/>
        <w:ind w:left="303" w:right="510" w:firstLine="574"/>
      </w:pPr>
      <w:r>
        <w:rPr>
          <w:w w:val="110"/>
        </w:rPr>
        <w:t>其判決要旨如下：「懲戒權人，除有得認為該當於懲戒事由之行為原因、動機、性質、結果、影響等外，應考量該公務員之上開行為前後之態度、懲戒處分之處分歷程、採此處分對其他公務員及社會之影攀，以及諸般情事後，得決定是否應作成懲戒處分，應採取何種懲戒處分種類，其判斷，將上述之情勢予以綜合考慮，從懲戒權人平日就其所屬機關事務之通曉狀況，若不委以對轄下職員指揮監督之責任者裁量，則不能期待其作成適切之結果。因此，公務員於有國家公務員所定之懲戒事由時，是否作成懲戒處分，應予以何種之懲戒處分，應解釋為委諸懲戒權人之裁量。原本上述裁量，雖非噹然係屬恣意，懲戒權人依裁量權所為懲戒處分，僅在其處分欠缺社會觀念上顯箸妥當性而逸脫裁量権賦予之目的，而得認為係屬裁量濫用之場合下，使得認為其為違法，是如於其裁量權範圍內所為者，</w:t>
      </w:r>
      <w:r>
        <w:rPr>
          <w:spacing w:val="-135"/>
          <w:w w:val="110"/>
        </w:rPr>
        <w:t> </w:t>
      </w:r>
      <w:r>
        <w:rPr>
          <w:w w:val="110"/>
        </w:rPr>
        <w:t>應認為其並無違法。從而，法院就上述處分噹否之審查，無法立於與懲戒權人同一之立場，而判斷懲戒處分之應否作成或應採取何種類之懲戒處</w:t>
      </w:r>
      <w:r>
        <w:rPr>
          <w:spacing w:val="1"/>
          <w:w w:val="110"/>
        </w:rPr>
        <w:t> </w:t>
      </w:r>
      <w:r>
        <w:rPr>
          <w:w w:val="110"/>
        </w:rPr>
        <w:t>分，甚至進而將審查結果與原懲戒處分相比較，並論究孰為輕重。懲戒權人本於裁量權行使所為之處分，僅在社會觀念上顯著欠缺妥當性，而得認為係屬裁量權濫用之場合，始應判斷其為違法。」</w:t>
      </w:r>
    </w:p>
    <w:p>
      <w:pPr>
        <w:pStyle w:val="BodyText"/>
        <w:rPr>
          <w:sz w:val="20"/>
        </w:rPr>
      </w:pPr>
    </w:p>
    <w:p>
      <w:pPr>
        <w:pStyle w:val="BodyText"/>
        <w:rPr>
          <w:sz w:val="20"/>
        </w:rPr>
      </w:pPr>
    </w:p>
    <w:p>
      <w:pPr>
        <w:pStyle w:val="BodyText"/>
        <w:spacing w:before="10"/>
        <w:rPr>
          <w:sz w:val="29"/>
        </w:rPr>
      </w:pPr>
      <w:r>
        <w:rPr/>
        <w:pict>
          <v:shape style="position:absolute;margin-left:95.174004pt;margin-top:21.316206pt;width:144.25pt;height:.1pt;mso-position-horizontal-relative:page;mso-position-vertical-relative:paragraph;z-index:-15581184;mso-wrap-distance-left:0;mso-wrap-distance-right:0" coordorigin="1903,426" coordsize="2885,0" path="m1903,426l4788,426e" filled="false" stroked="true" strokeweight=".480547pt" strokecolor="#000000">
            <v:path arrowok="t"/>
            <v:stroke dashstyle="solid"/>
            <w10:wrap type="topAndBottom"/>
          </v:shape>
        </w:pict>
      </w:r>
    </w:p>
    <w:p>
      <w:pPr>
        <w:pStyle w:val="BodyText"/>
        <w:spacing w:before="10"/>
        <w:rPr>
          <w:sz w:val="7"/>
        </w:rPr>
      </w:pPr>
    </w:p>
    <w:p>
      <w:pPr>
        <w:spacing w:before="89"/>
        <w:ind w:left="298" w:right="0" w:firstLine="0"/>
        <w:jc w:val="left"/>
        <w:rPr>
          <w:sz w:val="21"/>
        </w:rPr>
      </w:pPr>
      <w:r>
        <w:rPr>
          <w:rFonts w:ascii="Times New Roman" w:eastAsia="Times New Roman"/>
          <w:position w:val="7"/>
          <w:sz w:val="13"/>
        </w:rPr>
        <w:t>156</w:t>
      </w:r>
      <w:r>
        <w:rPr>
          <w:rFonts w:ascii="Times New Roman" w:eastAsia="Times New Roman"/>
          <w:spacing w:val="13"/>
          <w:position w:val="7"/>
          <w:sz w:val="13"/>
        </w:rPr>
        <w:t> </w:t>
      </w:r>
      <w:r>
        <w:rPr>
          <w:spacing w:val="21"/>
          <w:sz w:val="21"/>
        </w:rPr>
        <w:t>最高裁判所第三小法廷昭和</w:t>
      </w:r>
      <w:r>
        <w:rPr>
          <w:rFonts w:ascii="Times New Roman" w:eastAsia="Times New Roman"/>
          <w:sz w:val="26"/>
        </w:rPr>
        <w:t>52</w:t>
      </w:r>
      <w:r>
        <w:rPr>
          <w:sz w:val="21"/>
        </w:rPr>
        <w:t>年</w:t>
      </w:r>
      <w:r>
        <w:rPr>
          <w:rFonts w:ascii="Times New Roman" w:eastAsia="Times New Roman"/>
          <w:spacing w:val="9"/>
          <w:sz w:val="26"/>
        </w:rPr>
        <w:t>12</w:t>
      </w:r>
      <w:r>
        <w:rPr>
          <w:spacing w:val="-29"/>
          <w:sz w:val="21"/>
        </w:rPr>
        <w:t>月 </w:t>
      </w:r>
      <w:r>
        <w:rPr>
          <w:rFonts w:ascii="Times New Roman" w:eastAsia="Times New Roman"/>
          <w:sz w:val="26"/>
        </w:rPr>
        <w:t>20</w:t>
      </w:r>
      <w:r>
        <w:rPr>
          <w:rFonts w:ascii="Times New Roman" w:eastAsia="Times New Roman"/>
          <w:spacing w:val="-19"/>
          <w:sz w:val="26"/>
        </w:rPr>
        <w:t> </w:t>
      </w:r>
      <w:r>
        <w:rPr>
          <w:spacing w:val="-5"/>
          <w:sz w:val="21"/>
        </w:rPr>
        <w:t>日 判決</w:t>
      </w:r>
      <w:r>
        <w:rPr>
          <w:sz w:val="21"/>
        </w:rPr>
        <w:t>（</w:t>
      </w:r>
      <w:r>
        <w:rPr>
          <w:spacing w:val="9"/>
          <w:sz w:val="21"/>
        </w:rPr>
        <w:t> 神戶税関職員懲 戒免職 上告審判</w:t>
      </w:r>
    </w:p>
    <w:p>
      <w:pPr>
        <w:spacing w:after="0"/>
        <w:jc w:val="left"/>
        <w:rPr>
          <w:sz w:val="21"/>
        </w:rPr>
        <w:sectPr>
          <w:pgSz w:w="11910" w:h="16840"/>
          <w:pgMar w:header="862" w:footer="1017" w:top="1060" w:bottom="1200" w:left="1120" w:right="1060"/>
        </w:sectPr>
      </w:pPr>
    </w:p>
    <w:p>
      <w:pPr>
        <w:spacing w:before="16"/>
        <w:ind w:left="517" w:right="0" w:firstLine="0"/>
        <w:jc w:val="left"/>
        <w:rPr>
          <w:rFonts w:ascii="Times New Roman" w:hAnsi="Times New Roman" w:eastAsia="Times New Roman"/>
          <w:sz w:val="26"/>
        </w:rPr>
      </w:pPr>
      <w:r>
        <w:rPr>
          <w:spacing w:val="28"/>
          <w:w w:val="90"/>
          <w:sz w:val="21"/>
        </w:rPr>
        <w:t>決</w:t>
      </w:r>
      <w:r>
        <w:rPr>
          <w:w w:val="90"/>
          <w:sz w:val="21"/>
        </w:rPr>
        <w:t>）， 最判昭</w:t>
      </w:r>
      <w:r>
        <w:rPr>
          <w:rFonts w:ascii="Times New Roman" w:hAnsi="Times New Roman" w:eastAsia="Times New Roman"/>
          <w:w w:val="90"/>
          <w:sz w:val="26"/>
        </w:rPr>
        <w:t>32</w:t>
      </w:r>
      <w:r>
        <w:rPr>
          <w:rFonts w:ascii="Times New Roman" w:hAnsi="Times New Roman" w:eastAsia="Times New Roman"/>
          <w:spacing w:val="21"/>
          <w:w w:val="90"/>
          <w:sz w:val="26"/>
        </w:rPr>
        <w:t> • </w:t>
      </w:r>
      <w:r>
        <w:rPr>
          <w:rFonts w:ascii="Times New Roman" w:hAnsi="Times New Roman" w:eastAsia="Times New Roman"/>
          <w:w w:val="90"/>
          <w:sz w:val="26"/>
        </w:rPr>
        <w:t>5</w:t>
      </w:r>
      <w:r>
        <w:rPr>
          <w:rFonts w:ascii="Times New Roman" w:hAnsi="Times New Roman" w:eastAsia="Times New Roman"/>
          <w:spacing w:val="12"/>
          <w:w w:val="90"/>
          <w:sz w:val="26"/>
        </w:rPr>
        <w:t> • </w:t>
      </w:r>
      <w:r>
        <w:rPr>
          <w:rFonts w:ascii="Times New Roman" w:hAnsi="Times New Roman" w:eastAsia="Times New Roman"/>
          <w:w w:val="90"/>
          <w:sz w:val="26"/>
        </w:rPr>
        <w:t>I</w:t>
      </w:r>
      <w:r>
        <w:rPr>
          <w:rFonts w:ascii="Times New Roman" w:hAnsi="Times New Roman" w:eastAsia="Times New Roman"/>
          <w:spacing w:val="-18"/>
          <w:w w:val="90"/>
          <w:sz w:val="26"/>
        </w:rPr>
        <w:t> </w:t>
      </w:r>
      <w:r>
        <w:rPr>
          <w:rFonts w:ascii="Times New Roman" w:hAnsi="Times New Roman" w:eastAsia="Times New Roman"/>
          <w:spacing w:val="20"/>
          <w:w w:val="90"/>
          <w:sz w:val="26"/>
        </w:rPr>
        <w:t>0</w:t>
      </w:r>
      <w:r>
        <w:rPr>
          <w:spacing w:val="15"/>
          <w:w w:val="90"/>
          <w:sz w:val="21"/>
        </w:rPr>
        <w:t>民集</w:t>
      </w:r>
      <w:r>
        <w:rPr>
          <w:rFonts w:ascii="Times New Roman" w:hAnsi="Times New Roman" w:eastAsia="Times New Roman"/>
          <w:w w:val="90"/>
          <w:sz w:val="26"/>
        </w:rPr>
        <w:t>11</w:t>
      </w:r>
      <w:r>
        <w:rPr>
          <w:w w:val="90"/>
          <w:sz w:val="22"/>
        </w:rPr>
        <w:t>卷</w:t>
      </w:r>
      <w:r>
        <w:rPr>
          <w:rFonts w:ascii="Times New Roman" w:hAnsi="Times New Roman" w:eastAsia="Times New Roman"/>
          <w:spacing w:val="10"/>
          <w:w w:val="90"/>
          <w:sz w:val="26"/>
        </w:rPr>
        <w:t>5</w:t>
      </w:r>
      <w:r>
        <w:rPr>
          <w:spacing w:val="16"/>
          <w:w w:val="90"/>
          <w:sz w:val="22"/>
        </w:rPr>
        <w:t>芳</w:t>
      </w:r>
      <w:r>
        <w:rPr>
          <w:rFonts w:ascii="Times New Roman" w:hAnsi="Times New Roman" w:eastAsia="Times New Roman"/>
          <w:w w:val="90"/>
          <w:sz w:val="26"/>
        </w:rPr>
        <w:t>699</w:t>
      </w:r>
      <w:r>
        <w:rPr>
          <w:rFonts w:ascii="Times New Roman" w:hAnsi="Times New Roman" w:eastAsia="Times New Roman"/>
          <w:spacing w:val="-6"/>
          <w:w w:val="90"/>
          <w:sz w:val="26"/>
        </w:rPr>
        <w:t> </w:t>
      </w:r>
      <w:r>
        <w:rPr>
          <w:spacing w:val="2"/>
          <w:w w:val="90"/>
          <w:sz w:val="21"/>
        </w:rPr>
        <w:t>頁 ，參  見： 藤田宙靖 ， 前揭書 ，註 </w:t>
      </w:r>
      <w:r>
        <w:rPr>
          <w:rFonts w:ascii="Times New Roman" w:hAnsi="Times New Roman" w:eastAsia="Times New Roman"/>
          <w:w w:val="90"/>
          <w:sz w:val="26"/>
        </w:rPr>
        <w:t>4,0</w:t>
      </w:r>
    </w:p>
    <w:p>
      <w:pPr>
        <w:spacing w:before="21"/>
        <w:ind w:left="523" w:right="0" w:firstLine="0"/>
        <w:jc w:val="left"/>
        <w:rPr>
          <w:sz w:val="22"/>
        </w:rPr>
      </w:pPr>
      <w:r>
        <w:rPr>
          <w:w w:val="85"/>
          <w:sz w:val="22"/>
        </w:rPr>
        <w:t>頁。</w:t>
      </w:r>
    </w:p>
    <w:p>
      <w:pPr>
        <w:spacing w:before="16"/>
        <w:ind w:left="219" w:right="0" w:firstLine="0"/>
        <w:jc w:val="left"/>
        <w:rPr>
          <w:rFonts w:ascii="Times New Roman"/>
          <w:sz w:val="26"/>
        </w:rPr>
      </w:pPr>
      <w:r>
        <w:rPr/>
        <w:br w:type="column"/>
      </w:r>
      <w:r>
        <w:rPr>
          <w:rFonts w:ascii="Times New Roman"/>
          <w:sz w:val="26"/>
        </w:rPr>
        <w:t>320</w:t>
      </w:r>
    </w:p>
    <w:p>
      <w:pPr>
        <w:spacing w:after="0"/>
        <w:jc w:val="left"/>
        <w:rPr>
          <w:rFonts w:ascii="Times New Roman"/>
          <w:sz w:val="26"/>
        </w:rPr>
        <w:sectPr>
          <w:type w:val="continuous"/>
          <w:pgSz w:w="11910" w:h="16840"/>
          <w:pgMar w:top="1020" w:bottom="280" w:left="1120" w:right="1060"/>
          <w:cols w:num="2" w:equalWidth="0">
            <w:col w:w="8584" w:space="40"/>
            <w:col w:w="1106"/>
          </w:cols>
        </w:sectPr>
      </w:pPr>
    </w:p>
    <w:p>
      <w:pPr>
        <w:pStyle w:val="BodyText"/>
        <w:rPr>
          <w:rFonts w:ascii="Times New Roman"/>
          <w:sz w:val="20"/>
        </w:rPr>
      </w:pPr>
    </w:p>
    <w:p>
      <w:pPr>
        <w:pStyle w:val="BodyText"/>
        <w:spacing w:before="9"/>
        <w:rPr>
          <w:rFonts w:ascii="Times New Roman"/>
          <w:sz w:val="19"/>
        </w:rPr>
      </w:pPr>
    </w:p>
    <w:p>
      <w:pPr>
        <w:spacing w:before="65"/>
        <w:ind w:left="778" w:right="0" w:firstLine="0"/>
        <w:jc w:val="left"/>
        <w:rPr>
          <w:sz w:val="25"/>
        </w:rPr>
      </w:pPr>
      <w:r>
        <w:rPr>
          <w:rFonts w:ascii="Times New Roman" w:eastAsia="Times New Roman"/>
          <w:b/>
          <w:w w:val="110"/>
          <w:position w:val="-3"/>
          <w:sz w:val="28"/>
        </w:rPr>
        <w:t>2</w:t>
      </w:r>
      <w:r>
        <w:rPr>
          <w:rFonts w:ascii="Times New Roman" w:eastAsia="Times New Roman"/>
          <w:b/>
          <w:spacing w:val="2"/>
          <w:w w:val="110"/>
          <w:position w:val="-3"/>
          <w:sz w:val="28"/>
        </w:rPr>
        <w:t>. </w:t>
      </w:r>
      <w:r>
        <w:rPr>
          <w:w w:val="110"/>
          <w:sz w:val="25"/>
        </w:rPr>
        <w:t>分限虞分</w:t>
      </w:r>
    </w:p>
    <w:p>
      <w:pPr>
        <w:pStyle w:val="BodyText"/>
        <w:spacing w:before="11"/>
        <w:rPr>
          <w:sz w:val="21"/>
        </w:rPr>
      </w:pPr>
    </w:p>
    <w:p>
      <w:pPr>
        <w:pStyle w:val="ListParagraph"/>
        <w:numPr>
          <w:ilvl w:val="0"/>
          <w:numId w:val="7"/>
        </w:numPr>
        <w:tabs>
          <w:tab w:pos="1025" w:val="left" w:leader="none"/>
        </w:tabs>
        <w:spacing w:line="240" w:lineRule="auto" w:before="89" w:after="0"/>
        <w:ind w:left="1024" w:right="0" w:hanging="727"/>
        <w:jc w:val="left"/>
        <w:rPr>
          <w:sz w:val="23"/>
        </w:rPr>
      </w:pPr>
      <w:r>
        <w:rPr>
          <w:w w:val="105"/>
          <w:sz w:val="23"/>
        </w:rPr>
        <w:t>概說</w:t>
      </w:r>
    </w:p>
    <w:p>
      <w:pPr>
        <w:pStyle w:val="BodyText"/>
        <w:spacing w:before="233"/>
        <w:ind w:left="878"/>
      </w:pPr>
      <w:r>
        <w:rPr>
          <w:w w:val="110"/>
        </w:rPr>
        <w:t>其他在人事處分得認為係對本人不利益者。是以未違反本人意願</w:t>
      </w:r>
    </w:p>
    <w:p>
      <w:pPr>
        <w:pStyle w:val="BodyText"/>
        <w:spacing w:line="331" w:lineRule="auto" w:before="117"/>
        <w:ind w:left="303" w:right="523" w:firstLine="112"/>
        <w:jc w:val="both"/>
      </w:pPr>
      <w:r>
        <w:rPr>
          <w:w w:val="105"/>
        </w:rPr>
        <w:t>（如：職員同意之下的降職），或欠缺處分性的措花，均無法作為不服罄</w:t>
      </w:r>
      <w:r>
        <w:rPr>
          <w:spacing w:val="1"/>
          <w:w w:val="105"/>
        </w:rPr>
        <w:t> </w:t>
      </w:r>
      <w:r>
        <w:rPr>
          <w:w w:val="110"/>
        </w:rPr>
        <w:t>明的對象。分限處分係指為了保全公務效率性所為者，其與以整肅公務職場內綱紀作為目的的懲戒處分不同，性質上不含有懲罰的意味。縱使公務員因考績處分而遭到免職，仍應發玲其退職金。</w:t>
      </w:r>
    </w:p>
    <w:p>
      <w:pPr>
        <w:pStyle w:val="BodyText"/>
        <w:spacing w:line="328" w:lineRule="auto"/>
        <w:ind w:left="303" w:right="508" w:firstLine="575"/>
        <w:jc w:val="both"/>
      </w:pPr>
      <w:r>
        <w:rPr>
          <w:w w:val="110"/>
        </w:rPr>
        <w:t>關於公務員的身分保障，在國家公務員，非有國家公務員法或人事院規則，而在地方公務員，非有地方公務員法或自治條例所定事由之情形，</w:t>
      </w:r>
      <w:r>
        <w:rPr>
          <w:spacing w:val="-136"/>
          <w:w w:val="110"/>
        </w:rPr>
        <w:t> </w:t>
      </w:r>
      <w:r>
        <w:rPr>
          <w:w w:val="110"/>
        </w:rPr>
        <w:t>不得違反其職員意願，而對其為降等、休職、減俸，或免職。此外，任命權人應秉公正作成分限處分。</w:t>
      </w:r>
    </w:p>
    <w:p>
      <w:pPr>
        <w:pStyle w:val="ListParagraph"/>
        <w:numPr>
          <w:ilvl w:val="0"/>
          <w:numId w:val="7"/>
        </w:numPr>
        <w:tabs>
          <w:tab w:pos="1036" w:val="left" w:leader="none"/>
        </w:tabs>
        <w:spacing w:line="240" w:lineRule="auto" w:before="65" w:after="0"/>
        <w:ind w:left="1035" w:right="0" w:hanging="738"/>
        <w:jc w:val="left"/>
        <w:rPr>
          <w:sz w:val="25"/>
        </w:rPr>
      </w:pPr>
      <w:r>
        <w:rPr>
          <w:w w:val="105"/>
          <w:sz w:val="25"/>
        </w:rPr>
        <w:t>分限虞分的種類</w:t>
      </w:r>
    </w:p>
    <w:p>
      <w:pPr>
        <w:pStyle w:val="BodyText"/>
        <w:spacing w:line="316" w:lineRule="auto" w:before="203"/>
        <w:ind w:left="301" w:right="496" w:firstLine="606"/>
      </w:pPr>
      <w:r>
        <w:rPr>
          <w:spacing w:val="13"/>
          <w:w w:val="95"/>
        </w:rPr>
        <w:t>包含 </w:t>
      </w:r>
      <w:r>
        <w:rPr>
          <w:rFonts w:ascii="Times New Roman" w:eastAsia="Times New Roman"/>
          <w:w w:val="85"/>
          <w:sz w:val="31"/>
        </w:rPr>
        <w:t>A</w:t>
      </w:r>
      <w:r>
        <w:rPr>
          <w:rFonts w:ascii="Times New Roman" w:eastAsia="Times New Roman"/>
          <w:spacing w:val="32"/>
          <w:w w:val="85"/>
          <w:sz w:val="31"/>
        </w:rPr>
        <w:t>. </w:t>
      </w:r>
      <w:r>
        <w:rPr>
          <w:spacing w:val="35"/>
          <w:w w:val="85"/>
        </w:rPr>
        <w:t>降 </w:t>
      </w:r>
      <w:r>
        <w:rPr>
          <w:spacing w:val="-4"/>
          <w:w w:val="95"/>
        </w:rPr>
        <w:t>等： 任命較原有職位為低 的職位 。</w:t>
      </w:r>
      <w:r>
        <w:rPr>
          <w:rFonts w:ascii="Times New Roman" w:eastAsia="Times New Roman"/>
          <w:w w:val="85"/>
          <w:sz w:val="31"/>
        </w:rPr>
        <w:t>B</w:t>
      </w:r>
      <w:r>
        <w:rPr>
          <w:rFonts w:ascii="Times New Roman" w:eastAsia="Times New Roman"/>
          <w:spacing w:val="30"/>
          <w:w w:val="85"/>
          <w:sz w:val="31"/>
        </w:rPr>
        <w:t>. </w:t>
      </w:r>
      <w:r>
        <w:rPr>
          <w:w w:val="95"/>
        </w:rPr>
        <w:t>免職： 違反職員意 願</w:t>
      </w:r>
      <w:r>
        <w:rPr/>
        <w:t>而使其喪失職位的處分（處分目的不同，但在效果上與使喪失身分的懲戒    </w:t>
      </w:r>
      <w:r>
        <w:rPr>
          <w:spacing w:val="59"/>
        </w:rPr>
        <w:t> </w:t>
      </w:r>
      <w:r>
        <w:rPr>
          <w:spacing w:val="6"/>
        </w:rPr>
        <w:t>免職相同 。</w:t>
      </w:r>
      <w:r>
        <w:rPr/>
        <w:t>）</w:t>
      </w:r>
      <w:r>
        <w:rPr>
          <w:spacing w:val="-109"/>
        </w:rPr>
        <w:t>。</w:t>
      </w:r>
      <w:r>
        <w:rPr>
          <w:rFonts w:ascii="Arial" w:eastAsia="Arial"/>
          <w:sz w:val="28"/>
        </w:rPr>
        <w:t>C</w:t>
      </w:r>
      <w:r>
        <w:rPr>
          <w:spacing w:val="-6"/>
        </w:rPr>
        <w:t>．休職：使職員保有原 職位 </w:t>
      </w:r>
      <w:r>
        <w:rPr>
          <w:spacing w:val="-31"/>
          <w:w w:val="85"/>
        </w:rPr>
        <w:t>， </w:t>
      </w:r>
      <w:r>
        <w:rPr>
          <w:spacing w:val="2"/>
        </w:rPr>
        <w:t>但在一定期間內 禁止 其從事</w:t>
      </w:r>
      <w:r>
        <w:rPr>
          <w:spacing w:val="-11"/>
        </w:rPr>
        <w:t>職務 。</w:t>
      </w:r>
      <w:r>
        <w:rPr>
          <w:rFonts w:ascii="Arial" w:eastAsia="Arial"/>
          <w:sz w:val="29"/>
        </w:rPr>
        <w:t>D</w:t>
      </w:r>
      <w:r>
        <w:rPr>
          <w:spacing w:val="-4"/>
        </w:rPr>
        <w:t>．減俸：降低現在應支拾俸 給。惟應注意者 </w:t>
      </w:r>
      <w:r>
        <w:rPr>
          <w:spacing w:val="-33"/>
          <w:w w:val="85"/>
        </w:rPr>
        <w:t>， </w:t>
      </w:r>
      <w:r>
        <w:rPr>
          <w:spacing w:val="4"/>
        </w:rPr>
        <w:t>伴隨降等所 生的俸 給</w:t>
      </w:r>
      <w:r>
        <w:rPr/>
        <w:t>減少，其屬降調的效果，其並非減俸。</w:t>
      </w:r>
    </w:p>
    <w:p>
      <w:pPr>
        <w:pStyle w:val="ListParagraph"/>
        <w:numPr>
          <w:ilvl w:val="0"/>
          <w:numId w:val="7"/>
        </w:numPr>
        <w:tabs>
          <w:tab w:pos="1036" w:val="left" w:leader="none"/>
        </w:tabs>
        <w:spacing w:line="240" w:lineRule="auto" w:before="97" w:after="0"/>
        <w:ind w:left="1035" w:right="0" w:hanging="738"/>
        <w:jc w:val="left"/>
        <w:rPr>
          <w:sz w:val="25"/>
        </w:rPr>
      </w:pPr>
      <w:r>
        <w:rPr>
          <w:w w:val="110"/>
          <w:sz w:val="25"/>
        </w:rPr>
        <w:t>分限夷分的事由</w:t>
      </w:r>
    </w:p>
    <w:p>
      <w:pPr>
        <w:pStyle w:val="BodyText"/>
        <w:spacing w:before="4"/>
        <w:rPr>
          <w:sz w:val="39"/>
        </w:rPr>
      </w:pPr>
    </w:p>
    <w:p>
      <w:pPr>
        <w:pStyle w:val="ListParagraph"/>
        <w:numPr>
          <w:ilvl w:val="0"/>
          <w:numId w:val="8"/>
        </w:numPr>
        <w:tabs>
          <w:tab w:pos="788" w:val="left" w:leader="none"/>
        </w:tabs>
        <w:spacing w:line="240" w:lineRule="auto" w:before="1" w:after="0"/>
        <w:ind w:left="787" w:right="0" w:hanging="480"/>
        <w:jc w:val="left"/>
        <w:rPr>
          <w:rFonts w:ascii="Arial" w:eastAsia="Arial"/>
          <w:sz w:val="28"/>
        </w:rPr>
      </w:pPr>
      <w:r>
        <w:rPr>
          <w:w w:val="110"/>
          <w:sz w:val="25"/>
        </w:rPr>
        <w:t>降等及免職的事由</w:t>
      </w:r>
    </w:p>
    <w:p>
      <w:pPr>
        <w:pStyle w:val="BodyText"/>
        <w:spacing w:before="7"/>
        <w:rPr>
          <w:sz w:val="37"/>
        </w:rPr>
      </w:pPr>
    </w:p>
    <w:p>
      <w:pPr>
        <w:pStyle w:val="BodyText"/>
        <w:tabs>
          <w:tab w:pos="865" w:val="left" w:leader="none"/>
        </w:tabs>
        <w:spacing w:line="321" w:lineRule="auto" w:before="1"/>
        <w:ind w:left="301" w:right="507" w:firstLine="572"/>
      </w:pPr>
      <w:r>
        <w:rPr>
          <w:w w:val="105"/>
        </w:rPr>
        <w:t>有關分限處分，在職員如有下列情形之一，得違反其意願命降等或免</w:t>
      </w:r>
      <w:r>
        <w:rPr>
          <w:spacing w:val="82"/>
          <w:w w:val="105"/>
        </w:rPr>
        <w:t> </w:t>
      </w:r>
      <w:r>
        <w:rPr>
          <w:w w:val="105"/>
        </w:rPr>
        <w:t>職</w:t>
      </w:r>
      <w:r>
        <w:rPr>
          <w:rFonts w:ascii="Times New Roman" w:eastAsia="Times New Roman"/>
          <w:w w:val="65"/>
          <w:sz w:val="16"/>
        </w:rPr>
        <w:t>157</w:t>
        <w:tab/>
      </w:r>
      <w:r>
        <w:rPr>
          <w:w w:val="65"/>
        </w:rPr>
        <w:t>。</w:t>
      </w:r>
      <w:r>
        <w:rPr>
          <w:spacing w:val="70"/>
          <w:w w:val="65"/>
        </w:rPr>
        <w:t> </w:t>
      </w:r>
      <w:r>
        <w:rPr>
          <w:w w:val="95"/>
        </w:rPr>
        <w:t>包含</w:t>
      </w:r>
      <w:r>
        <w:rPr>
          <w:spacing w:val="-9"/>
          <w:w w:val="95"/>
        </w:rPr>
        <w:t> </w:t>
      </w:r>
      <w:r>
        <w:rPr>
          <w:w w:val="65"/>
        </w:rPr>
        <w:t>：</w:t>
      </w:r>
      <w:r>
        <w:rPr>
          <w:spacing w:val="-43"/>
          <w:w w:val="65"/>
        </w:rPr>
        <w:t> </w:t>
      </w:r>
      <w:r>
        <w:rPr>
          <w:w w:val="95"/>
        </w:rPr>
        <w:t>勤</w:t>
      </w:r>
      <w:r>
        <w:rPr>
          <w:spacing w:val="51"/>
          <w:w w:val="95"/>
        </w:rPr>
        <w:t>務</w:t>
      </w:r>
      <w:r>
        <w:rPr>
          <w:w w:val="95"/>
        </w:rPr>
        <w:t>績</w:t>
      </w:r>
      <w:r>
        <w:rPr>
          <w:spacing w:val="24"/>
          <w:w w:val="95"/>
        </w:rPr>
        <w:t>效</w:t>
      </w:r>
      <w:r>
        <w:rPr>
          <w:w w:val="95"/>
        </w:rPr>
        <w:t>不佳</w:t>
      </w:r>
      <w:r>
        <w:rPr>
          <w:spacing w:val="85"/>
          <w:w w:val="95"/>
        </w:rPr>
        <w:t> </w:t>
      </w:r>
      <w:r>
        <w:rPr>
          <w:w w:val="65"/>
        </w:rPr>
        <w:t>；</w:t>
      </w:r>
      <w:r>
        <w:rPr>
          <w:spacing w:val="69"/>
          <w:w w:val="65"/>
        </w:rPr>
        <w:t> </w:t>
      </w:r>
      <w:r>
        <w:rPr>
          <w:spacing w:val="31"/>
          <w:w w:val="95"/>
        </w:rPr>
        <w:t>或</w:t>
      </w:r>
      <w:r>
        <w:rPr>
          <w:w w:val="95"/>
        </w:rPr>
        <w:t>因身</w:t>
      </w:r>
      <w:r>
        <w:rPr>
          <w:spacing w:val="-2"/>
          <w:w w:val="95"/>
        </w:rPr>
        <w:t> </w:t>
      </w:r>
      <w:r>
        <w:rPr>
          <w:w w:val="95"/>
        </w:rPr>
        <w:t>心</w:t>
      </w:r>
      <w:r>
        <w:rPr>
          <w:spacing w:val="11"/>
          <w:w w:val="95"/>
        </w:rPr>
        <w:t>障</w:t>
      </w:r>
      <w:r>
        <w:rPr>
          <w:spacing w:val="46"/>
          <w:w w:val="95"/>
        </w:rPr>
        <w:t>礙</w:t>
      </w:r>
      <w:r>
        <w:rPr>
          <w:spacing w:val="38"/>
          <w:w w:val="95"/>
        </w:rPr>
        <w:t>而</w:t>
      </w:r>
      <w:r>
        <w:rPr>
          <w:spacing w:val="23"/>
          <w:w w:val="95"/>
        </w:rPr>
        <w:t>無</w:t>
      </w:r>
      <w:r>
        <w:rPr>
          <w:spacing w:val="21"/>
          <w:w w:val="95"/>
        </w:rPr>
        <w:t>法</w:t>
      </w:r>
      <w:r>
        <w:rPr>
          <w:w w:val="95"/>
        </w:rPr>
        <w:t>遂</w:t>
      </w:r>
      <w:r>
        <w:rPr>
          <w:spacing w:val="18"/>
          <w:w w:val="95"/>
        </w:rPr>
        <w:t>行</w:t>
      </w:r>
      <w:r>
        <w:rPr>
          <w:w w:val="95"/>
        </w:rPr>
        <w:t>職務</w:t>
      </w:r>
      <w:r>
        <w:rPr>
          <w:spacing w:val="7"/>
          <w:w w:val="95"/>
        </w:rPr>
        <w:t> </w:t>
      </w:r>
      <w:r>
        <w:rPr>
          <w:w w:val="65"/>
        </w:rPr>
        <w:t>，</w:t>
      </w:r>
      <w:r>
        <w:rPr>
          <w:spacing w:val="-7"/>
          <w:w w:val="65"/>
        </w:rPr>
        <w:t> </w:t>
      </w:r>
      <w:r>
        <w:rPr>
          <w:spacing w:val="27"/>
          <w:w w:val="95"/>
        </w:rPr>
        <w:t>或</w:t>
      </w:r>
      <w:r>
        <w:rPr>
          <w:spacing w:val="34"/>
          <w:w w:val="95"/>
        </w:rPr>
        <w:t>不</w:t>
      </w:r>
      <w:r>
        <w:rPr>
          <w:spacing w:val="11"/>
          <w:w w:val="95"/>
        </w:rPr>
        <w:t>堪</w:t>
      </w:r>
      <w:r>
        <w:rPr>
          <w:w w:val="95"/>
        </w:rPr>
        <w:t>執行</w:t>
      </w:r>
      <w:r>
        <w:rPr/>
        <w:t>勤</w:t>
      </w:r>
      <w:r>
        <w:rPr>
          <w:spacing w:val="47"/>
        </w:rPr>
        <w:t>務</w:t>
      </w:r>
      <w:r>
        <w:rPr>
          <w:spacing w:val="23"/>
        </w:rPr>
        <w:t>的</w:t>
      </w:r>
      <w:r>
        <w:rPr/>
        <w:t>情形；</w:t>
      </w:r>
      <w:r>
        <w:rPr>
          <w:spacing w:val="-63"/>
        </w:rPr>
        <w:t> </w:t>
      </w:r>
      <w:r>
        <w:rPr>
          <w:spacing w:val="17"/>
        </w:rPr>
        <w:t>其</w:t>
      </w:r>
      <w:r>
        <w:rPr>
          <w:spacing w:val="26"/>
        </w:rPr>
        <w:t>他</w:t>
      </w:r>
      <w:r>
        <w:rPr/>
        <w:t>欠</w:t>
      </w:r>
      <w:r>
        <w:rPr>
          <w:spacing w:val="47"/>
        </w:rPr>
        <w:t>缺</w:t>
      </w:r>
      <w:r>
        <w:rPr>
          <w:spacing w:val="31"/>
        </w:rPr>
        <w:t>其</w:t>
      </w:r>
      <w:r>
        <w:rPr/>
        <w:t>官職</w:t>
      </w:r>
      <w:r>
        <w:rPr>
          <w:spacing w:val="-19"/>
        </w:rPr>
        <w:t> </w:t>
      </w:r>
      <w:r>
        <w:rPr>
          <w:spacing w:val="18"/>
        </w:rPr>
        <w:t>必</w:t>
      </w:r>
      <w:r>
        <w:rPr/>
        <w:t>要</w:t>
      </w:r>
      <w:r>
        <w:rPr>
          <w:spacing w:val="23"/>
        </w:rPr>
        <w:t>之</w:t>
      </w:r>
      <w:r>
        <w:rPr/>
        <w:t>適</w:t>
      </w:r>
      <w:r>
        <w:rPr>
          <w:spacing w:val="25"/>
        </w:rPr>
        <w:t>格</w:t>
      </w:r>
      <w:r>
        <w:rPr/>
        <w:t>性</w:t>
      </w:r>
      <w:r>
        <w:rPr>
          <w:spacing w:val="63"/>
        </w:rPr>
        <w:t>者</w:t>
      </w:r>
      <w:r>
        <w:rPr/>
        <w:t>。</w:t>
      </w:r>
      <w:r>
        <w:rPr>
          <w:spacing w:val="-58"/>
        </w:rPr>
        <w:t>以</w:t>
      </w:r>
      <w:r>
        <w:rPr/>
        <w:t>上</w:t>
      </w:r>
      <w:r>
        <w:rPr>
          <w:spacing w:val="-16"/>
        </w:rPr>
        <w:t> </w:t>
      </w:r>
      <w:r>
        <w:rPr>
          <w:rFonts w:ascii="Times New Roman" w:eastAsia="Times New Roman"/>
          <w:sz w:val="30"/>
        </w:rPr>
        <w:t>3</w:t>
      </w:r>
      <w:r>
        <w:rPr>
          <w:rFonts w:ascii="Times New Roman" w:eastAsia="Times New Roman"/>
          <w:spacing w:val="20"/>
          <w:sz w:val="30"/>
        </w:rPr>
        <w:t> </w:t>
      </w:r>
      <w:r>
        <w:rPr/>
        <w:t>點</w:t>
      </w:r>
      <w:r>
        <w:rPr>
          <w:spacing w:val="14"/>
        </w:rPr>
        <w:t> </w:t>
      </w:r>
      <w:r>
        <w:rPr>
          <w:w w:val="65"/>
        </w:rPr>
        <w:t>，</w:t>
      </w:r>
      <w:r>
        <w:rPr>
          <w:spacing w:val="-43"/>
          <w:w w:val="65"/>
        </w:rPr>
        <w:t> </w:t>
      </w:r>
      <w:r>
        <w:rPr/>
        <w:t>由</w:t>
      </w:r>
      <w:r>
        <w:rPr>
          <w:spacing w:val="12"/>
        </w:rPr>
        <w:t>於</w:t>
      </w:r>
      <w:r>
        <w:rPr>
          <w:spacing w:val="16"/>
        </w:rPr>
        <w:t>其</w:t>
      </w:r>
      <w:r>
        <w:rPr>
          <w:spacing w:val="50"/>
        </w:rPr>
        <w:t>職</w:t>
      </w:r>
      <w:r>
        <w:rPr/>
        <w:t>員不</w:t>
      </w:r>
      <w:r>
        <w:rPr>
          <w:w w:val="105"/>
        </w:rPr>
        <w:t>易矯正的素質、能力、性格等原因，而有生其職務順遂執行的障礙者。此</w:t>
      </w:r>
      <w:r>
        <w:rPr>
          <w:spacing w:val="129"/>
          <w:w w:val="105"/>
        </w:rPr>
        <w:t> </w:t>
      </w:r>
      <w:r>
        <w:rPr>
          <w:w w:val="105"/>
        </w:rPr>
        <w:t>與其職員自身的責任無關。</w:t>
      </w:r>
    </w:p>
    <w:p>
      <w:pPr>
        <w:pStyle w:val="BodyText"/>
        <w:rPr>
          <w:sz w:val="20"/>
        </w:rPr>
      </w:pPr>
    </w:p>
    <w:p>
      <w:pPr>
        <w:pStyle w:val="BodyText"/>
        <w:rPr>
          <w:sz w:val="20"/>
        </w:rPr>
      </w:pPr>
    </w:p>
    <w:p>
      <w:pPr>
        <w:pStyle w:val="BodyText"/>
        <w:rPr>
          <w:sz w:val="20"/>
        </w:rPr>
      </w:pPr>
    </w:p>
    <w:p>
      <w:pPr>
        <w:pStyle w:val="BodyText"/>
        <w:spacing w:before="3"/>
        <w:rPr>
          <w:sz w:val="15"/>
        </w:rPr>
      </w:pPr>
      <w:r>
        <w:rPr/>
        <w:pict>
          <v:shape style="position:absolute;margin-left:95.174004pt;margin-top:12.120367pt;width:144.25pt;height:.1pt;mso-position-horizontal-relative:page;mso-position-vertical-relative:paragraph;z-index:-15580672;mso-wrap-distance-left:0;mso-wrap-distance-right:0" coordorigin="1903,242" coordsize="2885,0" path="m1903,242l4788,242e" filled="false" stroked="true" strokeweight=".720821pt" strokecolor="#000000">
            <v:path arrowok="t"/>
            <v:stroke dashstyle="solid"/>
            <w10:wrap type="topAndBottom"/>
          </v:shape>
        </w:pict>
      </w:r>
    </w:p>
    <w:p>
      <w:pPr>
        <w:pStyle w:val="BodyText"/>
        <w:spacing w:before="10"/>
        <w:rPr>
          <w:sz w:val="6"/>
        </w:rPr>
      </w:pPr>
    </w:p>
    <w:p>
      <w:pPr>
        <w:spacing w:after="0"/>
        <w:rPr>
          <w:sz w:val="6"/>
        </w:rPr>
        <w:sectPr>
          <w:pgSz w:w="11910" w:h="16840"/>
          <w:pgMar w:header="862" w:footer="1017" w:top="1060" w:bottom="1200" w:left="1120" w:right="1060"/>
        </w:sectPr>
      </w:pPr>
    </w:p>
    <w:p>
      <w:pPr>
        <w:pStyle w:val="BodyText"/>
        <w:rPr>
          <w:sz w:val="11"/>
        </w:rPr>
      </w:pPr>
    </w:p>
    <w:p>
      <w:pPr>
        <w:spacing w:before="0"/>
        <w:ind w:left="298" w:right="0" w:firstLine="0"/>
        <w:jc w:val="left"/>
        <w:rPr>
          <w:rFonts w:ascii="Times New Roman"/>
          <w:sz w:val="13"/>
        </w:rPr>
      </w:pPr>
      <w:r>
        <w:rPr>
          <w:rFonts w:ascii="Times New Roman"/>
          <w:sz w:val="13"/>
        </w:rPr>
        <w:t>157</w:t>
      </w:r>
    </w:p>
    <w:p>
      <w:pPr>
        <w:spacing w:before="90"/>
        <w:ind w:left="74" w:right="0" w:firstLine="0"/>
        <w:jc w:val="left"/>
        <w:rPr>
          <w:rFonts w:ascii="Times New Roman" w:eastAsia="Times New Roman"/>
          <w:sz w:val="26"/>
        </w:rPr>
      </w:pPr>
      <w:r>
        <w:rPr/>
        <w:br w:type="column"/>
      </w:r>
      <w:r>
        <w:rPr>
          <w:spacing w:val="3"/>
          <w:w w:val="90"/>
          <w:sz w:val="21"/>
        </w:rPr>
        <w:t>參見： 藤田宙靖 ， 前揭書 ，註 </w:t>
      </w:r>
      <w:r>
        <w:rPr>
          <w:rFonts w:ascii="Times New Roman" w:eastAsia="Times New Roman"/>
          <w:w w:val="90"/>
          <w:sz w:val="26"/>
        </w:rPr>
        <w:t>4,0</w:t>
      </w:r>
    </w:p>
    <w:p>
      <w:pPr>
        <w:spacing w:before="90"/>
        <w:ind w:left="225" w:right="0" w:firstLine="0"/>
        <w:jc w:val="left"/>
        <w:rPr>
          <w:sz w:val="24"/>
        </w:rPr>
      </w:pPr>
      <w:r>
        <w:rPr/>
        <w:br w:type="column"/>
      </w:r>
      <w:r>
        <w:rPr>
          <w:spacing w:val="29"/>
          <w:w w:val="95"/>
          <w:sz w:val="22"/>
        </w:rPr>
        <w:t>頁</w:t>
      </w:r>
      <w:r>
        <w:rPr>
          <w:rFonts w:ascii="Times New Roman" w:eastAsia="Times New Roman"/>
          <w:w w:val="95"/>
          <w:sz w:val="26"/>
        </w:rPr>
        <w:t>318</w:t>
      </w:r>
      <w:r>
        <w:rPr>
          <w:rFonts w:ascii="Times New Roman" w:eastAsia="Times New Roman"/>
          <w:spacing w:val="5"/>
          <w:w w:val="95"/>
          <w:sz w:val="26"/>
        </w:rPr>
        <w:t> </w:t>
      </w:r>
      <w:r>
        <w:rPr>
          <w:w w:val="95"/>
          <w:sz w:val="24"/>
        </w:rPr>
        <w:t>。</w:t>
      </w:r>
    </w:p>
    <w:p>
      <w:pPr>
        <w:spacing w:after="0"/>
        <w:jc w:val="left"/>
        <w:rPr>
          <w:sz w:val="24"/>
        </w:rPr>
        <w:sectPr>
          <w:type w:val="continuous"/>
          <w:pgSz w:w="11910" w:h="16840"/>
          <w:pgMar w:top="1020" w:bottom="280" w:left="1120" w:right="1060"/>
          <w:cols w:num="3" w:equalWidth="0">
            <w:col w:w="494" w:space="40"/>
            <w:col w:w="3427" w:space="39"/>
            <w:col w:w="5730"/>
          </w:cols>
        </w:sectPr>
      </w:pPr>
    </w:p>
    <w:p>
      <w:pPr>
        <w:pStyle w:val="BodyText"/>
        <w:rPr>
          <w:sz w:val="20"/>
        </w:rPr>
      </w:pPr>
    </w:p>
    <w:p>
      <w:pPr>
        <w:pStyle w:val="BodyText"/>
        <w:spacing w:before="7"/>
      </w:pPr>
    </w:p>
    <w:p>
      <w:pPr>
        <w:pStyle w:val="ListParagraph"/>
        <w:numPr>
          <w:ilvl w:val="0"/>
          <w:numId w:val="8"/>
        </w:numPr>
        <w:tabs>
          <w:tab w:pos="797" w:val="left" w:leader="none"/>
          <w:tab w:pos="798" w:val="left" w:leader="none"/>
        </w:tabs>
        <w:spacing w:line="240" w:lineRule="auto" w:before="87" w:after="0"/>
        <w:ind w:left="797" w:right="0" w:hanging="496"/>
        <w:jc w:val="left"/>
        <w:rPr>
          <w:rFonts w:ascii="Times New Roman" w:eastAsia="Times New Roman"/>
          <w:sz w:val="31"/>
        </w:rPr>
      </w:pPr>
      <w:r>
        <w:rPr>
          <w:w w:val="110"/>
          <w:sz w:val="25"/>
        </w:rPr>
        <w:t>因官制（職制）或員額數改廢或預算削減而生之廢職或冗員的情形</w:t>
      </w:r>
    </w:p>
    <w:p>
      <w:pPr>
        <w:pStyle w:val="BodyText"/>
        <w:rPr>
          <w:sz w:val="20"/>
        </w:rPr>
      </w:pPr>
    </w:p>
    <w:p>
      <w:pPr>
        <w:pStyle w:val="BodyText"/>
        <w:spacing w:before="4"/>
        <w:rPr>
          <w:sz w:val="16"/>
        </w:rPr>
      </w:pPr>
    </w:p>
    <w:p>
      <w:pPr>
        <w:pStyle w:val="ListParagraph"/>
        <w:numPr>
          <w:ilvl w:val="0"/>
          <w:numId w:val="7"/>
        </w:numPr>
        <w:tabs>
          <w:tab w:pos="1026" w:val="left" w:leader="none"/>
        </w:tabs>
        <w:spacing w:line="240" w:lineRule="auto" w:before="88" w:after="0"/>
        <w:ind w:left="1025" w:right="0" w:hanging="728"/>
        <w:jc w:val="left"/>
        <w:rPr>
          <w:sz w:val="25"/>
        </w:rPr>
      </w:pPr>
      <w:r>
        <w:rPr>
          <w:w w:val="110"/>
          <w:sz w:val="25"/>
        </w:rPr>
        <w:t>休職的事由</w:t>
      </w:r>
    </w:p>
    <w:p>
      <w:pPr>
        <w:pStyle w:val="BodyText"/>
        <w:spacing w:line="328" w:lineRule="auto" w:before="203"/>
        <w:ind w:left="301" w:right="490" w:firstLine="562"/>
      </w:pPr>
      <w:r>
        <w:rPr>
          <w:spacing w:val="9"/>
          <w:w w:val="95"/>
        </w:rPr>
        <w:t>職員如有下 列情形之一 ，得 違反其意願命休職 。包含 </w:t>
      </w:r>
      <w:r>
        <w:rPr>
          <w:rFonts w:ascii="Times New Roman" w:eastAsia="Times New Roman"/>
          <w:w w:val="95"/>
          <w:sz w:val="30"/>
        </w:rPr>
        <w:t>a</w:t>
      </w:r>
      <w:r>
        <w:rPr>
          <w:rFonts w:ascii="Times New Roman" w:eastAsia="Times New Roman"/>
          <w:spacing w:val="14"/>
          <w:w w:val="95"/>
          <w:sz w:val="30"/>
        </w:rPr>
        <w:t>. </w:t>
      </w:r>
      <w:r>
        <w:rPr>
          <w:spacing w:val="3"/>
          <w:w w:val="95"/>
        </w:rPr>
        <w:t>因身 心障礙</w:t>
      </w:r>
      <w:r>
        <w:rPr>
          <w:w w:val="105"/>
        </w:rPr>
        <w:t>而需要長期修養的情形。此項處分與所謂因病休假不同，亦與本人意思無 </w:t>
      </w:r>
      <w:r>
        <w:rPr>
          <w:spacing w:val="27"/>
          <w:w w:val="105"/>
        </w:rPr>
        <w:t> </w:t>
      </w:r>
      <w:r>
        <w:rPr>
          <w:spacing w:val="-16"/>
        </w:rPr>
        <w:t>關 </w:t>
      </w:r>
      <w:r>
        <w:rPr>
          <w:spacing w:val="-33"/>
          <w:w w:val="95"/>
        </w:rPr>
        <w:t>， </w:t>
      </w:r>
      <w:r>
        <w:rPr>
          <w:spacing w:val="-12"/>
        </w:rPr>
        <w:t>悉由 任命權人的判斷 。</w:t>
      </w:r>
      <w:r>
        <w:rPr>
          <w:rFonts w:ascii="Arial" w:eastAsia="Arial"/>
          <w:spacing w:val="-60"/>
          <w:sz w:val="27"/>
        </w:rPr>
        <w:t>b</w:t>
      </w:r>
      <w:r>
        <w:rPr>
          <w:spacing w:val="-7"/>
        </w:rPr>
        <w:t>．因刑 事案件 遭超訴的情形 。此因 一遭超訴 </w:t>
      </w:r>
      <w:r>
        <w:rPr>
          <w:w w:val="95"/>
        </w:rPr>
        <w:t>，</w:t>
      </w:r>
      <w:r>
        <w:rPr>
          <w:spacing w:val="-116"/>
          <w:w w:val="95"/>
        </w:rPr>
        <w:t> </w:t>
      </w:r>
      <w:r>
        <w:rPr>
          <w:w w:val="105"/>
        </w:rPr>
        <w:t>則其正常服勤務將有困難者，且因遭超訴者，其執行公務公正性亦將發生 </w:t>
      </w:r>
      <w:r>
        <w:rPr>
          <w:spacing w:val="15"/>
          <w:w w:val="105"/>
        </w:rPr>
        <w:t> </w:t>
      </w:r>
      <w:r>
        <w:rPr>
          <w:w w:val="105"/>
        </w:rPr>
        <w:t>質疑，直到一定判決結果作成前，應停止其職務者。因此，此項事由與其 </w:t>
      </w:r>
      <w:r>
        <w:rPr>
          <w:spacing w:val="15"/>
          <w:w w:val="105"/>
        </w:rPr>
        <w:t> </w:t>
      </w:r>
      <w:r>
        <w:rPr>
          <w:w w:val="105"/>
        </w:rPr>
        <w:t>職員是否有罪或蕪罪全然無關。</w:t>
      </w:r>
    </w:p>
    <w:p>
      <w:pPr>
        <w:pStyle w:val="ListParagraph"/>
        <w:numPr>
          <w:ilvl w:val="0"/>
          <w:numId w:val="7"/>
        </w:numPr>
        <w:tabs>
          <w:tab w:pos="1041" w:val="left" w:leader="none"/>
        </w:tabs>
        <w:spacing w:line="240" w:lineRule="auto" w:before="64" w:after="0"/>
        <w:ind w:left="1040" w:right="0" w:hanging="743"/>
        <w:jc w:val="left"/>
        <w:rPr>
          <w:sz w:val="25"/>
        </w:rPr>
      </w:pPr>
      <w:r>
        <w:rPr>
          <w:w w:val="110"/>
          <w:sz w:val="25"/>
        </w:rPr>
        <w:t>自願休職</w:t>
      </w:r>
    </w:p>
    <w:p>
      <w:pPr>
        <w:pStyle w:val="BodyText"/>
        <w:spacing w:line="328" w:lineRule="auto" w:before="233"/>
        <w:ind w:left="307" w:right="494" w:firstLine="568"/>
        <w:jc w:val="both"/>
      </w:pPr>
      <w:r>
        <w:rPr>
          <w:w w:val="110"/>
        </w:rPr>
        <w:t>不合於分限處分的休職事由，由職員自行提出休職申請者，其非法所</w:t>
      </w:r>
      <w:r>
        <w:rPr>
          <w:w w:val="105"/>
        </w:rPr>
        <w:t>預定的情形，依法不受承認，但職員本人希望休職，任命權人認有其必要，</w:t>
      </w:r>
      <w:r>
        <w:rPr>
          <w:spacing w:val="1"/>
          <w:w w:val="105"/>
        </w:rPr>
        <w:t> </w:t>
      </w:r>
      <w:r>
        <w:rPr>
          <w:w w:val="110"/>
        </w:rPr>
        <w:t>日本最高法院則認為此項處分應非無效。</w:t>
      </w:r>
    </w:p>
    <w:p>
      <w:pPr>
        <w:pStyle w:val="ListParagraph"/>
        <w:numPr>
          <w:ilvl w:val="0"/>
          <w:numId w:val="7"/>
        </w:numPr>
        <w:tabs>
          <w:tab w:pos="1026" w:val="left" w:leader="none"/>
        </w:tabs>
        <w:spacing w:line="240" w:lineRule="auto" w:before="71" w:after="0"/>
        <w:ind w:left="1025" w:right="0" w:hanging="728"/>
        <w:jc w:val="left"/>
        <w:rPr>
          <w:sz w:val="25"/>
        </w:rPr>
      </w:pPr>
      <w:r>
        <w:rPr>
          <w:w w:val="110"/>
          <w:sz w:val="25"/>
        </w:rPr>
        <w:t>休職期間的薪俸</w:t>
      </w:r>
    </w:p>
    <w:p>
      <w:pPr>
        <w:pStyle w:val="BodyText"/>
        <w:spacing w:line="331" w:lineRule="auto" w:before="233"/>
        <w:ind w:left="319" w:right="510" w:firstLine="550"/>
        <w:jc w:val="both"/>
      </w:pPr>
      <w:r>
        <w:rPr>
          <w:w w:val="110"/>
        </w:rPr>
        <w:t>雖然基於所謂「無工作無支給」的原則，但如上所述及的休職事由，</w:t>
      </w:r>
      <w:r>
        <w:rPr>
          <w:spacing w:val="-136"/>
          <w:w w:val="110"/>
        </w:rPr>
        <w:t> </w:t>
      </w:r>
      <w:r>
        <w:rPr>
          <w:w w:val="110"/>
        </w:rPr>
        <w:t>因未必限於應歸責於本人者，是以通常在休職期間，係以減少薪俸支玲之方式行之。減俸事由，國家公務員依人事院規則，地方公務員則依各地方自治圍體自治條例之規定。</w:t>
      </w:r>
    </w:p>
    <w:p>
      <w:pPr>
        <w:pStyle w:val="ListParagraph"/>
        <w:numPr>
          <w:ilvl w:val="0"/>
          <w:numId w:val="7"/>
        </w:numPr>
        <w:tabs>
          <w:tab w:pos="1036" w:val="left" w:leader="none"/>
        </w:tabs>
        <w:spacing w:line="240" w:lineRule="auto" w:before="47" w:after="0"/>
        <w:ind w:left="1035" w:right="0" w:hanging="738"/>
        <w:jc w:val="left"/>
        <w:rPr>
          <w:sz w:val="25"/>
        </w:rPr>
      </w:pPr>
      <w:r>
        <w:rPr>
          <w:w w:val="110"/>
          <w:sz w:val="25"/>
        </w:rPr>
        <w:t>分限處分與失職的差異</w:t>
      </w:r>
    </w:p>
    <w:p>
      <w:pPr>
        <w:pStyle w:val="BodyText"/>
        <w:spacing w:line="331" w:lineRule="auto" w:before="234"/>
        <w:ind w:left="303" w:right="523" w:firstLine="560"/>
        <w:jc w:val="both"/>
      </w:pPr>
      <w:r>
        <w:rPr>
          <w:w w:val="110"/>
        </w:rPr>
        <w:t>職員該噹於不適格之情況，除在人事院規則或該噹地方自治圍體自治條例所定之情形者外，無須任命權人作成任何處分，噹然失職。此意義下的失職，與因任命権人所為免職考績處分不同。任用於該當以下事項時，</w:t>
      </w:r>
    </w:p>
    <w:p>
      <w:pPr>
        <w:pStyle w:val="BodyText"/>
        <w:spacing w:line="354" w:lineRule="exact"/>
        <w:ind w:left="313"/>
      </w:pPr>
      <w:r>
        <w:rPr>
          <w:w w:val="105"/>
        </w:rPr>
        <w:t>不得成為職員。此種不適格之情形，包含</w:t>
      </w:r>
      <w:r>
        <w:rPr>
          <w:rFonts w:ascii="MS UI Gothic" w:hAnsi="MS UI Gothic" w:eastAsia="MS UI Gothic" w:hint="eastAsia"/>
          <w:spacing w:val="-9"/>
          <w:w w:val="105"/>
          <w:position w:val="-2"/>
          <w:sz w:val="28"/>
        </w:rPr>
        <w:t>① </w:t>
      </w:r>
      <w:r>
        <w:rPr>
          <w:spacing w:val="2"/>
          <w:w w:val="105"/>
        </w:rPr>
        <w:t>受監護或輔助宣告之人。  </w:t>
      </w:r>
      <w:r>
        <w:rPr>
          <w:rFonts w:ascii="MS UI Gothic" w:hAnsi="MS UI Gothic" w:eastAsia="MS UI Gothic" w:hint="eastAsia"/>
          <w:spacing w:val="28"/>
          <w:w w:val="105"/>
          <w:position w:val="-2"/>
          <w:sz w:val="28"/>
        </w:rPr>
        <w:t>②</w:t>
      </w:r>
      <w:r>
        <w:rPr>
          <w:w w:val="105"/>
        </w:rPr>
        <w:t>受</w:t>
      </w:r>
    </w:p>
    <w:p>
      <w:pPr>
        <w:pStyle w:val="BodyText"/>
        <w:spacing w:line="268" w:lineRule="auto" w:before="83"/>
        <w:ind w:left="314" w:right="584" w:firstLine="17"/>
      </w:pPr>
      <w:r>
        <w:rPr>
          <w:spacing w:val="2"/>
        </w:rPr>
        <w:t>禁錮以上刑者，直至其執行終了或未受執行者。    </w:t>
      </w:r>
      <w:r>
        <w:rPr>
          <w:rFonts w:ascii="MS UI Gothic" w:hAnsi="MS UI Gothic" w:eastAsia="MS UI Gothic" w:hint="eastAsia"/>
          <w:spacing w:val="28"/>
          <w:position w:val="-2"/>
          <w:sz w:val="28"/>
        </w:rPr>
        <w:t>③</w:t>
      </w:r>
      <w:r>
        <w:rPr/>
        <w:t>受免職懲戒處分，自處</w:t>
      </w:r>
      <w:r>
        <w:rPr>
          <w:spacing w:val="-5"/>
        </w:rPr>
        <w:t>分作成日 超尚未經過 </w:t>
      </w:r>
      <w:r>
        <w:rPr>
          <w:rFonts w:ascii="Times New Roman" w:hAnsi="Times New Roman" w:eastAsia="Times New Roman"/>
          <w:sz w:val="31"/>
        </w:rPr>
        <w:t>2</w:t>
      </w:r>
      <w:r>
        <w:rPr>
          <w:rFonts w:ascii="Times New Roman" w:hAnsi="Times New Roman" w:eastAsia="Times New Roman"/>
          <w:spacing w:val="14"/>
          <w:sz w:val="31"/>
        </w:rPr>
        <w:t> </w:t>
      </w:r>
      <w:r>
        <w:rPr>
          <w:spacing w:val="-9"/>
        </w:rPr>
        <w:t>年者 。</w:t>
      </w:r>
    </w:p>
    <w:p>
      <w:pPr>
        <w:pStyle w:val="BodyText"/>
        <w:spacing w:line="336" w:lineRule="auto" w:before="70"/>
        <w:ind w:left="307" w:right="522" w:firstLine="557"/>
      </w:pPr>
      <w:r>
        <w:rPr>
          <w:w w:val="110"/>
        </w:rPr>
        <w:t>於日本憲法紇行日以後，在日本憲法之下，加入或維織以主張暴力破壞已成立之政府之政黨者。</w:t>
      </w:r>
    </w:p>
    <w:p>
      <w:pPr>
        <w:spacing w:after="0" w:line="336" w:lineRule="auto"/>
        <w:sectPr>
          <w:pgSz w:w="11910" w:h="16840"/>
          <w:pgMar w:header="862" w:footer="1017" w:top="1060" w:bottom="1200" w:left="1120" w:right="1060"/>
        </w:sectPr>
      </w:pPr>
    </w:p>
    <w:p>
      <w:pPr>
        <w:pStyle w:val="BodyText"/>
        <w:rPr>
          <w:sz w:val="20"/>
        </w:rPr>
      </w:pPr>
    </w:p>
    <w:p>
      <w:pPr>
        <w:pStyle w:val="ListParagraph"/>
        <w:numPr>
          <w:ilvl w:val="0"/>
          <w:numId w:val="7"/>
        </w:numPr>
        <w:tabs>
          <w:tab w:pos="1044" w:val="left" w:leader="none"/>
        </w:tabs>
        <w:spacing w:line="240" w:lineRule="auto" w:before="250" w:after="0"/>
        <w:ind w:left="1043" w:right="0" w:hanging="746"/>
        <w:jc w:val="both"/>
        <w:rPr>
          <w:sz w:val="25"/>
        </w:rPr>
      </w:pPr>
      <w:r>
        <w:rPr>
          <w:w w:val="110"/>
          <w:sz w:val="25"/>
        </w:rPr>
        <w:t>日本最高法院的判例見解</w:t>
      </w:r>
    </w:p>
    <w:p>
      <w:pPr>
        <w:pStyle w:val="BodyText"/>
        <w:spacing w:line="321" w:lineRule="auto" w:before="228"/>
        <w:ind w:left="306" w:right="513" w:firstLine="568"/>
      </w:pPr>
      <w:r>
        <w:rPr>
          <w:w w:val="105"/>
        </w:rPr>
        <w:t>基於日本地方公務員法，其縣教育委員會對小學校長所為之降等分限</w:t>
      </w:r>
      <w:r>
        <w:rPr>
          <w:spacing w:val="78"/>
          <w:w w:val="105"/>
        </w:rPr>
        <w:t> </w:t>
      </w:r>
      <w:r>
        <w:rPr>
          <w:spacing w:val="35"/>
          <w:w w:val="95"/>
        </w:rPr>
        <w:t>處分</w:t>
      </w:r>
      <w:r>
        <w:rPr>
          <w:w w:val="80"/>
        </w:rPr>
        <w:t>，</w:t>
      </w:r>
      <w:r>
        <w:rPr>
          <w:spacing w:val="20"/>
          <w:w w:val="95"/>
        </w:rPr>
        <w:t>其撤銷訴訟</w:t>
      </w:r>
      <w:r>
        <w:rPr>
          <w:w w:val="80"/>
        </w:rPr>
        <w:t>，</w:t>
      </w:r>
      <w:r>
        <w:rPr>
          <w:spacing w:val="-3"/>
          <w:w w:val="95"/>
        </w:rPr>
        <w:t>日 本最高法院 於 </w:t>
      </w:r>
      <w:r>
        <w:rPr>
          <w:rFonts w:ascii="Times New Roman" w:eastAsia="Times New Roman"/>
          <w:w w:val="95"/>
          <w:sz w:val="30"/>
        </w:rPr>
        <w:t>1973</w:t>
      </w:r>
      <w:r>
        <w:rPr>
          <w:rFonts w:ascii="Times New Roman" w:eastAsia="Times New Roman"/>
          <w:spacing w:val="16"/>
          <w:w w:val="95"/>
          <w:sz w:val="30"/>
        </w:rPr>
        <w:t> </w:t>
      </w:r>
      <w:r>
        <w:rPr>
          <w:spacing w:val="-9"/>
          <w:w w:val="95"/>
          <w:sz w:val="24"/>
        </w:rPr>
        <w:t>年 </w:t>
      </w:r>
      <w:r>
        <w:rPr>
          <w:rFonts w:ascii="Times New Roman" w:eastAsia="Times New Roman"/>
          <w:w w:val="95"/>
          <w:sz w:val="30"/>
        </w:rPr>
        <w:t>9</w:t>
      </w:r>
      <w:r>
        <w:rPr>
          <w:rFonts w:ascii="Times New Roman" w:eastAsia="Times New Roman"/>
          <w:spacing w:val="52"/>
          <w:w w:val="95"/>
          <w:sz w:val="30"/>
        </w:rPr>
        <w:t> </w:t>
      </w:r>
      <w:r>
        <w:rPr>
          <w:spacing w:val="-2"/>
          <w:w w:val="95"/>
        </w:rPr>
        <w:t>月 </w:t>
      </w:r>
      <w:r>
        <w:rPr>
          <w:rFonts w:ascii="Times New Roman" w:eastAsia="Times New Roman"/>
          <w:w w:val="95"/>
          <w:sz w:val="30"/>
        </w:rPr>
        <w:t>14</w:t>
      </w:r>
      <w:r>
        <w:rPr>
          <w:rFonts w:ascii="Times New Roman" w:eastAsia="Times New Roman"/>
          <w:spacing w:val="34"/>
          <w:w w:val="95"/>
          <w:sz w:val="30"/>
        </w:rPr>
        <w:t> </w:t>
      </w:r>
      <w:r>
        <w:rPr>
          <w:spacing w:val="5"/>
          <w:w w:val="95"/>
        </w:rPr>
        <w:t>日 作出如下之判斷</w:t>
      </w:r>
      <w:r>
        <w:rPr>
          <w:rFonts w:ascii="Times New Roman" w:eastAsia="Times New Roman"/>
          <w:w w:val="80"/>
          <w:sz w:val="14"/>
        </w:rPr>
        <w:t>1 58</w:t>
      </w:r>
      <w:r>
        <w:rPr>
          <w:rFonts w:ascii="Times New Roman" w:eastAsia="Times New Roman"/>
          <w:spacing w:val="50"/>
          <w:sz w:val="14"/>
        </w:rPr>
        <w:t> </w:t>
      </w:r>
      <w:r>
        <w:rPr>
          <w:rFonts w:ascii="Arial" w:eastAsia="Arial"/>
          <w:w w:val="95"/>
          <w:sz w:val="8"/>
        </w:rPr>
        <w:t>0</w:t>
      </w:r>
      <w:r>
        <w:rPr>
          <w:rFonts w:ascii="Arial" w:eastAsia="Arial"/>
          <w:spacing w:val="1"/>
          <w:w w:val="95"/>
          <w:sz w:val="8"/>
        </w:rPr>
        <w:t> </w:t>
      </w:r>
      <w:r>
        <w:rPr>
          <w:w w:val="105"/>
        </w:rPr>
        <w:t>首先，就有關任命權人之裁量之部分，公務員的任命権人在作成分限處分</w:t>
      </w:r>
      <w:r>
        <w:rPr>
          <w:spacing w:val="118"/>
          <w:w w:val="105"/>
        </w:rPr>
        <w:t> </w:t>
      </w:r>
      <w:r>
        <w:rPr>
          <w:w w:val="105"/>
        </w:rPr>
        <w:t>時，要做出如何之處分乃委由任命權人之裁量。而此處所謂裁量範疇，日</w:t>
      </w:r>
      <w:r>
        <w:rPr>
          <w:spacing w:val="118"/>
          <w:w w:val="105"/>
        </w:rPr>
        <w:t> </w:t>
      </w:r>
      <w:r>
        <w:rPr>
          <w:w w:val="105"/>
        </w:rPr>
        <w:t>本最高法院於判決中，認為其並非委由任命権人自由裁量，判決中指出：</w:t>
      </w:r>
    </w:p>
    <w:p>
      <w:pPr>
        <w:pStyle w:val="BodyText"/>
        <w:spacing w:line="331" w:lineRule="auto" w:before="17"/>
        <w:ind w:left="307" w:right="493" w:firstLine="111"/>
        <w:jc w:val="both"/>
      </w:pPr>
      <w:r>
        <w:rPr>
          <w:w w:val="110"/>
        </w:rPr>
        <w:t>「有關分限處分，儘管相噹程度承認任命權人之裁量権，惟實非全然委諸其自由裁量，其噹然不容許基於與考績制度目的無關之目的與動機而作成考績處分，亦不允許就處分是猶有無之判斷恣意為之，或漏未考量應考慮之事項，或紐入本不應加以考量之事項。另外，其判斷逾越合理性之容許限度時，即不能免除其裁量楫錯誤行使之違法情事。」</w:t>
      </w:r>
    </w:p>
    <w:p>
      <w:pPr>
        <w:pStyle w:val="BodyText"/>
        <w:spacing w:line="311" w:lineRule="exact"/>
        <w:ind w:left="878"/>
        <w:rPr>
          <w:rFonts w:ascii="Times New Roman" w:eastAsia="Times New Roman"/>
          <w:sz w:val="30"/>
        </w:rPr>
      </w:pPr>
      <w:r>
        <w:rPr>
          <w:spacing w:val="-10"/>
          <w:w w:val="95"/>
        </w:rPr>
        <w:t>其次 ， 就公務員 欠缺適格性 ， 日 本地方公務 員 法第 </w:t>
      </w:r>
      <w:r>
        <w:rPr>
          <w:rFonts w:ascii="Times New Roman" w:eastAsia="Times New Roman"/>
          <w:w w:val="95"/>
          <w:sz w:val="30"/>
        </w:rPr>
        <w:t>28</w:t>
      </w:r>
      <w:r>
        <w:rPr>
          <w:rFonts w:ascii="Times New Roman" w:eastAsia="Times New Roman"/>
          <w:spacing w:val="5"/>
          <w:w w:val="95"/>
          <w:sz w:val="30"/>
        </w:rPr>
        <w:t> </w:t>
      </w:r>
      <w:r>
        <w:rPr>
          <w:spacing w:val="13"/>
          <w:w w:val="95"/>
        </w:rPr>
        <w:t>條第 </w:t>
      </w:r>
      <w:r>
        <w:rPr>
          <w:rFonts w:ascii="Times New Roman" w:eastAsia="Times New Roman"/>
          <w:w w:val="95"/>
          <w:sz w:val="30"/>
        </w:rPr>
        <w:t>l</w:t>
      </w:r>
      <w:r>
        <w:rPr>
          <w:rFonts w:ascii="Times New Roman" w:eastAsia="Times New Roman"/>
          <w:spacing w:val="63"/>
          <w:w w:val="95"/>
          <w:sz w:val="30"/>
        </w:rPr>
        <w:t> </w:t>
      </w:r>
      <w:r>
        <w:rPr>
          <w:spacing w:val="15"/>
          <w:w w:val="95"/>
        </w:rPr>
        <w:t>項第 </w:t>
      </w:r>
      <w:r>
        <w:rPr>
          <w:rFonts w:ascii="Times New Roman" w:eastAsia="Times New Roman"/>
          <w:w w:val="95"/>
          <w:sz w:val="30"/>
        </w:rPr>
        <w:t>3</w:t>
      </w:r>
    </w:p>
    <w:p>
      <w:pPr>
        <w:pStyle w:val="BodyText"/>
        <w:spacing w:line="331" w:lineRule="auto" w:before="122"/>
        <w:ind w:left="298" w:right="485" w:firstLine="12"/>
      </w:pPr>
      <w:r>
        <w:rPr>
          <w:w w:val="110"/>
        </w:rPr>
        <w:t>款雖規定「欠缺其職位所必要之適格性之情形」，不過該如何進行具體，</w:t>
      </w:r>
      <w:r>
        <w:rPr>
          <w:spacing w:val="-135"/>
          <w:w w:val="110"/>
        </w:rPr>
        <w:t> </w:t>
      </w:r>
      <w:r>
        <w:rPr>
          <w:spacing w:val="21"/>
          <w:w w:val="95"/>
        </w:rPr>
        <w:t>仍有大幅之解釋空間 </w:t>
      </w:r>
      <w:r>
        <w:rPr>
          <w:spacing w:val="-17"/>
          <w:w w:val="80"/>
        </w:rPr>
        <w:t>， </w:t>
      </w:r>
      <w:r>
        <w:rPr>
          <w:spacing w:val="5"/>
          <w:w w:val="95"/>
        </w:rPr>
        <w:t>日 本最高院 就此點指出</w:t>
      </w:r>
      <w:r>
        <w:rPr>
          <w:rFonts w:ascii="Times New Roman" w:eastAsia="Times New Roman"/>
          <w:w w:val="80"/>
          <w:sz w:val="14"/>
        </w:rPr>
        <w:t>1</w:t>
      </w:r>
      <w:r>
        <w:rPr>
          <w:rFonts w:ascii="Times New Roman" w:eastAsia="Times New Roman"/>
          <w:spacing w:val="12"/>
          <w:w w:val="80"/>
          <w:sz w:val="14"/>
        </w:rPr>
        <w:t> </w:t>
      </w:r>
      <w:r>
        <w:rPr>
          <w:rFonts w:ascii="Times New Roman" w:eastAsia="Times New Roman"/>
          <w:w w:val="80"/>
          <w:sz w:val="14"/>
        </w:rPr>
        <w:t>59</w:t>
      </w:r>
      <w:r>
        <w:rPr>
          <w:rFonts w:ascii="Times New Roman" w:eastAsia="Times New Roman"/>
          <w:spacing w:val="24"/>
          <w:sz w:val="14"/>
        </w:rPr>
        <w:t>   </w:t>
      </w:r>
      <w:r>
        <w:rPr>
          <w:rFonts w:ascii="Times New Roman" w:eastAsia="Times New Roman"/>
          <w:w w:val="80"/>
          <w:sz w:val="14"/>
        </w:rPr>
        <w:t>:</w:t>
      </w:r>
      <w:r>
        <w:rPr>
          <w:rFonts w:ascii="Times New Roman" w:eastAsia="Times New Roman"/>
          <w:spacing w:val="58"/>
          <w:sz w:val="14"/>
        </w:rPr>
        <w:t> </w:t>
      </w:r>
      <w:r>
        <w:rPr>
          <w:spacing w:val="43"/>
          <w:w w:val="80"/>
        </w:rPr>
        <w:t>「 </w:t>
      </w:r>
      <w:r>
        <w:rPr>
          <w:spacing w:val="8"/>
          <w:w w:val="95"/>
        </w:rPr>
        <w:t>所謂『 欠缺其職位所</w:t>
      </w:r>
      <w:r>
        <w:rPr>
          <w:w w:val="110"/>
        </w:rPr>
        <w:t>必要之適格性之情形』，該職員具有難以矯正之持續性素質、能力、性格等人格特質，而生有其職務上遂行之障礙，又謂得認為發生障礙之高度蓋然性之情形，於此意義下，其適格性之有無，僅得依該職員外部所顯現之行動、呈現之態度加以判斷。其情形，就個別行為背景、態度，噹應依照</w:t>
      </w:r>
      <w:r>
        <w:rPr>
          <w:w w:val="105"/>
        </w:rPr>
        <w:t>其性質、態樣丶背景、狀況等諸般情事而為評價，並應就此一連串之行動丶</w:t>
      </w:r>
      <w:r>
        <w:rPr>
          <w:spacing w:val="1"/>
          <w:w w:val="105"/>
        </w:rPr>
        <w:t> </w:t>
      </w:r>
      <w:r>
        <w:rPr>
          <w:w w:val="110"/>
        </w:rPr>
        <w:t>態度為相互性有機性關聯性之評價。更且，亦須考量該職員之經歷與性</w:t>
      </w:r>
      <w:r>
        <w:rPr>
          <w:spacing w:val="10"/>
          <w:w w:val="110"/>
        </w:rPr>
        <w:t> </w:t>
      </w:r>
      <w:r>
        <w:rPr>
          <w:w w:val="110"/>
        </w:rPr>
        <w:t>格、社會環境等一般性要素之必要，而在此些諸般要素予以綜合檢討之</w:t>
      </w:r>
      <w:r>
        <w:rPr>
          <w:spacing w:val="10"/>
          <w:w w:val="110"/>
        </w:rPr>
        <w:t> </w:t>
      </w:r>
      <w:r>
        <w:rPr>
          <w:w w:val="110"/>
        </w:rPr>
        <w:t>上，應判斷與要求該職位之一般適格性要件，其關聯性。」</w:t>
      </w:r>
    </w:p>
    <w:p>
      <w:pPr>
        <w:pStyle w:val="BodyText"/>
        <w:spacing w:before="82"/>
        <w:ind w:left="3424"/>
      </w:pPr>
      <w:r>
        <w:rPr>
          <w:w w:val="110"/>
        </w:rPr>
        <w:t>（二）申訴之提超主髖</w:t>
      </w:r>
    </w:p>
    <w:p>
      <w:pPr>
        <w:pStyle w:val="BodyText"/>
        <w:spacing w:before="9"/>
        <w:rPr>
          <w:sz w:val="23"/>
        </w:rPr>
      </w:pPr>
    </w:p>
    <w:p>
      <w:pPr>
        <w:pStyle w:val="BodyText"/>
        <w:tabs>
          <w:tab w:pos="8647" w:val="left" w:leader="none"/>
        </w:tabs>
        <w:spacing w:line="316" w:lineRule="auto" w:before="1"/>
        <w:ind w:left="314" w:right="523" w:firstLine="549"/>
      </w:pPr>
      <w:r>
        <w:rPr/>
        <w:t>得提超不服申訴者，為受不利益處分的職員。但對於條件附有採用期   </w:t>
      </w:r>
      <w:r>
        <w:rPr>
          <w:spacing w:val="83"/>
        </w:rPr>
        <w:t> </w:t>
      </w:r>
      <w:r>
        <w:rPr>
          <w:spacing w:val="24"/>
          <w:w w:val="95"/>
        </w:rPr>
        <w:t>間</w:t>
      </w:r>
      <w:r>
        <w:rPr>
          <w:spacing w:val="16"/>
          <w:w w:val="95"/>
        </w:rPr>
        <w:t>的</w:t>
      </w:r>
      <w:r>
        <w:rPr>
          <w:spacing w:val="55"/>
          <w:w w:val="95"/>
        </w:rPr>
        <w:t>職</w:t>
      </w:r>
      <w:r>
        <w:rPr>
          <w:spacing w:val="38"/>
          <w:w w:val="95"/>
        </w:rPr>
        <w:t>員</w:t>
      </w:r>
      <w:r>
        <w:rPr>
          <w:spacing w:val="16"/>
          <w:w w:val="95"/>
        </w:rPr>
        <w:t>以</w:t>
      </w:r>
      <w:r>
        <w:rPr>
          <w:spacing w:val="15"/>
          <w:w w:val="95"/>
        </w:rPr>
        <w:t>及</w:t>
      </w:r>
      <w:r>
        <w:rPr>
          <w:spacing w:val="19"/>
          <w:w w:val="95"/>
        </w:rPr>
        <w:t>臨</w:t>
      </w:r>
      <w:r>
        <w:rPr>
          <w:w w:val="95"/>
        </w:rPr>
        <w:t>時</w:t>
      </w:r>
      <w:r>
        <w:rPr>
          <w:spacing w:val="25"/>
          <w:w w:val="95"/>
        </w:rPr>
        <w:t>任</w:t>
      </w:r>
      <w:r>
        <w:rPr>
          <w:spacing w:val="39"/>
          <w:w w:val="85"/>
        </w:rPr>
        <w:t>用</w:t>
      </w:r>
      <w:r>
        <w:rPr>
          <w:spacing w:val="13"/>
          <w:w w:val="95"/>
        </w:rPr>
        <w:t>的</w:t>
      </w:r>
      <w:r>
        <w:rPr>
          <w:spacing w:val="42"/>
          <w:w w:val="95"/>
        </w:rPr>
        <w:t>職</w:t>
      </w:r>
      <w:r>
        <w:rPr>
          <w:w w:val="95"/>
        </w:rPr>
        <w:t>員</w:t>
      </w:r>
      <w:r>
        <w:rPr>
          <w:spacing w:val="48"/>
          <w:w w:val="95"/>
        </w:rPr>
        <w:t> </w:t>
      </w:r>
      <w:r>
        <w:rPr>
          <w:w w:val="85"/>
        </w:rPr>
        <w:t>，</w:t>
      </w:r>
      <w:r>
        <w:rPr>
          <w:spacing w:val="-38"/>
          <w:w w:val="85"/>
        </w:rPr>
        <w:t> </w:t>
      </w:r>
      <w:r>
        <w:rPr>
          <w:spacing w:val="39"/>
          <w:w w:val="95"/>
        </w:rPr>
        <w:t>因</w:t>
      </w:r>
      <w:r>
        <w:rPr>
          <w:spacing w:val="24"/>
          <w:w w:val="95"/>
        </w:rPr>
        <w:t>無</w:t>
      </w:r>
      <w:r>
        <w:rPr>
          <w:w w:val="95"/>
        </w:rPr>
        <w:t>日本行</w:t>
      </w:r>
      <w:r>
        <w:rPr>
          <w:spacing w:val="97"/>
          <w:w w:val="95"/>
        </w:rPr>
        <w:t> </w:t>
      </w:r>
      <w:r>
        <w:rPr>
          <w:w w:val="95"/>
        </w:rPr>
        <w:t>政</w:t>
      </w:r>
      <w:r>
        <w:rPr>
          <w:spacing w:val="30"/>
          <w:w w:val="95"/>
        </w:rPr>
        <w:t>不</w:t>
      </w:r>
      <w:r>
        <w:rPr>
          <w:spacing w:val="44"/>
          <w:w w:val="95"/>
        </w:rPr>
        <w:t>服</w:t>
      </w:r>
      <w:r>
        <w:rPr>
          <w:spacing w:val="40"/>
          <w:w w:val="95"/>
        </w:rPr>
        <w:t>審</w:t>
      </w:r>
      <w:r>
        <w:rPr>
          <w:spacing w:val="23"/>
          <w:w w:val="95"/>
        </w:rPr>
        <w:t>查</w:t>
      </w:r>
      <w:r>
        <w:rPr>
          <w:w w:val="95"/>
        </w:rPr>
        <w:t>法</w:t>
      </w:r>
      <w:r>
        <w:rPr>
          <w:spacing w:val="50"/>
          <w:w w:val="95"/>
        </w:rPr>
        <w:t>的</w:t>
      </w:r>
      <w:r>
        <w:rPr>
          <w:spacing w:val="25"/>
          <w:w w:val="95"/>
        </w:rPr>
        <w:t>適</w:t>
      </w:r>
      <w:r>
        <w:rPr>
          <w:w w:val="95"/>
        </w:rPr>
        <w:t>用</w:t>
      </w:r>
      <w:r>
        <w:rPr>
          <w:rFonts w:ascii="Times New Roman" w:eastAsia="Times New Roman"/>
          <w:w w:val="75"/>
          <w:sz w:val="15"/>
        </w:rPr>
        <w:t>1</w:t>
      </w:r>
      <w:r>
        <w:rPr>
          <w:rFonts w:ascii="Times New Roman" w:eastAsia="Times New Roman"/>
          <w:spacing w:val="16"/>
          <w:w w:val="75"/>
          <w:sz w:val="15"/>
        </w:rPr>
        <w:t> </w:t>
      </w:r>
      <w:r>
        <w:rPr>
          <w:rFonts w:ascii="Times New Roman" w:eastAsia="Times New Roman"/>
          <w:w w:val="85"/>
          <w:sz w:val="15"/>
        </w:rPr>
        <w:t>60</w:t>
      </w:r>
      <w:r>
        <w:rPr>
          <w:rFonts w:ascii="Times New Roman" w:eastAsia="Times New Roman"/>
          <w:spacing w:val="70"/>
          <w:sz w:val="15"/>
        </w:rPr>
        <w:t> </w:t>
      </w:r>
      <w:r>
        <w:rPr>
          <w:rFonts w:ascii="Times New Roman" w:eastAsia="Times New Roman"/>
          <w:w w:val="95"/>
          <w:sz w:val="15"/>
        </w:rPr>
        <w:t>,</w:t>
        <w:tab/>
      </w:r>
      <w:r>
        <w:rPr>
          <w:spacing w:val="15"/>
        </w:rPr>
        <w:t>故</w:t>
      </w:r>
      <w:r>
        <w:rPr/>
        <w:t>不</w:t>
      </w:r>
    </w:p>
    <w:p>
      <w:pPr>
        <w:pStyle w:val="BodyText"/>
        <w:rPr>
          <w:sz w:val="20"/>
        </w:rPr>
      </w:pPr>
    </w:p>
    <w:p>
      <w:pPr>
        <w:pStyle w:val="BodyText"/>
        <w:spacing w:before="4"/>
        <w:rPr>
          <w:sz w:val="18"/>
        </w:rPr>
      </w:pPr>
      <w:r>
        <w:rPr/>
        <w:pict>
          <v:shape style="position:absolute;margin-left:95.174004pt;margin-top:14.110056pt;width:144.25pt;height:.1pt;mso-position-horizontal-relative:page;mso-position-vertical-relative:paragraph;z-index:-15580160;mso-wrap-distance-left:0;mso-wrap-distance-right:0" coordorigin="1903,282" coordsize="2885,0" path="m1903,282l4788,282e" filled="false" stroked="true" strokeweight=".720821pt" strokecolor="#000000">
            <v:path arrowok="t"/>
            <v:stroke dashstyle="solid"/>
            <w10:wrap type="topAndBottom"/>
          </v:shape>
        </w:pict>
      </w:r>
    </w:p>
    <w:p>
      <w:pPr>
        <w:pStyle w:val="BodyText"/>
        <w:spacing w:before="12"/>
        <w:rPr>
          <w:sz w:val="7"/>
        </w:rPr>
      </w:pPr>
    </w:p>
    <w:p>
      <w:pPr>
        <w:spacing w:before="89"/>
        <w:ind w:left="298" w:right="0" w:firstLine="0"/>
        <w:jc w:val="left"/>
        <w:rPr>
          <w:sz w:val="22"/>
        </w:rPr>
      </w:pPr>
      <w:r>
        <w:rPr>
          <w:rFonts w:ascii="Times New Roman" w:hAnsi="Times New Roman" w:eastAsia="Times New Roman"/>
          <w:w w:val="95"/>
          <w:position w:val="8"/>
          <w:sz w:val="13"/>
        </w:rPr>
        <w:t>158</w:t>
      </w:r>
      <w:r>
        <w:rPr>
          <w:rFonts w:ascii="Times New Roman" w:hAnsi="Times New Roman" w:eastAsia="Times New Roman"/>
          <w:spacing w:val="45"/>
          <w:position w:val="8"/>
          <w:sz w:val="13"/>
        </w:rPr>
        <w:t>  </w:t>
      </w:r>
      <w:r>
        <w:rPr>
          <w:w w:val="95"/>
          <w:sz w:val="21"/>
        </w:rPr>
        <w:t>日 本 最高法 浣第二 小法庭昭和</w:t>
      </w:r>
      <w:r>
        <w:rPr>
          <w:rFonts w:ascii="Times New Roman" w:hAnsi="Times New Roman" w:eastAsia="Times New Roman"/>
          <w:w w:val="95"/>
          <w:sz w:val="26"/>
        </w:rPr>
        <w:t>1973</w:t>
      </w:r>
      <w:r>
        <w:rPr>
          <w:w w:val="95"/>
          <w:sz w:val="22"/>
        </w:rPr>
        <w:t>年</w:t>
      </w:r>
      <w:r>
        <w:rPr>
          <w:rFonts w:ascii="Times New Roman" w:hAnsi="Times New Roman" w:eastAsia="Times New Roman"/>
          <w:w w:val="95"/>
          <w:sz w:val="26"/>
        </w:rPr>
        <w:t>9</w:t>
      </w:r>
      <w:r>
        <w:rPr>
          <w:rFonts w:ascii="Times New Roman" w:hAnsi="Times New Roman" w:eastAsia="Times New Roman"/>
          <w:spacing w:val="-29"/>
          <w:w w:val="95"/>
          <w:sz w:val="26"/>
        </w:rPr>
        <w:t> </w:t>
      </w:r>
      <w:r>
        <w:rPr>
          <w:spacing w:val="22"/>
          <w:w w:val="95"/>
          <w:sz w:val="21"/>
        </w:rPr>
        <w:t>月</w:t>
      </w:r>
      <w:r>
        <w:rPr>
          <w:rFonts w:ascii="Times New Roman" w:hAnsi="Times New Roman" w:eastAsia="Times New Roman"/>
          <w:w w:val="95"/>
          <w:sz w:val="26"/>
        </w:rPr>
        <w:t>14</w:t>
      </w:r>
      <w:r>
        <w:rPr>
          <w:spacing w:val="-5"/>
          <w:w w:val="95"/>
          <w:sz w:val="21"/>
        </w:rPr>
        <w:t>日 判決 ， 最判昭</w:t>
      </w:r>
      <w:r>
        <w:rPr>
          <w:rFonts w:ascii="Times New Roman" w:hAnsi="Times New Roman" w:eastAsia="Times New Roman"/>
          <w:w w:val="95"/>
          <w:sz w:val="26"/>
        </w:rPr>
        <w:t>48</w:t>
      </w:r>
      <w:r>
        <w:rPr>
          <w:rFonts w:ascii="Times New Roman" w:hAnsi="Times New Roman" w:eastAsia="Times New Roman"/>
          <w:spacing w:val="28"/>
          <w:w w:val="95"/>
          <w:sz w:val="26"/>
        </w:rPr>
        <w:t> • </w:t>
      </w:r>
      <w:r>
        <w:rPr>
          <w:rFonts w:ascii="Times New Roman" w:hAnsi="Times New Roman" w:eastAsia="Times New Roman"/>
          <w:w w:val="95"/>
          <w:sz w:val="26"/>
        </w:rPr>
        <w:t>9</w:t>
      </w:r>
      <w:r>
        <w:rPr>
          <w:rFonts w:ascii="Times New Roman" w:hAnsi="Times New Roman" w:eastAsia="Times New Roman"/>
          <w:spacing w:val="23"/>
          <w:w w:val="95"/>
          <w:sz w:val="26"/>
        </w:rPr>
        <w:t> • </w:t>
      </w:r>
      <w:r>
        <w:rPr>
          <w:rFonts w:ascii="Times New Roman" w:hAnsi="Times New Roman" w:eastAsia="Times New Roman"/>
          <w:w w:val="95"/>
          <w:sz w:val="26"/>
        </w:rPr>
        <w:t>14</w:t>
      </w:r>
      <w:r>
        <w:rPr>
          <w:spacing w:val="22"/>
          <w:w w:val="95"/>
          <w:sz w:val="22"/>
        </w:rPr>
        <w:t>民集</w:t>
      </w:r>
      <w:r>
        <w:rPr>
          <w:rFonts w:ascii="Times New Roman" w:hAnsi="Times New Roman" w:eastAsia="Times New Roman"/>
          <w:w w:val="95"/>
          <w:sz w:val="26"/>
        </w:rPr>
        <w:t>27</w:t>
      </w:r>
      <w:r>
        <w:rPr>
          <w:rFonts w:ascii="Times New Roman" w:hAnsi="Times New Roman" w:eastAsia="Times New Roman"/>
          <w:spacing w:val="-30"/>
          <w:w w:val="95"/>
          <w:sz w:val="26"/>
        </w:rPr>
        <w:t> </w:t>
      </w:r>
      <w:r>
        <w:rPr>
          <w:w w:val="95"/>
          <w:sz w:val="22"/>
        </w:rPr>
        <w:t>卷</w:t>
      </w:r>
      <w:r>
        <w:rPr>
          <w:rFonts w:ascii="Times New Roman" w:hAnsi="Times New Roman" w:eastAsia="Times New Roman"/>
          <w:spacing w:val="11"/>
          <w:w w:val="95"/>
          <w:sz w:val="26"/>
        </w:rPr>
        <w:t>8</w:t>
      </w:r>
      <w:r>
        <w:rPr>
          <w:w w:val="95"/>
          <w:sz w:val="22"/>
        </w:rPr>
        <w:t>芳</w:t>
      </w:r>
    </w:p>
    <w:p>
      <w:pPr>
        <w:spacing w:after="0"/>
        <w:jc w:val="left"/>
        <w:rPr>
          <w:sz w:val="22"/>
        </w:rPr>
        <w:sectPr>
          <w:pgSz w:w="11910" w:h="16840"/>
          <w:pgMar w:header="862" w:footer="1017" w:top="1060" w:bottom="1200" w:left="1120" w:right="1060"/>
        </w:sectPr>
      </w:pPr>
    </w:p>
    <w:p>
      <w:pPr>
        <w:spacing w:line="264" w:lineRule="auto" w:before="0"/>
        <w:ind w:left="523" w:right="0" w:hanging="16"/>
        <w:jc w:val="left"/>
        <w:rPr>
          <w:sz w:val="22"/>
        </w:rPr>
      </w:pPr>
      <w:r>
        <w:rPr>
          <w:rFonts w:ascii="Times New Roman" w:eastAsia="Times New Roman"/>
          <w:w w:val="90"/>
          <w:sz w:val="26"/>
        </w:rPr>
        <w:t>925</w:t>
      </w:r>
      <w:r>
        <w:rPr>
          <w:rFonts w:ascii="Times New Roman" w:eastAsia="Times New Roman"/>
          <w:spacing w:val="-3"/>
          <w:w w:val="90"/>
          <w:sz w:val="26"/>
        </w:rPr>
        <w:t> </w:t>
      </w:r>
      <w:r>
        <w:rPr>
          <w:w w:val="90"/>
          <w:sz w:val="22"/>
        </w:rPr>
        <w:t>頁（</w:t>
      </w:r>
      <w:r>
        <w:rPr>
          <w:spacing w:val="8"/>
          <w:w w:val="90"/>
          <w:sz w:val="22"/>
        </w:rPr>
        <w:t> 広島県公 立小孛校長降任判決</w:t>
      </w:r>
      <w:r>
        <w:rPr>
          <w:w w:val="90"/>
          <w:sz w:val="22"/>
        </w:rPr>
        <w:t>）</w:t>
      </w:r>
      <w:r>
        <w:rPr>
          <w:spacing w:val="-3"/>
          <w:w w:val="90"/>
          <w:sz w:val="22"/>
        </w:rPr>
        <w:t>。參見： 藤田宙靖 ， 前揭書 ， 註</w:t>
      </w:r>
      <w:r>
        <w:rPr>
          <w:rFonts w:ascii="Times New Roman" w:eastAsia="Times New Roman"/>
          <w:w w:val="90"/>
          <w:sz w:val="26"/>
        </w:rPr>
        <w:t>4,0</w:t>
      </w:r>
      <w:r>
        <w:rPr>
          <w:rFonts w:ascii="Times New Roman" w:eastAsia="Times New Roman"/>
          <w:spacing w:val="-56"/>
          <w:w w:val="90"/>
          <w:sz w:val="26"/>
        </w:rPr>
        <w:t> </w:t>
      </w:r>
      <w:r>
        <w:rPr>
          <w:sz w:val="22"/>
        </w:rPr>
        <w:t>頁。</w:t>
      </w:r>
    </w:p>
    <w:p>
      <w:pPr>
        <w:pStyle w:val="Heading6"/>
        <w:spacing w:line="298" w:lineRule="exact" w:before="0"/>
        <w:ind w:left="195"/>
      </w:pPr>
      <w:r>
        <w:rPr/>
        <w:br w:type="column"/>
      </w:r>
      <w:r>
        <w:rPr/>
        <w:t>318-319</w:t>
      </w:r>
    </w:p>
    <w:p>
      <w:pPr>
        <w:spacing w:after="0" w:line="298" w:lineRule="exact"/>
        <w:sectPr>
          <w:type w:val="continuous"/>
          <w:pgSz w:w="11910" w:h="16840"/>
          <w:pgMar w:top="1020" w:bottom="280" w:left="1120" w:right="1060"/>
          <w:cols w:num="2" w:equalWidth="0">
            <w:col w:w="8128" w:space="40"/>
            <w:col w:w="1562"/>
          </w:cols>
        </w:sectPr>
      </w:pPr>
    </w:p>
    <w:p>
      <w:pPr>
        <w:spacing w:before="30"/>
        <w:ind w:left="298" w:right="0" w:firstLine="0"/>
        <w:jc w:val="left"/>
        <w:rPr>
          <w:rFonts w:ascii="Times New Roman"/>
          <w:sz w:val="13"/>
        </w:rPr>
      </w:pPr>
      <w:r>
        <w:rPr>
          <w:rFonts w:ascii="Times New Roman"/>
          <w:sz w:val="13"/>
        </w:rPr>
        <w:t>159</w:t>
      </w:r>
    </w:p>
    <w:p>
      <w:pPr>
        <w:pStyle w:val="BodyText"/>
        <w:spacing w:before="1"/>
        <w:rPr>
          <w:rFonts w:ascii="Times New Roman"/>
          <w:sz w:val="14"/>
        </w:rPr>
      </w:pPr>
    </w:p>
    <w:p>
      <w:pPr>
        <w:spacing w:before="1"/>
        <w:ind w:left="298" w:right="0" w:firstLine="0"/>
        <w:jc w:val="left"/>
        <w:rPr>
          <w:rFonts w:ascii="Times New Roman"/>
          <w:sz w:val="13"/>
        </w:rPr>
      </w:pPr>
      <w:r>
        <w:rPr>
          <w:rFonts w:ascii="Times New Roman"/>
          <w:sz w:val="13"/>
        </w:rPr>
        <w:t>160</w:t>
      </w:r>
    </w:p>
    <w:p>
      <w:pPr>
        <w:spacing w:line="283" w:lineRule="exact" w:before="0"/>
        <w:ind w:left="93" w:right="0" w:firstLine="0"/>
        <w:jc w:val="left"/>
        <w:rPr>
          <w:rFonts w:ascii="Times New Roman" w:eastAsia="Times New Roman"/>
          <w:sz w:val="26"/>
        </w:rPr>
      </w:pPr>
      <w:r>
        <w:rPr/>
        <w:br w:type="column"/>
      </w:r>
      <w:r>
        <w:rPr>
          <w:spacing w:val="-5"/>
          <w:w w:val="90"/>
          <w:sz w:val="22"/>
        </w:rPr>
        <w:t>參見： 藤田宙靖 ， 前揭書 ， 註</w:t>
      </w:r>
      <w:r>
        <w:rPr>
          <w:rFonts w:ascii="Times New Roman" w:eastAsia="Times New Roman"/>
          <w:w w:val="90"/>
          <w:sz w:val="26"/>
        </w:rPr>
        <w:t>4,0</w:t>
      </w:r>
    </w:p>
    <w:p>
      <w:pPr>
        <w:spacing w:before="12"/>
        <w:ind w:left="104" w:right="0" w:firstLine="0"/>
        <w:jc w:val="left"/>
        <w:rPr>
          <w:sz w:val="22"/>
        </w:rPr>
      </w:pPr>
      <w:r>
        <w:rPr>
          <w:spacing w:val="-3"/>
          <w:w w:val="90"/>
          <w:sz w:val="21"/>
        </w:rPr>
        <w:t>日本 地 方公務 員 法第</w:t>
      </w:r>
      <w:r>
        <w:rPr>
          <w:rFonts w:ascii="Times New Roman" w:eastAsia="Times New Roman"/>
          <w:spacing w:val="10"/>
          <w:w w:val="90"/>
          <w:sz w:val="26"/>
        </w:rPr>
        <w:t>29</w:t>
      </w:r>
      <w:r>
        <w:rPr>
          <w:spacing w:val="-17"/>
          <w:w w:val="90"/>
          <w:sz w:val="21"/>
        </w:rPr>
        <w:t>條 之 </w:t>
      </w:r>
      <w:r>
        <w:rPr>
          <w:rFonts w:ascii="Times New Roman" w:eastAsia="Times New Roman"/>
          <w:w w:val="90"/>
          <w:sz w:val="26"/>
        </w:rPr>
        <w:t>2</w:t>
      </w:r>
      <w:r>
        <w:rPr>
          <w:rFonts w:ascii="Times New Roman" w:eastAsia="Times New Roman"/>
          <w:spacing w:val="10"/>
          <w:w w:val="90"/>
          <w:sz w:val="26"/>
        </w:rPr>
        <w:t> </w:t>
      </w:r>
      <w:r>
        <w:rPr>
          <w:w w:val="90"/>
          <w:sz w:val="22"/>
        </w:rPr>
        <w:t>。</w:t>
      </w:r>
    </w:p>
    <w:p>
      <w:pPr>
        <w:spacing w:line="283" w:lineRule="exact" w:before="0"/>
        <w:ind w:left="210" w:right="0" w:firstLine="0"/>
        <w:jc w:val="left"/>
        <w:rPr>
          <w:sz w:val="22"/>
        </w:rPr>
      </w:pPr>
      <w:r>
        <w:rPr/>
        <w:br w:type="column"/>
      </w:r>
      <w:r>
        <w:rPr>
          <w:rFonts w:ascii="Times New Roman" w:eastAsia="Times New Roman"/>
          <w:w w:val="90"/>
          <w:sz w:val="26"/>
        </w:rPr>
        <w:t>318-</w:t>
      </w:r>
      <w:r>
        <w:rPr>
          <w:rFonts w:ascii="Times New Roman" w:eastAsia="Times New Roman"/>
          <w:spacing w:val="-27"/>
          <w:w w:val="90"/>
          <w:sz w:val="26"/>
        </w:rPr>
        <w:t> </w:t>
      </w:r>
      <w:r>
        <w:rPr>
          <w:rFonts w:ascii="Times New Roman" w:eastAsia="Times New Roman"/>
          <w:w w:val="90"/>
          <w:sz w:val="26"/>
        </w:rPr>
        <w:t>319</w:t>
      </w:r>
      <w:r>
        <w:rPr>
          <w:spacing w:val="8"/>
          <w:w w:val="90"/>
          <w:sz w:val="22"/>
        </w:rPr>
        <w:t>頁 。</w:t>
      </w:r>
    </w:p>
    <w:p>
      <w:pPr>
        <w:spacing w:after="0" w:line="283" w:lineRule="exact"/>
        <w:jc w:val="left"/>
        <w:rPr>
          <w:sz w:val="22"/>
        </w:rPr>
        <w:sectPr>
          <w:type w:val="continuous"/>
          <w:pgSz w:w="11910" w:h="16840"/>
          <w:pgMar w:top="1020" w:bottom="280" w:left="1120" w:right="1060"/>
          <w:cols w:num="3" w:equalWidth="0">
            <w:col w:w="494" w:space="40"/>
            <w:col w:w="3446" w:space="39"/>
            <w:col w:w="5711"/>
          </w:cols>
        </w:sectPr>
      </w:pPr>
    </w:p>
    <w:p>
      <w:pPr>
        <w:pStyle w:val="BodyText"/>
        <w:spacing w:before="8"/>
        <w:rPr>
          <w:sz w:val="29"/>
        </w:rPr>
      </w:pPr>
    </w:p>
    <w:p>
      <w:pPr>
        <w:spacing w:line="345" w:lineRule="auto" w:before="67"/>
        <w:ind w:left="303" w:right="500" w:hanging="1"/>
        <w:jc w:val="both"/>
        <w:rPr>
          <w:sz w:val="24"/>
        </w:rPr>
      </w:pPr>
      <w:r>
        <w:rPr>
          <w:w w:val="115"/>
          <w:sz w:val="24"/>
        </w:rPr>
        <w:t>得為不服罄明。此外，與所謂勤務條件措施要求不同，不具有現役職員地位者，亦得提出不服磬明，例如遭免職的職員得提超不服罄明。而相對於受不利益處分的職員，職員團體則不得提超。</w:t>
      </w:r>
    </w:p>
    <w:p>
      <w:pPr>
        <w:spacing w:before="89"/>
        <w:ind w:left="0" w:right="142" w:firstLine="0"/>
        <w:jc w:val="center"/>
        <w:rPr>
          <w:sz w:val="24"/>
        </w:rPr>
      </w:pPr>
      <w:r>
        <w:rPr>
          <w:w w:val="110"/>
          <w:sz w:val="24"/>
        </w:rPr>
        <w:t>（三）救濟期間</w:t>
      </w:r>
    </w:p>
    <w:p>
      <w:pPr>
        <w:pStyle w:val="BodyText"/>
        <w:spacing w:before="9"/>
        <w:rPr>
          <w:sz w:val="24"/>
        </w:rPr>
      </w:pPr>
    </w:p>
    <w:p>
      <w:pPr>
        <w:spacing w:line="319" w:lineRule="auto" w:before="1"/>
        <w:ind w:left="306" w:right="549" w:firstLine="575"/>
        <w:jc w:val="both"/>
        <w:rPr>
          <w:sz w:val="24"/>
        </w:rPr>
      </w:pPr>
      <w:r>
        <w:rPr>
          <w:sz w:val="24"/>
        </w:rPr>
        <w:t>為避免不利益處分處於長期不安定狀態，故日本公務員有法定之不服      </w:t>
      </w:r>
      <w:r>
        <w:rPr>
          <w:spacing w:val="3"/>
          <w:sz w:val="24"/>
        </w:rPr>
        <w:t> </w:t>
      </w:r>
      <w:r>
        <w:rPr>
          <w:spacing w:val="6"/>
          <w:w w:val="95"/>
          <w:sz w:val="24"/>
        </w:rPr>
        <w:t>申訴提出期間限制 。依該日本 行 政 不服審查法第 </w:t>
      </w:r>
      <w:r>
        <w:rPr>
          <w:rFonts w:ascii="Arial" w:eastAsia="Arial"/>
          <w:w w:val="95"/>
          <w:sz w:val="28"/>
        </w:rPr>
        <w:t>49</w:t>
      </w:r>
      <w:r>
        <w:rPr>
          <w:rFonts w:ascii="Arial" w:eastAsia="Arial"/>
          <w:spacing w:val="17"/>
          <w:w w:val="95"/>
          <w:sz w:val="28"/>
        </w:rPr>
        <w:t> </w:t>
      </w:r>
      <w:r>
        <w:rPr>
          <w:spacing w:val="17"/>
          <w:w w:val="95"/>
          <w:sz w:val="24"/>
        </w:rPr>
        <w:t>條 之 </w:t>
      </w:r>
      <w:r>
        <w:rPr>
          <w:rFonts w:ascii="Arial" w:eastAsia="Arial"/>
          <w:w w:val="95"/>
          <w:sz w:val="28"/>
        </w:rPr>
        <w:t>3</w:t>
      </w:r>
      <w:r>
        <w:rPr>
          <w:rFonts w:ascii="Arial" w:eastAsia="Arial"/>
          <w:spacing w:val="32"/>
          <w:w w:val="95"/>
          <w:sz w:val="28"/>
        </w:rPr>
        <w:t> </w:t>
      </w:r>
      <w:r>
        <w:rPr>
          <w:spacing w:val="-2"/>
          <w:w w:val="95"/>
          <w:sz w:val="24"/>
        </w:rPr>
        <w:t>規 定 ， 不服申</w:t>
      </w:r>
      <w:r>
        <w:rPr>
          <w:spacing w:val="2"/>
          <w:sz w:val="24"/>
        </w:rPr>
        <w:t>訴須在知悉處分存在日之 翌日 超 算 </w:t>
      </w:r>
      <w:r>
        <w:rPr>
          <w:rFonts w:ascii="Arial" w:eastAsia="Arial"/>
          <w:w w:val="95"/>
          <w:sz w:val="28"/>
        </w:rPr>
        <w:t>60</w:t>
      </w:r>
      <w:r>
        <w:rPr>
          <w:rFonts w:ascii="Arial" w:eastAsia="Arial"/>
          <w:spacing w:val="40"/>
          <w:w w:val="95"/>
          <w:sz w:val="28"/>
        </w:rPr>
        <w:t> </w:t>
      </w:r>
      <w:r>
        <w:rPr>
          <w:spacing w:val="9"/>
          <w:sz w:val="24"/>
        </w:rPr>
        <w:t>天內提超 </w:t>
      </w:r>
      <w:r>
        <w:rPr>
          <w:spacing w:val="-22"/>
          <w:w w:val="95"/>
          <w:sz w:val="24"/>
        </w:rPr>
        <w:t>， </w:t>
      </w:r>
      <w:r>
        <w:rPr>
          <w:spacing w:val="3"/>
          <w:sz w:val="24"/>
        </w:rPr>
        <w:t>而在 處 分作成後翌日超</w:t>
      </w:r>
      <w:r>
        <w:rPr>
          <w:spacing w:val="8"/>
          <w:sz w:val="24"/>
        </w:rPr>
        <w:t>算經過 </w:t>
      </w:r>
      <w:r>
        <w:rPr>
          <w:rFonts w:ascii="Times New Roman" w:eastAsia="Times New Roman"/>
          <w:sz w:val="30"/>
        </w:rPr>
        <w:t>l</w:t>
      </w:r>
      <w:r>
        <w:rPr>
          <w:rFonts w:ascii="Times New Roman" w:eastAsia="Times New Roman"/>
          <w:spacing w:val="42"/>
          <w:sz w:val="30"/>
        </w:rPr>
        <w:t> </w:t>
      </w:r>
      <w:r>
        <w:rPr>
          <w:spacing w:val="-14"/>
          <w:sz w:val="24"/>
        </w:rPr>
        <w:t>年 </w:t>
      </w:r>
      <w:r>
        <w:rPr>
          <w:spacing w:val="-33"/>
          <w:w w:val="95"/>
          <w:sz w:val="24"/>
        </w:rPr>
        <w:t>， </w:t>
      </w:r>
      <w:r>
        <w:rPr>
          <w:spacing w:val="18"/>
          <w:sz w:val="24"/>
        </w:rPr>
        <w:t>則不得提超 。</w:t>
      </w:r>
    </w:p>
    <w:p>
      <w:pPr>
        <w:spacing w:before="111"/>
        <w:ind w:left="0" w:right="161" w:firstLine="0"/>
        <w:jc w:val="center"/>
        <w:rPr>
          <w:sz w:val="24"/>
        </w:rPr>
      </w:pPr>
      <w:r>
        <w:rPr>
          <w:w w:val="110"/>
          <w:sz w:val="24"/>
        </w:rPr>
        <w:t>（四）交付說明書</w:t>
      </w:r>
    </w:p>
    <w:p>
      <w:pPr>
        <w:pStyle w:val="BodyText"/>
        <w:spacing w:before="10"/>
        <w:rPr>
          <w:sz w:val="24"/>
        </w:rPr>
      </w:pPr>
    </w:p>
    <w:p>
      <w:pPr>
        <w:spacing w:line="340" w:lineRule="auto" w:before="0"/>
        <w:ind w:left="302" w:right="494" w:firstLine="564"/>
        <w:jc w:val="both"/>
        <w:rPr>
          <w:sz w:val="24"/>
        </w:rPr>
      </w:pPr>
      <w:r>
        <w:rPr>
          <w:w w:val="105"/>
          <w:sz w:val="24"/>
        </w:rPr>
        <w:t>任命權人對職員作成懲戒，或其他可認為係違反其意願的不利益處分   </w:t>
      </w:r>
      <w:r>
        <w:rPr>
          <w:spacing w:val="79"/>
          <w:w w:val="105"/>
          <w:sz w:val="24"/>
        </w:rPr>
        <w:t> </w:t>
      </w:r>
      <w:r>
        <w:rPr>
          <w:spacing w:val="-16"/>
          <w:w w:val="95"/>
          <w:sz w:val="24"/>
        </w:rPr>
        <w:t>時 </w:t>
      </w:r>
      <w:r>
        <w:rPr>
          <w:spacing w:val="-19"/>
          <w:w w:val="75"/>
          <w:sz w:val="24"/>
        </w:rPr>
        <w:t>， </w:t>
      </w:r>
      <w:r>
        <w:rPr>
          <w:spacing w:val="2"/>
          <w:w w:val="95"/>
          <w:sz w:val="24"/>
        </w:rPr>
        <w:t>此際 </w:t>
      </w:r>
      <w:r>
        <w:rPr>
          <w:spacing w:val="28"/>
          <w:w w:val="75"/>
          <w:sz w:val="24"/>
        </w:rPr>
        <w:t>，並 </w:t>
      </w:r>
      <w:r>
        <w:rPr>
          <w:spacing w:val="9"/>
          <w:w w:val="95"/>
          <w:sz w:val="24"/>
        </w:rPr>
        <w:t>須交付 其職員記 載處分事由的說明書</w:t>
      </w:r>
      <w:r>
        <w:rPr>
          <w:rFonts w:ascii="Times New Roman" w:eastAsia="Times New Roman"/>
          <w:w w:val="75"/>
          <w:sz w:val="15"/>
        </w:rPr>
        <w:t>1</w:t>
      </w:r>
      <w:r>
        <w:rPr>
          <w:rFonts w:ascii="Times New Roman" w:eastAsia="Times New Roman"/>
          <w:spacing w:val="8"/>
          <w:w w:val="75"/>
          <w:sz w:val="15"/>
        </w:rPr>
        <w:t> </w:t>
      </w:r>
      <w:r>
        <w:rPr>
          <w:rFonts w:ascii="Times New Roman" w:eastAsia="Times New Roman"/>
          <w:w w:val="75"/>
          <w:sz w:val="15"/>
        </w:rPr>
        <w:t>61</w:t>
      </w:r>
      <w:r>
        <w:rPr>
          <w:rFonts w:ascii="Times New Roman" w:eastAsia="Times New Roman"/>
          <w:spacing w:val="40"/>
          <w:sz w:val="15"/>
        </w:rPr>
        <w:t> </w:t>
      </w:r>
      <w:r>
        <w:rPr>
          <w:w w:val="75"/>
          <w:sz w:val="24"/>
        </w:rPr>
        <w:t>。但</w:t>
      </w:r>
      <w:r>
        <w:rPr>
          <w:spacing w:val="187"/>
          <w:sz w:val="24"/>
        </w:rPr>
        <w:t> </w:t>
      </w:r>
      <w:r>
        <w:rPr>
          <w:w w:val="75"/>
          <w:sz w:val="24"/>
        </w:rPr>
        <w:t>說</w:t>
      </w:r>
      <w:r>
        <w:rPr>
          <w:spacing w:val="65"/>
          <w:sz w:val="24"/>
        </w:rPr>
        <w:t> </w:t>
      </w:r>
      <w:r>
        <w:rPr>
          <w:w w:val="75"/>
          <w:sz w:val="24"/>
        </w:rPr>
        <w:t>明</w:t>
      </w:r>
      <w:r>
        <w:rPr>
          <w:spacing w:val="85"/>
          <w:sz w:val="24"/>
        </w:rPr>
        <w:t> </w:t>
      </w:r>
      <w:r>
        <w:rPr>
          <w:spacing w:val="20"/>
          <w:w w:val="95"/>
          <w:sz w:val="24"/>
        </w:rPr>
        <w:t>書的交付與</w:t>
      </w:r>
      <w:r>
        <w:rPr>
          <w:w w:val="105"/>
          <w:sz w:val="24"/>
        </w:rPr>
        <w:t>否，不影響其處分的效力。當職員認為受到違反其意願的不利益處分時，   </w:t>
      </w:r>
      <w:r>
        <w:rPr>
          <w:spacing w:val="115"/>
          <w:w w:val="105"/>
          <w:sz w:val="24"/>
        </w:rPr>
        <w:t> </w:t>
      </w:r>
      <w:r>
        <w:rPr>
          <w:spacing w:val="13"/>
          <w:w w:val="105"/>
          <w:sz w:val="24"/>
        </w:rPr>
        <w:t>得向任命権人請求交付記載處分事由的說明書</w:t>
      </w:r>
      <w:r>
        <w:rPr>
          <w:rFonts w:ascii="Times New Roman" w:eastAsia="Times New Roman"/>
          <w:w w:val="75"/>
          <w:sz w:val="15"/>
        </w:rPr>
        <w:t>1</w:t>
      </w:r>
      <w:r>
        <w:rPr>
          <w:rFonts w:ascii="Times New Roman" w:eastAsia="Times New Roman"/>
          <w:spacing w:val="10"/>
          <w:w w:val="75"/>
          <w:sz w:val="15"/>
        </w:rPr>
        <w:t> </w:t>
      </w:r>
      <w:r>
        <w:rPr>
          <w:rFonts w:ascii="Times New Roman" w:eastAsia="Times New Roman"/>
          <w:w w:val="75"/>
          <w:sz w:val="15"/>
        </w:rPr>
        <w:t>62</w:t>
      </w:r>
      <w:r>
        <w:rPr>
          <w:rFonts w:ascii="Times New Roman" w:eastAsia="Times New Roman"/>
          <w:spacing w:val="8"/>
          <w:w w:val="75"/>
          <w:sz w:val="15"/>
        </w:rPr>
        <w:t> </w:t>
      </w:r>
      <w:r>
        <w:rPr>
          <w:spacing w:val="13"/>
          <w:w w:val="75"/>
          <w:sz w:val="24"/>
        </w:rPr>
        <w:t>。 </w:t>
      </w:r>
      <w:r>
        <w:rPr>
          <w:spacing w:val="21"/>
          <w:w w:val="105"/>
          <w:sz w:val="24"/>
        </w:rPr>
        <w:t>而受到此項請求的任命</w:t>
      </w:r>
    </w:p>
    <w:p>
      <w:pPr>
        <w:spacing w:line="296" w:lineRule="exact" w:before="0"/>
        <w:ind w:left="303" w:right="0" w:firstLine="0"/>
        <w:jc w:val="both"/>
        <w:rPr>
          <w:sz w:val="24"/>
        </w:rPr>
      </w:pPr>
      <w:r>
        <w:rPr>
          <w:spacing w:val="4"/>
          <w:w w:val="95"/>
          <w:sz w:val="24"/>
        </w:rPr>
        <w:t>權人 </w:t>
      </w:r>
      <w:r>
        <w:rPr>
          <w:spacing w:val="-24"/>
          <w:w w:val="75"/>
          <w:sz w:val="24"/>
        </w:rPr>
        <w:t>， </w:t>
      </w:r>
      <w:r>
        <w:rPr>
          <w:spacing w:val="1"/>
          <w:w w:val="95"/>
          <w:sz w:val="24"/>
        </w:rPr>
        <w:t>須在 </w:t>
      </w:r>
      <w:r>
        <w:rPr>
          <w:rFonts w:ascii="Times New Roman" w:eastAsia="Times New Roman"/>
          <w:w w:val="95"/>
          <w:sz w:val="30"/>
        </w:rPr>
        <w:t>15</w:t>
      </w:r>
      <w:r>
        <w:rPr>
          <w:rFonts w:ascii="Times New Roman" w:eastAsia="Times New Roman"/>
          <w:spacing w:val="22"/>
          <w:w w:val="95"/>
          <w:sz w:val="30"/>
        </w:rPr>
        <w:t> </w:t>
      </w:r>
      <w:r>
        <w:rPr>
          <w:spacing w:val="-17"/>
          <w:w w:val="95"/>
          <w:sz w:val="24"/>
        </w:rPr>
        <w:t>日 內 </w:t>
      </w:r>
      <w:r>
        <w:rPr>
          <w:spacing w:val="-14"/>
          <w:w w:val="75"/>
          <w:sz w:val="24"/>
        </w:rPr>
        <w:t>， </w:t>
      </w:r>
      <w:r>
        <w:rPr>
          <w:spacing w:val="8"/>
          <w:w w:val="95"/>
          <w:sz w:val="24"/>
        </w:rPr>
        <w:t>交付 同項說明書</w:t>
      </w:r>
      <w:r>
        <w:rPr>
          <w:rFonts w:ascii="Times New Roman" w:eastAsia="Times New Roman"/>
          <w:w w:val="75"/>
          <w:sz w:val="15"/>
        </w:rPr>
        <w:t>1</w:t>
      </w:r>
      <w:r>
        <w:rPr>
          <w:rFonts w:ascii="Times New Roman" w:eastAsia="Times New Roman"/>
          <w:spacing w:val="7"/>
          <w:w w:val="75"/>
          <w:sz w:val="15"/>
        </w:rPr>
        <w:t> </w:t>
      </w:r>
      <w:r>
        <w:rPr>
          <w:rFonts w:ascii="Times New Roman" w:eastAsia="Times New Roman"/>
          <w:w w:val="75"/>
          <w:sz w:val="15"/>
        </w:rPr>
        <w:t>63</w:t>
      </w:r>
      <w:r>
        <w:rPr>
          <w:rFonts w:ascii="Times New Roman" w:eastAsia="Times New Roman"/>
          <w:spacing w:val="10"/>
          <w:w w:val="75"/>
          <w:sz w:val="15"/>
        </w:rPr>
        <w:t> </w:t>
      </w:r>
      <w:r>
        <w:rPr>
          <w:rFonts w:ascii="Times New Roman" w:eastAsia="Times New Roman"/>
          <w:w w:val="75"/>
          <w:sz w:val="15"/>
        </w:rPr>
        <w:t>1</w:t>
      </w:r>
      <w:r>
        <w:rPr>
          <w:rFonts w:ascii="Times New Roman" w:eastAsia="Times New Roman"/>
          <w:spacing w:val="7"/>
          <w:w w:val="75"/>
          <w:sz w:val="15"/>
        </w:rPr>
        <w:t> </w:t>
      </w:r>
      <w:r>
        <w:rPr>
          <w:rFonts w:ascii="Times New Roman" w:eastAsia="Times New Roman"/>
          <w:w w:val="75"/>
          <w:sz w:val="15"/>
        </w:rPr>
        <w:t>64</w:t>
      </w:r>
      <w:r>
        <w:rPr>
          <w:rFonts w:ascii="Times New Roman" w:eastAsia="Times New Roman"/>
          <w:spacing w:val="21"/>
          <w:w w:val="75"/>
          <w:sz w:val="15"/>
        </w:rPr>
        <w:t> </w:t>
      </w:r>
      <w:r>
        <w:rPr>
          <w:w w:val="75"/>
          <w:sz w:val="24"/>
        </w:rPr>
        <w:t>。</w:t>
      </w:r>
    </w:p>
    <w:p>
      <w:pPr>
        <w:spacing w:before="250"/>
        <w:ind w:left="0" w:right="164" w:firstLine="0"/>
        <w:jc w:val="center"/>
        <w:rPr>
          <w:sz w:val="24"/>
        </w:rPr>
      </w:pPr>
      <w:r>
        <w:rPr>
          <w:w w:val="115"/>
          <w:sz w:val="24"/>
        </w:rPr>
        <w:t>（五）審理、裁決丶決定</w:t>
      </w:r>
    </w:p>
    <w:p>
      <w:pPr>
        <w:pStyle w:val="BodyText"/>
        <w:spacing w:before="6"/>
      </w:pPr>
    </w:p>
    <w:p>
      <w:pPr>
        <w:spacing w:line="343" w:lineRule="auto" w:before="0"/>
        <w:ind w:left="310" w:right="552" w:firstLine="569"/>
        <w:jc w:val="both"/>
        <w:rPr>
          <w:sz w:val="24"/>
        </w:rPr>
      </w:pPr>
      <w:r>
        <w:rPr>
          <w:w w:val="110"/>
          <w:sz w:val="24"/>
        </w:rPr>
        <w:t>關於任命權人對職員所作成的不利益處分，雖屬日本行政不服審查法</w:t>
      </w:r>
      <w:r>
        <w:rPr>
          <w:spacing w:val="5"/>
          <w:w w:val="110"/>
          <w:sz w:val="24"/>
        </w:rPr>
        <w:t> </w:t>
      </w:r>
      <w:r>
        <w:rPr>
          <w:spacing w:val="19"/>
          <w:w w:val="95"/>
          <w:sz w:val="24"/>
        </w:rPr>
        <w:t>上的不服磬明的一種 </w:t>
      </w:r>
      <w:r>
        <w:rPr>
          <w:w w:val="75"/>
          <w:sz w:val="24"/>
        </w:rPr>
        <w:t>，但</w:t>
      </w:r>
      <w:r>
        <w:rPr>
          <w:spacing w:val="91"/>
          <w:sz w:val="24"/>
        </w:rPr>
        <w:t> </w:t>
      </w:r>
      <w:r>
        <w:rPr>
          <w:spacing w:val="11"/>
          <w:w w:val="95"/>
          <w:sz w:val="24"/>
        </w:rPr>
        <w:t>不適用該法第二 章 第一節 至第三節的 規定</w:t>
      </w:r>
      <w:r>
        <w:rPr>
          <w:rFonts w:ascii="Times New Roman" w:eastAsia="Times New Roman"/>
          <w:w w:val="75"/>
          <w:sz w:val="15"/>
        </w:rPr>
        <w:t>1</w:t>
      </w:r>
      <w:r>
        <w:rPr>
          <w:rFonts w:ascii="Times New Roman" w:eastAsia="Times New Roman"/>
          <w:spacing w:val="14"/>
          <w:w w:val="75"/>
          <w:sz w:val="15"/>
        </w:rPr>
        <w:t> </w:t>
      </w:r>
      <w:r>
        <w:rPr>
          <w:rFonts w:ascii="Times New Roman" w:eastAsia="Times New Roman"/>
          <w:w w:val="75"/>
          <w:sz w:val="15"/>
        </w:rPr>
        <w:t>65</w:t>
      </w:r>
      <w:r>
        <w:rPr>
          <w:rFonts w:ascii="Times New Roman" w:eastAsia="Times New Roman"/>
          <w:spacing w:val="65"/>
          <w:sz w:val="15"/>
        </w:rPr>
        <w:t> </w:t>
      </w:r>
      <w:r>
        <w:rPr>
          <w:rFonts w:ascii="Times New Roman" w:eastAsia="Times New Roman"/>
          <w:w w:val="95"/>
          <w:sz w:val="15"/>
        </w:rPr>
        <w:t>,</w:t>
      </w:r>
      <w:r>
        <w:rPr>
          <w:rFonts w:ascii="Times New Roman" w:eastAsia="Times New Roman"/>
          <w:spacing w:val="39"/>
          <w:sz w:val="15"/>
        </w:rPr>
        <w:t>  </w:t>
      </w:r>
      <w:r>
        <w:rPr>
          <w:w w:val="95"/>
          <w:sz w:val="24"/>
        </w:rPr>
        <w:t>而</w:t>
      </w:r>
      <w:r>
        <w:rPr>
          <w:w w:val="110"/>
          <w:sz w:val="24"/>
        </w:rPr>
        <w:t>就具體的審查程序，則規定於地方公務員法。</w:t>
      </w:r>
    </w:p>
    <w:p>
      <w:pPr>
        <w:spacing w:before="94"/>
        <w:ind w:left="0" w:right="142" w:firstLine="0"/>
        <w:jc w:val="center"/>
        <w:rPr>
          <w:sz w:val="24"/>
        </w:rPr>
      </w:pPr>
      <w:r>
        <w:rPr>
          <w:w w:val="110"/>
          <w:sz w:val="24"/>
        </w:rPr>
        <w:t>（六）審理方式</w:t>
      </w:r>
    </w:p>
    <w:p>
      <w:pPr>
        <w:pStyle w:val="BodyText"/>
        <w:spacing w:before="2"/>
      </w:pPr>
    </w:p>
    <w:p>
      <w:pPr>
        <w:spacing w:line="343" w:lineRule="auto" w:before="0"/>
        <w:ind w:left="299" w:right="483" w:firstLine="580"/>
        <w:jc w:val="both"/>
        <w:rPr>
          <w:sz w:val="24"/>
        </w:rPr>
      </w:pPr>
      <w:r>
        <w:rPr>
          <w:sz w:val="24"/>
        </w:rPr>
        <w:t>受理不服罄明時，人事委員會或公平委員會，應即刻審查其案。受處      </w:t>
      </w:r>
      <w:r>
        <w:rPr>
          <w:spacing w:val="101"/>
          <w:sz w:val="24"/>
        </w:rPr>
        <w:t> </w:t>
      </w:r>
      <w:r>
        <w:rPr>
          <w:spacing w:val="9"/>
          <w:w w:val="95"/>
          <w:sz w:val="24"/>
        </w:rPr>
        <w:t>分職員如 有請求時 </w:t>
      </w:r>
      <w:r>
        <w:rPr>
          <w:w w:val="75"/>
          <w:sz w:val="24"/>
        </w:rPr>
        <w:t>，</w:t>
      </w:r>
      <w:r>
        <w:rPr>
          <w:spacing w:val="14"/>
          <w:w w:val="95"/>
          <w:sz w:val="24"/>
        </w:rPr>
        <w:t>應行公開言詞審理</w:t>
      </w:r>
      <w:r>
        <w:rPr>
          <w:rFonts w:ascii="Times New Roman" w:eastAsia="Times New Roman"/>
          <w:w w:val="75"/>
          <w:sz w:val="15"/>
        </w:rPr>
        <w:t>1</w:t>
      </w:r>
      <w:r>
        <w:rPr>
          <w:rFonts w:ascii="Times New Roman" w:eastAsia="Times New Roman"/>
          <w:spacing w:val="6"/>
          <w:w w:val="75"/>
          <w:sz w:val="15"/>
        </w:rPr>
        <w:t> </w:t>
      </w:r>
      <w:r>
        <w:rPr>
          <w:rFonts w:ascii="Times New Roman" w:eastAsia="Times New Roman"/>
          <w:w w:val="75"/>
          <w:sz w:val="15"/>
        </w:rPr>
        <w:t>66</w:t>
      </w:r>
      <w:r>
        <w:rPr>
          <w:rFonts w:ascii="Times New Roman" w:eastAsia="Times New Roman"/>
          <w:spacing w:val="6"/>
          <w:w w:val="75"/>
          <w:sz w:val="15"/>
        </w:rPr>
        <w:t> </w:t>
      </w:r>
      <w:r>
        <w:rPr>
          <w:spacing w:val="5"/>
          <w:w w:val="75"/>
          <w:sz w:val="24"/>
        </w:rPr>
        <w:t>。反 之</w:t>
      </w:r>
      <w:r>
        <w:rPr>
          <w:spacing w:val="82"/>
          <w:sz w:val="24"/>
        </w:rPr>
        <w:t> </w:t>
      </w:r>
      <w:r>
        <w:rPr>
          <w:spacing w:val="19"/>
          <w:w w:val="75"/>
          <w:sz w:val="24"/>
        </w:rPr>
        <w:t>，僅 在 職 </w:t>
      </w:r>
      <w:r>
        <w:rPr>
          <w:spacing w:val="-5"/>
          <w:w w:val="95"/>
          <w:sz w:val="24"/>
        </w:rPr>
        <w:t>員未 提 出請 求時 </w:t>
      </w:r>
      <w:r>
        <w:rPr>
          <w:w w:val="75"/>
          <w:sz w:val="24"/>
        </w:rPr>
        <w:t>，</w:t>
      </w:r>
      <w:r>
        <w:rPr>
          <w:spacing w:val="-87"/>
          <w:w w:val="75"/>
          <w:sz w:val="24"/>
        </w:rPr>
        <w:t> </w:t>
      </w:r>
      <w:r>
        <w:rPr>
          <w:sz w:val="24"/>
        </w:rPr>
        <w:t>行書面審理。</w:t>
      </w:r>
    </w:p>
    <w:p>
      <w:pPr>
        <w:pStyle w:val="BodyText"/>
        <w:rPr>
          <w:sz w:val="20"/>
        </w:rPr>
      </w:pPr>
    </w:p>
    <w:p>
      <w:pPr>
        <w:pStyle w:val="BodyText"/>
        <w:rPr>
          <w:sz w:val="20"/>
        </w:rPr>
      </w:pPr>
    </w:p>
    <w:p>
      <w:pPr>
        <w:pStyle w:val="BodyText"/>
        <w:rPr>
          <w:sz w:val="20"/>
        </w:rPr>
      </w:pPr>
    </w:p>
    <w:p>
      <w:pPr>
        <w:pStyle w:val="BodyText"/>
        <w:rPr>
          <w:sz w:val="10"/>
        </w:rPr>
      </w:pPr>
      <w:r>
        <w:rPr/>
        <w:pict>
          <v:shape style="position:absolute;margin-left:95.174004pt;margin-top:8.761430pt;width:144.25pt;height:.1pt;mso-position-horizontal-relative:page;mso-position-vertical-relative:paragraph;z-index:-15579648;mso-wrap-distance-left:0;mso-wrap-distance-right:0" coordorigin="1903,175" coordsize="2885,0" path="m1903,175l4788,175e" filled="false" stroked="true" strokeweight=".720821pt" strokecolor="#000000">
            <v:path arrowok="t"/>
            <v:stroke dashstyle="solid"/>
            <w10:wrap type="topAndBottom"/>
          </v:shape>
        </w:pict>
      </w:r>
    </w:p>
    <w:p>
      <w:pPr>
        <w:pStyle w:val="BodyText"/>
        <w:spacing w:before="8"/>
        <w:rPr>
          <w:sz w:val="7"/>
        </w:rPr>
      </w:pPr>
    </w:p>
    <w:p>
      <w:pPr>
        <w:spacing w:after="0"/>
        <w:rPr>
          <w:sz w:val="7"/>
        </w:rPr>
        <w:sectPr>
          <w:pgSz w:w="11910" w:h="16840"/>
          <w:pgMar w:header="862" w:footer="1017" w:top="1060" w:bottom="1200" w:left="1120" w:right="1060"/>
        </w:sectPr>
      </w:pPr>
    </w:p>
    <w:p>
      <w:pPr>
        <w:pStyle w:val="BodyText"/>
        <w:spacing w:before="5"/>
        <w:rPr>
          <w:sz w:val="10"/>
        </w:rPr>
      </w:pPr>
    </w:p>
    <w:p>
      <w:pPr>
        <w:spacing w:before="1"/>
        <w:ind w:left="298" w:right="0" w:firstLine="0"/>
        <w:jc w:val="left"/>
        <w:rPr>
          <w:rFonts w:ascii="Times New Roman"/>
          <w:sz w:val="13"/>
        </w:rPr>
      </w:pPr>
      <w:r>
        <w:rPr>
          <w:rFonts w:ascii="Times New Roman"/>
          <w:sz w:val="13"/>
        </w:rPr>
        <w:t>161</w:t>
      </w:r>
    </w:p>
    <w:p>
      <w:pPr>
        <w:pStyle w:val="BodyText"/>
        <w:spacing w:before="1"/>
        <w:rPr>
          <w:rFonts w:ascii="Times New Roman"/>
          <w:sz w:val="14"/>
        </w:rPr>
      </w:pPr>
    </w:p>
    <w:p>
      <w:pPr>
        <w:spacing w:before="0"/>
        <w:ind w:left="298" w:right="0" w:firstLine="0"/>
        <w:jc w:val="left"/>
        <w:rPr>
          <w:rFonts w:ascii="Times New Roman"/>
          <w:sz w:val="13"/>
        </w:rPr>
      </w:pPr>
      <w:r>
        <w:rPr>
          <w:rFonts w:ascii="Times New Roman"/>
          <w:sz w:val="13"/>
        </w:rPr>
        <w:t>162</w:t>
      </w:r>
    </w:p>
    <w:p>
      <w:pPr>
        <w:pStyle w:val="BodyText"/>
        <w:spacing w:before="4"/>
        <w:rPr>
          <w:rFonts w:ascii="Times New Roman"/>
          <w:sz w:val="14"/>
        </w:rPr>
      </w:pPr>
    </w:p>
    <w:p>
      <w:pPr>
        <w:spacing w:before="0"/>
        <w:ind w:left="298" w:right="0" w:firstLine="0"/>
        <w:jc w:val="left"/>
        <w:rPr>
          <w:rFonts w:ascii="Times New Roman"/>
          <w:sz w:val="13"/>
        </w:rPr>
      </w:pPr>
      <w:r>
        <w:rPr>
          <w:rFonts w:ascii="Times New Roman"/>
          <w:sz w:val="13"/>
        </w:rPr>
        <w:t>163</w:t>
      </w:r>
    </w:p>
    <w:p>
      <w:pPr>
        <w:pStyle w:val="BodyText"/>
        <w:spacing w:before="1"/>
        <w:rPr>
          <w:rFonts w:ascii="Times New Roman"/>
          <w:sz w:val="14"/>
        </w:rPr>
      </w:pPr>
    </w:p>
    <w:p>
      <w:pPr>
        <w:spacing w:before="1"/>
        <w:ind w:left="298" w:right="0" w:firstLine="0"/>
        <w:jc w:val="left"/>
        <w:rPr>
          <w:rFonts w:ascii="Times New Roman"/>
          <w:sz w:val="13"/>
        </w:rPr>
      </w:pPr>
      <w:r>
        <w:rPr>
          <w:rFonts w:ascii="Times New Roman"/>
          <w:sz w:val="13"/>
        </w:rPr>
        <w:t>164</w:t>
      </w:r>
    </w:p>
    <w:p>
      <w:pPr>
        <w:spacing w:before="92"/>
        <w:ind w:left="85" w:right="0" w:firstLine="0"/>
        <w:jc w:val="left"/>
        <w:rPr>
          <w:sz w:val="21"/>
        </w:rPr>
      </w:pPr>
      <w:r>
        <w:rPr/>
        <w:br w:type="column"/>
      </w:r>
      <w:r>
        <w:rPr>
          <w:spacing w:val="3"/>
          <w:w w:val="85"/>
          <w:sz w:val="21"/>
        </w:rPr>
        <w:t>日本 地 公 法第</w:t>
      </w:r>
      <w:r>
        <w:rPr>
          <w:rFonts w:ascii="Arial" w:eastAsia="Arial"/>
          <w:w w:val="85"/>
          <w:sz w:val="25"/>
        </w:rPr>
        <w:t>49</w:t>
      </w:r>
      <w:r>
        <w:rPr>
          <w:spacing w:val="21"/>
          <w:w w:val="85"/>
          <w:sz w:val="21"/>
        </w:rPr>
        <w:t>條 。</w:t>
      </w:r>
    </w:p>
    <w:p>
      <w:pPr>
        <w:spacing w:line="244" w:lineRule="auto" w:before="23"/>
        <w:ind w:left="85" w:right="557" w:firstLine="0"/>
        <w:jc w:val="left"/>
        <w:rPr>
          <w:sz w:val="21"/>
        </w:rPr>
      </w:pPr>
      <w:r>
        <w:rPr>
          <w:spacing w:val="-11"/>
          <w:w w:val="90"/>
          <w:sz w:val="21"/>
        </w:rPr>
        <w:t>日本 地 公 務 法</w:t>
      </w:r>
      <w:r>
        <w:rPr>
          <w:rFonts w:ascii="Arial" w:eastAsia="Arial"/>
          <w:w w:val="90"/>
          <w:sz w:val="25"/>
        </w:rPr>
        <w:t>49</w:t>
      </w:r>
      <w:r>
        <w:rPr>
          <w:spacing w:val="12"/>
          <w:w w:val="90"/>
          <w:sz w:val="21"/>
        </w:rPr>
        <w:t>條 第</w:t>
      </w:r>
      <w:r>
        <w:rPr>
          <w:rFonts w:ascii="Arial" w:eastAsia="Arial"/>
          <w:w w:val="90"/>
          <w:sz w:val="25"/>
        </w:rPr>
        <w:t>2</w:t>
      </w:r>
      <w:r>
        <w:rPr>
          <w:spacing w:val="-2"/>
          <w:w w:val="90"/>
          <w:sz w:val="21"/>
        </w:rPr>
        <w:t>項 。</w:t>
      </w:r>
      <w:r>
        <w:rPr>
          <w:spacing w:val="-8"/>
          <w:w w:val="90"/>
          <w:sz w:val="21"/>
        </w:rPr>
        <w:t>日本 地 公 法</w:t>
      </w:r>
      <w:r>
        <w:rPr>
          <w:rFonts w:ascii="Arial" w:eastAsia="Arial"/>
          <w:w w:val="90"/>
          <w:sz w:val="25"/>
        </w:rPr>
        <w:t>49</w:t>
      </w:r>
      <w:r>
        <w:rPr>
          <w:spacing w:val="11"/>
          <w:w w:val="90"/>
          <w:sz w:val="21"/>
        </w:rPr>
        <w:t>條 第</w:t>
      </w:r>
      <w:r>
        <w:rPr>
          <w:rFonts w:ascii="Times New Roman" w:eastAsia="Times New Roman"/>
          <w:w w:val="90"/>
          <w:sz w:val="26"/>
        </w:rPr>
        <w:t>3</w:t>
      </w:r>
      <w:r>
        <w:rPr>
          <w:spacing w:val="-2"/>
          <w:w w:val="90"/>
          <w:sz w:val="21"/>
        </w:rPr>
        <w:t>項 。</w:t>
      </w:r>
    </w:p>
    <w:p>
      <w:pPr>
        <w:spacing w:before="5"/>
        <w:ind w:left="74" w:right="0" w:firstLine="0"/>
        <w:jc w:val="left"/>
        <w:rPr>
          <w:rFonts w:ascii="Times New Roman" w:eastAsia="Times New Roman"/>
          <w:sz w:val="26"/>
        </w:rPr>
      </w:pPr>
      <w:r>
        <w:rPr>
          <w:spacing w:val="3"/>
          <w:w w:val="90"/>
          <w:sz w:val="21"/>
        </w:rPr>
        <w:t>參見： 藤田宙靖 ， 前揭書 ，註 </w:t>
      </w:r>
      <w:r>
        <w:rPr>
          <w:rFonts w:ascii="Times New Roman" w:eastAsia="Times New Roman"/>
          <w:w w:val="90"/>
          <w:sz w:val="26"/>
        </w:rPr>
        <w:t>4,0</w:t>
      </w:r>
    </w:p>
    <w:p>
      <w:pPr>
        <w:pStyle w:val="BodyText"/>
        <w:rPr>
          <w:rFonts w:ascii="Times New Roman"/>
          <w:sz w:val="28"/>
        </w:rPr>
      </w:pPr>
      <w:r>
        <w:rPr/>
        <w:br w:type="column"/>
      </w:r>
      <w:r>
        <w:rPr>
          <w:rFonts w:ascii="Times New Roman"/>
          <w:sz w:val="28"/>
        </w:rPr>
      </w:r>
    </w:p>
    <w:p>
      <w:pPr>
        <w:pStyle w:val="BodyText"/>
        <w:rPr>
          <w:rFonts w:ascii="Times New Roman"/>
          <w:sz w:val="28"/>
        </w:rPr>
      </w:pPr>
    </w:p>
    <w:p>
      <w:pPr>
        <w:pStyle w:val="BodyText"/>
        <w:spacing w:before="9"/>
        <w:rPr>
          <w:rFonts w:ascii="Times New Roman"/>
          <w:sz w:val="32"/>
        </w:rPr>
      </w:pPr>
    </w:p>
    <w:p>
      <w:pPr>
        <w:spacing w:before="0"/>
        <w:ind w:left="210" w:right="0" w:firstLine="0"/>
        <w:jc w:val="left"/>
        <w:rPr>
          <w:sz w:val="22"/>
        </w:rPr>
      </w:pPr>
      <w:r>
        <w:rPr>
          <w:rFonts w:ascii="Times New Roman" w:eastAsia="Times New Roman"/>
          <w:w w:val="90"/>
          <w:sz w:val="26"/>
        </w:rPr>
        <w:t>368</w:t>
      </w:r>
      <w:r>
        <w:rPr>
          <w:spacing w:val="-3"/>
          <w:w w:val="90"/>
          <w:sz w:val="22"/>
        </w:rPr>
        <w:t>頁 。</w:t>
      </w:r>
    </w:p>
    <w:p>
      <w:pPr>
        <w:spacing w:after="0"/>
        <w:jc w:val="left"/>
        <w:rPr>
          <w:sz w:val="22"/>
        </w:rPr>
        <w:sectPr>
          <w:type w:val="continuous"/>
          <w:pgSz w:w="11910" w:h="16840"/>
          <w:pgMar w:top="1020" w:bottom="280" w:left="1120" w:right="1060"/>
          <w:cols w:num="3" w:equalWidth="0">
            <w:col w:w="494" w:space="40"/>
            <w:col w:w="3427" w:space="39"/>
            <w:col w:w="5730"/>
          </w:cols>
        </w:sectPr>
      </w:pPr>
    </w:p>
    <w:p>
      <w:pPr>
        <w:spacing w:before="21"/>
        <w:ind w:left="298" w:right="0" w:firstLine="0"/>
        <w:jc w:val="left"/>
        <w:rPr>
          <w:sz w:val="21"/>
        </w:rPr>
      </w:pPr>
      <w:r>
        <w:rPr>
          <w:rFonts w:ascii="Times New Roman" w:eastAsia="Times New Roman"/>
          <w:w w:val="85"/>
          <w:position w:val="7"/>
          <w:sz w:val="13"/>
        </w:rPr>
        <w:t>165</w:t>
      </w:r>
      <w:r>
        <w:rPr>
          <w:rFonts w:ascii="Times New Roman" w:eastAsia="Times New Roman"/>
          <w:spacing w:val="34"/>
          <w:position w:val="7"/>
          <w:sz w:val="13"/>
        </w:rPr>
        <w:t> </w:t>
      </w:r>
      <w:r>
        <w:rPr>
          <w:spacing w:val="5"/>
          <w:w w:val="85"/>
          <w:sz w:val="21"/>
        </w:rPr>
        <w:t>日本 地 公務 員 法第</w:t>
      </w:r>
      <w:r>
        <w:rPr>
          <w:rFonts w:ascii="Arial" w:eastAsia="Arial"/>
          <w:w w:val="85"/>
          <w:sz w:val="25"/>
        </w:rPr>
        <w:t>49</w:t>
      </w:r>
      <w:r>
        <w:rPr>
          <w:spacing w:val="-1"/>
          <w:w w:val="85"/>
          <w:sz w:val="21"/>
        </w:rPr>
        <w:t>條 之 </w:t>
      </w:r>
      <w:r>
        <w:rPr>
          <w:rFonts w:ascii="Arial" w:eastAsia="Arial"/>
          <w:w w:val="85"/>
          <w:sz w:val="25"/>
        </w:rPr>
        <w:t>2</w:t>
      </w:r>
      <w:r>
        <w:rPr>
          <w:rFonts w:ascii="Arial" w:eastAsia="Arial"/>
          <w:spacing w:val="-26"/>
          <w:w w:val="85"/>
          <w:sz w:val="25"/>
        </w:rPr>
        <w:t> </w:t>
      </w:r>
      <w:r>
        <w:rPr>
          <w:spacing w:val="29"/>
          <w:w w:val="85"/>
          <w:sz w:val="21"/>
        </w:rPr>
        <w:t>第</w:t>
      </w:r>
      <w:r>
        <w:rPr>
          <w:rFonts w:ascii="Arial" w:eastAsia="Arial"/>
          <w:spacing w:val="10"/>
          <w:w w:val="85"/>
          <w:sz w:val="25"/>
        </w:rPr>
        <w:t>3</w:t>
      </w:r>
      <w:r>
        <w:rPr>
          <w:spacing w:val="3"/>
          <w:w w:val="85"/>
          <w:sz w:val="21"/>
        </w:rPr>
        <w:t>項 。</w:t>
      </w:r>
    </w:p>
    <w:p>
      <w:pPr>
        <w:spacing w:before="10"/>
        <w:ind w:left="298" w:right="0" w:firstLine="0"/>
        <w:jc w:val="left"/>
        <w:rPr>
          <w:sz w:val="21"/>
        </w:rPr>
      </w:pPr>
      <w:r>
        <w:rPr>
          <w:rFonts w:ascii="Times New Roman" w:eastAsia="Times New Roman"/>
          <w:w w:val="90"/>
          <w:position w:val="8"/>
          <w:sz w:val="13"/>
        </w:rPr>
        <w:t>166</w:t>
      </w:r>
      <w:r>
        <w:rPr>
          <w:rFonts w:ascii="Times New Roman" w:eastAsia="Times New Roman"/>
          <w:spacing w:val="26"/>
          <w:w w:val="90"/>
          <w:position w:val="8"/>
          <w:sz w:val="13"/>
        </w:rPr>
        <w:t> </w:t>
      </w:r>
      <w:r>
        <w:rPr>
          <w:w w:val="90"/>
          <w:sz w:val="21"/>
        </w:rPr>
        <w:t>日本 地 公 法第</w:t>
      </w:r>
      <w:r>
        <w:rPr>
          <w:rFonts w:ascii="Times New Roman" w:eastAsia="Times New Roman"/>
          <w:w w:val="90"/>
          <w:sz w:val="26"/>
        </w:rPr>
        <w:t>50</w:t>
      </w:r>
      <w:r>
        <w:rPr>
          <w:spacing w:val="7"/>
          <w:w w:val="90"/>
          <w:sz w:val="21"/>
        </w:rPr>
        <w:t>條 第</w:t>
      </w:r>
      <w:r>
        <w:rPr>
          <w:rFonts w:ascii="Times New Roman" w:eastAsia="Times New Roman"/>
          <w:w w:val="90"/>
          <w:sz w:val="26"/>
        </w:rPr>
        <w:t>1</w:t>
      </w:r>
      <w:r>
        <w:rPr>
          <w:w w:val="90"/>
          <w:sz w:val="21"/>
        </w:rPr>
        <w:t>項 。</w:t>
      </w:r>
    </w:p>
    <w:p>
      <w:pPr>
        <w:spacing w:after="0"/>
        <w:jc w:val="left"/>
        <w:rPr>
          <w:sz w:val="21"/>
        </w:rPr>
        <w:sectPr>
          <w:type w:val="continuous"/>
          <w:pgSz w:w="11910" w:h="16840"/>
          <w:pgMar w:top="1020" w:bottom="280" w:left="1120" w:right="1060"/>
        </w:sectPr>
      </w:pPr>
    </w:p>
    <w:p>
      <w:pPr>
        <w:pStyle w:val="BodyText"/>
        <w:rPr>
          <w:sz w:val="20"/>
        </w:rPr>
      </w:pPr>
    </w:p>
    <w:p>
      <w:pPr>
        <w:pStyle w:val="BodyText"/>
        <w:spacing w:before="9"/>
        <w:rPr>
          <w:sz w:val="15"/>
        </w:rPr>
      </w:pPr>
    </w:p>
    <w:p>
      <w:pPr>
        <w:pStyle w:val="BodyText"/>
        <w:spacing w:before="65"/>
        <w:ind w:right="154"/>
        <w:jc w:val="center"/>
      </w:pPr>
      <w:r>
        <w:rPr>
          <w:w w:val="110"/>
        </w:rPr>
        <w:t>（七）裁決丶決定</w:t>
      </w:r>
    </w:p>
    <w:p>
      <w:pPr>
        <w:pStyle w:val="BodyText"/>
        <w:spacing w:before="7"/>
        <w:rPr>
          <w:sz w:val="24"/>
        </w:rPr>
      </w:pPr>
    </w:p>
    <w:p>
      <w:pPr>
        <w:pStyle w:val="BodyText"/>
        <w:spacing w:line="328" w:lineRule="auto"/>
        <w:ind w:left="303" w:right="505" w:firstLine="578"/>
        <w:jc w:val="both"/>
      </w:pPr>
      <w:r>
        <w:rPr>
          <w:w w:val="105"/>
        </w:rPr>
        <w:t>人事委員會或公平委員會，基於其審查結果，於認可、變更或撤銷其</w:t>
      </w:r>
      <w:r>
        <w:rPr>
          <w:spacing w:val="76"/>
          <w:w w:val="105"/>
        </w:rPr>
        <w:t> </w:t>
      </w:r>
      <w:r>
        <w:rPr>
          <w:w w:val="105"/>
        </w:rPr>
        <w:t>處分，以及有必要的情形下，應對任命權人，就為了回復職員應受的給予</w:t>
      </w:r>
      <w:r>
        <w:rPr>
          <w:spacing w:val="129"/>
          <w:w w:val="105"/>
        </w:rPr>
        <w:t> </w:t>
      </w:r>
      <w:r>
        <w:rPr>
          <w:w w:val="105"/>
        </w:rPr>
        <w:t>及其他玲付，命為必要且適切的措花，以及糾正其對職員依其處分所受的</w:t>
      </w:r>
      <w:r>
        <w:rPr>
          <w:spacing w:val="110"/>
          <w:w w:val="105"/>
        </w:rPr>
        <w:t> </w:t>
      </w:r>
      <w:r>
        <w:rPr>
          <w:spacing w:val="22"/>
          <w:w w:val="95"/>
        </w:rPr>
        <w:t>不當對待 </w:t>
      </w:r>
      <w:r>
        <w:rPr>
          <w:spacing w:val="-16"/>
          <w:w w:val="65"/>
        </w:rPr>
        <w:t>， </w:t>
      </w:r>
      <w:r>
        <w:rPr>
          <w:spacing w:val="15"/>
          <w:w w:val="95"/>
        </w:rPr>
        <w:t>作成指示</w:t>
      </w:r>
      <w:r>
        <w:rPr>
          <w:rFonts w:ascii="Times New Roman" w:eastAsia="Times New Roman"/>
          <w:w w:val="65"/>
          <w:sz w:val="16"/>
        </w:rPr>
        <w:t>167</w:t>
      </w:r>
      <w:r>
        <w:rPr>
          <w:rFonts w:ascii="Times New Roman" w:eastAsia="Times New Roman"/>
          <w:spacing w:val="12"/>
          <w:sz w:val="16"/>
        </w:rPr>
        <w:t>   </w:t>
      </w:r>
      <w:r>
        <w:rPr>
          <w:spacing w:val="17"/>
          <w:w w:val="65"/>
        </w:rPr>
        <w:t>。 </w:t>
      </w:r>
      <w:r>
        <w:rPr>
          <w:spacing w:val="7"/>
          <w:w w:val="95"/>
        </w:rPr>
        <w:t>對此 </w:t>
      </w:r>
      <w:r>
        <w:rPr>
          <w:spacing w:val="-18"/>
          <w:w w:val="65"/>
        </w:rPr>
        <w:t>， </w:t>
      </w:r>
      <w:r>
        <w:rPr>
          <w:spacing w:val="13"/>
          <w:w w:val="95"/>
        </w:rPr>
        <w:t>任命權人有遵守審 查機關判斷的義務 </w:t>
      </w:r>
      <w:r>
        <w:rPr>
          <w:spacing w:val="2"/>
          <w:w w:val="65"/>
        </w:rPr>
        <w:t>， </w:t>
      </w:r>
      <w:r>
        <w:rPr>
          <w:w w:val="95"/>
        </w:rPr>
        <w:t>而</w:t>
      </w:r>
      <w:r>
        <w:rPr>
          <w:w w:val="105"/>
        </w:rPr>
        <w:t>在判定不利益處分應予撒銷時，任命權人若遲不作為，即依該項判定發生</w:t>
      </w:r>
      <w:r>
        <w:rPr>
          <w:spacing w:val="129"/>
          <w:w w:val="105"/>
        </w:rPr>
        <w:t> </w:t>
      </w:r>
      <w:r>
        <w:rPr>
          <w:w w:val="105"/>
        </w:rPr>
        <w:t>效力。就此點而言，審查機關的判斷具有形成效力。</w:t>
      </w:r>
    </w:p>
    <w:p>
      <w:pPr>
        <w:pStyle w:val="BodyText"/>
        <w:spacing w:line="319" w:lineRule="auto" w:before="10"/>
        <w:ind w:left="303" w:right="505" w:firstLine="578"/>
        <w:jc w:val="both"/>
        <w:rPr>
          <w:rFonts w:ascii="Arial" w:eastAsia="Arial"/>
          <w:sz w:val="8"/>
        </w:rPr>
      </w:pPr>
      <w:r>
        <w:rPr>
          <w:w w:val="105"/>
        </w:rPr>
        <w:t>人事委員會或公平委員會，不僅在處分違法的情形，即使於處分不當</w:t>
      </w:r>
      <w:r>
        <w:rPr>
          <w:spacing w:val="76"/>
          <w:w w:val="105"/>
        </w:rPr>
        <w:t> </w:t>
      </w:r>
      <w:r>
        <w:rPr>
          <w:w w:val="105"/>
        </w:rPr>
        <w:t>的場合，亦得宣告撤銷其處分，甚且尚得就該處分逕行自為變更，此點相</w:t>
      </w:r>
      <w:r>
        <w:rPr>
          <w:spacing w:val="129"/>
          <w:w w:val="105"/>
        </w:rPr>
        <w:t> </w:t>
      </w:r>
      <w:r>
        <w:rPr>
          <w:w w:val="105"/>
        </w:rPr>
        <w:t>較於日本的法院訴訟程序極其不同。另外，故意拒從人事委員會或公評委 </w:t>
      </w:r>
      <w:r>
        <w:rPr>
          <w:spacing w:val="23"/>
          <w:w w:val="105"/>
        </w:rPr>
        <w:t> </w:t>
      </w:r>
      <w:r>
        <w:rPr>
          <w:spacing w:val="2"/>
          <w:w w:val="95"/>
        </w:rPr>
        <w:t>員 會的拉示者 </w:t>
      </w:r>
      <w:r>
        <w:rPr>
          <w:spacing w:val="-17"/>
          <w:w w:val="65"/>
        </w:rPr>
        <w:t>， </w:t>
      </w:r>
      <w:r>
        <w:rPr>
          <w:spacing w:val="-8"/>
          <w:w w:val="95"/>
        </w:rPr>
        <w:t>處 </w:t>
      </w:r>
      <w:r>
        <w:rPr>
          <w:rFonts w:ascii="Times New Roman" w:eastAsia="Times New Roman"/>
          <w:w w:val="95"/>
          <w:sz w:val="30"/>
        </w:rPr>
        <w:t>l</w:t>
      </w:r>
      <w:r>
        <w:rPr>
          <w:rFonts w:ascii="Times New Roman" w:eastAsia="Times New Roman"/>
          <w:spacing w:val="54"/>
          <w:w w:val="95"/>
          <w:sz w:val="30"/>
        </w:rPr>
        <w:t> </w:t>
      </w:r>
      <w:r>
        <w:rPr>
          <w:spacing w:val="12"/>
          <w:w w:val="95"/>
        </w:rPr>
        <w:t>年以下有期徒刑或 </w:t>
      </w:r>
      <w:r>
        <w:rPr>
          <w:rFonts w:ascii="Times New Roman" w:eastAsia="Times New Roman"/>
          <w:w w:val="95"/>
          <w:sz w:val="30"/>
        </w:rPr>
        <w:t>3</w:t>
      </w:r>
      <w:r>
        <w:rPr>
          <w:rFonts w:ascii="Times New Roman" w:eastAsia="Times New Roman"/>
          <w:spacing w:val="23"/>
          <w:w w:val="95"/>
          <w:sz w:val="30"/>
        </w:rPr>
        <w:t> </w:t>
      </w:r>
      <w:r>
        <w:rPr>
          <w:spacing w:val="-5"/>
          <w:w w:val="95"/>
        </w:rPr>
        <w:t>萬 日圄 以下的罰金</w:t>
      </w:r>
      <w:r>
        <w:rPr>
          <w:rFonts w:ascii="Times New Roman" w:eastAsia="Times New Roman"/>
          <w:w w:val="65"/>
          <w:sz w:val="16"/>
        </w:rPr>
        <w:t>168</w:t>
      </w:r>
      <w:r>
        <w:rPr>
          <w:rFonts w:ascii="Times New Roman" w:eastAsia="Times New Roman"/>
          <w:spacing w:val="20"/>
          <w:w w:val="65"/>
          <w:sz w:val="16"/>
        </w:rPr>
        <w:t> </w:t>
      </w:r>
      <w:r>
        <w:rPr>
          <w:rFonts w:ascii="Arial" w:eastAsia="Arial"/>
          <w:w w:val="95"/>
          <w:sz w:val="8"/>
        </w:rPr>
        <w:t>0</w:t>
      </w:r>
    </w:p>
    <w:p>
      <w:pPr>
        <w:pStyle w:val="BodyText"/>
        <w:spacing w:before="112"/>
        <w:ind w:right="187"/>
        <w:jc w:val="center"/>
      </w:pPr>
      <w:r>
        <w:rPr>
          <w:w w:val="110"/>
        </w:rPr>
        <w:t>（八）不利益處分撤鏑之訴</w:t>
      </w:r>
    </w:p>
    <w:p>
      <w:pPr>
        <w:pStyle w:val="BodyText"/>
        <w:spacing w:before="10"/>
        <w:rPr>
          <w:sz w:val="23"/>
        </w:rPr>
      </w:pPr>
    </w:p>
    <w:p>
      <w:pPr>
        <w:pStyle w:val="BodyText"/>
        <w:tabs>
          <w:tab w:pos="4204" w:val="left" w:leader="none"/>
        </w:tabs>
        <w:spacing w:line="328" w:lineRule="auto"/>
        <w:ind w:left="302" w:right="512" w:firstLine="572"/>
      </w:pPr>
      <w:r>
        <w:rPr>
          <w:w w:val="105"/>
        </w:rPr>
        <w:t>不利益處分撒銷之訴，採不服磬明前置主義。亦即，對屬不利益處分</w:t>
      </w:r>
      <w:r>
        <w:rPr>
          <w:spacing w:val="76"/>
          <w:w w:val="105"/>
        </w:rPr>
        <w:t> </w:t>
      </w:r>
      <w:r>
        <w:rPr>
          <w:w w:val="105"/>
        </w:rPr>
        <w:t>的審查請求或異議罄明，而對人事委員會或公平委員會提超撤銷之訴者，</w:t>
      </w:r>
      <w:r>
        <w:rPr>
          <w:spacing w:val="123"/>
          <w:w w:val="105"/>
        </w:rPr>
        <w:t> </w:t>
      </w:r>
      <w:r>
        <w:rPr>
          <w:w w:val="105"/>
        </w:rPr>
        <w:t>其倘未歷經對人事委員會或公平委員會提超審查請求或異議罄明的裁決  </w:t>
      </w:r>
      <w:r>
        <w:rPr>
          <w:spacing w:val="103"/>
          <w:w w:val="105"/>
        </w:rPr>
        <w:t> </w:t>
      </w:r>
      <w:r>
        <w:rPr>
          <w:spacing w:val="32"/>
        </w:rPr>
        <w:t>或</w:t>
      </w:r>
      <w:r>
        <w:rPr>
          <w:spacing w:val="26"/>
        </w:rPr>
        <w:t>決</w:t>
      </w:r>
      <w:r>
        <w:rPr/>
        <w:t>定</w:t>
      </w:r>
      <w:r>
        <w:rPr>
          <w:spacing w:val="-32"/>
        </w:rPr>
        <w:t> </w:t>
      </w:r>
      <w:r>
        <w:rPr>
          <w:w w:val="65"/>
        </w:rPr>
        <w:t>，</w:t>
      </w:r>
      <w:r>
        <w:rPr>
          <w:spacing w:val="-34"/>
          <w:w w:val="65"/>
        </w:rPr>
        <w:t> </w:t>
      </w:r>
      <w:r>
        <w:rPr>
          <w:spacing w:val="32"/>
        </w:rPr>
        <w:t>則</w:t>
      </w:r>
      <w:r>
        <w:rPr/>
        <w:t>不得</w:t>
      </w:r>
      <w:r>
        <w:rPr>
          <w:spacing w:val="-57"/>
        </w:rPr>
        <w:t> </w:t>
      </w:r>
      <w:r>
        <w:rPr/>
        <w:t>提超</w:t>
      </w:r>
      <w:r>
        <w:rPr>
          <w:spacing w:val="11"/>
        </w:rPr>
        <w:t>撤</w:t>
      </w:r>
      <w:r>
        <w:rPr>
          <w:spacing w:val="14"/>
        </w:rPr>
        <w:t>銷</w:t>
      </w:r>
      <w:r>
        <w:rPr>
          <w:spacing w:val="11"/>
        </w:rPr>
        <w:t>之</w:t>
      </w:r>
      <w:r>
        <w:rPr/>
        <w:t>訴</w:t>
      </w:r>
      <w:r>
        <w:rPr>
          <w:rFonts w:ascii="Times New Roman" w:eastAsia="Times New Roman"/>
          <w:w w:val="65"/>
          <w:sz w:val="16"/>
        </w:rPr>
        <w:t>169</w:t>
        <w:tab/>
      </w:r>
      <w:r>
        <w:rPr>
          <w:w w:val="65"/>
        </w:rPr>
        <w:t>。</w:t>
      </w:r>
      <w:r>
        <w:rPr>
          <w:spacing w:val="22"/>
          <w:w w:val="65"/>
        </w:rPr>
        <w:t> </w:t>
      </w:r>
      <w:r>
        <w:rPr/>
        <w:t>就</w:t>
      </w:r>
      <w:r>
        <w:rPr>
          <w:spacing w:val="37"/>
        </w:rPr>
        <w:t>職</w:t>
      </w:r>
      <w:r>
        <w:rPr>
          <w:spacing w:val="38"/>
        </w:rPr>
        <w:t>員</w:t>
      </w:r>
      <w:r>
        <w:rPr>
          <w:spacing w:val="34"/>
        </w:rPr>
        <w:t>任</w:t>
      </w:r>
      <w:r>
        <w:rPr/>
        <w:t>用關</w:t>
      </w:r>
      <w:r>
        <w:rPr>
          <w:spacing w:val="-4"/>
        </w:rPr>
        <w:t> </w:t>
      </w:r>
      <w:r>
        <w:rPr/>
        <w:t>係</w:t>
      </w:r>
      <w:r>
        <w:rPr>
          <w:spacing w:val="30"/>
        </w:rPr>
        <w:t>如</w:t>
      </w:r>
      <w:r>
        <w:rPr>
          <w:spacing w:val="13"/>
        </w:rPr>
        <w:t>此</w:t>
      </w:r>
      <w:r>
        <w:rPr>
          <w:spacing w:val="11"/>
        </w:rPr>
        <w:t>規</w:t>
      </w:r>
      <w:r>
        <w:rPr/>
        <w:t>定</w:t>
      </w:r>
      <w:r>
        <w:rPr>
          <w:spacing w:val="-19"/>
        </w:rPr>
        <w:t> </w:t>
      </w:r>
      <w:r>
        <w:rPr>
          <w:w w:val="65"/>
        </w:rPr>
        <w:t>，</w:t>
      </w:r>
      <w:r>
        <w:rPr>
          <w:spacing w:val="-30"/>
          <w:w w:val="65"/>
        </w:rPr>
        <w:t> </w:t>
      </w:r>
      <w:r>
        <w:rPr>
          <w:spacing w:val="18"/>
        </w:rPr>
        <w:t>首</w:t>
      </w:r>
      <w:r>
        <w:rPr/>
        <w:t>要</w:t>
      </w:r>
      <w:r>
        <w:rPr>
          <w:spacing w:val="37"/>
        </w:rPr>
        <w:t>原</w:t>
      </w:r>
      <w:r>
        <w:rPr>
          <w:spacing w:val="25"/>
        </w:rPr>
        <w:t>因</w:t>
      </w:r>
      <w:r>
        <w:rPr/>
        <w:t>在</w:t>
      </w:r>
      <w:r>
        <w:rPr>
          <w:w w:val="105"/>
        </w:rPr>
        <w:t>於因先由人事委員會或公平委員會調查確認相關實情，程序上較為適切，</w:t>
      </w:r>
      <w:r>
        <w:rPr>
          <w:spacing w:val="123"/>
          <w:w w:val="105"/>
        </w:rPr>
        <w:t> </w:t>
      </w:r>
      <w:r>
        <w:rPr>
          <w:w w:val="105"/>
        </w:rPr>
        <w:t>從而有助於促進往後的訴訟審理。</w:t>
      </w:r>
    </w:p>
    <w:p>
      <w:pPr>
        <w:pStyle w:val="BodyText"/>
        <w:spacing w:line="333" w:lineRule="auto" w:before="10"/>
        <w:ind w:left="306" w:right="504" w:firstLine="576"/>
        <w:jc w:val="both"/>
      </w:pPr>
      <w:r>
        <w:rPr>
          <w:w w:val="110"/>
        </w:rPr>
        <w:t>此外，任命権人，縱使對於審查機關的判斷有所不服，然就此類機關訴訟並無規定，因此不得向法院提超撒銷其判斷之訴，但得對審查機關提超再審程序。</w:t>
      </w:r>
    </w:p>
    <w:p>
      <w:pPr>
        <w:tabs>
          <w:tab w:pos="1433" w:val="left" w:leader="none"/>
        </w:tabs>
        <w:spacing w:before="36"/>
        <w:ind w:left="0" w:right="246" w:firstLine="0"/>
        <w:jc w:val="center"/>
        <w:rPr>
          <w:sz w:val="28"/>
        </w:rPr>
      </w:pPr>
      <w:bookmarkStart w:name="_bookmark36" w:id="37"/>
      <w:bookmarkEnd w:id="37"/>
      <w:r>
        <w:rPr/>
      </w:r>
      <w:r>
        <w:rPr>
          <w:w w:val="110"/>
          <w:sz w:val="31"/>
        </w:rPr>
        <w:t>第四節</w:t>
        <w:tab/>
      </w:r>
      <w:r>
        <w:rPr>
          <w:w w:val="110"/>
          <w:sz w:val="28"/>
        </w:rPr>
        <w:t>日本地方公務員陞遷制度</w:t>
      </w:r>
    </w:p>
    <w:p>
      <w:pPr>
        <w:pStyle w:val="BodyText"/>
        <w:spacing w:before="11"/>
        <w:rPr>
          <w:sz w:val="28"/>
        </w:rPr>
      </w:pPr>
    </w:p>
    <w:p>
      <w:pPr>
        <w:pStyle w:val="BodyText"/>
        <w:ind w:left="3427"/>
      </w:pPr>
      <w:r>
        <w:rPr>
          <w:w w:val="110"/>
        </w:rPr>
        <w:t>日本地方公務員陞遷制度概要</w:t>
      </w:r>
    </w:p>
    <w:p>
      <w:pPr>
        <w:pStyle w:val="BodyText"/>
        <w:spacing w:before="8"/>
        <w:rPr>
          <w:sz w:val="31"/>
        </w:rPr>
      </w:pPr>
    </w:p>
    <w:p>
      <w:pPr>
        <w:pStyle w:val="BodyText"/>
        <w:ind w:right="134"/>
        <w:jc w:val="center"/>
      </w:pPr>
      <w:r>
        <w:rPr>
          <w:w w:val="110"/>
        </w:rPr>
        <w:t>（一）陞遷的概念</w:t>
      </w:r>
    </w:p>
    <w:p>
      <w:pPr>
        <w:pStyle w:val="BodyText"/>
        <w:spacing w:before="5"/>
        <w:rPr>
          <w:sz w:val="23"/>
        </w:rPr>
      </w:pPr>
    </w:p>
    <w:p>
      <w:pPr>
        <w:pStyle w:val="BodyText"/>
        <w:ind w:left="869"/>
      </w:pPr>
      <w:r>
        <w:rPr>
          <w:w w:val="110"/>
        </w:rPr>
        <w:t>所謂陞遷是拉將職員依法令、自治條例或，規則及或章程，任命其較</w:t>
      </w:r>
    </w:p>
    <w:p>
      <w:pPr>
        <w:pStyle w:val="BodyText"/>
        <w:spacing w:before="7"/>
        <w:rPr>
          <w:sz w:val="28"/>
        </w:rPr>
      </w:pPr>
      <w:r>
        <w:rPr/>
        <w:pict>
          <v:shape style="position:absolute;margin-left:95.174004pt;margin-top:20.525507pt;width:144.25pt;height:.1pt;mso-position-horizontal-relative:page;mso-position-vertical-relative:paragraph;z-index:-15579136;mso-wrap-distance-left:0;mso-wrap-distance-right:0" coordorigin="1903,411" coordsize="2885,0" path="m1903,411l4788,411e" filled="false" stroked="true" strokeweight=".480547pt" strokecolor="#000000">
            <v:path arrowok="t"/>
            <v:stroke dashstyle="solid"/>
            <w10:wrap type="topAndBottom"/>
          </v:shape>
        </w:pict>
      </w:r>
    </w:p>
    <w:p>
      <w:pPr>
        <w:pStyle w:val="BodyText"/>
        <w:spacing w:before="10"/>
        <w:rPr>
          <w:sz w:val="7"/>
        </w:rPr>
      </w:pPr>
    </w:p>
    <w:p>
      <w:pPr>
        <w:spacing w:before="89"/>
        <w:ind w:left="298" w:right="0" w:firstLine="0"/>
        <w:jc w:val="left"/>
        <w:rPr>
          <w:sz w:val="21"/>
        </w:rPr>
      </w:pPr>
      <w:r>
        <w:rPr>
          <w:rFonts w:ascii="Times New Roman" w:eastAsia="Times New Roman"/>
          <w:w w:val="90"/>
          <w:position w:val="7"/>
          <w:sz w:val="13"/>
        </w:rPr>
        <w:t>167</w:t>
      </w:r>
      <w:r>
        <w:rPr>
          <w:rFonts w:ascii="Times New Roman" w:eastAsia="Times New Roman"/>
          <w:spacing w:val="39"/>
          <w:position w:val="7"/>
          <w:sz w:val="13"/>
        </w:rPr>
        <w:t>  </w:t>
      </w:r>
      <w:r>
        <w:rPr>
          <w:w w:val="90"/>
          <w:sz w:val="21"/>
        </w:rPr>
        <w:t>日本 地 公 法第</w:t>
      </w:r>
      <w:r>
        <w:rPr>
          <w:rFonts w:ascii="Times New Roman" w:eastAsia="Times New Roman"/>
          <w:w w:val="90"/>
          <w:sz w:val="26"/>
        </w:rPr>
        <w:t>50</w:t>
      </w:r>
      <w:r>
        <w:rPr>
          <w:spacing w:val="11"/>
          <w:w w:val="90"/>
          <w:sz w:val="21"/>
        </w:rPr>
        <w:t>條 第</w:t>
      </w:r>
      <w:r>
        <w:rPr>
          <w:rFonts w:ascii="Times New Roman" w:eastAsia="Times New Roman"/>
          <w:w w:val="90"/>
          <w:sz w:val="26"/>
        </w:rPr>
        <w:t>3</w:t>
      </w:r>
      <w:r>
        <w:rPr>
          <w:w w:val="90"/>
          <w:sz w:val="21"/>
        </w:rPr>
        <w:t>項 。</w:t>
      </w:r>
    </w:p>
    <w:p>
      <w:pPr>
        <w:spacing w:before="19"/>
        <w:ind w:left="298" w:right="0" w:firstLine="0"/>
        <w:jc w:val="left"/>
        <w:rPr>
          <w:sz w:val="21"/>
        </w:rPr>
      </w:pPr>
      <w:r>
        <w:rPr>
          <w:rFonts w:ascii="Times New Roman" w:eastAsia="Times New Roman"/>
          <w:w w:val="90"/>
          <w:position w:val="7"/>
          <w:sz w:val="13"/>
        </w:rPr>
        <w:t>168</w:t>
      </w:r>
      <w:r>
        <w:rPr>
          <w:rFonts w:ascii="Times New Roman" w:eastAsia="Times New Roman"/>
          <w:spacing w:val="33"/>
          <w:position w:val="7"/>
          <w:sz w:val="13"/>
        </w:rPr>
        <w:t>  </w:t>
      </w:r>
      <w:r>
        <w:rPr>
          <w:spacing w:val="-1"/>
          <w:w w:val="90"/>
          <w:sz w:val="21"/>
        </w:rPr>
        <w:t>日本 地 公 法第</w:t>
      </w:r>
      <w:r>
        <w:rPr>
          <w:rFonts w:ascii="Arial" w:eastAsia="Arial"/>
          <w:w w:val="90"/>
          <w:sz w:val="25"/>
        </w:rPr>
        <w:t>60</w:t>
      </w:r>
      <w:r>
        <w:rPr>
          <w:spacing w:val="11"/>
          <w:w w:val="90"/>
          <w:sz w:val="21"/>
        </w:rPr>
        <w:t>條 第</w:t>
      </w:r>
      <w:r>
        <w:rPr>
          <w:rFonts w:ascii="Arial" w:eastAsia="Arial"/>
          <w:spacing w:val="10"/>
          <w:w w:val="90"/>
          <w:sz w:val="25"/>
        </w:rPr>
        <w:t>3</w:t>
      </w:r>
      <w:r>
        <w:rPr>
          <w:spacing w:val="-2"/>
          <w:w w:val="90"/>
          <w:sz w:val="21"/>
        </w:rPr>
        <w:t>項 。</w:t>
      </w:r>
    </w:p>
    <w:p>
      <w:pPr>
        <w:spacing w:before="11"/>
        <w:ind w:left="298" w:right="0" w:firstLine="0"/>
        <w:jc w:val="left"/>
        <w:rPr>
          <w:sz w:val="24"/>
        </w:rPr>
      </w:pPr>
      <w:r>
        <w:rPr>
          <w:rFonts w:ascii="Times New Roman" w:eastAsia="Times New Roman"/>
          <w:w w:val="95"/>
          <w:position w:val="8"/>
          <w:sz w:val="13"/>
        </w:rPr>
        <w:t>169</w:t>
      </w:r>
      <w:r>
        <w:rPr>
          <w:rFonts w:ascii="Times New Roman" w:eastAsia="Times New Roman"/>
          <w:spacing w:val="5"/>
          <w:w w:val="95"/>
          <w:position w:val="8"/>
          <w:sz w:val="13"/>
        </w:rPr>
        <w:t> </w:t>
      </w:r>
      <w:r>
        <w:rPr>
          <w:spacing w:val="-5"/>
          <w:w w:val="95"/>
          <w:sz w:val="21"/>
        </w:rPr>
        <w:t>日本 地 方公務 員 法第</w:t>
      </w:r>
      <w:r>
        <w:rPr>
          <w:rFonts w:ascii="Times New Roman" w:eastAsia="Times New Roman"/>
          <w:w w:val="95"/>
          <w:sz w:val="26"/>
        </w:rPr>
        <w:t>51</w:t>
      </w:r>
      <w:r>
        <w:rPr>
          <w:spacing w:val="-7"/>
          <w:w w:val="95"/>
          <w:sz w:val="21"/>
        </w:rPr>
        <w:t>條之 </w:t>
      </w:r>
      <w:r>
        <w:rPr>
          <w:rFonts w:ascii="Times New Roman" w:eastAsia="Times New Roman"/>
          <w:w w:val="95"/>
          <w:sz w:val="26"/>
        </w:rPr>
        <w:t>2</w:t>
      </w:r>
      <w:r>
        <w:rPr>
          <w:rFonts w:ascii="Times New Roman" w:eastAsia="Times New Roman"/>
          <w:spacing w:val="2"/>
          <w:w w:val="95"/>
          <w:sz w:val="26"/>
        </w:rPr>
        <w:t> </w:t>
      </w:r>
      <w:r>
        <w:rPr>
          <w:w w:val="95"/>
          <w:sz w:val="24"/>
        </w:rPr>
        <w:t>。</w:t>
      </w:r>
    </w:p>
    <w:p>
      <w:pPr>
        <w:spacing w:after="0"/>
        <w:jc w:val="left"/>
        <w:rPr>
          <w:sz w:val="24"/>
        </w:rPr>
        <w:sectPr>
          <w:pgSz w:w="11910" w:h="16840"/>
          <w:pgMar w:header="862" w:footer="1017" w:top="1060" w:bottom="1200" w:left="1120" w:right="1060"/>
        </w:sectPr>
      </w:pPr>
    </w:p>
    <w:p>
      <w:pPr>
        <w:pStyle w:val="BodyText"/>
        <w:spacing w:before="11"/>
        <w:rPr>
          <w:sz w:val="27"/>
        </w:rPr>
      </w:pPr>
    </w:p>
    <w:p>
      <w:pPr>
        <w:pStyle w:val="BodyText"/>
        <w:spacing w:line="326" w:lineRule="auto" w:before="65"/>
        <w:ind w:left="297" w:right="502" w:firstLine="12"/>
        <w:jc w:val="both"/>
        <w:rPr>
          <w:rFonts w:ascii="Arial" w:eastAsia="Arial"/>
          <w:sz w:val="8"/>
        </w:rPr>
      </w:pPr>
      <w:r>
        <w:rPr>
          <w:spacing w:val="11"/>
        </w:rPr>
        <w:t>現職更上位的職位者之謂</w:t>
      </w:r>
      <w:r>
        <w:rPr>
          <w:rFonts w:ascii="Times New Roman" w:eastAsia="Times New Roman"/>
          <w:w w:val="75"/>
          <w:sz w:val="15"/>
        </w:rPr>
        <w:t>1</w:t>
      </w:r>
      <w:r>
        <w:rPr>
          <w:rFonts w:ascii="Times New Roman" w:eastAsia="Times New Roman"/>
          <w:spacing w:val="9"/>
          <w:w w:val="75"/>
          <w:sz w:val="15"/>
        </w:rPr>
        <w:t> </w:t>
      </w:r>
      <w:r>
        <w:rPr>
          <w:rFonts w:ascii="Times New Roman" w:eastAsia="Times New Roman"/>
          <w:w w:val="75"/>
          <w:sz w:val="15"/>
        </w:rPr>
        <w:t>70</w:t>
      </w:r>
      <w:r>
        <w:rPr>
          <w:rFonts w:ascii="Times New Roman" w:eastAsia="Times New Roman"/>
          <w:spacing w:val="12"/>
          <w:w w:val="75"/>
          <w:sz w:val="15"/>
        </w:rPr>
        <w:t> </w:t>
      </w:r>
      <w:r>
        <w:rPr>
          <w:spacing w:val="5"/>
          <w:w w:val="75"/>
        </w:rPr>
        <w:t>。 </w:t>
      </w:r>
      <w:r>
        <w:rPr>
          <w:spacing w:val="10"/>
        </w:rPr>
        <w:t>此種情形 </w:t>
      </w:r>
      <w:r>
        <w:rPr>
          <w:spacing w:val="-25"/>
          <w:w w:val="75"/>
        </w:rPr>
        <w:t>， </w:t>
      </w:r>
      <w:r>
        <w:rPr>
          <w:spacing w:val="11"/>
        </w:rPr>
        <w:t>須以特定職位出缺為必要 。國家</w:t>
      </w:r>
      <w:r>
        <w:rPr>
          <w:spacing w:val="-12"/>
        </w:rPr>
        <w:t>公務 員之 場合 </w:t>
      </w:r>
      <w:r>
        <w:rPr>
          <w:spacing w:val="-36"/>
          <w:w w:val="75"/>
        </w:rPr>
        <w:t>， </w:t>
      </w:r>
      <w:r>
        <w:rPr>
          <w:spacing w:val="4"/>
        </w:rPr>
        <w:t>若依日本 人事院規則 </w:t>
      </w:r>
      <w:r>
        <w:rPr>
          <w:rFonts w:ascii="Times New Roman" w:eastAsia="Times New Roman"/>
          <w:sz w:val="30"/>
        </w:rPr>
        <w:t>8</w:t>
      </w:r>
      <w:r>
        <w:rPr>
          <w:rFonts w:ascii="Times New Roman" w:eastAsia="Times New Roman"/>
          <w:spacing w:val="2"/>
          <w:sz w:val="30"/>
        </w:rPr>
        <w:t> </w:t>
      </w:r>
      <w:r>
        <w:rPr>
          <w:spacing w:val="-28"/>
        </w:rPr>
        <w:t>之 </w:t>
      </w:r>
      <w:r>
        <w:rPr>
          <w:rFonts w:ascii="Times New Roman" w:eastAsia="Times New Roman"/>
          <w:sz w:val="30"/>
        </w:rPr>
        <w:t>12</w:t>
      </w:r>
      <w:r>
        <w:rPr>
          <w:rFonts w:ascii="Times New Roman" w:eastAsia="Times New Roman"/>
          <w:spacing w:val="18"/>
          <w:sz w:val="30"/>
        </w:rPr>
        <w:t> </w:t>
      </w:r>
      <w:r>
        <w:rPr>
          <w:spacing w:val="-16"/>
          <w:sz w:val="26"/>
        </w:rPr>
        <w:t>第 </w:t>
      </w:r>
      <w:r>
        <w:rPr>
          <w:rFonts w:ascii="Times New Roman" w:eastAsia="Times New Roman"/>
          <w:sz w:val="30"/>
        </w:rPr>
        <w:t>81</w:t>
      </w:r>
      <w:r>
        <w:rPr>
          <w:rFonts w:ascii="Times New Roman" w:eastAsia="Times New Roman"/>
          <w:spacing w:val="-14"/>
          <w:sz w:val="30"/>
        </w:rPr>
        <w:t> </w:t>
      </w:r>
      <w:r>
        <w:rPr>
          <w:spacing w:val="-7"/>
        </w:rPr>
        <w:t>條規定的運用 通知 </w:t>
      </w:r>
      <w:r>
        <w:rPr>
          <w:spacing w:val="18"/>
          <w:w w:val="75"/>
        </w:rPr>
        <w:t>，</w:t>
      </w:r>
      <w:r>
        <w:rPr/>
        <w:t>所</w:t>
      </w:r>
      <w:r>
        <w:rPr>
          <w:w w:val="105"/>
        </w:rPr>
        <w:t>謂的「陞遷」係指，使職員升等。在定有級別的官位，任命其擔任更上位 </w:t>
      </w:r>
      <w:r>
        <w:rPr>
          <w:spacing w:val="7"/>
          <w:w w:val="105"/>
        </w:rPr>
        <w:t> </w:t>
      </w:r>
      <w:r>
        <w:rPr>
          <w:w w:val="105"/>
        </w:rPr>
        <w:t>的官職，或是將職員依法令或其他規定任命其擔任被賦予正式名稱之更上 </w:t>
      </w:r>
      <w:r>
        <w:rPr>
          <w:spacing w:val="7"/>
          <w:w w:val="105"/>
        </w:rPr>
        <w:t> </w:t>
      </w:r>
      <w:r>
        <w:rPr>
          <w:w w:val="105"/>
        </w:rPr>
        <w:t>位的官職。而在此所指的升格，則是俸玲制度上的用語，係挂將職員職務 </w:t>
      </w:r>
      <w:r>
        <w:rPr>
          <w:spacing w:val="7"/>
          <w:w w:val="105"/>
        </w:rPr>
        <w:t> </w:t>
      </w:r>
      <w:r>
        <w:rPr>
          <w:w w:val="105"/>
        </w:rPr>
        <w:t>等級變更為同一俸給表中較上位等級者而言。俸給表的等級，於基本性質 </w:t>
      </w:r>
      <w:r>
        <w:rPr>
          <w:spacing w:val="7"/>
          <w:w w:val="105"/>
        </w:rPr>
        <w:t> </w:t>
      </w:r>
      <w:r>
        <w:rPr>
          <w:w w:val="105"/>
        </w:rPr>
        <w:t>上係以職務為中心，由於係依職務的複雜丶困難及責任程度加以區分，因 </w:t>
      </w:r>
      <w:r>
        <w:rPr>
          <w:spacing w:val="7"/>
          <w:w w:val="105"/>
        </w:rPr>
        <w:t> </w:t>
      </w:r>
      <w:r>
        <w:rPr>
          <w:w w:val="105"/>
        </w:rPr>
        <w:t>此以一個職務一級為原則。因此升格通常是附隨於升遷，而職務則隨之會 </w:t>
      </w:r>
      <w:r>
        <w:rPr>
          <w:spacing w:val="7"/>
          <w:w w:val="105"/>
        </w:rPr>
        <w:t> </w:t>
      </w:r>
      <w:r>
        <w:rPr>
          <w:w w:val="105"/>
        </w:rPr>
        <w:t>被賦予上位之等級。此外，由於升格僅限於在同一俸玲表內之進行職級變 </w:t>
      </w:r>
      <w:r>
        <w:rPr>
          <w:spacing w:val="7"/>
          <w:w w:val="105"/>
        </w:rPr>
        <w:t> </w:t>
      </w:r>
      <w:r>
        <w:rPr>
          <w:w w:val="105"/>
        </w:rPr>
        <w:t>更，因此，即使是伴隨有升遷行為，則在不同之俸給表有所異動之場合，</w:t>
      </w:r>
      <w:r>
        <w:rPr>
          <w:spacing w:val="119"/>
          <w:w w:val="105"/>
        </w:rPr>
        <w:t> </w:t>
      </w:r>
      <w:r>
        <w:rPr>
          <w:spacing w:val="4"/>
        </w:rPr>
        <w:t>則不 包含在此種概念之內</w:t>
      </w:r>
      <w:r>
        <w:rPr>
          <w:rFonts w:ascii="Times New Roman" w:eastAsia="Times New Roman"/>
          <w:w w:val="75"/>
          <w:sz w:val="15"/>
        </w:rPr>
        <w:t>1</w:t>
      </w:r>
      <w:r>
        <w:rPr>
          <w:rFonts w:ascii="Times New Roman" w:eastAsia="Times New Roman"/>
          <w:spacing w:val="3"/>
          <w:w w:val="75"/>
          <w:sz w:val="15"/>
        </w:rPr>
        <w:t> </w:t>
      </w:r>
      <w:r>
        <w:rPr>
          <w:rFonts w:ascii="Times New Roman" w:eastAsia="Times New Roman"/>
          <w:w w:val="75"/>
          <w:sz w:val="15"/>
        </w:rPr>
        <w:t>71</w:t>
      </w:r>
      <w:r>
        <w:rPr>
          <w:rFonts w:ascii="Times New Roman" w:eastAsia="Times New Roman"/>
          <w:spacing w:val="16"/>
          <w:w w:val="75"/>
          <w:sz w:val="15"/>
        </w:rPr>
        <w:t> </w:t>
      </w:r>
      <w:r>
        <w:rPr>
          <w:rFonts w:ascii="Arial" w:eastAsia="Arial"/>
          <w:sz w:val="8"/>
        </w:rPr>
        <w:t>0</w:t>
      </w:r>
    </w:p>
    <w:p>
      <w:pPr>
        <w:pStyle w:val="BodyText"/>
        <w:spacing w:before="121"/>
        <w:ind w:right="109"/>
        <w:jc w:val="center"/>
      </w:pPr>
      <w:r>
        <w:rPr>
          <w:w w:val="110"/>
        </w:rPr>
        <w:t>（二）陞遷在人事管理上的意義</w:t>
      </w:r>
    </w:p>
    <w:p>
      <w:pPr>
        <w:pStyle w:val="BodyText"/>
        <w:spacing w:before="9"/>
        <w:rPr>
          <w:sz w:val="23"/>
        </w:rPr>
      </w:pPr>
    </w:p>
    <w:p>
      <w:pPr>
        <w:pStyle w:val="BodyText"/>
        <w:spacing w:line="331" w:lineRule="auto"/>
        <w:ind w:left="303" w:right="510" w:firstLine="573"/>
        <w:jc w:val="both"/>
      </w:pPr>
      <w:r>
        <w:rPr>
          <w:w w:val="110"/>
        </w:rPr>
        <w:t>陞遷在任用制度上雖係補充出缺人員的一種方法，但在人事管理上所具有的意義不只在補充出缺人員而已，就地方自治圍體而言具有重要意義存在。</w:t>
      </w:r>
    </w:p>
    <w:p>
      <w:pPr>
        <w:pStyle w:val="BodyText"/>
        <w:spacing w:line="331" w:lineRule="auto"/>
        <w:ind w:left="304" w:right="441" w:firstLine="579"/>
        <w:jc w:val="both"/>
      </w:pPr>
      <w:r>
        <w:rPr>
          <w:w w:val="110"/>
        </w:rPr>
        <w:t>日本地方自治團體，為因應在少數菁英體制中內外之情勢，達成行政目的的效率及效果，使職員能夠更加發揮其能力，並提升其素質乃為重要之事。同時為此，確實選拔並適切培養，適合於領導維織之重要的管理丶監督職之具有能力的職員，乃有必要。此事，對於幹部職員原則上是由內部陞遷的地方自治團體亦別顯得重要。</w:t>
      </w:r>
    </w:p>
    <w:p>
      <w:pPr>
        <w:pStyle w:val="BodyText"/>
        <w:spacing w:line="331" w:lineRule="auto"/>
        <w:ind w:left="304" w:right="520" w:firstLine="559"/>
        <w:jc w:val="both"/>
      </w:pPr>
      <w:r>
        <w:rPr>
          <w:w w:val="110"/>
        </w:rPr>
        <w:t>職是之故，基於能力主義進行適切的陞遷管理，在維織管理及人事管理上都具有極為重要的意義。而且，此種做法對於職員而言，自己的能力和努力的成果可以得到適正的評價，籍箸被賦與更高度的権限和責任，具有被賦與使自己的能力有更大揮灑空間的意義。因此若能做出使能力和實際成績相應的適切之陞遷管理，則將可大幅提昇職員的工作意願和士氣。</w:t>
      </w:r>
    </w:p>
    <w:p>
      <w:pPr>
        <w:pStyle w:val="BodyText"/>
        <w:spacing w:line="324" w:lineRule="auto"/>
        <w:ind w:left="323" w:right="594" w:firstLine="560"/>
      </w:pPr>
      <w:r>
        <w:rPr>
          <w:w w:val="110"/>
        </w:rPr>
        <w:t>因此地方自治團體有必要明定長期的人事管理計畫，並基於能力主</w:t>
      </w:r>
      <w:r>
        <w:rPr>
          <w:spacing w:val="1"/>
          <w:w w:val="110"/>
        </w:rPr>
        <w:t> </w:t>
      </w:r>
      <w:r>
        <w:rPr>
          <w:w w:val="110"/>
        </w:rPr>
        <w:t>義、成續主義，以璀立陞遷制度。並應注意下列事項：</w:t>
      </w:r>
      <w:r>
        <w:rPr>
          <w:spacing w:val="-41"/>
        </w:rPr>
        <w:t> </w:t>
      </w:r>
      <w:r>
        <w:rPr>
          <w:rFonts w:ascii="MS UI Gothic" w:hAnsi="MS UI Gothic" w:eastAsia="MS UI Gothic" w:hint="eastAsia"/>
          <w:spacing w:val="-149"/>
          <w:w w:val="100"/>
          <w:position w:val="-1"/>
          <w:sz w:val="28"/>
        </w:rPr>
        <w:t>①</w:t>
      </w:r>
      <w:r>
        <w:rPr>
          <w:spacing w:val="-3"/>
          <w:w w:val="113"/>
        </w:rPr>
        <w:t>．管理職的選拔</w:t>
      </w:r>
    </w:p>
    <w:p>
      <w:pPr>
        <w:pStyle w:val="BodyText"/>
        <w:rPr>
          <w:sz w:val="20"/>
        </w:rPr>
      </w:pPr>
    </w:p>
    <w:p>
      <w:pPr>
        <w:pStyle w:val="BodyText"/>
        <w:spacing w:before="5"/>
        <w:rPr>
          <w:sz w:val="27"/>
        </w:rPr>
      </w:pPr>
    </w:p>
    <w:p>
      <w:pPr>
        <w:spacing w:before="90"/>
        <w:ind w:left="298" w:right="0" w:firstLine="0"/>
        <w:jc w:val="left"/>
        <w:rPr>
          <w:sz w:val="21"/>
        </w:rPr>
      </w:pPr>
      <w:r>
        <w:rPr>
          <w:rFonts w:ascii="Times New Roman" w:eastAsia="Times New Roman"/>
          <w:w w:val="95"/>
          <w:position w:val="7"/>
          <w:sz w:val="13"/>
        </w:rPr>
        <w:t>170</w:t>
      </w:r>
      <w:r>
        <w:rPr>
          <w:rFonts w:ascii="Times New Roman" w:eastAsia="Times New Roman"/>
          <w:spacing w:val="8"/>
          <w:w w:val="95"/>
          <w:position w:val="7"/>
          <w:sz w:val="13"/>
        </w:rPr>
        <w:t> </w:t>
      </w:r>
      <w:r>
        <w:rPr>
          <w:spacing w:val="14"/>
          <w:w w:val="95"/>
          <w:sz w:val="20"/>
        </w:rPr>
        <w:t>通知昭</w:t>
      </w:r>
      <w:r>
        <w:rPr>
          <w:rFonts w:ascii="Times New Roman" w:eastAsia="Times New Roman"/>
          <w:w w:val="95"/>
          <w:sz w:val="26"/>
        </w:rPr>
        <w:t>27.</w:t>
      </w:r>
      <w:r>
        <w:rPr>
          <w:rFonts w:ascii="Times New Roman" w:eastAsia="Times New Roman"/>
          <w:spacing w:val="27"/>
          <w:w w:val="95"/>
          <w:sz w:val="26"/>
        </w:rPr>
        <w:t> </w:t>
      </w:r>
      <w:r>
        <w:rPr>
          <w:rFonts w:ascii="Times New Roman" w:eastAsia="Times New Roman"/>
          <w:w w:val="95"/>
          <w:sz w:val="26"/>
        </w:rPr>
        <w:t>12.</w:t>
      </w:r>
      <w:r>
        <w:rPr>
          <w:rFonts w:ascii="Times New Roman" w:eastAsia="Times New Roman"/>
          <w:spacing w:val="3"/>
          <w:w w:val="95"/>
          <w:sz w:val="26"/>
        </w:rPr>
        <w:t> </w:t>
      </w:r>
      <w:r>
        <w:rPr>
          <w:rFonts w:ascii="Times New Roman" w:eastAsia="Times New Roman"/>
          <w:spacing w:val="15"/>
          <w:w w:val="95"/>
          <w:sz w:val="26"/>
        </w:rPr>
        <w:t>4</w:t>
      </w:r>
      <w:r>
        <w:rPr>
          <w:spacing w:val="-11"/>
          <w:w w:val="95"/>
          <w:sz w:val="21"/>
        </w:rPr>
        <w:t>自 雨行 発 第</w:t>
      </w:r>
      <w:r>
        <w:rPr>
          <w:rFonts w:ascii="Times New Roman" w:eastAsia="Times New Roman"/>
          <w:w w:val="95"/>
          <w:sz w:val="26"/>
        </w:rPr>
        <w:t>52</w:t>
      </w:r>
      <w:r>
        <w:rPr>
          <w:w w:val="95"/>
          <w:sz w:val="21"/>
        </w:rPr>
        <w:t>芳</w:t>
      </w:r>
    </w:p>
    <w:p>
      <w:pPr>
        <w:spacing w:before="10"/>
        <w:ind w:left="298" w:right="0" w:firstLine="0"/>
        <w:jc w:val="left"/>
        <w:rPr>
          <w:sz w:val="21"/>
        </w:rPr>
      </w:pPr>
      <w:r>
        <w:rPr>
          <w:rFonts w:ascii="Times New Roman" w:eastAsia="Times New Roman"/>
          <w:w w:val="90"/>
          <w:position w:val="7"/>
          <w:sz w:val="13"/>
        </w:rPr>
        <w:t>171</w:t>
      </w:r>
      <w:r>
        <w:rPr>
          <w:rFonts w:ascii="Times New Roman" w:eastAsia="Times New Roman"/>
          <w:spacing w:val="11"/>
          <w:w w:val="90"/>
          <w:position w:val="7"/>
          <w:sz w:val="13"/>
        </w:rPr>
        <w:t> </w:t>
      </w:r>
      <w:r>
        <w:rPr>
          <w:spacing w:val="6"/>
          <w:w w:val="90"/>
          <w:sz w:val="21"/>
        </w:rPr>
        <w:t>地方公務 員 関係法解釈通覧 ，全 訂 </w:t>
      </w:r>
      <w:r>
        <w:rPr>
          <w:rFonts w:ascii="Times New Roman" w:eastAsia="Times New Roman"/>
          <w:w w:val="90"/>
          <w:sz w:val="26"/>
        </w:rPr>
        <w:t>2</w:t>
      </w:r>
      <w:r>
        <w:rPr>
          <w:rFonts w:ascii="Times New Roman" w:eastAsia="Times New Roman"/>
          <w:spacing w:val="16"/>
          <w:w w:val="90"/>
          <w:sz w:val="26"/>
        </w:rPr>
        <w:t> </w:t>
      </w:r>
      <w:r>
        <w:rPr>
          <w:spacing w:val="21"/>
          <w:w w:val="90"/>
          <w:sz w:val="21"/>
        </w:rPr>
        <w:t>版 ，</w:t>
      </w:r>
      <w:r>
        <w:rPr>
          <w:rFonts w:ascii="Times New Roman" w:eastAsia="Times New Roman"/>
          <w:w w:val="90"/>
          <w:sz w:val="26"/>
        </w:rPr>
        <w:t>1993</w:t>
      </w:r>
      <w:r>
        <w:rPr>
          <w:rFonts w:ascii="Times New Roman" w:eastAsia="Times New Roman"/>
          <w:spacing w:val="2"/>
          <w:w w:val="90"/>
          <w:sz w:val="26"/>
        </w:rPr>
        <w:t> </w:t>
      </w:r>
      <w:r>
        <w:rPr>
          <w:spacing w:val="-15"/>
          <w:w w:val="90"/>
          <w:sz w:val="21"/>
        </w:rPr>
        <w:t>年 </w:t>
      </w:r>
      <w:r>
        <w:rPr>
          <w:rFonts w:ascii="Times New Roman" w:eastAsia="Times New Roman"/>
          <w:w w:val="90"/>
          <w:sz w:val="26"/>
        </w:rPr>
        <w:t>8</w:t>
      </w:r>
      <w:r>
        <w:rPr>
          <w:rFonts w:ascii="Times New Roman" w:eastAsia="Times New Roman"/>
          <w:spacing w:val="25"/>
          <w:w w:val="90"/>
          <w:sz w:val="26"/>
        </w:rPr>
        <w:t> </w:t>
      </w:r>
      <w:r>
        <w:rPr>
          <w:spacing w:val="-1"/>
          <w:w w:val="90"/>
          <w:sz w:val="21"/>
        </w:rPr>
        <w:t>月 </w:t>
      </w:r>
      <w:r>
        <w:rPr>
          <w:rFonts w:ascii="Times New Roman" w:eastAsia="Times New Roman"/>
          <w:w w:val="90"/>
          <w:sz w:val="26"/>
        </w:rPr>
        <w:t>10</w:t>
      </w:r>
      <w:r>
        <w:rPr>
          <w:rFonts w:ascii="Times New Roman" w:eastAsia="Times New Roman"/>
          <w:spacing w:val="38"/>
          <w:w w:val="90"/>
          <w:sz w:val="26"/>
        </w:rPr>
        <w:t> </w:t>
      </w:r>
      <w:r>
        <w:rPr>
          <w:spacing w:val="2"/>
          <w:w w:val="90"/>
          <w:sz w:val="21"/>
        </w:rPr>
        <w:t>日 ，地 方公務 員 関</w:t>
      </w:r>
      <w:r>
        <w:rPr>
          <w:spacing w:val="-23"/>
          <w:w w:val="90"/>
          <w:sz w:val="21"/>
        </w:rPr>
        <w:t>亻系研 究</w:t>
      </w:r>
    </w:p>
    <w:p>
      <w:pPr>
        <w:spacing w:before="11"/>
        <w:ind w:left="312" w:right="0" w:firstLine="0"/>
        <w:jc w:val="left"/>
        <w:rPr>
          <w:sz w:val="24"/>
        </w:rPr>
      </w:pPr>
      <w:r>
        <w:rPr>
          <w:spacing w:val="-15"/>
          <w:w w:val="95"/>
          <w:sz w:val="21"/>
        </w:rPr>
        <w:t>佘 ， 頁 </w:t>
      </w:r>
      <w:r>
        <w:rPr>
          <w:rFonts w:ascii="Times New Roman" w:eastAsia="Times New Roman"/>
          <w:w w:val="95"/>
          <w:sz w:val="26"/>
        </w:rPr>
        <w:t>83-89</w:t>
      </w:r>
      <w:r>
        <w:rPr>
          <w:rFonts w:ascii="Times New Roman" w:eastAsia="Times New Roman"/>
          <w:spacing w:val="-9"/>
          <w:w w:val="95"/>
          <w:sz w:val="26"/>
        </w:rPr>
        <w:t> </w:t>
      </w:r>
      <w:r>
        <w:rPr>
          <w:w w:val="95"/>
          <w:sz w:val="24"/>
        </w:rPr>
        <w:t>。</w:t>
      </w:r>
    </w:p>
    <w:p>
      <w:pPr>
        <w:spacing w:after="0"/>
        <w:jc w:val="left"/>
        <w:rPr>
          <w:sz w:val="24"/>
        </w:rPr>
        <w:sectPr>
          <w:headerReference w:type="default" r:id="rId519"/>
          <w:footerReference w:type="default" r:id="rId520"/>
          <w:pgSz w:w="11910" w:h="16840"/>
          <w:pgMar w:header="862" w:footer="1201" w:top="1060" w:bottom="1400" w:left="1120" w:right="1060"/>
        </w:sectPr>
      </w:pPr>
    </w:p>
    <w:p>
      <w:pPr>
        <w:pStyle w:val="BodyText"/>
        <w:spacing w:before="9"/>
        <w:rPr>
          <w:sz w:val="29"/>
        </w:rPr>
      </w:pPr>
    </w:p>
    <w:p>
      <w:pPr>
        <w:spacing w:before="67"/>
        <w:ind w:left="312" w:right="0" w:firstLine="0"/>
        <w:jc w:val="left"/>
        <w:rPr>
          <w:sz w:val="24"/>
        </w:rPr>
      </w:pPr>
      <w:r>
        <w:rPr>
          <w:w w:val="115"/>
          <w:sz w:val="24"/>
        </w:rPr>
        <w:t>基準，應為可適切判定職員的能力、資質、意願之基準，並對職員公開。</w:t>
      </w:r>
    </w:p>
    <w:p>
      <w:pPr>
        <w:spacing w:line="300" w:lineRule="auto" w:before="125"/>
        <w:ind w:left="321" w:right="556" w:hanging="23"/>
        <w:jc w:val="left"/>
        <w:rPr>
          <w:sz w:val="24"/>
        </w:rPr>
      </w:pPr>
      <w:r>
        <w:rPr>
          <w:rFonts w:ascii="MS UI Gothic" w:hAnsi="MS UI Gothic" w:eastAsia="MS UI Gothic" w:hint="eastAsia"/>
          <w:spacing w:val="-153"/>
          <w:w w:val="100"/>
          <w:position w:val="-2"/>
          <w:sz w:val="28"/>
        </w:rPr>
        <w:t>②</w:t>
      </w:r>
      <w:r>
        <w:rPr>
          <w:spacing w:val="1"/>
          <w:w w:val="115"/>
          <w:sz w:val="24"/>
        </w:rPr>
        <w:t>．在選拔時，不單只是對單一的職務階段，而是以多階段進行。</w:t>
      </w:r>
      <w:r>
        <w:rPr>
          <w:rFonts w:ascii="MS UI Gothic" w:hAnsi="MS UI Gothic" w:eastAsia="MS UI Gothic" w:hint="eastAsia"/>
          <w:spacing w:val="-143"/>
          <w:w w:val="100"/>
          <w:position w:val="-2"/>
          <w:sz w:val="28"/>
        </w:rPr>
        <w:t>③</w:t>
      </w:r>
      <w:r>
        <w:rPr>
          <w:spacing w:val="-6"/>
          <w:w w:val="115"/>
          <w:sz w:val="24"/>
        </w:rPr>
        <w:t>．選拔</w:t>
      </w:r>
      <w:r>
        <w:rPr>
          <w:w w:val="115"/>
          <w:sz w:val="24"/>
        </w:rPr>
        <w:t>方法與基準，亦應對應於各個不同的職務階段，而有所不同。</w:t>
      </w:r>
    </w:p>
    <w:p>
      <w:pPr>
        <w:spacing w:before="147"/>
        <w:ind w:left="3704" w:right="0" w:firstLine="0"/>
        <w:jc w:val="left"/>
        <w:rPr>
          <w:sz w:val="24"/>
        </w:rPr>
      </w:pPr>
      <w:r>
        <w:rPr>
          <w:w w:val="115"/>
          <w:sz w:val="24"/>
        </w:rPr>
        <w:t>（三）陞遷的方法</w:t>
      </w:r>
    </w:p>
    <w:p>
      <w:pPr>
        <w:pStyle w:val="BodyText"/>
        <w:spacing w:before="10"/>
        <w:rPr>
          <w:sz w:val="24"/>
        </w:rPr>
      </w:pPr>
    </w:p>
    <w:p>
      <w:pPr>
        <w:spacing w:line="345" w:lineRule="auto" w:before="0"/>
        <w:ind w:left="313" w:right="567" w:firstLine="551"/>
        <w:jc w:val="left"/>
        <w:rPr>
          <w:sz w:val="24"/>
        </w:rPr>
      </w:pPr>
      <w:r>
        <w:rPr>
          <w:w w:val="115"/>
          <w:sz w:val="24"/>
        </w:rPr>
        <w:t>於日本之地方公務員法中，升遷之方法和採用應以相同的方法進行，</w:t>
      </w:r>
      <w:r>
        <w:rPr>
          <w:spacing w:val="-135"/>
          <w:w w:val="115"/>
          <w:sz w:val="24"/>
        </w:rPr>
        <w:t> </w:t>
      </w:r>
      <w:r>
        <w:rPr>
          <w:w w:val="115"/>
          <w:sz w:val="24"/>
        </w:rPr>
        <w:t>規定應以成續主義為原則。</w:t>
      </w:r>
    </w:p>
    <w:p>
      <w:pPr>
        <w:spacing w:line="328" w:lineRule="auto" w:before="0"/>
        <w:ind w:left="302" w:right="404" w:firstLine="571"/>
        <w:jc w:val="left"/>
        <w:rPr>
          <w:sz w:val="24"/>
        </w:rPr>
      </w:pPr>
      <w:r>
        <w:rPr>
          <w:w w:val="105"/>
          <w:sz w:val="24"/>
        </w:rPr>
        <w:t>有關使職員陞遷的方法，在設有人事委員會的地方自治團體中，應以    </w:t>
      </w:r>
      <w:r>
        <w:rPr>
          <w:spacing w:val="12"/>
          <w:w w:val="105"/>
          <w:sz w:val="24"/>
        </w:rPr>
        <w:t> </w:t>
      </w:r>
      <w:r>
        <w:rPr>
          <w:w w:val="105"/>
          <w:sz w:val="24"/>
        </w:rPr>
        <w:t>經由競爭考試為原則，在有關人事委員會所定之職位並在經人事委員會承    </w:t>
      </w:r>
      <w:r>
        <w:rPr>
          <w:spacing w:val="79"/>
          <w:w w:val="105"/>
          <w:sz w:val="24"/>
        </w:rPr>
        <w:t> </w:t>
      </w:r>
      <w:r>
        <w:rPr>
          <w:w w:val="105"/>
          <w:sz w:val="24"/>
        </w:rPr>
        <w:t>認時，亦得以甄選方式為之。其次，在沒有設置人事委員會的地方自治圍    </w:t>
      </w:r>
      <w:r>
        <w:rPr>
          <w:spacing w:val="56"/>
          <w:w w:val="105"/>
          <w:sz w:val="24"/>
        </w:rPr>
        <w:t> </w:t>
      </w:r>
      <w:r>
        <w:rPr>
          <w:spacing w:val="14"/>
          <w:sz w:val="24"/>
        </w:rPr>
        <w:t>體中 ， 則規定經由其競爭考試或甄選</w:t>
      </w:r>
      <w:r>
        <w:rPr>
          <w:rFonts w:ascii="Times New Roman" w:eastAsia="Times New Roman"/>
          <w:sz w:val="30"/>
        </w:rPr>
        <w:t>172</w:t>
      </w:r>
      <w:r>
        <w:rPr>
          <w:rFonts w:ascii="Times New Roman" w:eastAsia="Times New Roman"/>
          <w:spacing w:val="17"/>
          <w:sz w:val="30"/>
        </w:rPr>
        <w:t> </w:t>
      </w:r>
      <w:r>
        <w:rPr>
          <w:spacing w:val="11"/>
          <w:sz w:val="24"/>
        </w:rPr>
        <w:t>。競 爭考試或甄選的實紇機關 ，</w:t>
      </w:r>
      <w:r>
        <w:rPr>
          <w:spacing w:val="1"/>
          <w:sz w:val="24"/>
        </w:rPr>
        <w:t> </w:t>
      </w:r>
      <w:r>
        <w:rPr>
          <w:w w:val="105"/>
          <w:sz w:val="24"/>
        </w:rPr>
        <w:t>原則上以和採用之情況相同，為人事委員會（在沒有設置人事委員會的地    </w:t>
      </w:r>
      <w:r>
        <w:rPr>
          <w:spacing w:val="79"/>
          <w:w w:val="105"/>
          <w:sz w:val="24"/>
        </w:rPr>
        <w:t> </w:t>
      </w:r>
      <w:r>
        <w:rPr>
          <w:w w:val="105"/>
          <w:sz w:val="24"/>
        </w:rPr>
        <w:t>方自治團體，則為任命權人）。不過依日本地方公務員法（下稱「地公法」）</w:t>
      </w:r>
      <w:r>
        <w:rPr>
          <w:spacing w:val="91"/>
          <w:w w:val="105"/>
          <w:sz w:val="24"/>
        </w:rPr>
        <w:t> </w:t>
      </w:r>
      <w:r>
        <w:rPr>
          <w:spacing w:val="-8"/>
          <w:sz w:val="24"/>
        </w:rPr>
        <w:t>第 </w:t>
      </w:r>
      <w:r>
        <w:rPr>
          <w:rFonts w:ascii="Times New Roman" w:eastAsia="Times New Roman"/>
          <w:sz w:val="30"/>
        </w:rPr>
        <w:t>8</w:t>
      </w:r>
      <w:r>
        <w:rPr>
          <w:rFonts w:ascii="Times New Roman" w:eastAsia="Times New Roman"/>
          <w:spacing w:val="1"/>
          <w:sz w:val="30"/>
        </w:rPr>
        <w:t> </w:t>
      </w:r>
      <w:r>
        <w:rPr>
          <w:spacing w:val="-15"/>
          <w:sz w:val="24"/>
        </w:rPr>
        <w:t>條 第 </w:t>
      </w:r>
      <w:r>
        <w:rPr>
          <w:rFonts w:ascii="Times New Roman" w:eastAsia="Times New Roman"/>
          <w:sz w:val="30"/>
        </w:rPr>
        <w:t>3 </w:t>
      </w:r>
      <w:r>
        <w:rPr>
          <w:spacing w:val="1"/>
          <w:sz w:val="24"/>
        </w:rPr>
        <w:t>項的規定 ， 人事委員 會也可委任該地方自 治團體之其他機關 ， </w:t>
      </w:r>
      <w:r>
        <w:rPr>
          <w:w w:val="105"/>
          <w:sz w:val="24"/>
        </w:rPr>
        <w:t>其次人事委員會（在沒有設置人事委員會的地方自治團體，則為任命權      </w:t>
      </w:r>
      <w:r>
        <w:rPr>
          <w:spacing w:val="82"/>
          <w:w w:val="105"/>
          <w:sz w:val="24"/>
        </w:rPr>
        <w:t> </w:t>
      </w:r>
      <w:r>
        <w:rPr>
          <w:spacing w:val="21"/>
          <w:w w:val="95"/>
          <w:sz w:val="24"/>
        </w:rPr>
        <w:t>人</w:t>
      </w:r>
      <w:r>
        <w:rPr>
          <w:w w:val="95"/>
          <w:sz w:val="24"/>
        </w:rPr>
        <w:t>）</w:t>
      </w:r>
      <w:r>
        <w:rPr>
          <w:spacing w:val="13"/>
          <w:w w:val="95"/>
          <w:sz w:val="24"/>
        </w:rPr>
        <w:t>，依 地 公 法第 </w:t>
      </w:r>
      <w:r>
        <w:rPr>
          <w:rFonts w:ascii="Times New Roman" w:eastAsia="Times New Roman"/>
          <w:w w:val="95"/>
          <w:sz w:val="30"/>
        </w:rPr>
        <w:t>18</w:t>
      </w:r>
      <w:r>
        <w:rPr>
          <w:rFonts w:ascii="Times New Roman" w:eastAsia="Times New Roman"/>
          <w:spacing w:val="8"/>
          <w:w w:val="95"/>
          <w:sz w:val="30"/>
        </w:rPr>
        <w:t> </w:t>
      </w:r>
      <w:r>
        <w:rPr>
          <w:spacing w:val="19"/>
          <w:w w:val="95"/>
          <w:sz w:val="24"/>
        </w:rPr>
        <w:t>條 </w:t>
      </w:r>
      <w:r>
        <w:rPr>
          <w:rFonts w:ascii="Times New Roman" w:eastAsia="Times New Roman"/>
          <w:w w:val="95"/>
          <w:sz w:val="30"/>
        </w:rPr>
        <w:t>l</w:t>
      </w:r>
      <w:r>
        <w:rPr>
          <w:rFonts w:ascii="Times New Roman" w:eastAsia="Times New Roman"/>
          <w:spacing w:val="59"/>
          <w:w w:val="95"/>
          <w:sz w:val="30"/>
        </w:rPr>
        <w:t> </w:t>
      </w:r>
      <w:r>
        <w:rPr>
          <w:spacing w:val="12"/>
          <w:w w:val="95"/>
          <w:sz w:val="24"/>
        </w:rPr>
        <w:t>項之規定 ， 亦可能共同或委託之方式加以實紇 。</w:t>
      </w:r>
    </w:p>
    <w:p>
      <w:pPr>
        <w:pStyle w:val="BodyText"/>
        <w:rPr>
          <w:sz w:val="20"/>
        </w:rPr>
      </w:pPr>
    </w:p>
    <w:p>
      <w:pPr>
        <w:pStyle w:val="BodyText"/>
        <w:rPr>
          <w:sz w:val="20"/>
        </w:rPr>
      </w:pPr>
    </w:p>
    <w:p>
      <w:pPr>
        <w:pStyle w:val="BodyText"/>
        <w:spacing w:before="2"/>
        <w:rPr>
          <w:sz w:val="12"/>
        </w:rPr>
      </w:pPr>
    </w:p>
    <w:tbl>
      <w:tblPr>
        <w:tblW w:w="0" w:type="auto"/>
        <w:jc w:val="left"/>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51"/>
        <w:gridCol w:w="2413"/>
        <w:gridCol w:w="1423"/>
        <w:gridCol w:w="2082"/>
      </w:tblGrid>
      <w:tr>
        <w:trPr>
          <w:trHeight w:val="854" w:hRule="atLeast"/>
        </w:trPr>
        <w:tc>
          <w:tcPr>
            <w:tcW w:w="2451" w:type="dxa"/>
          </w:tcPr>
          <w:p>
            <w:pPr>
              <w:pStyle w:val="TableParagraph"/>
              <w:spacing w:before="49"/>
              <w:ind w:left="194"/>
              <w:rPr>
                <w:sz w:val="21"/>
              </w:rPr>
            </w:pPr>
            <w:r>
              <w:rPr>
                <w:w w:val="120"/>
                <w:sz w:val="21"/>
              </w:rPr>
              <w:t>設有人事委員會的</w:t>
            </w:r>
          </w:p>
          <w:p>
            <w:pPr>
              <w:pStyle w:val="TableParagraph"/>
              <w:spacing w:before="101"/>
              <w:ind w:left="198"/>
              <w:rPr>
                <w:sz w:val="20"/>
              </w:rPr>
            </w:pPr>
            <w:r>
              <w:rPr>
                <w:w w:val="115"/>
                <w:sz w:val="20"/>
              </w:rPr>
              <w:t>地方自治團體</w:t>
            </w:r>
          </w:p>
        </w:tc>
        <w:tc>
          <w:tcPr>
            <w:tcW w:w="2413" w:type="dxa"/>
          </w:tcPr>
          <w:p>
            <w:pPr>
              <w:pStyle w:val="TableParagraph"/>
              <w:spacing w:before="49"/>
              <w:ind w:left="200"/>
              <w:rPr>
                <w:sz w:val="21"/>
              </w:rPr>
            </w:pPr>
            <w:r>
              <w:rPr>
                <w:w w:val="120"/>
                <w:sz w:val="21"/>
              </w:rPr>
              <w:t>未設人事委員會的</w:t>
            </w:r>
          </w:p>
          <w:p>
            <w:pPr>
              <w:pStyle w:val="TableParagraph"/>
              <w:spacing w:before="101"/>
              <w:ind w:left="198"/>
              <w:rPr>
                <w:sz w:val="20"/>
              </w:rPr>
            </w:pPr>
            <w:r>
              <w:rPr>
                <w:w w:val="115"/>
                <w:sz w:val="20"/>
              </w:rPr>
              <w:t>地方自治圍體</w:t>
            </w:r>
          </w:p>
        </w:tc>
        <w:tc>
          <w:tcPr>
            <w:tcW w:w="1423" w:type="dxa"/>
          </w:tcPr>
          <w:p>
            <w:pPr>
              <w:pStyle w:val="TableParagraph"/>
              <w:rPr>
                <w:rFonts w:ascii="Times New Roman"/>
                <w:sz w:val="22"/>
              </w:rPr>
            </w:pPr>
          </w:p>
        </w:tc>
        <w:tc>
          <w:tcPr>
            <w:tcW w:w="2082" w:type="dxa"/>
          </w:tcPr>
          <w:p>
            <w:pPr>
              <w:pStyle w:val="TableParagraph"/>
              <w:rPr>
                <w:rFonts w:ascii="Times New Roman"/>
                <w:sz w:val="22"/>
              </w:rPr>
            </w:pPr>
          </w:p>
        </w:tc>
      </w:tr>
      <w:tr>
        <w:trPr>
          <w:trHeight w:val="715" w:hRule="atLeast"/>
        </w:trPr>
        <w:tc>
          <w:tcPr>
            <w:tcW w:w="2451" w:type="dxa"/>
          </w:tcPr>
          <w:p>
            <w:pPr>
              <w:pStyle w:val="TableParagraph"/>
              <w:spacing w:before="49"/>
              <w:ind w:left="188"/>
              <w:rPr>
                <w:sz w:val="21"/>
              </w:rPr>
            </w:pPr>
            <w:r>
              <w:rPr>
                <w:w w:val="115"/>
                <w:sz w:val="21"/>
              </w:rPr>
              <w:t>原則</w:t>
            </w:r>
          </w:p>
          <w:p>
            <w:pPr>
              <w:pStyle w:val="TableParagraph"/>
              <w:spacing w:before="86"/>
              <w:ind w:left="206"/>
              <w:rPr>
                <w:sz w:val="21"/>
              </w:rPr>
            </w:pPr>
            <w:r>
              <w:rPr>
                <w:w w:val="110"/>
                <w:sz w:val="21"/>
              </w:rPr>
              <w:t>人事委員會</w:t>
            </w:r>
          </w:p>
        </w:tc>
        <w:tc>
          <w:tcPr>
            <w:tcW w:w="2413" w:type="dxa"/>
          </w:tcPr>
          <w:p>
            <w:pPr>
              <w:pStyle w:val="TableParagraph"/>
              <w:spacing w:before="49"/>
              <w:ind w:right="524"/>
              <w:jc w:val="right"/>
              <w:rPr>
                <w:sz w:val="21"/>
              </w:rPr>
            </w:pPr>
            <w:r>
              <w:rPr>
                <w:w w:val="110"/>
                <w:sz w:val="21"/>
              </w:rPr>
              <w:t>原則：競爭考試</w:t>
            </w:r>
          </w:p>
        </w:tc>
        <w:tc>
          <w:tcPr>
            <w:tcW w:w="1423" w:type="dxa"/>
          </w:tcPr>
          <w:p>
            <w:pPr>
              <w:pStyle w:val="TableParagraph"/>
              <w:spacing w:before="49"/>
              <w:ind w:left="188"/>
              <w:rPr>
                <w:sz w:val="21"/>
              </w:rPr>
            </w:pPr>
            <w:r>
              <w:rPr>
                <w:w w:val="110"/>
                <w:sz w:val="21"/>
              </w:rPr>
              <w:t>原則</w:t>
            </w:r>
          </w:p>
          <w:p>
            <w:pPr>
              <w:pStyle w:val="TableParagraph"/>
              <w:spacing w:before="86"/>
              <w:ind w:left="189"/>
              <w:rPr>
                <w:sz w:val="21"/>
              </w:rPr>
            </w:pPr>
            <w:r>
              <w:rPr>
                <w:w w:val="115"/>
                <w:sz w:val="21"/>
              </w:rPr>
              <w:t>任命權人</w:t>
            </w:r>
          </w:p>
        </w:tc>
        <w:tc>
          <w:tcPr>
            <w:tcW w:w="2082" w:type="dxa"/>
          </w:tcPr>
          <w:p>
            <w:pPr>
              <w:pStyle w:val="TableParagraph"/>
              <w:spacing w:before="44"/>
              <w:ind w:left="202"/>
              <w:rPr>
                <w:sz w:val="21"/>
              </w:rPr>
            </w:pPr>
            <w:r>
              <w:rPr>
                <w:w w:val="110"/>
                <w:sz w:val="21"/>
              </w:rPr>
              <w:t>競爭考試或甄選</w:t>
            </w:r>
          </w:p>
        </w:tc>
      </w:tr>
      <w:tr>
        <w:trPr>
          <w:trHeight w:val="364" w:hRule="atLeast"/>
        </w:trPr>
        <w:tc>
          <w:tcPr>
            <w:tcW w:w="2451" w:type="dxa"/>
          </w:tcPr>
          <w:p>
            <w:pPr>
              <w:pStyle w:val="TableParagraph"/>
              <w:rPr>
                <w:rFonts w:ascii="Times New Roman"/>
                <w:sz w:val="22"/>
              </w:rPr>
            </w:pPr>
          </w:p>
        </w:tc>
        <w:tc>
          <w:tcPr>
            <w:tcW w:w="2413" w:type="dxa"/>
          </w:tcPr>
          <w:p>
            <w:pPr>
              <w:pStyle w:val="TableParagraph"/>
              <w:spacing w:before="58"/>
              <w:ind w:right="528"/>
              <w:jc w:val="right"/>
              <w:rPr>
                <w:sz w:val="21"/>
              </w:rPr>
            </w:pPr>
            <w:r>
              <w:rPr>
                <w:w w:val="110"/>
                <w:sz w:val="21"/>
              </w:rPr>
              <w:t>例外：甄選</w:t>
            </w:r>
          </w:p>
        </w:tc>
        <w:tc>
          <w:tcPr>
            <w:tcW w:w="1423" w:type="dxa"/>
          </w:tcPr>
          <w:p>
            <w:pPr>
              <w:pStyle w:val="TableParagraph"/>
              <w:rPr>
                <w:rFonts w:ascii="Times New Roman"/>
                <w:sz w:val="22"/>
              </w:rPr>
            </w:pPr>
          </w:p>
        </w:tc>
        <w:tc>
          <w:tcPr>
            <w:tcW w:w="2082" w:type="dxa"/>
          </w:tcPr>
          <w:p>
            <w:pPr>
              <w:pStyle w:val="TableParagraph"/>
              <w:rPr>
                <w:rFonts w:ascii="Times New Roman"/>
                <w:sz w:val="22"/>
              </w:rPr>
            </w:pPr>
          </w:p>
        </w:tc>
      </w:tr>
    </w:tbl>
    <w:p>
      <w:pPr>
        <w:pStyle w:val="BodyText"/>
        <w:spacing w:before="11"/>
        <w:rPr>
          <w:sz w:val="9"/>
        </w:rPr>
      </w:pPr>
    </w:p>
    <w:p>
      <w:pPr>
        <w:pStyle w:val="ListParagraph"/>
        <w:numPr>
          <w:ilvl w:val="0"/>
          <w:numId w:val="9"/>
        </w:numPr>
        <w:tabs>
          <w:tab w:pos="1277" w:val="left" w:leader="none"/>
          <w:tab w:pos="1278" w:val="left" w:leader="none"/>
        </w:tabs>
        <w:spacing w:line="240" w:lineRule="auto" w:before="84" w:after="0"/>
        <w:ind w:left="1277" w:right="0" w:hanging="500"/>
        <w:jc w:val="left"/>
        <w:rPr>
          <w:sz w:val="24"/>
        </w:rPr>
      </w:pPr>
      <w:r>
        <w:rPr>
          <w:w w:val="115"/>
          <w:sz w:val="24"/>
        </w:rPr>
        <w:t>陞遷考試</w:t>
      </w:r>
    </w:p>
    <w:p>
      <w:pPr>
        <w:pStyle w:val="BodyText"/>
        <w:spacing w:before="7"/>
        <w:rPr>
          <w:sz w:val="18"/>
        </w:rPr>
      </w:pPr>
    </w:p>
    <w:p>
      <w:pPr>
        <w:spacing w:line="343" w:lineRule="auto" w:before="66"/>
        <w:ind w:left="302" w:right="489" w:firstLine="574"/>
        <w:jc w:val="both"/>
        <w:rPr>
          <w:sz w:val="24"/>
        </w:rPr>
      </w:pPr>
      <w:r>
        <w:rPr>
          <w:w w:val="115"/>
          <w:sz w:val="24"/>
        </w:rPr>
        <w:t>無論是人事委員會或任命権人，在使職員以競爭考試升遷之情況，和採用考試的情形相同，人事委員會或任命権人均應訂定該職位職務遂行上必要、最低門檻且適噹限度客觀性、畫一性的錄取要件。因陞遷乃是任命職員較高職位的方式，因此昇遷考試的考試資格，噹然也只能限定在現職之公務員。其次，得參加考試的職員，由於只限於受指定之職位且經正式</w:t>
      </w:r>
    </w:p>
    <w:p>
      <w:pPr>
        <w:pStyle w:val="BodyText"/>
        <w:rPr>
          <w:sz w:val="20"/>
        </w:rPr>
      </w:pPr>
    </w:p>
    <w:p>
      <w:pPr>
        <w:pStyle w:val="BodyText"/>
        <w:rPr>
          <w:sz w:val="20"/>
        </w:rPr>
      </w:pPr>
    </w:p>
    <w:p>
      <w:pPr>
        <w:pStyle w:val="BodyText"/>
        <w:spacing w:before="2"/>
        <w:rPr>
          <w:sz w:val="13"/>
        </w:rPr>
      </w:pPr>
      <w:r>
        <w:rPr/>
        <w:pict>
          <v:shape style="position:absolute;margin-left:95.174004pt;margin-top:10.782471pt;width:144.25pt;height:.1pt;mso-position-horizontal-relative:page;mso-position-vertical-relative:paragraph;z-index:-15578624;mso-wrap-distance-left:0;mso-wrap-distance-right:0" coordorigin="1903,216" coordsize="2885,0" path="m1903,216l4788,216e" filled="false" stroked="true" strokeweight=".720821pt" strokecolor="#000000">
            <v:path arrowok="t"/>
            <v:stroke dashstyle="solid"/>
            <w10:wrap type="topAndBottom"/>
          </v:shape>
        </w:pict>
      </w:r>
    </w:p>
    <w:p>
      <w:pPr>
        <w:pStyle w:val="BodyText"/>
        <w:spacing w:before="6"/>
        <w:rPr>
          <w:sz w:val="6"/>
        </w:rPr>
      </w:pPr>
    </w:p>
    <w:p>
      <w:pPr>
        <w:spacing w:before="61"/>
        <w:ind w:left="298" w:right="0" w:firstLine="0"/>
        <w:jc w:val="left"/>
        <w:rPr>
          <w:sz w:val="21"/>
        </w:rPr>
      </w:pPr>
      <w:r>
        <w:rPr>
          <w:rFonts w:ascii="Times New Roman" w:eastAsia="Times New Roman"/>
          <w:w w:val="90"/>
          <w:position w:val="8"/>
          <w:sz w:val="13"/>
        </w:rPr>
        <w:t>172</w:t>
      </w:r>
      <w:r>
        <w:rPr>
          <w:rFonts w:ascii="Times New Roman" w:eastAsia="Times New Roman"/>
          <w:spacing w:val="13"/>
          <w:w w:val="90"/>
          <w:position w:val="8"/>
          <w:sz w:val="13"/>
        </w:rPr>
        <w:t> </w:t>
      </w:r>
      <w:r>
        <w:rPr>
          <w:spacing w:val="-9"/>
          <w:w w:val="90"/>
          <w:sz w:val="21"/>
        </w:rPr>
        <w:t>日本 地 公 法</w:t>
      </w:r>
      <w:r>
        <w:rPr>
          <w:rFonts w:ascii="Times New Roman" w:eastAsia="Times New Roman"/>
          <w:w w:val="90"/>
          <w:sz w:val="26"/>
        </w:rPr>
        <w:t>17</w:t>
      </w:r>
      <w:r>
        <w:rPr>
          <w:spacing w:val="-22"/>
          <w:w w:val="90"/>
          <w:sz w:val="21"/>
        </w:rPr>
        <w:t>條 </w:t>
      </w:r>
      <w:r>
        <w:rPr>
          <w:rFonts w:ascii="Times New Roman" w:eastAsia="Times New Roman"/>
          <w:w w:val="90"/>
          <w:sz w:val="26"/>
        </w:rPr>
        <w:t>3</w:t>
      </w:r>
      <w:r>
        <w:rPr>
          <w:rFonts w:ascii="Times New Roman" w:eastAsia="Times New Roman"/>
          <w:spacing w:val="-10"/>
          <w:w w:val="90"/>
          <w:sz w:val="26"/>
        </w:rPr>
        <w:t> </w:t>
      </w:r>
      <w:r>
        <w:rPr>
          <w:spacing w:val="-55"/>
          <w:w w:val="90"/>
          <w:sz w:val="28"/>
        </w:rPr>
        <w:t>、</w:t>
      </w:r>
      <w:r>
        <w:rPr>
          <w:rFonts w:ascii="Times New Roman" w:eastAsia="Times New Roman"/>
          <w:w w:val="90"/>
          <w:sz w:val="26"/>
        </w:rPr>
        <w:t>4</w:t>
      </w:r>
      <w:r>
        <w:rPr>
          <w:spacing w:val="7"/>
          <w:w w:val="90"/>
          <w:sz w:val="21"/>
        </w:rPr>
        <w:t>項 ，地 公 法</w:t>
      </w:r>
      <w:r>
        <w:rPr>
          <w:rFonts w:ascii="Times New Roman" w:eastAsia="Times New Roman"/>
          <w:w w:val="90"/>
          <w:sz w:val="26"/>
        </w:rPr>
        <w:t>8</w:t>
      </w:r>
      <w:r>
        <w:rPr>
          <w:spacing w:val="33"/>
          <w:w w:val="90"/>
          <w:sz w:val="21"/>
        </w:rPr>
        <w:t>條</w:t>
      </w:r>
      <w:r>
        <w:rPr>
          <w:rFonts w:ascii="Times New Roman" w:eastAsia="Times New Roman"/>
          <w:w w:val="90"/>
          <w:sz w:val="26"/>
        </w:rPr>
        <w:t>3</w:t>
      </w:r>
      <w:r>
        <w:rPr>
          <w:spacing w:val="-2"/>
          <w:w w:val="90"/>
          <w:sz w:val="21"/>
        </w:rPr>
        <w:t>項 。</w:t>
      </w:r>
    </w:p>
    <w:p>
      <w:pPr>
        <w:spacing w:after="0"/>
        <w:jc w:val="left"/>
        <w:rPr>
          <w:sz w:val="21"/>
        </w:rPr>
        <w:sectPr>
          <w:headerReference w:type="default" r:id="rId521"/>
          <w:footerReference w:type="default" r:id="rId522"/>
          <w:pgSz w:w="11910" w:h="16840"/>
          <w:pgMar w:header="862" w:footer="1017" w:top="1060" w:bottom="1200" w:left="1120" w:right="1060"/>
          <w:pgNumType w:start="81"/>
        </w:sectPr>
      </w:pPr>
    </w:p>
    <w:p>
      <w:pPr>
        <w:pStyle w:val="BodyText"/>
        <w:spacing w:before="12"/>
        <w:rPr>
          <w:sz w:val="27"/>
        </w:rPr>
      </w:pPr>
    </w:p>
    <w:p>
      <w:pPr>
        <w:pStyle w:val="BodyText"/>
        <w:tabs>
          <w:tab w:pos="9006" w:val="left" w:leader="none"/>
        </w:tabs>
        <w:spacing w:before="65"/>
        <w:ind w:left="302"/>
        <w:rPr>
          <w:rFonts w:ascii="Arial" w:eastAsia="Arial"/>
          <w:sz w:val="8"/>
        </w:rPr>
      </w:pPr>
      <w:r>
        <w:rPr>
          <w:spacing w:val="35"/>
          <w:w w:val="95"/>
        </w:rPr>
        <w:t>錄</w:t>
      </w:r>
      <w:r>
        <w:rPr>
          <w:spacing w:val="39"/>
          <w:w w:val="95"/>
        </w:rPr>
        <w:t>用</w:t>
      </w:r>
      <w:r>
        <w:rPr>
          <w:spacing w:val="13"/>
          <w:w w:val="95"/>
        </w:rPr>
        <w:t>的</w:t>
      </w:r>
      <w:r>
        <w:rPr>
          <w:spacing w:val="42"/>
          <w:w w:val="95"/>
        </w:rPr>
        <w:t>職</w:t>
      </w:r>
      <w:r>
        <w:rPr>
          <w:w w:val="95"/>
        </w:rPr>
        <w:t>員</w:t>
      </w:r>
      <w:r>
        <w:rPr>
          <w:spacing w:val="63"/>
          <w:w w:val="95"/>
        </w:rPr>
        <w:t> </w:t>
      </w:r>
      <w:r>
        <w:rPr>
          <w:w w:val="65"/>
        </w:rPr>
        <w:t>，</w:t>
      </w:r>
      <w:r>
        <w:rPr>
          <w:spacing w:val="-10"/>
          <w:w w:val="65"/>
        </w:rPr>
        <w:t> </w:t>
      </w:r>
      <w:r>
        <w:rPr>
          <w:spacing w:val="42"/>
          <w:w w:val="95"/>
        </w:rPr>
        <w:t>因</w:t>
      </w:r>
      <w:r>
        <w:rPr>
          <w:spacing w:val="12"/>
          <w:w w:val="95"/>
        </w:rPr>
        <w:t>此</w:t>
      </w:r>
      <w:r>
        <w:rPr>
          <w:w w:val="95"/>
        </w:rPr>
        <w:t>不</w:t>
      </w:r>
      <w:r>
        <w:rPr>
          <w:spacing w:val="-25"/>
          <w:w w:val="95"/>
        </w:rPr>
        <w:t> </w:t>
      </w:r>
      <w:r>
        <w:rPr>
          <w:w w:val="95"/>
        </w:rPr>
        <w:t>包含</w:t>
      </w:r>
      <w:r>
        <w:rPr>
          <w:spacing w:val="-9"/>
          <w:w w:val="95"/>
        </w:rPr>
        <w:t> </w:t>
      </w:r>
      <w:r>
        <w:rPr>
          <w:spacing w:val="19"/>
          <w:w w:val="95"/>
        </w:rPr>
        <w:t>臨</w:t>
      </w:r>
      <w:r>
        <w:rPr>
          <w:w w:val="95"/>
        </w:rPr>
        <w:t>時</w:t>
      </w:r>
      <w:r>
        <w:rPr>
          <w:spacing w:val="41"/>
          <w:w w:val="95"/>
        </w:rPr>
        <w:t>職</w:t>
      </w:r>
      <w:r>
        <w:rPr>
          <w:w w:val="95"/>
        </w:rPr>
        <w:t>員</w:t>
      </w:r>
      <w:r>
        <w:rPr>
          <w:spacing w:val="41"/>
          <w:w w:val="95"/>
        </w:rPr>
        <w:t> </w:t>
      </w:r>
      <w:r>
        <w:rPr>
          <w:w w:val="95"/>
        </w:rPr>
        <w:t>、也</w:t>
      </w:r>
      <w:r>
        <w:rPr>
          <w:spacing w:val="-26"/>
          <w:w w:val="95"/>
        </w:rPr>
        <w:t> </w:t>
      </w:r>
      <w:r>
        <w:rPr>
          <w:spacing w:val="12"/>
          <w:w w:val="95"/>
        </w:rPr>
        <w:t>排</w:t>
      </w:r>
      <w:r>
        <w:rPr>
          <w:spacing w:val="13"/>
          <w:w w:val="95"/>
        </w:rPr>
        <w:t>除</w:t>
      </w:r>
      <w:r>
        <w:rPr>
          <w:spacing w:val="17"/>
          <w:w w:val="95"/>
        </w:rPr>
        <w:t>附</w:t>
      </w:r>
      <w:r>
        <w:rPr>
          <w:w w:val="95"/>
        </w:rPr>
        <w:t>條</w:t>
      </w:r>
      <w:r>
        <w:rPr>
          <w:spacing w:val="18"/>
          <w:w w:val="95"/>
        </w:rPr>
        <w:t>件</w:t>
      </w:r>
      <w:r>
        <w:rPr>
          <w:spacing w:val="24"/>
          <w:w w:val="95"/>
        </w:rPr>
        <w:t>採</w:t>
      </w:r>
      <w:r>
        <w:rPr>
          <w:spacing w:val="39"/>
          <w:w w:val="95"/>
        </w:rPr>
        <w:t>用</w:t>
      </w:r>
      <w:r>
        <w:rPr>
          <w:spacing w:val="10"/>
          <w:w w:val="95"/>
        </w:rPr>
        <w:t>的</w:t>
      </w:r>
      <w:r>
        <w:rPr>
          <w:spacing w:val="18"/>
          <w:w w:val="95"/>
        </w:rPr>
        <w:t>任</w:t>
      </w:r>
      <w:r>
        <w:rPr>
          <w:spacing w:val="25"/>
          <w:w w:val="95"/>
        </w:rPr>
        <w:t>期</w:t>
      </w:r>
      <w:r>
        <w:rPr>
          <w:w w:val="95"/>
        </w:rPr>
        <w:t>制</w:t>
      </w:r>
      <w:r>
        <w:rPr>
          <w:spacing w:val="43"/>
          <w:w w:val="95"/>
        </w:rPr>
        <w:t>職</w:t>
      </w:r>
      <w:r>
        <w:rPr>
          <w:w w:val="95"/>
        </w:rPr>
        <w:t>員</w:t>
      </w:r>
      <w:r>
        <w:rPr>
          <w:rFonts w:ascii="Times New Roman" w:eastAsia="Times New Roman"/>
          <w:w w:val="65"/>
          <w:sz w:val="16"/>
        </w:rPr>
        <w:t>173</w:t>
        <w:tab/>
      </w:r>
      <w:r>
        <w:rPr>
          <w:rFonts w:ascii="Arial" w:eastAsia="Arial"/>
          <w:sz w:val="8"/>
        </w:rPr>
        <w:t>0</w:t>
      </w:r>
    </w:p>
    <w:p>
      <w:pPr>
        <w:pStyle w:val="BodyText"/>
        <w:spacing w:line="314" w:lineRule="auto" w:before="132"/>
        <w:ind w:left="307" w:right="489" w:firstLine="590"/>
        <w:rPr>
          <w:rFonts w:ascii="Arial" w:eastAsia="Arial"/>
          <w:sz w:val="8"/>
        </w:rPr>
      </w:pPr>
      <w:r>
        <w:rPr/>
        <w:t>而在日本行政實務上，得參加升遷考試者，例如：經人事委員會拉定   </w:t>
      </w:r>
      <w:r>
        <w:rPr>
          <w:spacing w:val="95"/>
        </w:rPr>
        <w:t> </w:t>
      </w:r>
      <w:r>
        <w:rPr/>
        <w:t>之職，且須服一定期間之勤務者。其次，不得參加參加者，得解釋為在不    </w:t>
      </w:r>
      <w:r>
        <w:rPr>
          <w:spacing w:val="37"/>
        </w:rPr>
        <w:t> </w:t>
      </w:r>
      <w:r>
        <w:rPr>
          <w:spacing w:val="-7"/>
        </w:rPr>
        <w:t>違法地方公務 員 法 </w:t>
      </w:r>
      <w:r>
        <w:rPr>
          <w:rFonts w:ascii="Times New Roman" w:eastAsia="Times New Roman"/>
          <w:sz w:val="30"/>
        </w:rPr>
        <w:t>19</w:t>
      </w:r>
      <w:r>
        <w:rPr>
          <w:rFonts w:ascii="Times New Roman" w:eastAsia="Times New Roman"/>
          <w:spacing w:val="-6"/>
          <w:sz w:val="30"/>
        </w:rPr>
        <w:t> </w:t>
      </w:r>
      <w:r>
        <w:rPr>
          <w:spacing w:val="-16"/>
        </w:rPr>
        <w:t>條 </w:t>
      </w:r>
      <w:r>
        <w:rPr>
          <w:rFonts w:ascii="Times New Roman" w:eastAsia="Times New Roman"/>
          <w:sz w:val="30"/>
        </w:rPr>
        <w:t>2</w:t>
      </w:r>
      <w:r>
        <w:rPr>
          <w:rFonts w:ascii="Times New Roman" w:eastAsia="Times New Roman"/>
          <w:spacing w:val="14"/>
          <w:sz w:val="30"/>
        </w:rPr>
        <w:t> </w:t>
      </w:r>
      <w:r>
        <w:rPr/>
        <w:t>項 </w:t>
      </w:r>
      <w:r>
        <w:rPr>
          <w:spacing w:val="-14"/>
          <w:w w:val="65"/>
        </w:rPr>
        <w:t>， </w:t>
      </w:r>
      <w:r>
        <w:rPr>
          <w:spacing w:val="6"/>
        </w:rPr>
        <w:t>則無妨訂定考試舉行期日 前的 </w:t>
      </w:r>
      <w:r>
        <w:rPr>
          <w:rFonts w:ascii="Times New Roman" w:eastAsia="Times New Roman"/>
          <w:sz w:val="30"/>
        </w:rPr>
        <w:t>l</w:t>
      </w:r>
      <w:r>
        <w:rPr>
          <w:rFonts w:ascii="Times New Roman" w:eastAsia="Times New Roman"/>
          <w:spacing w:val="50"/>
          <w:sz w:val="30"/>
        </w:rPr>
        <w:t> </w:t>
      </w:r>
      <w:r>
        <w:rPr>
          <w:spacing w:val="10"/>
        </w:rPr>
        <w:t>年內受懲</w:t>
      </w:r>
      <w:r>
        <w:rPr>
          <w:spacing w:val="-8"/>
        </w:rPr>
        <w:t>戒處分者 、或自 受降 等之 日超未滿 </w:t>
      </w:r>
      <w:r>
        <w:rPr>
          <w:rFonts w:ascii="Times New Roman" w:eastAsia="Times New Roman"/>
          <w:sz w:val="29"/>
        </w:rPr>
        <w:t>l</w:t>
      </w:r>
      <w:r>
        <w:rPr>
          <w:rFonts w:ascii="Times New Roman" w:eastAsia="Times New Roman"/>
          <w:spacing w:val="57"/>
          <w:sz w:val="29"/>
        </w:rPr>
        <w:t> </w:t>
      </w:r>
      <w:r>
        <w:rPr>
          <w:spacing w:val="-5"/>
        </w:rPr>
        <w:t>年者、停職者 </w:t>
      </w:r>
      <w:r>
        <w:rPr>
          <w:spacing w:val="1"/>
          <w:w w:val="65"/>
        </w:rPr>
        <w:t>，以 </w:t>
      </w:r>
      <w:r>
        <w:rPr>
          <w:spacing w:val="10"/>
        </w:rPr>
        <w:t>及因病 或其他原因</w:t>
      </w:r>
      <w:r>
        <w:rPr>
          <w:spacing w:val="7"/>
        </w:rPr>
        <w:t>而無法從事職務者等之 參加考試資格</w:t>
      </w:r>
      <w:r>
        <w:rPr>
          <w:rFonts w:ascii="Times New Roman" w:eastAsia="Times New Roman"/>
          <w:w w:val="65"/>
          <w:sz w:val="16"/>
        </w:rPr>
        <w:t>17</w:t>
      </w:r>
      <w:r>
        <w:rPr>
          <w:rFonts w:ascii="Times New Roman" w:eastAsia="Times New Roman"/>
          <w:spacing w:val="22"/>
          <w:w w:val="65"/>
          <w:sz w:val="16"/>
        </w:rPr>
        <w:t> </w:t>
      </w:r>
      <w:r>
        <w:rPr>
          <w:rFonts w:ascii="Times New Roman" w:eastAsia="Times New Roman"/>
          <w:w w:val="65"/>
          <w:sz w:val="16"/>
        </w:rPr>
        <w:t>4</w:t>
      </w:r>
      <w:r>
        <w:rPr>
          <w:rFonts w:ascii="Times New Roman" w:eastAsia="Times New Roman"/>
          <w:spacing w:val="3"/>
          <w:w w:val="65"/>
          <w:sz w:val="16"/>
        </w:rPr>
        <w:t> </w:t>
      </w:r>
      <w:r>
        <w:rPr>
          <w:rFonts w:ascii="Arial" w:eastAsia="Arial"/>
          <w:sz w:val="8"/>
        </w:rPr>
        <w:t>0</w:t>
      </w:r>
    </w:p>
    <w:p>
      <w:pPr>
        <w:pStyle w:val="BodyText"/>
        <w:spacing w:line="328" w:lineRule="auto" w:before="45"/>
        <w:ind w:left="315" w:right="511" w:firstLine="550"/>
        <w:jc w:val="both"/>
      </w:pPr>
      <w:r>
        <w:rPr>
          <w:w w:val="110"/>
        </w:rPr>
        <w:t>在設有人事委員會的地方自治圍體中，有關以競爭考試進行職員之升遷，人事委員會應依每種考試之不同，作成陞遷候選人名冊，在陞遷候選人名冊上，應記載陞遷考試及格者的姓名、分數，並依分數高低依序記載</w:t>
      </w:r>
    </w:p>
    <w:p>
      <w:pPr>
        <w:pStyle w:val="BodyText"/>
        <w:spacing w:line="304" w:lineRule="auto"/>
        <w:ind w:left="311" w:right="485" w:hanging="53"/>
        <w:jc w:val="both"/>
        <w:rPr>
          <w:rFonts w:ascii="Times New Roman" w:eastAsia="Times New Roman"/>
          <w:sz w:val="16"/>
        </w:rPr>
      </w:pPr>
      <w:r>
        <w:rPr>
          <w:rFonts w:ascii="Times New Roman" w:eastAsia="Times New Roman"/>
          <w:w w:val="65"/>
          <w:sz w:val="16"/>
        </w:rPr>
        <w:t>175</w:t>
      </w:r>
      <w:r>
        <w:rPr>
          <w:rFonts w:ascii="Times New Roman" w:eastAsia="Times New Roman"/>
          <w:spacing w:val="16"/>
          <w:sz w:val="16"/>
        </w:rPr>
        <w:t>  </w:t>
      </w:r>
      <w:r>
        <w:rPr>
          <w:spacing w:val="7"/>
          <w:w w:val="65"/>
        </w:rPr>
        <w:t>。 </w:t>
      </w:r>
      <w:r>
        <w:rPr>
          <w:spacing w:val="7"/>
        </w:rPr>
        <w:t>在此種場合 </w:t>
      </w:r>
      <w:r>
        <w:rPr>
          <w:spacing w:val="-10"/>
          <w:w w:val="65"/>
        </w:rPr>
        <w:t>， </w:t>
      </w:r>
      <w:r>
        <w:rPr>
          <w:spacing w:val="3"/>
        </w:rPr>
        <w:t>陞遷是在陞遷候選人名冊所記載的職員 之範圍內 進行 </w:t>
      </w:r>
      <w:r>
        <w:rPr>
          <w:w w:val="65"/>
        </w:rPr>
        <w:t>，</w:t>
      </w:r>
      <w:r>
        <w:rPr>
          <w:spacing w:val="1"/>
          <w:w w:val="65"/>
        </w:rPr>
        <w:t> </w:t>
      </w:r>
      <w:r>
        <w:rPr>
          <w:spacing w:val="21"/>
        </w:rPr>
        <w:t>有關記載在該噹名冊之職員 </w:t>
      </w:r>
      <w:r>
        <w:rPr>
          <w:spacing w:val="-21"/>
          <w:w w:val="65"/>
        </w:rPr>
        <w:t>， </w:t>
      </w:r>
      <w:r>
        <w:rPr>
          <w:spacing w:val="17"/>
        </w:rPr>
        <w:t>對於應陞遷之職員 </w:t>
      </w:r>
      <w:r>
        <w:rPr>
          <w:rFonts w:ascii="Times New Roman" w:eastAsia="Times New Roman"/>
          <w:sz w:val="29"/>
        </w:rPr>
        <w:t>l</w:t>
      </w:r>
      <w:r>
        <w:rPr>
          <w:rFonts w:ascii="Times New Roman" w:eastAsia="Times New Roman"/>
          <w:spacing w:val="20"/>
          <w:sz w:val="29"/>
        </w:rPr>
        <w:t> </w:t>
      </w:r>
      <w:r>
        <w:rPr>
          <w:spacing w:val="-18"/>
        </w:rPr>
        <w:t>人 </w:t>
      </w:r>
      <w:r>
        <w:rPr>
          <w:spacing w:val="-28"/>
          <w:w w:val="65"/>
        </w:rPr>
        <w:t>， </w:t>
      </w:r>
      <w:r>
        <w:rPr>
          <w:spacing w:val="18"/>
        </w:rPr>
        <w:t>應在陞遷考試中 </w:t>
      </w:r>
      <w:r>
        <w:rPr>
          <w:w w:val="65"/>
        </w:rPr>
        <w:t>，</w:t>
      </w:r>
      <w:r>
        <w:rPr>
          <w:spacing w:val="-79"/>
          <w:w w:val="65"/>
        </w:rPr>
        <w:t> </w:t>
      </w:r>
      <w:r>
        <w:rPr>
          <w:spacing w:val="2"/>
          <w:w w:val="95"/>
        </w:rPr>
        <w:t>自 考試得分最高分數 的 </w:t>
      </w:r>
      <w:r>
        <w:rPr>
          <w:rFonts w:ascii="Times New Roman" w:eastAsia="Times New Roman"/>
          <w:w w:val="95"/>
          <w:sz w:val="30"/>
        </w:rPr>
        <w:t>5</w:t>
      </w:r>
      <w:r>
        <w:rPr>
          <w:rFonts w:ascii="Times New Roman" w:eastAsia="Times New Roman"/>
          <w:spacing w:val="1"/>
          <w:w w:val="95"/>
          <w:sz w:val="30"/>
        </w:rPr>
        <w:t> </w:t>
      </w:r>
      <w:r>
        <w:rPr>
          <w:spacing w:val="8"/>
          <w:w w:val="95"/>
        </w:rPr>
        <w:t>個人噹中加 以選取</w:t>
      </w:r>
      <w:r>
        <w:rPr>
          <w:rFonts w:ascii="Times New Roman" w:eastAsia="Times New Roman"/>
          <w:w w:val="65"/>
          <w:sz w:val="16"/>
        </w:rPr>
        <w:t>176</w:t>
      </w:r>
    </w:p>
    <w:p>
      <w:pPr>
        <w:pStyle w:val="BodyText"/>
        <w:spacing w:line="331" w:lineRule="auto" w:before="45"/>
        <w:ind w:left="308" w:right="494" w:firstLine="584"/>
      </w:pPr>
      <w:r>
        <w:rPr>
          <w:w w:val="110"/>
        </w:rPr>
        <w:t>而在沒有設置人事委員會的地方自治團體中，其職員陞遷究竟採取競爭考試或甄選，則委由任命權人之裁量。惟無論以何種方法，考量所要補充之職員的職務之資格基準等為最合適，且依該地方自治圍體之實際狀</w:t>
      </w:r>
      <w:r>
        <w:rPr>
          <w:spacing w:val="1"/>
          <w:w w:val="110"/>
        </w:rPr>
        <w:t> </w:t>
      </w:r>
      <w:r>
        <w:rPr>
          <w:w w:val="110"/>
        </w:rPr>
        <w:t>態，可以最經濟、最具效率錄取適格者之方法進行為宜。</w:t>
      </w:r>
    </w:p>
    <w:p>
      <w:pPr>
        <w:pStyle w:val="ListParagraph"/>
        <w:numPr>
          <w:ilvl w:val="0"/>
          <w:numId w:val="9"/>
        </w:numPr>
        <w:tabs>
          <w:tab w:pos="1266" w:val="left" w:leader="none"/>
          <w:tab w:pos="1267" w:val="left" w:leader="none"/>
        </w:tabs>
        <w:spacing w:line="240" w:lineRule="auto" w:before="87" w:after="0"/>
        <w:ind w:left="1266" w:right="0" w:hanging="489"/>
        <w:jc w:val="left"/>
        <w:rPr>
          <w:sz w:val="25"/>
        </w:rPr>
      </w:pPr>
      <w:r>
        <w:rPr>
          <w:w w:val="110"/>
          <w:sz w:val="25"/>
        </w:rPr>
        <w:t>甄選</w:t>
      </w:r>
    </w:p>
    <w:p>
      <w:pPr>
        <w:pStyle w:val="BodyText"/>
        <w:spacing w:before="1"/>
        <w:rPr>
          <w:sz w:val="17"/>
        </w:rPr>
      </w:pPr>
    </w:p>
    <w:p>
      <w:pPr>
        <w:pStyle w:val="BodyText"/>
        <w:spacing w:line="319" w:lineRule="auto" w:before="65"/>
        <w:ind w:left="311" w:right="512" w:firstLine="554"/>
      </w:pPr>
      <w:r>
        <w:rPr>
          <w:w w:val="105"/>
        </w:rPr>
        <w:t>在沒有設置人事委員會的地方自治團體或在設有人事委員會的地方  </w:t>
      </w:r>
      <w:r>
        <w:rPr>
          <w:spacing w:val="85"/>
          <w:w w:val="105"/>
        </w:rPr>
        <w:t> </w:t>
      </w:r>
      <w:r>
        <w:rPr>
          <w:w w:val="105"/>
        </w:rPr>
        <w:t>自治圍體噹中，有關人事委員會所規定之職，在有人事委員會之承認的場</w:t>
      </w:r>
      <w:r>
        <w:rPr>
          <w:spacing w:val="126"/>
          <w:w w:val="105"/>
        </w:rPr>
        <w:t> </w:t>
      </w:r>
      <w:r>
        <w:rPr>
          <w:spacing w:val="-21"/>
        </w:rPr>
        <w:t>合 </w:t>
      </w:r>
      <w:r>
        <w:rPr>
          <w:spacing w:val="-22"/>
          <w:w w:val="80"/>
        </w:rPr>
        <w:t>， </w:t>
      </w:r>
      <w:r>
        <w:rPr>
          <w:spacing w:val="-1"/>
        </w:rPr>
        <w:t>亦得以甄選而使 其陞遷 。有關此點在「職員 甄選規則</w:t>
      </w:r>
      <w:r>
        <w:rPr/>
        <w:t>（</w:t>
      </w:r>
      <w:r>
        <w:rPr>
          <w:spacing w:val="-16"/>
        </w:rPr>
        <w:t> 職員 </w:t>
      </w:r>
      <w:r>
        <w:rPr>
          <w:rFonts w:ascii="Arial" w:eastAsia="Arial"/>
          <w:sz w:val="16"/>
        </w:rPr>
        <w:t>(J)</w:t>
      </w:r>
      <w:r>
        <w:rPr>
          <w:rFonts w:ascii="Arial" w:eastAsia="Arial"/>
          <w:spacing w:val="8"/>
          <w:sz w:val="16"/>
        </w:rPr>
        <w:t> </w:t>
      </w:r>
      <w:r>
        <w:rPr>
          <w:spacing w:val="18"/>
        </w:rPr>
        <w:t>選考仁</w:t>
      </w:r>
      <w:r>
        <w:rPr>
          <w:spacing w:val="26"/>
          <w:w w:val="102"/>
        </w:rPr>
        <w:t>関</w:t>
      </w:r>
      <w:r>
        <w:rPr>
          <w:w w:val="99"/>
        </w:rPr>
        <w:t>寸</w:t>
      </w:r>
      <w:r>
        <w:rPr>
          <w:spacing w:val="-53"/>
        </w:rPr>
        <w:t> </w:t>
      </w:r>
      <w:r>
        <w:rPr>
          <w:w w:val="66"/>
        </w:rPr>
        <w:t>石</w:t>
      </w:r>
      <w:r>
        <w:rPr>
          <w:spacing w:val="-48"/>
        </w:rPr>
        <w:t> </w:t>
      </w:r>
      <w:r>
        <w:rPr>
          <w:spacing w:val="11"/>
          <w:w w:val="108"/>
        </w:rPr>
        <w:t>規</w:t>
      </w:r>
      <w:r>
        <w:rPr>
          <w:spacing w:val="41"/>
          <w:w w:val="99"/>
        </w:rPr>
        <w:t>則</w:t>
      </w:r>
      <w:r>
        <w:rPr>
          <w:spacing w:val="-37"/>
          <w:w w:val="99"/>
        </w:rPr>
        <w:t>）</w:t>
      </w:r>
      <w:r>
        <w:rPr>
          <w:rFonts w:ascii="Times New Roman" w:eastAsia="Times New Roman"/>
          <w:w w:val="36"/>
          <w:sz w:val="16"/>
        </w:rPr>
        <w:t>177</w:t>
      </w:r>
      <w:r>
        <w:rPr>
          <w:rFonts w:ascii="Times New Roman" w:eastAsia="Times New Roman"/>
          <w:spacing w:val="1"/>
          <w:sz w:val="16"/>
        </w:rPr>
        <w:t>    </w:t>
      </w:r>
      <w:r>
        <w:rPr>
          <w:w w:val="51"/>
          <w:sz w:val="26"/>
        </w:rPr>
        <w:t>」</w:t>
      </w:r>
      <w:r>
        <w:rPr>
          <w:spacing w:val="40"/>
          <w:sz w:val="26"/>
        </w:rPr>
        <w:t> </w:t>
      </w:r>
      <w:r>
        <w:rPr>
          <w:w w:val="85"/>
          <w:sz w:val="26"/>
        </w:rPr>
        <w:t>第</w:t>
      </w:r>
      <w:r>
        <w:rPr>
          <w:spacing w:val="-27"/>
          <w:sz w:val="26"/>
        </w:rPr>
        <w:t> </w:t>
      </w:r>
      <w:r>
        <w:rPr>
          <w:rFonts w:ascii="Times New Roman" w:eastAsia="Times New Roman"/>
          <w:w w:val="96"/>
          <w:sz w:val="30"/>
        </w:rPr>
        <w:t>3</w:t>
      </w:r>
      <w:r>
        <w:rPr>
          <w:rFonts w:ascii="Times New Roman" w:eastAsia="Times New Roman"/>
          <w:spacing w:val="-10"/>
          <w:sz w:val="30"/>
        </w:rPr>
        <w:t> </w:t>
      </w:r>
      <w:r>
        <w:rPr>
          <w:w w:val="110"/>
        </w:rPr>
        <w:t>條</w:t>
      </w:r>
      <w:r>
        <w:rPr>
          <w:spacing w:val="-33"/>
        </w:rPr>
        <w:t> </w:t>
      </w:r>
      <w:r>
        <w:rPr>
          <w:w w:val="62"/>
        </w:rPr>
        <w:t>，</w:t>
      </w:r>
      <w:r>
        <w:rPr>
          <w:spacing w:val="-79"/>
        </w:rPr>
        <w:t> </w:t>
      </w:r>
      <w:r>
        <w:rPr>
          <w:spacing w:val="41"/>
          <w:w w:val="98"/>
        </w:rPr>
        <w:t>有</w:t>
      </w:r>
      <w:r>
        <w:rPr>
          <w:spacing w:val="49"/>
          <w:w w:val="92"/>
        </w:rPr>
        <w:t>出</w:t>
      </w:r>
      <w:r>
        <w:rPr>
          <w:w w:val="97"/>
        </w:rPr>
        <w:t>示經</w:t>
      </w:r>
      <w:r>
        <w:rPr>
          <w:spacing w:val="-59"/>
        </w:rPr>
        <w:t> </w:t>
      </w:r>
      <w:r>
        <w:rPr>
          <w:spacing w:val="8"/>
          <w:w w:val="110"/>
        </w:rPr>
        <w:t>甄</w:t>
      </w:r>
      <w:r>
        <w:rPr>
          <w:spacing w:val="31"/>
          <w:w w:val="107"/>
        </w:rPr>
        <w:t>選</w:t>
      </w:r>
      <w:r>
        <w:rPr>
          <w:w w:val="87"/>
        </w:rPr>
        <w:t>而使</w:t>
      </w:r>
      <w:r>
        <w:rPr>
          <w:spacing w:val="-18"/>
        </w:rPr>
        <w:t> </w:t>
      </w:r>
      <w:r>
        <w:rPr>
          <w:spacing w:val="24"/>
          <w:w w:val="103"/>
        </w:rPr>
        <w:t>其</w:t>
      </w:r>
      <w:r>
        <w:rPr>
          <w:spacing w:val="23"/>
          <w:w w:val="104"/>
        </w:rPr>
        <w:t>陞</w:t>
      </w:r>
      <w:r>
        <w:rPr>
          <w:spacing w:val="17"/>
          <w:w w:val="103"/>
        </w:rPr>
        <w:t>遷任的職</w:t>
      </w:r>
      <w:r>
        <w:rPr>
          <w:w w:val="108"/>
        </w:rPr>
        <w:t>位</w:t>
      </w:r>
      <w:r>
        <w:rPr>
          <w:spacing w:val="-22"/>
        </w:rPr>
        <w:t> </w:t>
      </w:r>
      <w:r>
        <w:rPr>
          <w:w w:val="62"/>
        </w:rPr>
        <w:t>，</w:t>
      </w:r>
      <w:r>
        <w:rPr>
          <w:spacing w:val="-70"/>
        </w:rPr>
        <w:t> </w:t>
      </w:r>
      <w:r>
        <w:rPr>
          <w:w w:val="96"/>
        </w:rPr>
        <w:t>主要內</w:t>
      </w:r>
      <w:r>
        <w:rPr>
          <w:spacing w:val="-16"/>
        </w:rPr>
        <w:t> </w:t>
      </w:r>
      <w:r>
        <w:rPr>
          <w:w w:val="109"/>
        </w:rPr>
        <w:t>容</w:t>
      </w:r>
    </w:p>
    <w:p>
      <w:pPr>
        <w:pStyle w:val="BodyText"/>
        <w:spacing w:before="18"/>
        <w:ind w:left="303"/>
      </w:pPr>
      <w:r>
        <w:rPr>
          <w:w w:val="95"/>
        </w:rPr>
        <w:t>如下：</w:t>
      </w:r>
    </w:p>
    <w:p>
      <w:pPr>
        <w:pStyle w:val="BodyText"/>
        <w:spacing w:before="112"/>
        <w:ind w:left="858"/>
      </w:pPr>
      <w:r>
        <w:rPr>
          <w:rFonts w:ascii="MS UI Gothic" w:hAnsi="MS UI Gothic" w:eastAsia="MS UI Gothic" w:hint="eastAsia"/>
          <w:spacing w:val="-162"/>
          <w:w w:val="100"/>
          <w:position w:val="-1"/>
          <w:sz w:val="28"/>
        </w:rPr>
        <w:t>①</w:t>
      </w:r>
      <w:r>
        <w:rPr>
          <w:w w:val="110"/>
        </w:rPr>
        <w:t>．股長以上之職（或是相噹於此種職位以及人事委員所承認之職）。</w:t>
      </w:r>
    </w:p>
    <w:p>
      <w:pPr>
        <w:pStyle w:val="BodyText"/>
        <w:spacing w:line="312" w:lineRule="auto" w:before="89"/>
        <w:ind w:left="302" w:right="529" w:firstLine="555"/>
        <w:jc w:val="both"/>
      </w:pPr>
      <w:r>
        <w:rPr>
          <w:rFonts w:ascii="MS UI Gothic" w:hAnsi="MS UI Gothic" w:eastAsia="MS UI Gothic" w:hint="eastAsia"/>
          <w:spacing w:val="-162"/>
          <w:w w:val="100"/>
          <w:position w:val="-2"/>
          <w:sz w:val="28"/>
        </w:rPr>
        <w:t>②</w:t>
      </w:r>
      <w:r>
        <w:rPr>
          <w:w w:val="113"/>
        </w:rPr>
        <w:t>．為要以其他設有人事委員會的地方自治團體或國家考試、甄試及</w:t>
      </w:r>
      <w:r>
        <w:rPr>
          <w:w w:val="110"/>
        </w:rPr>
        <w:t>格進行補充之職位，且為人事委員會承認之該噹競爭考試或甄試有關之同等以下之職。</w:t>
      </w:r>
    </w:p>
    <w:p>
      <w:pPr>
        <w:pStyle w:val="BodyText"/>
        <w:spacing w:before="1"/>
      </w:pPr>
      <w:r>
        <w:rPr/>
        <w:pict>
          <v:shape style="position:absolute;margin-left:95.174004pt;margin-top:18.426714pt;width:144.25pt;height:.1pt;mso-position-horizontal-relative:page;mso-position-vertical-relative:paragraph;z-index:-15578112;mso-wrap-distance-left:0;mso-wrap-distance-right:0" coordorigin="1903,369" coordsize="2885,0" path="m1903,369l4788,369e" filled="false" stroked="true" strokeweight=".720821pt" strokecolor="#000000">
            <v:path arrowok="t"/>
            <v:stroke dashstyle="solid"/>
            <w10:wrap type="topAndBottom"/>
          </v:shape>
        </w:pict>
      </w:r>
    </w:p>
    <w:p>
      <w:pPr>
        <w:pStyle w:val="BodyText"/>
        <w:spacing w:before="7"/>
        <w:rPr>
          <w:sz w:val="7"/>
        </w:rPr>
      </w:pPr>
    </w:p>
    <w:p>
      <w:pPr>
        <w:spacing w:before="89"/>
        <w:ind w:left="298" w:right="0" w:firstLine="0"/>
        <w:jc w:val="left"/>
        <w:rPr>
          <w:sz w:val="22"/>
        </w:rPr>
      </w:pPr>
      <w:r>
        <w:rPr>
          <w:rFonts w:ascii="Times New Roman" w:eastAsia="Times New Roman"/>
          <w:w w:val="95"/>
          <w:position w:val="8"/>
          <w:sz w:val="13"/>
        </w:rPr>
        <w:t>173</w:t>
      </w:r>
      <w:r>
        <w:rPr>
          <w:rFonts w:ascii="Times New Roman" w:eastAsia="Times New Roman"/>
          <w:spacing w:val="5"/>
          <w:w w:val="95"/>
          <w:position w:val="8"/>
          <w:sz w:val="13"/>
        </w:rPr>
        <w:t> </w:t>
      </w:r>
      <w:r>
        <w:rPr>
          <w:spacing w:val="32"/>
          <w:w w:val="95"/>
          <w:sz w:val="20"/>
        </w:rPr>
        <w:t>通知昭</w:t>
      </w:r>
      <w:r>
        <w:rPr>
          <w:rFonts w:ascii="Times New Roman" w:eastAsia="Times New Roman"/>
          <w:w w:val="95"/>
          <w:sz w:val="26"/>
        </w:rPr>
        <w:t>27.</w:t>
      </w:r>
      <w:r>
        <w:rPr>
          <w:rFonts w:ascii="Times New Roman" w:eastAsia="Times New Roman"/>
          <w:spacing w:val="25"/>
          <w:w w:val="95"/>
          <w:sz w:val="26"/>
        </w:rPr>
        <w:t> </w:t>
      </w:r>
      <w:r>
        <w:rPr>
          <w:rFonts w:ascii="Times New Roman" w:eastAsia="Times New Roman"/>
          <w:w w:val="95"/>
          <w:sz w:val="26"/>
        </w:rPr>
        <w:t>12.</w:t>
      </w:r>
      <w:r>
        <w:rPr>
          <w:rFonts w:ascii="Times New Roman" w:eastAsia="Times New Roman"/>
          <w:spacing w:val="1"/>
          <w:w w:val="95"/>
          <w:sz w:val="26"/>
        </w:rPr>
        <w:t> </w:t>
      </w:r>
      <w:r>
        <w:rPr>
          <w:rFonts w:ascii="Times New Roman" w:eastAsia="Times New Roman"/>
          <w:spacing w:val="17"/>
          <w:w w:val="95"/>
          <w:sz w:val="26"/>
        </w:rPr>
        <w:t>4</w:t>
      </w:r>
      <w:r>
        <w:rPr>
          <w:spacing w:val="-8"/>
          <w:w w:val="95"/>
          <w:sz w:val="20"/>
        </w:rPr>
        <w:t>自 雨行 発 第</w:t>
      </w:r>
      <w:r>
        <w:rPr>
          <w:rFonts w:ascii="Times New Roman" w:eastAsia="Times New Roman"/>
          <w:w w:val="95"/>
          <w:sz w:val="26"/>
        </w:rPr>
        <w:t>52</w:t>
      </w:r>
      <w:r>
        <w:rPr>
          <w:w w:val="95"/>
          <w:sz w:val="22"/>
        </w:rPr>
        <w:t>芳</w:t>
      </w:r>
    </w:p>
    <w:p>
      <w:pPr>
        <w:spacing w:line="287" w:lineRule="exact" w:before="13"/>
        <w:ind w:left="298" w:right="0" w:firstLine="0"/>
        <w:jc w:val="left"/>
        <w:rPr>
          <w:sz w:val="22"/>
        </w:rPr>
      </w:pPr>
      <w:r>
        <w:rPr>
          <w:rFonts w:ascii="Times New Roman" w:eastAsia="Times New Roman"/>
          <w:w w:val="95"/>
          <w:position w:val="8"/>
          <w:sz w:val="13"/>
        </w:rPr>
        <w:t>174</w:t>
      </w:r>
      <w:r>
        <w:rPr>
          <w:rFonts w:ascii="Times New Roman" w:eastAsia="Times New Roman"/>
          <w:spacing w:val="9"/>
          <w:w w:val="95"/>
          <w:position w:val="8"/>
          <w:sz w:val="13"/>
        </w:rPr>
        <w:t> </w:t>
      </w:r>
      <w:r>
        <w:rPr>
          <w:spacing w:val="1"/>
          <w:w w:val="95"/>
          <w:sz w:val="20"/>
        </w:rPr>
        <w:t>行 実昭</w:t>
      </w:r>
      <w:r>
        <w:rPr>
          <w:rFonts w:ascii="Times New Roman" w:eastAsia="Times New Roman"/>
          <w:w w:val="95"/>
          <w:sz w:val="26"/>
        </w:rPr>
        <w:t>27.</w:t>
      </w:r>
      <w:r>
        <w:rPr>
          <w:rFonts w:ascii="Times New Roman" w:eastAsia="Times New Roman"/>
          <w:spacing w:val="16"/>
          <w:w w:val="95"/>
          <w:sz w:val="26"/>
        </w:rPr>
        <w:t> </w:t>
      </w:r>
      <w:r>
        <w:rPr>
          <w:rFonts w:ascii="Times New Roman" w:eastAsia="Times New Roman"/>
          <w:w w:val="95"/>
          <w:sz w:val="26"/>
        </w:rPr>
        <w:t>12.</w:t>
      </w:r>
      <w:r>
        <w:rPr>
          <w:rFonts w:ascii="Times New Roman" w:eastAsia="Times New Roman"/>
          <w:spacing w:val="-6"/>
          <w:w w:val="95"/>
          <w:sz w:val="26"/>
        </w:rPr>
        <w:t> </w:t>
      </w:r>
      <w:r>
        <w:rPr>
          <w:rFonts w:ascii="Times New Roman" w:eastAsia="Times New Roman"/>
          <w:spacing w:val="17"/>
          <w:w w:val="95"/>
          <w:sz w:val="26"/>
        </w:rPr>
        <w:t>4</w:t>
      </w:r>
      <w:r>
        <w:rPr>
          <w:spacing w:val="-3"/>
          <w:w w:val="95"/>
          <w:sz w:val="20"/>
        </w:rPr>
        <w:t>自行 公 発 第</w:t>
      </w:r>
      <w:r>
        <w:rPr>
          <w:rFonts w:ascii="Times New Roman" w:eastAsia="Times New Roman"/>
          <w:w w:val="95"/>
          <w:sz w:val="26"/>
        </w:rPr>
        <w:t>192</w:t>
      </w:r>
      <w:r>
        <w:rPr>
          <w:w w:val="95"/>
          <w:sz w:val="22"/>
        </w:rPr>
        <w:t>芳</w:t>
      </w:r>
    </w:p>
    <w:p>
      <w:pPr>
        <w:spacing w:line="337" w:lineRule="exact" w:before="0"/>
        <w:ind w:left="298" w:right="0" w:firstLine="0"/>
        <w:jc w:val="left"/>
        <w:rPr>
          <w:sz w:val="20"/>
        </w:rPr>
      </w:pPr>
      <w:r>
        <w:rPr>
          <w:rFonts w:ascii="Times New Roman" w:eastAsia="Times New Roman"/>
          <w:w w:val="95"/>
          <w:position w:val="7"/>
          <w:sz w:val="13"/>
        </w:rPr>
        <w:t>175</w:t>
      </w:r>
      <w:r>
        <w:rPr>
          <w:rFonts w:ascii="Times New Roman" w:eastAsia="Times New Roman"/>
          <w:spacing w:val="30"/>
          <w:w w:val="95"/>
          <w:position w:val="7"/>
          <w:sz w:val="13"/>
        </w:rPr>
        <w:t> </w:t>
      </w:r>
      <w:r>
        <w:rPr>
          <w:spacing w:val="37"/>
          <w:w w:val="95"/>
          <w:sz w:val="20"/>
        </w:rPr>
        <w:t>地公法</w:t>
      </w:r>
      <w:r>
        <w:rPr>
          <w:rFonts w:ascii="Times New Roman" w:eastAsia="Times New Roman"/>
          <w:spacing w:val="10"/>
          <w:w w:val="95"/>
          <w:sz w:val="26"/>
        </w:rPr>
        <w:t>21</w:t>
      </w:r>
      <w:r>
        <w:rPr>
          <w:spacing w:val="-28"/>
          <w:w w:val="95"/>
          <w:sz w:val="20"/>
        </w:rPr>
        <w:t>條 </w:t>
      </w:r>
      <w:r>
        <w:rPr>
          <w:rFonts w:ascii="Times New Roman" w:eastAsia="Times New Roman"/>
          <w:w w:val="95"/>
          <w:sz w:val="26"/>
        </w:rPr>
        <w:t>1</w:t>
      </w:r>
      <w:r>
        <w:rPr>
          <w:rFonts w:ascii="Times New Roman" w:eastAsia="Times New Roman"/>
          <w:spacing w:val="-3"/>
          <w:w w:val="95"/>
          <w:sz w:val="26"/>
        </w:rPr>
        <w:t> </w:t>
      </w:r>
      <w:r>
        <w:rPr>
          <w:spacing w:val="-51"/>
          <w:w w:val="95"/>
          <w:sz w:val="28"/>
        </w:rPr>
        <w:t>、</w:t>
      </w:r>
      <w:r>
        <w:rPr>
          <w:rFonts w:ascii="Times New Roman" w:eastAsia="Times New Roman"/>
          <w:spacing w:val="10"/>
          <w:w w:val="95"/>
          <w:sz w:val="26"/>
        </w:rPr>
        <w:t>2</w:t>
      </w:r>
      <w:r>
        <w:rPr>
          <w:spacing w:val="-2"/>
          <w:w w:val="95"/>
          <w:sz w:val="20"/>
        </w:rPr>
        <w:t>項 。</w:t>
      </w:r>
    </w:p>
    <w:p>
      <w:pPr>
        <w:spacing w:line="294" w:lineRule="exact" w:before="0"/>
        <w:ind w:left="298" w:right="0" w:firstLine="0"/>
        <w:jc w:val="left"/>
        <w:rPr>
          <w:sz w:val="20"/>
        </w:rPr>
      </w:pPr>
      <w:r>
        <w:rPr>
          <w:rFonts w:ascii="Times New Roman" w:eastAsia="Times New Roman"/>
          <w:w w:val="95"/>
          <w:position w:val="7"/>
          <w:sz w:val="13"/>
        </w:rPr>
        <w:t>176</w:t>
      </w:r>
      <w:r>
        <w:rPr>
          <w:rFonts w:ascii="Times New Roman" w:eastAsia="Times New Roman"/>
          <w:spacing w:val="13"/>
          <w:w w:val="95"/>
          <w:position w:val="7"/>
          <w:sz w:val="13"/>
        </w:rPr>
        <w:t> </w:t>
      </w:r>
      <w:r>
        <w:rPr>
          <w:spacing w:val="6"/>
          <w:w w:val="95"/>
          <w:sz w:val="20"/>
        </w:rPr>
        <w:t>地方公務 員法 </w:t>
      </w:r>
      <w:r>
        <w:rPr>
          <w:rFonts w:ascii="Times New Roman" w:eastAsia="Times New Roman"/>
          <w:spacing w:val="10"/>
          <w:w w:val="95"/>
          <w:sz w:val="26"/>
        </w:rPr>
        <w:t>21</w:t>
      </w:r>
      <w:r>
        <w:rPr>
          <w:spacing w:val="-20"/>
          <w:w w:val="95"/>
          <w:sz w:val="20"/>
        </w:rPr>
        <w:t>條 </w:t>
      </w:r>
      <w:r>
        <w:rPr>
          <w:rFonts w:ascii="Times New Roman" w:eastAsia="Times New Roman"/>
          <w:w w:val="95"/>
          <w:sz w:val="26"/>
        </w:rPr>
        <w:t>3</w:t>
      </w:r>
      <w:r>
        <w:rPr>
          <w:spacing w:val="2"/>
          <w:w w:val="95"/>
          <w:sz w:val="20"/>
        </w:rPr>
        <w:t>項 。</w:t>
      </w:r>
    </w:p>
    <w:p>
      <w:pPr>
        <w:spacing w:before="13"/>
        <w:ind w:left="298" w:right="0" w:firstLine="0"/>
        <w:jc w:val="left"/>
        <w:rPr>
          <w:sz w:val="20"/>
        </w:rPr>
      </w:pPr>
      <w:r>
        <w:rPr>
          <w:rFonts w:ascii="Times New Roman" w:eastAsia="Times New Roman"/>
          <w:w w:val="95"/>
          <w:position w:val="8"/>
          <w:sz w:val="13"/>
        </w:rPr>
        <w:t>177</w:t>
      </w:r>
      <w:r>
        <w:rPr>
          <w:rFonts w:ascii="Times New Roman" w:eastAsia="Times New Roman"/>
          <w:spacing w:val="25"/>
          <w:w w:val="95"/>
          <w:position w:val="8"/>
          <w:sz w:val="13"/>
        </w:rPr>
        <w:t> </w:t>
      </w:r>
      <w:r>
        <w:rPr>
          <w:spacing w:val="28"/>
          <w:w w:val="95"/>
          <w:sz w:val="20"/>
        </w:rPr>
        <w:t>通知昭</w:t>
      </w:r>
      <w:r>
        <w:rPr>
          <w:rFonts w:ascii="Times New Roman" w:eastAsia="Times New Roman"/>
          <w:w w:val="95"/>
          <w:sz w:val="26"/>
        </w:rPr>
        <w:t>27.</w:t>
      </w:r>
      <w:r>
        <w:rPr>
          <w:rFonts w:ascii="Times New Roman" w:eastAsia="Times New Roman"/>
          <w:spacing w:val="18"/>
          <w:w w:val="95"/>
          <w:sz w:val="26"/>
        </w:rPr>
        <w:t> </w:t>
      </w:r>
      <w:r>
        <w:rPr>
          <w:rFonts w:ascii="Times New Roman" w:eastAsia="Times New Roman"/>
          <w:w w:val="95"/>
          <w:sz w:val="26"/>
        </w:rPr>
        <w:t>12.</w:t>
      </w:r>
      <w:r>
        <w:rPr>
          <w:rFonts w:ascii="Times New Roman" w:eastAsia="Times New Roman"/>
          <w:spacing w:val="-5"/>
          <w:w w:val="95"/>
          <w:sz w:val="26"/>
        </w:rPr>
        <w:t> </w:t>
      </w:r>
      <w:r>
        <w:rPr>
          <w:rFonts w:ascii="Times New Roman" w:eastAsia="Times New Roman"/>
          <w:spacing w:val="17"/>
          <w:w w:val="95"/>
          <w:sz w:val="26"/>
        </w:rPr>
        <w:t>4</w:t>
      </w:r>
      <w:r>
        <w:rPr>
          <w:spacing w:val="-12"/>
          <w:w w:val="95"/>
          <w:sz w:val="20"/>
        </w:rPr>
        <w:t>自 雨行 発 第</w:t>
      </w:r>
      <w:r>
        <w:rPr>
          <w:rFonts w:ascii="Times New Roman" w:eastAsia="Times New Roman"/>
          <w:w w:val="95"/>
          <w:sz w:val="26"/>
        </w:rPr>
        <w:t>52</w:t>
      </w:r>
      <w:r>
        <w:rPr>
          <w:spacing w:val="12"/>
          <w:w w:val="95"/>
          <w:sz w:val="20"/>
        </w:rPr>
        <w:t>芳 。</w:t>
      </w:r>
    </w:p>
    <w:p>
      <w:pPr>
        <w:spacing w:after="0"/>
        <w:jc w:val="left"/>
        <w:rPr>
          <w:sz w:val="20"/>
        </w:rPr>
        <w:sectPr>
          <w:pgSz w:w="11910" w:h="16840"/>
          <w:pgMar w:header="862" w:footer="1017" w:top="1060" w:bottom="1200" w:left="1120" w:right="1060"/>
        </w:sectPr>
      </w:pPr>
    </w:p>
    <w:p>
      <w:pPr>
        <w:pStyle w:val="BodyText"/>
        <w:spacing w:before="12"/>
        <w:rPr>
          <w:sz w:val="28"/>
        </w:rPr>
      </w:pPr>
    </w:p>
    <w:p>
      <w:pPr>
        <w:pStyle w:val="BodyText"/>
        <w:spacing w:before="65"/>
        <w:ind w:left="858"/>
      </w:pPr>
      <w:r>
        <w:rPr>
          <w:rFonts w:ascii="MS UI Gothic" w:hAnsi="MS UI Gothic" w:eastAsia="MS UI Gothic" w:hint="eastAsia"/>
          <w:spacing w:val="-162"/>
          <w:w w:val="100"/>
          <w:position w:val="-2"/>
          <w:sz w:val="28"/>
        </w:rPr>
        <w:t>③</w:t>
      </w:r>
      <w:r>
        <w:rPr>
          <w:w w:val="113"/>
        </w:rPr>
        <w:t>．人事委員會所承認之應予陞遷，且為過去曾受任用之同等以下之</w:t>
      </w:r>
    </w:p>
    <w:p>
      <w:pPr>
        <w:pStyle w:val="BodyText"/>
        <w:spacing w:before="79"/>
        <w:ind w:left="301"/>
      </w:pPr>
      <w:r>
        <w:rPr>
          <w:w w:val="95"/>
        </w:rPr>
        <w:t>職。</w:t>
      </w:r>
    </w:p>
    <w:p>
      <w:pPr>
        <w:pStyle w:val="BodyText"/>
        <w:spacing w:before="127"/>
        <w:ind w:left="858"/>
      </w:pPr>
      <w:r>
        <w:rPr>
          <w:rFonts w:ascii="MS UI Gothic" w:hAnsi="MS UI Gothic" w:eastAsia="MS UI Gothic" w:hint="eastAsia"/>
          <w:spacing w:val="-162"/>
          <w:w w:val="100"/>
          <w:position w:val="-2"/>
          <w:sz w:val="28"/>
        </w:rPr>
        <w:t>④</w:t>
      </w:r>
      <w:r>
        <w:rPr>
          <w:w w:val="113"/>
        </w:rPr>
        <w:t>．人事委員會認為即使採用競爭考試，仍然無法獲得充分之競爭者</w:t>
      </w:r>
    </w:p>
    <w:p>
      <w:pPr>
        <w:pStyle w:val="BodyText"/>
        <w:spacing w:line="328" w:lineRule="auto" w:before="78"/>
        <w:ind w:left="315" w:right="521" w:hanging="6"/>
      </w:pPr>
      <w:r>
        <w:rPr>
          <w:w w:val="110"/>
        </w:rPr>
        <w:t>之職，或因其職務和責任具特殊性，就職務遂行能力，在職員順位上之判定有其困難之職。</w:t>
      </w:r>
    </w:p>
    <w:p>
      <w:pPr>
        <w:pStyle w:val="BodyText"/>
        <w:spacing w:line="290" w:lineRule="auto" w:before="7"/>
        <w:ind w:left="310" w:right="542" w:firstLine="547"/>
      </w:pPr>
      <w:r>
        <w:rPr>
          <w:rFonts w:ascii="MS UI Gothic" w:hAnsi="MS UI Gothic" w:eastAsia="MS UI Gothic" w:hint="eastAsia"/>
          <w:spacing w:val="-162"/>
          <w:w w:val="100"/>
          <w:position w:val="-2"/>
          <w:sz w:val="28"/>
        </w:rPr>
        <w:t>⑤</w:t>
      </w:r>
      <w:r>
        <w:rPr>
          <w:spacing w:val="-1"/>
          <w:w w:val="113"/>
        </w:rPr>
        <w:t>．除前述各款所規定者外，人事委員會認為採取競爭考試並不適噹</w:t>
      </w:r>
      <w:r>
        <w:rPr>
          <w:w w:val="110"/>
        </w:rPr>
        <w:t>之職。</w:t>
      </w:r>
    </w:p>
    <w:p>
      <w:pPr>
        <w:pStyle w:val="BodyText"/>
        <w:spacing w:line="331" w:lineRule="auto" w:before="53"/>
        <w:ind w:left="298" w:right="504" w:firstLine="584"/>
        <w:jc w:val="both"/>
      </w:pPr>
      <w:r>
        <w:rPr>
          <w:w w:val="105"/>
        </w:rPr>
        <w:t>此外，大學教員，大學以外學校之教員專門教育職員之陞遷採甄選之</w:t>
      </w:r>
      <w:r>
        <w:rPr>
          <w:spacing w:val="55"/>
          <w:w w:val="105"/>
        </w:rPr>
        <w:t> </w:t>
      </w:r>
      <w:r>
        <w:rPr>
          <w:spacing w:val="16"/>
        </w:rPr>
        <w:t>方法</w:t>
      </w:r>
      <w:r>
        <w:rPr>
          <w:rFonts w:ascii="Times New Roman" w:eastAsia="Times New Roman"/>
          <w:w w:val="65"/>
          <w:sz w:val="16"/>
        </w:rPr>
        <w:t>178</w:t>
      </w:r>
      <w:r>
        <w:rPr>
          <w:rFonts w:ascii="Times New Roman" w:eastAsia="Times New Roman"/>
          <w:spacing w:val="17"/>
          <w:sz w:val="16"/>
        </w:rPr>
        <w:t>  </w:t>
      </w:r>
      <w:r>
        <w:rPr>
          <w:spacing w:val="10"/>
          <w:w w:val="65"/>
        </w:rPr>
        <w:t>。 </w:t>
      </w:r>
      <w:r>
        <w:rPr>
          <w:spacing w:val="11"/>
        </w:rPr>
        <w:t>有關甄選之方法 </w:t>
      </w:r>
      <w:r>
        <w:rPr>
          <w:spacing w:val="-12"/>
          <w:w w:val="65"/>
        </w:rPr>
        <w:t>， </w:t>
      </w:r>
      <w:r>
        <w:rPr>
          <w:spacing w:val="2"/>
        </w:rPr>
        <w:t>為基於是否合 於有遂行職務能力之 甄選基準加</w:t>
      </w:r>
      <w:r>
        <w:rPr>
          <w:w w:val="105"/>
        </w:rPr>
        <w:t>以判斷，依必要以筆試、實際操作或其他方法進行考查。其次，甄選之基 </w:t>
      </w:r>
      <w:r>
        <w:rPr>
          <w:spacing w:val="4"/>
          <w:w w:val="105"/>
        </w:rPr>
        <w:t> </w:t>
      </w:r>
      <w:r>
        <w:rPr>
          <w:w w:val="105"/>
        </w:rPr>
        <w:t>準則依職務等級、綑織上之地位等，基於法令、條例、規則等之規定，須 </w:t>
      </w:r>
      <w:r>
        <w:rPr>
          <w:spacing w:val="4"/>
          <w:w w:val="105"/>
        </w:rPr>
        <w:t> </w:t>
      </w:r>
      <w:r>
        <w:rPr>
          <w:spacing w:val="6"/>
        </w:rPr>
        <w:t>具有經歷 、學歷或其他之資格</w:t>
      </w:r>
      <w:r>
        <w:rPr>
          <w:rFonts w:ascii="Times New Roman" w:eastAsia="Times New Roman"/>
          <w:w w:val="65"/>
          <w:sz w:val="16"/>
        </w:rPr>
        <w:t>179</w:t>
      </w:r>
      <w:r>
        <w:rPr>
          <w:rFonts w:ascii="Times New Roman" w:eastAsia="Times New Roman"/>
          <w:spacing w:val="61"/>
          <w:sz w:val="16"/>
        </w:rPr>
        <w:t> </w:t>
      </w:r>
      <w:r>
        <w:rPr>
          <w:spacing w:val="15"/>
          <w:w w:val="65"/>
        </w:rPr>
        <w:t>。 </w:t>
      </w:r>
      <w:r>
        <w:rPr>
          <w:spacing w:val="7"/>
        </w:rPr>
        <w:t>陞遷之甄選是以現任公務員為 對象 </w:t>
      </w:r>
      <w:r>
        <w:rPr>
          <w:spacing w:val="-19"/>
          <w:w w:val="65"/>
        </w:rPr>
        <w:t>， </w:t>
      </w:r>
      <w:r>
        <w:rPr/>
        <w:t>由</w:t>
      </w:r>
      <w:r>
        <w:rPr>
          <w:w w:val="105"/>
        </w:rPr>
        <w:t>於必須判定其是否有遂行其所要陞遷之職的能力，因此除必須在甄選基準 </w:t>
      </w:r>
      <w:r>
        <w:rPr>
          <w:spacing w:val="4"/>
          <w:w w:val="105"/>
        </w:rPr>
        <w:t> </w:t>
      </w:r>
      <w:r>
        <w:rPr>
          <w:w w:val="105"/>
        </w:rPr>
        <w:t>中，除須具備在此所揭示之要件外，規定必須勤務成績良好乃為恰當。其 </w:t>
      </w:r>
      <w:r>
        <w:rPr>
          <w:spacing w:val="4"/>
          <w:w w:val="105"/>
        </w:rPr>
        <w:t> </w:t>
      </w:r>
      <w:r>
        <w:rPr>
          <w:w w:val="105"/>
        </w:rPr>
        <w:t>次，判斷方法也可考慮加入經歷評定、面試等方法。</w:t>
      </w:r>
    </w:p>
    <w:p>
      <w:pPr>
        <w:pStyle w:val="BodyText"/>
        <w:spacing w:before="82"/>
        <w:ind w:left="793" w:right="549"/>
        <w:jc w:val="center"/>
      </w:pPr>
      <w:r>
        <w:rPr>
          <w:w w:val="115"/>
        </w:rPr>
        <w:t>二日本有關公務員升遷之訴訟個案</w:t>
      </w:r>
    </w:p>
    <w:p>
      <w:pPr>
        <w:pStyle w:val="BodyText"/>
        <w:spacing w:before="1"/>
        <w:rPr>
          <w:sz w:val="24"/>
        </w:rPr>
      </w:pPr>
    </w:p>
    <w:p>
      <w:pPr>
        <w:pStyle w:val="BodyText"/>
        <w:spacing w:before="1"/>
        <w:ind w:left="876"/>
      </w:pPr>
      <w:r>
        <w:rPr>
          <w:w w:val="110"/>
        </w:rPr>
        <w:t>公務員法上的競爭訴訟，乃以排他性、積極性競爭者訴訟的型態出現</w:t>
      </w:r>
    </w:p>
    <w:p>
      <w:pPr>
        <w:pStyle w:val="BodyText"/>
        <w:tabs>
          <w:tab w:pos="565" w:val="left" w:leader="none"/>
          <w:tab w:pos="3667" w:val="left" w:leader="none"/>
        </w:tabs>
        <w:spacing w:line="326" w:lineRule="auto" w:before="107"/>
        <w:ind w:left="302" w:right="400" w:hanging="44"/>
      </w:pPr>
      <w:r>
        <w:rPr>
          <w:rFonts w:ascii="Times New Roman" w:eastAsia="Times New Roman"/>
          <w:w w:val="70"/>
          <w:sz w:val="16"/>
        </w:rPr>
        <w:t>180</w:t>
        <w:tab/>
      </w:r>
      <w:r>
        <w:rPr>
          <w:spacing w:val="10"/>
          <w:w w:val="70"/>
        </w:rPr>
        <w:t>，</w:t>
      </w:r>
      <w:r>
        <w:rPr/>
        <w:t>未</w:t>
      </w:r>
      <w:r>
        <w:rPr>
          <w:spacing w:val="13"/>
        </w:rPr>
        <w:t>獲</w:t>
      </w:r>
      <w:r>
        <w:rPr>
          <w:spacing w:val="23"/>
        </w:rPr>
        <w:t>陞</w:t>
      </w:r>
      <w:r>
        <w:rPr>
          <w:spacing w:val="11"/>
        </w:rPr>
        <w:t>遷</w:t>
      </w:r>
      <w:r>
        <w:rPr>
          <w:spacing w:val="24"/>
        </w:rPr>
        <w:t>的</w:t>
      </w:r>
      <w:r>
        <w:rPr/>
        <w:t>公務</w:t>
      </w:r>
      <w:r>
        <w:rPr>
          <w:spacing w:val="-54"/>
        </w:rPr>
        <w:t> </w:t>
      </w:r>
      <w:r>
        <w:rPr/>
        <w:t>員</w:t>
      </w:r>
      <w:r>
        <w:rPr>
          <w:spacing w:val="-31"/>
        </w:rPr>
        <w:t> </w:t>
      </w:r>
      <w:r>
        <w:rPr>
          <w:spacing w:val="13"/>
          <w:w w:val="70"/>
        </w:rPr>
        <w:t>，</w:t>
      </w:r>
      <w:r>
        <w:rPr/>
        <w:t>其</w:t>
      </w:r>
      <w:r>
        <w:rPr>
          <w:spacing w:val="39"/>
        </w:rPr>
        <w:t>如</w:t>
      </w:r>
      <w:r>
        <w:rPr>
          <w:spacing w:val="25"/>
        </w:rPr>
        <w:t>欲</w:t>
      </w:r>
      <w:r>
        <w:rPr/>
        <w:t>貫</w:t>
      </w:r>
      <w:r>
        <w:rPr>
          <w:spacing w:val="41"/>
        </w:rPr>
        <w:t>徹</w:t>
      </w:r>
      <w:r>
        <w:rPr/>
        <w:t>其</w:t>
      </w:r>
      <w:r>
        <w:rPr>
          <w:spacing w:val="60"/>
        </w:rPr>
        <w:t>請</w:t>
      </w:r>
      <w:r>
        <w:rPr>
          <w:spacing w:val="58"/>
        </w:rPr>
        <w:t>求</w:t>
      </w:r>
      <w:r>
        <w:rPr>
          <w:spacing w:val="10"/>
          <w:w w:val="70"/>
        </w:rPr>
        <w:t>，</w:t>
      </w:r>
      <w:r>
        <w:rPr/>
        <w:t>非</w:t>
      </w:r>
      <w:r>
        <w:rPr>
          <w:spacing w:val="50"/>
        </w:rPr>
        <w:t>以</w:t>
      </w:r>
      <w:r>
        <w:rPr>
          <w:spacing w:val="10"/>
        </w:rPr>
        <w:t>課</w:t>
      </w:r>
      <w:r>
        <w:rPr>
          <w:spacing w:val="40"/>
        </w:rPr>
        <w:t>予</w:t>
      </w:r>
      <w:r>
        <w:rPr/>
        <w:t>義務</w:t>
      </w:r>
      <w:r>
        <w:rPr>
          <w:spacing w:val="-37"/>
        </w:rPr>
        <w:t> </w:t>
      </w:r>
      <w:r>
        <w:rPr>
          <w:spacing w:val="49"/>
        </w:rPr>
        <w:t>之</w:t>
      </w:r>
      <w:r>
        <w:rPr>
          <w:spacing w:val="36"/>
        </w:rPr>
        <w:t>訴</w:t>
      </w:r>
      <w:r>
        <w:rPr/>
        <w:t>主張</w:t>
      </w:r>
      <w:r>
        <w:rPr>
          <w:spacing w:val="-40"/>
        </w:rPr>
        <w:t> </w:t>
      </w:r>
      <w:r>
        <w:rPr>
          <w:spacing w:val="42"/>
        </w:rPr>
        <w:t>不</w:t>
      </w:r>
      <w:r>
        <w:rPr/>
        <w:t>可</w:t>
      </w:r>
      <w:r>
        <w:rPr>
          <w:spacing w:val="-45"/>
        </w:rPr>
        <w:t> </w:t>
      </w:r>
      <w:r>
        <w:rPr/>
        <w:t>。</w:t>
      </w:r>
      <w:r>
        <w:rPr>
          <w:w w:val="95"/>
        </w:rPr>
        <w:t>而日本</w:t>
      </w:r>
      <w:r>
        <w:rPr>
          <w:spacing w:val="23"/>
          <w:w w:val="95"/>
        </w:rPr>
        <w:t> </w:t>
      </w:r>
      <w:r>
        <w:rPr>
          <w:w w:val="95"/>
        </w:rPr>
        <w:t>行</w:t>
      </w:r>
      <w:r>
        <w:rPr>
          <w:spacing w:val="34"/>
          <w:w w:val="95"/>
        </w:rPr>
        <w:t> </w:t>
      </w:r>
      <w:r>
        <w:rPr>
          <w:spacing w:val="16"/>
          <w:w w:val="95"/>
        </w:rPr>
        <w:t>政</w:t>
      </w:r>
      <w:r>
        <w:rPr>
          <w:w w:val="95"/>
        </w:rPr>
        <w:t>事</w:t>
      </w:r>
      <w:r>
        <w:rPr>
          <w:spacing w:val="46"/>
          <w:w w:val="95"/>
        </w:rPr>
        <w:t>件</w:t>
      </w:r>
      <w:r>
        <w:rPr>
          <w:spacing w:val="13"/>
          <w:w w:val="95"/>
        </w:rPr>
        <w:t>訴</w:t>
      </w:r>
      <w:r>
        <w:rPr>
          <w:spacing w:val="32"/>
          <w:w w:val="95"/>
        </w:rPr>
        <w:t>訟</w:t>
      </w:r>
      <w:r>
        <w:rPr>
          <w:w w:val="95"/>
        </w:rPr>
        <w:t>法在</w:t>
      </w:r>
      <w:r>
        <w:rPr>
          <w:spacing w:val="16"/>
          <w:w w:val="95"/>
        </w:rPr>
        <w:t> </w:t>
      </w:r>
      <w:r>
        <w:rPr>
          <w:rFonts w:ascii="Times New Roman" w:eastAsia="Times New Roman"/>
          <w:w w:val="95"/>
          <w:sz w:val="30"/>
        </w:rPr>
        <w:t>2004</w:t>
      </w:r>
      <w:r>
        <w:rPr>
          <w:rFonts w:ascii="Times New Roman" w:eastAsia="Times New Roman"/>
          <w:spacing w:val="108"/>
          <w:sz w:val="30"/>
        </w:rPr>
        <w:t> </w:t>
      </w:r>
      <w:r>
        <w:rPr>
          <w:spacing w:val="11"/>
          <w:w w:val="95"/>
        </w:rPr>
        <w:t>年</w:t>
      </w:r>
      <w:r>
        <w:rPr>
          <w:spacing w:val="18"/>
          <w:w w:val="95"/>
        </w:rPr>
        <w:t>始</w:t>
      </w:r>
      <w:r>
        <w:rPr>
          <w:spacing w:val="29"/>
          <w:w w:val="95"/>
        </w:rPr>
        <w:t>有</w:t>
      </w:r>
      <w:r>
        <w:rPr>
          <w:spacing w:val="14"/>
          <w:w w:val="95"/>
        </w:rPr>
        <w:t>課</w:t>
      </w:r>
      <w:r>
        <w:rPr>
          <w:spacing w:val="40"/>
          <w:w w:val="95"/>
        </w:rPr>
        <w:t>予</w:t>
      </w:r>
      <w:r>
        <w:rPr>
          <w:w w:val="95"/>
        </w:rPr>
        <w:t>義務</w:t>
      </w:r>
      <w:r>
        <w:rPr>
          <w:spacing w:val="-7"/>
          <w:w w:val="95"/>
        </w:rPr>
        <w:t> </w:t>
      </w:r>
      <w:r>
        <w:rPr>
          <w:spacing w:val="13"/>
          <w:w w:val="95"/>
        </w:rPr>
        <w:t>訴</w:t>
      </w:r>
      <w:r>
        <w:rPr>
          <w:spacing w:val="22"/>
          <w:w w:val="95"/>
        </w:rPr>
        <w:t>訟</w:t>
      </w:r>
      <w:r>
        <w:rPr>
          <w:w w:val="95"/>
        </w:rPr>
        <w:t>之</w:t>
      </w:r>
      <w:r>
        <w:rPr>
          <w:spacing w:val="11"/>
          <w:w w:val="95"/>
        </w:rPr>
        <w:t>規</w:t>
      </w:r>
      <w:r>
        <w:rPr>
          <w:w w:val="95"/>
        </w:rPr>
        <w:t>定 </w:t>
      </w:r>
      <w:r>
        <w:rPr>
          <w:w w:val="70"/>
        </w:rPr>
        <w:t>，於</w:t>
      </w:r>
      <w:r>
        <w:rPr>
          <w:spacing w:val="109"/>
        </w:rPr>
        <w:t> </w:t>
      </w:r>
      <w:r>
        <w:rPr>
          <w:w w:val="95"/>
        </w:rPr>
        <w:t>此</w:t>
      </w:r>
      <w:r>
        <w:rPr>
          <w:spacing w:val="34"/>
          <w:w w:val="95"/>
        </w:rPr>
        <w:t>之</w:t>
      </w:r>
      <w:r>
        <w:rPr>
          <w:w w:val="95"/>
        </w:rPr>
        <w:t>前</w:t>
      </w:r>
      <w:r>
        <w:rPr>
          <w:spacing w:val="13"/>
          <w:w w:val="95"/>
        </w:rPr>
        <w:t> </w:t>
      </w:r>
      <w:r>
        <w:rPr>
          <w:w w:val="70"/>
        </w:rPr>
        <w:t>，</w:t>
      </w:r>
      <w:r>
        <w:rPr>
          <w:spacing w:val="1"/>
          <w:w w:val="70"/>
        </w:rPr>
        <w:t> </w:t>
      </w:r>
      <w:r>
        <w:rPr/>
        <w:t>日本學說實務均以所謂「無名或法定外抗告訴訟」的形式處理，彼邦實務     </w:t>
      </w:r>
      <w:r>
        <w:rPr>
          <w:spacing w:val="29"/>
        </w:rPr>
        <w:t> </w:t>
      </w:r>
      <w:r>
        <w:rPr/>
        <w:t>在課予義務之訴的訴訟要件設定，更是以極為嚴格的方式，企圖阻絕法定     </w:t>
      </w:r>
      <w:r>
        <w:rPr>
          <w:spacing w:val="18"/>
        </w:rPr>
        <w:t> </w:t>
      </w:r>
      <w:r>
        <w:rPr>
          <w:spacing w:val="11"/>
        </w:rPr>
        <w:t>抗</w:t>
      </w:r>
      <w:r>
        <w:rPr/>
        <w:t>告</w:t>
      </w:r>
      <w:r>
        <w:rPr>
          <w:spacing w:val="13"/>
        </w:rPr>
        <w:t>訴</w:t>
      </w:r>
      <w:r>
        <w:rPr>
          <w:spacing w:val="10"/>
        </w:rPr>
        <w:t>訟</w:t>
      </w:r>
      <w:r>
        <w:rPr>
          <w:spacing w:val="36"/>
        </w:rPr>
        <w:t>以</w:t>
      </w:r>
      <w:r>
        <w:rPr/>
        <w:t>外</w:t>
      </w:r>
      <w:r>
        <w:rPr>
          <w:spacing w:val="41"/>
        </w:rPr>
        <w:t>的</w:t>
      </w:r>
      <w:r>
        <w:rPr>
          <w:spacing w:val="13"/>
        </w:rPr>
        <w:t>訴</w:t>
      </w:r>
      <w:r>
        <w:rPr>
          <w:spacing w:val="24"/>
        </w:rPr>
        <w:t>訟</w:t>
      </w:r>
      <w:r>
        <w:rPr>
          <w:spacing w:val="17"/>
        </w:rPr>
        <w:t>類</w:t>
      </w:r>
      <w:r>
        <w:rPr/>
        <w:t>型</w:t>
      </w:r>
      <w:r>
        <w:rPr>
          <w:rFonts w:ascii="Times New Roman" w:eastAsia="Times New Roman"/>
          <w:w w:val="70"/>
          <w:sz w:val="16"/>
        </w:rPr>
        <w:t>181</w:t>
        <w:tab/>
      </w:r>
      <w:r>
        <w:rPr>
          <w:w w:val="70"/>
        </w:rPr>
        <w:t>。</w:t>
      </w:r>
      <w:r>
        <w:rPr>
          <w:spacing w:val="55"/>
          <w:w w:val="70"/>
        </w:rPr>
        <w:t> </w:t>
      </w:r>
      <w:r>
        <w:rPr>
          <w:spacing w:val="50"/>
        </w:rPr>
        <w:t>因</w:t>
      </w:r>
      <w:r>
        <w:rPr/>
        <w:t>此</w:t>
      </w:r>
      <w:r>
        <w:rPr>
          <w:spacing w:val="-24"/>
        </w:rPr>
        <w:t> </w:t>
      </w:r>
      <w:r>
        <w:rPr>
          <w:w w:val="70"/>
        </w:rPr>
        <w:t>，</w:t>
      </w:r>
      <w:r>
        <w:rPr>
          <w:spacing w:val="-28"/>
          <w:w w:val="70"/>
        </w:rPr>
        <w:t> </w:t>
      </w:r>
      <w:r>
        <w:rPr/>
        <w:t>日</w:t>
      </w:r>
      <w:r>
        <w:rPr>
          <w:spacing w:val="-73"/>
        </w:rPr>
        <w:t> </w:t>
      </w:r>
      <w:r>
        <w:rPr/>
        <w:t>本</w:t>
      </w:r>
      <w:r>
        <w:rPr>
          <w:spacing w:val="13"/>
        </w:rPr>
        <w:t>行</w:t>
      </w:r>
      <w:r>
        <w:rPr>
          <w:spacing w:val="16"/>
        </w:rPr>
        <w:t>政</w:t>
      </w:r>
      <w:r>
        <w:rPr/>
        <w:t>事</w:t>
      </w:r>
      <w:r>
        <w:rPr>
          <w:spacing w:val="41"/>
        </w:rPr>
        <w:t>件</w:t>
      </w:r>
      <w:r>
        <w:rPr>
          <w:spacing w:val="13"/>
        </w:rPr>
        <w:t>訴</w:t>
      </w:r>
      <w:r>
        <w:rPr>
          <w:spacing w:val="27"/>
        </w:rPr>
        <w:t>訟</w:t>
      </w:r>
      <w:r>
        <w:rPr/>
        <w:t>法</w:t>
      </w:r>
      <w:r>
        <w:rPr>
          <w:spacing w:val="33"/>
        </w:rPr>
        <w:t>在</w:t>
      </w:r>
      <w:r>
        <w:rPr>
          <w:spacing w:val="28"/>
        </w:rPr>
        <w:t>修</w:t>
      </w:r>
      <w:r>
        <w:rPr/>
        <w:t>改</w:t>
      </w:r>
      <w:r>
        <w:rPr>
          <w:spacing w:val="45"/>
        </w:rPr>
        <w:t>數</w:t>
      </w:r>
      <w:r>
        <w:rPr/>
        <w:t>年</w:t>
      </w:r>
      <w:r>
        <w:rPr>
          <w:spacing w:val="36"/>
        </w:rPr>
        <w:t>後</w:t>
      </w:r>
      <w:r>
        <w:rPr/>
        <w:t>之今日，在日本實務案例上，未獲陞遷的公務員，仍以撤銷訴訟，甚至僅以     </w:t>
      </w:r>
      <w:r>
        <w:rPr>
          <w:spacing w:val="29"/>
        </w:rPr>
        <w:t> </w:t>
      </w:r>
      <w:r>
        <w:rPr/>
        <w:t>請求國家賠償的途很，來主張自己的訴求。就訴訟法上之結構而言，過去</w:t>
      </w:r>
    </w:p>
    <w:p>
      <w:pPr>
        <w:pStyle w:val="BodyText"/>
        <w:spacing w:before="4"/>
        <w:rPr>
          <w:sz w:val="19"/>
        </w:rPr>
      </w:pPr>
      <w:r>
        <w:rPr/>
        <w:pict>
          <v:shape style="position:absolute;margin-left:95.174004pt;margin-top:14.753037pt;width:144.25pt;height:.1pt;mso-position-horizontal-relative:page;mso-position-vertical-relative:paragraph;z-index:-15577600;mso-wrap-distance-left:0;mso-wrap-distance-right:0" coordorigin="1903,295" coordsize="2885,0" path="m1903,295l4788,295e" filled="false" stroked="true" strokeweight=".720821pt" strokecolor="#000000">
            <v:path arrowok="t"/>
            <v:stroke dashstyle="solid"/>
            <w10:wrap type="topAndBottom"/>
          </v:shape>
        </w:pict>
      </w:r>
    </w:p>
    <w:p>
      <w:pPr>
        <w:pStyle w:val="BodyText"/>
        <w:spacing w:before="7"/>
        <w:rPr>
          <w:sz w:val="7"/>
        </w:rPr>
      </w:pPr>
    </w:p>
    <w:p>
      <w:pPr>
        <w:spacing w:before="89"/>
        <w:ind w:left="298" w:right="0" w:firstLine="0"/>
        <w:jc w:val="left"/>
        <w:rPr>
          <w:sz w:val="21"/>
        </w:rPr>
      </w:pPr>
      <w:r>
        <w:rPr>
          <w:rFonts w:ascii="Times New Roman" w:eastAsia="Times New Roman"/>
          <w:w w:val="90"/>
          <w:position w:val="8"/>
          <w:sz w:val="13"/>
        </w:rPr>
        <w:t>178</w:t>
      </w:r>
      <w:r>
        <w:rPr>
          <w:rFonts w:ascii="Times New Roman" w:eastAsia="Times New Roman"/>
          <w:spacing w:val="3"/>
          <w:w w:val="90"/>
          <w:position w:val="8"/>
          <w:sz w:val="13"/>
        </w:rPr>
        <w:t> </w:t>
      </w:r>
      <w:r>
        <w:rPr>
          <w:spacing w:val="23"/>
          <w:w w:val="90"/>
          <w:sz w:val="21"/>
        </w:rPr>
        <w:t>特教法第</w:t>
      </w:r>
      <w:r>
        <w:rPr>
          <w:rFonts w:ascii="Times New Roman" w:eastAsia="Times New Roman"/>
          <w:w w:val="90"/>
          <w:sz w:val="26"/>
        </w:rPr>
        <w:t>4</w:t>
      </w:r>
      <w:r>
        <w:rPr>
          <w:spacing w:val="4"/>
          <w:w w:val="90"/>
          <w:sz w:val="21"/>
        </w:rPr>
        <w:t>條 ， 第</w:t>
      </w:r>
      <w:r>
        <w:rPr>
          <w:rFonts w:ascii="Times New Roman" w:eastAsia="Times New Roman"/>
          <w:w w:val="90"/>
          <w:sz w:val="26"/>
        </w:rPr>
        <w:t>13</w:t>
      </w:r>
      <w:r>
        <w:rPr>
          <w:w w:val="90"/>
          <w:sz w:val="21"/>
        </w:rPr>
        <w:t>條 ， 第</w:t>
      </w:r>
      <w:r>
        <w:rPr>
          <w:rFonts w:ascii="Times New Roman" w:eastAsia="Times New Roman"/>
          <w:w w:val="90"/>
          <w:sz w:val="26"/>
        </w:rPr>
        <w:t>16</w:t>
      </w:r>
      <w:r>
        <w:rPr>
          <w:spacing w:val="10"/>
          <w:w w:val="90"/>
          <w:sz w:val="21"/>
        </w:rPr>
        <w:t>條 。</w:t>
      </w:r>
    </w:p>
    <w:p>
      <w:pPr>
        <w:spacing w:before="11"/>
        <w:ind w:left="298" w:right="0" w:firstLine="0"/>
        <w:jc w:val="left"/>
        <w:rPr>
          <w:sz w:val="21"/>
        </w:rPr>
      </w:pPr>
      <w:r>
        <w:rPr>
          <w:rFonts w:ascii="Times New Roman" w:eastAsia="Times New Roman"/>
          <w:w w:val="90"/>
          <w:position w:val="8"/>
          <w:sz w:val="13"/>
        </w:rPr>
        <w:t>179</w:t>
      </w:r>
      <w:r>
        <w:rPr>
          <w:rFonts w:ascii="Times New Roman" w:eastAsia="Times New Roman"/>
          <w:spacing w:val="3"/>
          <w:w w:val="90"/>
          <w:position w:val="8"/>
          <w:sz w:val="13"/>
        </w:rPr>
        <w:t> </w:t>
      </w:r>
      <w:r>
        <w:rPr>
          <w:spacing w:val="-10"/>
          <w:w w:val="90"/>
          <w:sz w:val="20"/>
        </w:rPr>
        <w:t>通 知 昭 </w:t>
      </w:r>
      <w:r>
        <w:rPr>
          <w:rFonts w:ascii="Times New Roman" w:eastAsia="Times New Roman"/>
          <w:w w:val="90"/>
          <w:sz w:val="26"/>
        </w:rPr>
        <w:t>27.</w:t>
      </w:r>
      <w:r>
        <w:rPr>
          <w:rFonts w:ascii="Times New Roman" w:eastAsia="Times New Roman"/>
          <w:spacing w:val="23"/>
          <w:w w:val="90"/>
          <w:sz w:val="26"/>
        </w:rPr>
        <w:t> </w:t>
      </w:r>
      <w:r>
        <w:rPr>
          <w:rFonts w:ascii="Times New Roman" w:eastAsia="Times New Roman"/>
          <w:w w:val="90"/>
          <w:sz w:val="26"/>
        </w:rPr>
        <w:t>11.</w:t>
      </w:r>
      <w:r>
        <w:rPr>
          <w:rFonts w:ascii="Times New Roman" w:eastAsia="Times New Roman"/>
          <w:spacing w:val="10"/>
          <w:w w:val="90"/>
          <w:sz w:val="26"/>
        </w:rPr>
        <w:t> </w:t>
      </w:r>
      <w:r>
        <w:rPr>
          <w:rFonts w:ascii="Times New Roman" w:eastAsia="Times New Roman"/>
          <w:w w:val="90"/>
          <w:sz w:val="26"/>
        </w:rPr>
        <w:t>29</w:t>
      </w:r>
      <w:r>
        <w:rPr>
          <w:rFonts w:ascii="Times New Roman" w:eastAsia="Times New Roman"/>
          <w:spacing w:val="-27"/>
          <w:w w:val="90"/>
          <w:sz w:val="26"/>
        </w:rPr>
        <w:t> </w:t>
      </w:r>
      <w:r>
        <w:rPr>
          <w:spacing w:val="-4"/>
          <w:w w:val="90"/>
          <w:sz w:val="22"/>
        </w:rPr>
        <w:t>自 乙発 第</w:t>
      </w:r>
      <w:r>
        <w:rPr>
          <w:rFonts w:ascii="Times New Roman" w:eastAsia="Times New Roman"/>
          <w:w w:val="90"/>
          <w:sz w:val="26"/>
        </w:rPr>
        <w:t>436</w:t>
      </w:r>
      <w:r>
        <w:rPr>
          <w:spacing w:val="-8"/>
          <w:w w:val="90"/>
          <w:sz w:val="21"/>
        </w:rPr>
        <w:t>芳 。</w:t>
      </w:r>
    </w:p>
    <w:p>
      <w:pPr>
        <w:spacing w:line="254" w:lineRule="auto" w:before="36"/>
        <w:ind w:left="514" w:right="530" w:hanging="216"/>
        <w:jc w:val="left"/>
        <w:rPr>
          <w:sz w:val="21"/>
        </w:rPr>
      </w:pPr>
      <w:r>
        <w:rPr>
          <w:rFonts w:ascii="Times New Roman" w:eastAsia="Times New Roman"/>
          <w:w w:val="90"/>
          <w:sz w:val="21"/>
          <w:vertAlign w:val="superscript"/>
        </w:rPr>
        <w:t>180</w:t>
      </w:r>
      <w:r>
        <w:rPr>
          <w:rFonts w:ascii="Times New Roman" w:eastAsia="Times New Roman"/>
          <w:spacing w:val="41"/>
          <w:w w:val="90"/>
          <w:sz w:val="21"/>
          <w:vertAlign w:val="baseline"/>
        </w:rPr>
        <w:t> </w:t>
      </w:r>
      <w:r>
        <w:rPr>
          <w:spacing w:val="2"/>
          <w:w w:val="90"/>
          <w:sz w:val="21"/>
          <w:vertAlign w:val="baseline"/>
        </w:rPr>
        <w:t>佐藤英世 ， 競争者訴:公</w:t>
      </w:r>
      <w:r>
        <w:rPr>
          <w:rFonts w:ascii="Arial" w:eastAsia="Arial"/>
          <w:w w:val="90"/>
          <w:sz w:val="14"/>
          <w:vertAlign w:val="baseline"/>
        </w:rPr>
        <w:t>(J)</w:t>
      </w:r>
      <w:r>
        <w:rPr>
          <w:rFonts w:ascii="Arial" w:eastAsia="Arial"/>
          <w:spacing w:val="5"/>
          <w:w w:val="90"/>
          <w:sz w:val="14"/>
          <w:vertAlign w:val="baseline"/>
        </w:rPr>
        <w:t> </w:t>
      </w:r>
      <w:r>
        <w:rPr>
          <w:spacing w:val="12"/>
          <w:w w:val="90"/>
          <w:sz w:val="21"/>
          <w:vertAlign w:val="baseline"/>
        </w:rPr>
        <w:t>構造 ，收錄 於</w:t>
      </w:r>
      <w:r>
        <w:rPr>
          <w:spacing w:val="161"/>
          <w:sz w:val="21"/>
          <w:vertAlign w:val="baseline"/>
        </w:rPr>
        <w:t> </w:t>
      </w:r>
      <w:r>
        <w:rPr>
          <w:spacing w:val="8"/>
          <w:w w:val="90"/>
          <w:sz w:val="21"/>
          <w:vertAlign w:val="baseline"/>
        </w:rPr>
        <w:t>阪 本 昌成 </w:t>
      </w:r>
      <w:r>
        <w:rPr>
          <w:w w:val="90"/>
          <w:sz w:val="21"/>
          <w:vertAlign w:val="baseline"/>
        </w:rPr>
        <w:t>＝</w:t>
      </w:r>
      <w:r>
        <w:rPr>
          <w:spacing w:val="10"/>
          <w:w w:val="90"/>
          <w:sz w:val="21"/>
          <w:vertAlign w:val="baseline"/>
        </w:rPr>
        <w:t>村上武則 編 ，人 権叨 司法的救</w:t>
      </w:r>
      <w:r>
        <w:rPr>
          <w:spacing w:val="-9"/>
          <w:w w:val="90"/>
          <w:sz w:val="21"/>
          <w:vertAlign w:val="baseline"/>
        </w:rPr>
        <w:t>济 ， 初版 ，</w:t>
      </w:r>
      <w:r>
        <w:rPr>
          <w:rFonts w:ascii="Times New Roman" w:eastAsia="Times New Roman"/>
          <w:w w:val="90"/>
          <w:sz w:val="26"/>
          <w:vertAlign w:val="baseline"/>
        </w:rPr>
        <w:t>1990</w:t>
      </w:r>
      <w:r>
        <w:rPr>
          <w:w w:val="90"/>
          <w:sz w:val="21"/>
          <w:vertAlign w:val="baseline"/>
        </w:rPr>
        <w:t>年</w:t>
      </w:r>
      <w:r>
        <w:rPr>
          <w:rFonts w:ascii="Times New Roman" w:eastAsia="Times New Roman"/>
          <w:w w:val="90"/>
          <w:sz w:val="26"/>
          <w:vertAlign w:val="baseline"/>
        </w:rPr>
        <w:t>12</w:t>
      </w:r>
      <w:r>
        <w:rPr>
          <w:w w:val="90"/>
          <w:sz w:val="21"/>
          <w:vertAlign w:val="baseline"/>
        </w:rPr>
        <w:t>月 ， 有信堂高文社 ， 頁</w:t>
      </w:r>
      <w:r>
        <w:rPr>
          <w:rFonts w:ascii="Times New Roman" w:eastAsia="Times New Roman"/>
          <w:w w:val="90"/>
          <w:sz w:val="26"/>
          <w:vertAlign w:val="baseline"/>
        </w:rPr>
        <w:t>179-180</w:t>
      </w:r>
      <w:r>
        <w:rPr>
          <w:rFonts w:ascii="Times New Roman" w:eastAsia="Times New Roman"/>
          <w:spacing w:val="16"/>
          <w:w w:val="90"/>
          <w:sz w:val="26"/>
          <w:vertAlign w:val="baseline"/>
        </w:rPr>
        <w:t> </w:t>
      </w:r>
      <w:r>
        <w:rPr>
          <w:w w:val="90"/>
          <w:sz w:val="21"/>
          <w:vertAlign w:val="baseline"/>
        </w:rPr>
        <w:t>。</w:t>
      </w:r>
    </w:p>
    <w:p>
      <w:pPr>
        <w:spacing w:line="294" w:lineRule="exact" w:before="0"/>
        <w:ind w:left="298" w:right="0" w:firstLine="0"/>
        <w:jc w:val="left"/>
        <w:rPr>
          <w:sz w:val="21"/>
        </w:rPr>
      </w:pPr>
      <w:r>
        <w:rPr>
          <w:rFonts w:ascii="Times New Roman" w:eastAsia="Times New Roman"/>
          <w:w w:val="90"/>
          <w:position w:val="7"/>
          <w:sz w:val="13"/>
        </w:rPr>
        <w:t>181</w:t>
      </w:r>
      <w:r>
        <w:rPr>
          <w:rFonts w:ascii="Times New Roman" w:eastAsia="Times New Roman"/>
          <w:spacing w:val="50"/>
          <w:position w:val="7"/>
          <w:sz w:val="13"/>
        </w:rPr>
        <w:t>  </w:t>
      </w:r>
      <w:r>
        <w:rPr>
          <w:spacing w:val="5"/>
          <w:w w:val="90"/>
          <w:sz w:val="21"/>
        </w:rPr>
        <w:t>南博 方</w:t>
      </w:r>
      <w:r>
        <w:rPr>
          <w:w w:val="90"/>
          <w:sz w:val="21"/>
        </w:rPr>
        <w:t>＝</w:t>
      </w:r>
      <w:r>
        <w:rPr>
          <w:spacing w:val="-3"/>
          <w:w w:val="90"/>
          <w:sz w:val="21"/>
        </w:rPr>
        <w:t> 高橋 滋 編 ， 茶解行政事件訴訟法 ， </w:t>
      </w:r>
      <w:r>
        <w:rPr>
          <w:rFonts w:ascii="Times New Roman" w:eastAsia="Times New Roman"/>
          <w:w w:val="90"/>
          <w:sz w:val="26"/>
        </w:rPr>
        <w:t>3</w:t>
      </w:r>
      <w:r>
        <w:rPr>
          <w:rFonts w:ascii="Times New Roman" w:eastAsia="Times New Roman"/>
          <w:spacing w:val="2"/>
          <w:w w:val="90"/>
          <w:sz w:val="26"/>
        </w:rPr>
        <w:t> </w:t>
      </w:r>
      <w:r>
        <w:rPr>
          <w:spacing w:val="12"/>
          <w:w w:val="90"/>
          <w:sz w:val="21"/>
        </w:rPr>
        <w:t>版 ，</w:t>
      </w:r>
      <w:r>
        <w:rPr>
          <w:rFonts w:ascii="Times New Roman" w:eastAsia="Times New Roman"/>
          <w:w w:val="90"/>
          <w:sz w:val="26"/>
        </w:rPr>
        <w:t>2006</w:t>
      </w:r>
      <w:r>
        <w:rPr>
          <w:rFonts w:ascii="Times New Roman" w:eastAsia="Times New Roman"/>
          <w:spacing w:val="79"/>
          <w:sz w:val="26"/>
        </w:rPr>
        <w:t> </w:t>
      </w:r>
      <w:r>
        <w:rPr>
          <w:spacing w:val="-9"/>
          <w:w w:val="90"/>
          <w:sz w:val="21"/>
        </w:rPr>
        <w:t>年 </w:t>
      </w:r>
      <w:r>
        <w:rPr>
          <w:rFonts w:ascii="Times New Roman" w:eastAsia="Times New Roman"/>
          <w:w w:val="90"/>
          <w:sz w:val="26"/>
        </w:rPr>
        <w:t>5</w:t>
      </w:r>
      <w:r>
        <w:rPr>
          <w:rFonts w:ascii="Times New Roman" w:eastAsia="Times New Roman"/>
          <w:spacing w:val="37"/>
          <w:w w:val="90"/>
          <w:sz w:val="26"/>
        </w:rPr>
        <w:t> </w:t>
      </w:r>
      <w:r>
        <w:rPr>
          <w:spacing w:val="8"/>
          <w:w w:val="90"/>
          <w:sz w:val="21"/>
        </w:rPr>
        <w:t>月 </w:t>
      </w:r>
      <w:r>
        <w:rPr>
          <w:rFonts w:ascii="Times New Roman" w:eastAsia="Times New Roman"/>
          <w:w w:val="90"/>
          <w:sz w:val="26"/>
        </w:rPr>
        <w:t>30</w:t>
      </w:r>
      <w:r>
        <w:rPr>
          <w:rFonts w:ascii="Times New Roman" w:eastAsia="Times New Roman"/>
          <w:spacing w:val="24"/>
          <w:w w:val="90"/>
          <w:sz w:val="26"/>
        </w:rPr>
        <w:t> </w:t>
      </w:r>
      <w:r>
        <w:rPr>
          <w:spacing w:val="-4"/>
          <w:w w:val="90"/>
          <w:sz w:val="21"/>
        </w:rPr>
        <w:t>日 ， 弘文堂 ， 頁</w:t>
      </w:r>
    </w:p>
    <w:p>
      <w:pPr>
        <w:spacing w:line="307" w:lineRule="exact" w:before="0"/>
        <w:ind w:left="488" w:right="0" w:firstLine="0"/>
        <w:jc w:val="left"/>
        <w:rPr>
          <w:sz w:val="21"/>
        </w:rPr>
      </w:pPr>
      <w:r>
        <w:rPr>
          <w:rFonts w:ascii="Times New Roman" w:eastAsia="Times New Roman"/>
          <w:w w:val="95"/>
          <w:sz w:val="26"/>
        </w:rPr>
        <w:t>611-612</w:t>
      </w:r>
      <w:r>
        <w:rPr>
          <w:rFonts w:ascii="Times New Roman" w:eastAsia="Times New Roman"/>
          <w:spacing w:val="47"/>
          <w:w w:val="95"/>
          <w:sz w:val="26"/>
        </w:rPr>
        <w:t> </w:t>
      </w:r>
      <w:r>
        <w:rPr>
          <w:spacing w:val="20"/>
          <w:w w:val="95"/>
          <w:sz w:val="21"/>
        </w:rPr>
        <w:t>( 間史恵 執筆</w:t>
      </w:r>
      <w:r>
        <w:rPr>
          <w:w w:val="95"/>
          <w:sz w:val="21"/>
        </w:rPr>
        <w:t>）</w:t>
      </w:r>
      <w:r>
        <w:rPr>
          <w:spacing w:val="14"/>
          <w:w w:val="95"/>
          <w:sz w:val="21"/>
        </w:rPr>
        <w:t>。室井力</w:t>
      </w:r>
      <w:r>
        <w:rPr>
          <w:spacing w:val="17"/>
          <w:w w:val="95"/>
          <w:sz w:val="21"/>
        </w:rPr>
        <w:t>＝</w:t>
      </w:r>
      <w:r>
        <w:rPr>
          <w:spacing w:val="2"/>
          <w:w w:val="95"/>
          <w:sz w:val="21"/>
        </w:rPr>
        <w:t>芝池義 一</w:t>
      </w:r>
      <w:r>
        <w:rPr>
          <w:spacing w:val="25"/>
          <w:w w:val="95"/>
          <w:sz w:val="21"/>
        </w:rPr>
        <w:t>＝</w:t>
      </w:r>
      <w:r>
        <w:rPr>
          <w:spacing w:val="6"/>
          <w:w w:val="95"/>
          <w:sz w:val="21"/>
        </w:rPr>
        <w:t>浜川清 編 ， </w:t>
      </w:r>
      <w:r>
        <w:rPr>
          <w:rFonts w:ascii="Arial" w:eastAsia="Arial"/>
          <w:w w:val="95"/>
          <w:sz w:val="16"/>
        </w:rPr>
        <w:t>3</w:t>
      </w:r>
      <w:r>
        <w:rPr>
          <w:rFonts w:ascii="Arial" w:eastAsia="Arial"/>
          <w:spacing w:val="109"/>
          <w:sz w:val="16"/>
        </w:rPr>
        <w:t> </w:t>
      </w:r>
      <w:r>
        <w:rPr>
          <w:w w:val="95"/>
          <w:sz w:val="19"/>
        </w:rPr>
        <w:t>、</w:t>
      </w:r>
      <w:r>
        <w:rPr>
          <w:rFonts w:ascii="Arial" w:eastAsia="Arial"/>
          <w:w w:val="95"/>
          <w:sz w:val="27"/>
        </w:rPr>
        <w:t>./</w:t>
      </w:r>
      <w:r>
        <w:rPr>
          <w:rFonts w:ascii="Arial" w:eastAsia="Arial"/>
          <w:spacing w:val="42"/>
          <w:w w:val="95"/>
          <w:sz w:val="27"/>
        </w:rPr>
        <w:t> </w:t>
      </w:r>
      <w:r>
        <w:rPr>
          <w:rFonts w:ascii="Arial" w:eastAsia="Arial"/>
          <w:w w:val="95"/>
          <w:sz w:val="27"/>
        </w:rPr>
        <w:t>x</w:t>
      </w:r>
      <w:r>
        <w:rPr>
          <w:spacing w:val="-87"/>
          <w:w w:val="95"/>
          <w:sz w:val="19"/>
        </w:rPr>
        <w:t>、</w:t>
      </w:r>
      <w:r>
        <w:rPr>
          <w:w w:val="95"/>
          <w:sz w:val="19"/>
        </w:rPr>
        <w:t>./</w:t>
      </w:r>
      <w:r>
        <w:rPr>
          <w:spacing w:val="-8"/>
          <w:w w:val="95"/>
          <w:sz w:val="19"/>
        </w:rPr>
        <w:t> 夕一 」</w:t>
      </w:r>
      <w:r>
        <w:rPr>
          <w:rFonts w:ascii="Arial" w:eastAsia="Arial"/>
          <w:spacing w:val="14"/>
          <w:w w:val="95"/>
          <w:sz w:val="21"/>
        </w:rPr>
        <w:t>L</w:t>
      </w:r>
      <w:r>
        <w:rPr>
          <w:spacing w:val="12"/>
          <w:w w:val="95"/>
          <w:sz w:val="21"/>
        </w:rPr>
        <w:t>行政法</w:t>
      </w:r>
    </w:p>
    <w:p>
      <w:pPr>
        <w:spacing w:before="15"/>
        <w:ind w:left="527" w:right="0" w:firstLine="0"/>
        <w:jc w:val="left"/>
        <w:rPr>
          <w:rFonts w:ascii="Times New Roman" w:hAnsi="Times New Roman" w:eastAsia="Times New Roman"/>
          <w:sz w:val="26"/>
        </w:rPr>
      </w:pPr>
      <w:r>
        <w:rPr>
          <w:rFonts w:ascii="Times New Roman" w:hAnsi="Times New Roman" w:eastAsia="Times New Roman"/>
          <w:w w:val="90"/>
          <w:sz w:val="24"/>
        </w:rPr>
        <w:t>II</w:t>
      </w:r>
      <w:r>
        <w:rPr>
          <w:rFonts w:ascii="Times New Roman" w:hAnsi="Times New Roman" w:eastAsia="Times New Roman"/>
          <w:spacing w:val="-24"/>
          <w:w w:val="90"/>
          <w:sz w:val="24"/>
        </w:rPr>
        <w:t> </w:t>
      </w:r>
      <w:r>
        <w:rPr>
          <w:spacing w:val="3"/>
          <w:w w:val="90"/>
          <w:sz w:val="21"/>
        </w:rPr>
        <w:t>— 行 政事件訴訟法</w:t>
      </w:r>
      <w:r>
        <w:rPr>
          <w:spacing w:val="13"/>
          <w:w w:val="90"/>
          <w:sz w:val="21"/>
        </w:rPr>
        <w:t>·</w:t>
      </w:r>
      <w:r>
        <w:rPr>
          <w:spacing w:val="9"/>
          <w:w w:val="90"/>
          <w:sz w:val="21"/>
        </w:rPr>
        <w:t>囯家賠償法 ，</w:t>
      </w:r>
      <w:r>
        <w:rPr>
          <w:rFonts w:ascii="Times New Roman" w:hAnsi="Times New Roman" w:eastAsia="Times New Roman"/>
          <w:w w:val="90"/>
          <w:sz w:val="26"/>
        </w:rPr>
        <w:t>2</w:t>
      </w:r>
      <w:r>
        <w:rPr>
          <w:rFonts w:ascii="Times New Roman" w:hAnsi="Times New Roman" w:eastAsia="Times New Roman"/>
          <w:spacing w:val="12"/>
          <w:w w:val="90"/>
          <w:sz w:val="26"/>
        </w:rPr>
        <w:t> </w:t>
      </w:r>
      <w:r>
        <w:rPr>
          <w:spacing w:val="17"/>
          <w:w w:val="90"/>
          <w:sz w:val="21"/>
        </w:rPr>
        <w:t>版 ，</w:t>
      </w:r>
      <w:r>
        <w:rPr>
          <w:rFonts w:ascii="Times New Roman" w:hAnsi="Times New Roman" w:eastAsia="Times New Roman"/>
          <w:w w:val="90"/>
          <w:sz w:val="26"/>
        </w:rPr>
        <w:t>2006</w:t>
      </w:r>
      <w:r>
        <w:rPr>
          <w:rFonts w:ascii="Times New Roman" w:hAnsi="Times New Roman" w:eastAsia="Times New Roman"/>
          <w:spacing w:val="68"/>
          <w:sz w:val="26"/>
        </w:rPr>
        <w:t> </w:t>
      </w:r>
      <w:r>
        <w:rPr>
          <w:spacing w:val="-16"/>
          <w:w w:val="90"/>
          <w:sz w:val="21"/>
        </w:rPr>
        <w:t>年 </w:t>
      </w:r>
      <w:r>
        <w:rPr>
          <w:rFonts w:ascii="Times New Roman" w:hAnsi="Times New Roman" w:eastAsia="Times New Roman"/>
          <w:w w:val="90"/>
          <w:sz w:val="26"/>
        </w:rPr>
        <w:t>11</w:t>
      </w:r>
      <w:r>
        <w:rPr>
          <w:rFonts w:ascii="Times New Roman" w:hAnsi="Times New Roman" w:eastAsia="Times New Roman"/>
          <w:spacing w:val="28"/>
          <w:w w:val="90"/>
          <w:sz w:val="26"/>
        </w:rPr>
        <w:t> </w:t>
      </w:r>
      <w:r>
        <w:rPr>
          <w:spacing w:val="-3"/>
          <w:w w:val="90"/>
          <w:sz w:val="21"/>
        </w:rPr>
        <w:t>月 </w:t>
      </w:r>
      <w:r>
        <w:rPr>
          <w:rFonts w:ascii="Times New Roman" w:hAnsi="Times New Roman" w:eastAsia="Times New Roman"/>
          <w:w w:val="90"/>
          <w:sz w:val="26"/>
        </w:rPr>
        <w:t>10</w:t>
      </w:r>
      <w:r>
        <w:rPr>
          <w:rFonts w:ascii="Times New Roman" w:hAnsi="Times New Roman" w:eastAsia="Times New Roman"/>
          <w:spacing w:val="41"/>
          <w:w w:val="90"/>
          <w:sz w:val="26"/>
        </w:rPr>
        <w:t> </w:t>
      </w:r>
      <w:r>
        <w:rPr>
          <w:spacing w:val="-2"/>
          <w:w w:val="90"/>
          <w:sz w:val="21"/>
        </w:rPr>
        <w:t>日 ，日本 評 論 社 ， 頁 </w:t>
      </w:r>
      <w:r>
        <w:rPr>
          <w:rFonts w:ascii="Times New Roman" w:hAnsi="Times New Roman" w:eastAsia="Times New Roman"/>
          <w:w w:val="90"/>
          <w:sz w:val="26"/>
        </w:rPr>
        <w:t>396</w:t>
      </w:r>
    </w:p>
    <w:p>
      <w:pPr>
        <w:spacing w:before="43"/>
        <w:ind w:left="583" w:right="0" w:firstLine="0"/>
        <w:jc w:val="left"/>
        <w:rPr>
          <w:sz w:val="21"/>
        </w:rPr>
      </w:pPr>
      <w:r>
        <w:rPr>
          <w:w w:val="105"/>
          <w:sz w:val="21"/>
        </w:rPr>
        <w:t>（深澤龍一郎執筆）。</w:t>
      </w:r>
    </w:p>
    <w:p>
      <w:pPr>
        <w:spacing w:after="0"/>
        <w:jc w:val="left"/>
        <w:rPr>
          <w:sz w:val="21"/>
        </w:rPr>
        <w:sectPr>
          <w:pgSz w:w="11910" w:h="16840"/>
          <w:pgMar w:header="862" w:footer="1017" w:top="1060" w:bottom="1200" w:left="1120" w:right="1060"/>
        </w:sectPr>
      </w:pPr>
    </w:p>
    <w:p>
      <w:pPr>
        <w:pStyle w:val="BodyText"/>
        <w:spacing w:before="8"/>
        <w:rPr>
          <w:sz w:val="29"/>
        </w:rPr>
      </w:pPr>
    </w:p>
    <w:p>
      <w:pPr>
        <w:spacing w:line="345" w:lineRule="auto" w:before="67"/>
        <w:ind w:left="307" w:right="486" w:firstLine="8"/>
        <w:jc w:val="both"/>
        <w:rPr>
          <w:sz w:val="24"/>
        </w:rPr>
      </w:pPr>
      <w:r>
        <w:rPr>
          <w:w w:val="115"/>
          <w:sz w:val="24"/>
        </w:rPr>
        <w:t>迄今如德國法上，不僅得以撤銷競爭對手已經獲任的職位，更且尚得以課予義務訴訟，訴請用人機關賦予原告得任該職位，此類情形在日本，目前實難以想像，且實務上幾無案例存在。</w:t>
      </w:r>
    </w:p>
    <w:p>
      <w:pPr>
        <w:spacing w:line="301" w:lineRule="exact" w:before="0"/>
        <w:ind w:left="862" w:right="0" w:firstLine="0"/>
        <w:jc w:val="left"/>
        <w:rPr>
          <w:sz w:val="24"/>
        </w:rPr>
      </w:pPr>
      <w:r>
        <w:rPr>
          <w:w w:val="115"/>
          <w:sz w:val="24"/>
        </w:rPr>
        <w:t>以下，將日本迄今有關公務員陞遷之代表性訴訟案例整理如下。</w:t>
      </w:r>
    </w:p>
    <w:p>
      <w:pPr>
        <w:spacing w:before="211"/>
        <w:ind w:left="0" w:right="326" w:firstLine="0"/>
        <w:jc w:val="center"/>
        <w:rPr>
          <w:rFonts w:ascii="Times New Roman" w:eastAsia="Times New Roman"/>
          <w:sz w:val="14"/>
        </w:rPr>
      </w:pPr>
      <w:r>
        <w:rPr>
          <w:spacing w:val="19"/>
          <w:w w:val="95"/>
          <w:sz w:val="24"/>
        </w:rPr>
        <w:t>（</w:t>
      </w:r>
      <w:r>
        <w:rPr>
          <w:spacing w:val="37"/>
          <w:w w:val="95"/>
          <w:sz w:val="24"/>
        </w:rPr>
        <w:t>一</w:t>
      </w:r>
      <w:r>
        <w:rPr>
          <w:w w:val="95"/>
          <w:sz w:val="24"/>
        </w:rPr>
        <w:t>）</w:t>
      </w:r>
      <w:r>
        <w:rPr>
          <w:spacing w:val="6"/>
          <w:w w:val="95"/>
          <w:sz w:val="24"/>
        </w:rPr>
        <w:t> 日本鹿兒 島鎮 不予錄用處 分撤銷 案</w:t>
      </w:r>
      <w:r>
        <w:rPr>
          <w:rFonts w:ascii="Times New Roman" w:eastAsia="Times New Roman"/>
          <w:w w:val="85"/>
          <w:sz w:val="14"/>
        </w:rPr>
        <w:t>1</w:t>
      </w:r>
      <w:r>
        <w:rPr>
          <w:rFonts w:ascii="Times New Roman" w:eastAsia="Times New Roman"/>
          <w:spacing w:val="6"/>
          <w:w w:val="85"/>
          <w:sz w:val="14"/>
        </w:rPr>
        <w:t> </w:t>
      </w:r>
      <w:r>
        <w:rPr>
          <w:rFonts w:ascii="Times New Roman" w:eastAsia="Times New Roman"/>
          <w:w w:val="85"/>
          <w:sz w:val="14"/>
        </w:rPr>
        <w:t>82</w:t>
      </w:r>
    </w:p>
    <w:p>
      <w:pPr>
        <w:pStyle w:val="BodyText"/>
        <w:rPr>
          <w:rFonts w:ascii="Times New Roman"/>
          <w:sz w:val="20"/>
        </w:rPr>
      </w:pPr>
    </w:p>
    <w:p>
      <w:pPr>
        <w:pStyle w:val="ListParagraph"/>
        <w:numPr>
          <w:ilvl w:val="0"/>
          <w:numId w:val="10"/>
        </w:numPr>
        <w:tabs>
          <w:tab w:pos="1278" w:val="left" w:leader="none"/>
          <w:tab w:pos="1279" w:val="left" w:leader="none"/>
        </w:tabs>
        <w:spacing w:line="240" w:lineRule="auto" w:before="203" w:after="0"/>
        <w:ind w:left="1278" w:right="0" w:hanging="501"/>
        <w:jc w:val="left"/>
        <w:rPr>
          <w:sz w:val="24"/>
        </w:rPr>
      </w:pPr>
      <w:r>
        <w:rPr>
          <w:w w:val="110"/>
          <w:sz w:val="24"/>
        </w:rPr>
        <w:t>事實概要</w:t>
      </w:r>
    </w:p>
    <w:p>
      <w:pPr>
        <w:pStyle w:val="BodyText"/>
        <w:spacing w:before="4"/>
        <w:rPr>
          <w:sz w:val="17"/>
        </w:rPr>
      </w:pPr>
    </w:p>
    <w:p>
      <w:pPr>
        <w:spacing w:line="345" w:lineRule="auto" w:before="67"/>
        <w:ind w:left="303" w:right="499" w:firstLine="565"/>
        <w:jc w:val="both"/>
        <w:rPr>
          <w:sz w:val="24"/>
        </w:rPr>
      </w:pPr>
      <w:r>
        <w:rPr>
          <w:w w:val="110"/>
          <w:sz w:val="24"/>
        </w:rPr>
        <w:t>本件訴訟，係因日本鹿兒島鎮長（鹿兕島町長）就職員的不予錄用（不</w:t>
      </w:r>
      <w:r>
        <w:rPr>
          <w:w w:val="115"/>
          <w:sz w:val="24"/>
        </w:rPr>
        <w:t>採用），原告主張其既已予以錄用，而認為該不予錄用處分具有重大明顯瑕疵，又其預備不予錄用的裁量権係屬違法，遂訴請翦認其職員之地位，</w:t>
      </w:r>
      <w:r>
        <w:rPr>
          <w:spacing w:val="-136"/>
          <w:w w:val="115"/>
          <w:sz w:val="24"/>
        </w:rPr>
        <w:t> </w:t>
      </w:r>
      <w:r>
        <w:rPr>
          <w:w w:val="115"/>
          <w:sz w:val="24"/>
        </w:rPr>
        <w:t>請求撒銷係爭不予錄用處分。</w:t>
      </w:r>
    </w:p>
    <w:p>
      <w:pPr>
        <w:pStyle w:val="ListParagraph"/>
        <w:numPr>
          <w:ilvl w:val="0"/>
          <w:numId w:val="10"/>
        </w:numPr>
        <w:tabs>
          <w:tab w:pos="1277" w:val="left" w:leader="none"/>
          <w:tab w:pos="1278" w:val="left" w:leader="none"/>
        </w:tabs>
        <w:spacing w:line="240" w:lineRule="auto" w:before="89" w:after="0"/>
        <w:ind w:left="1277" w:right="0" w:hanging="500"/>
        <w:jc w:val="left"/>
        <w:rPr>
          <w:sz w:val="24"/>
        </w:rPr>
      </w:pPr>
      <w:r>
        <w:rPr>
          <w:w w:val="115"/>
          <w:sz w:val="24"/>
        </w:rPr>
        <w:t>法院判斷</w:t>
      </w:r>
    </w:p>
    <w:p>
      <w:pPr>
        <w:pStyle w:val="BodyText"/>
        <w:spacing w:before="1"/>
        <w:rPr>
          <w:sz w:val="18"/>
        </w:rPr>
      </w:pPr>
    </w:p>
    <w:p>
      <w:pPr>
        <w:spacing w:line="340" w:lineRule="auto" w:before="67"/>
        <w:ind w:left="303" w:right="500" w:firstLine="557"/>
        <w:jc w:val="left"/>
        <w:rPr>
          <w:sz w:val="24"/>
        </w:rPr>
      </w:pPr>
      <w:r>
        <w:rPr>
          <w:w w:val="115"/>
          <w:sz w:val="24"/>
        </w:rPr>
        <w:t>錄用職員時，任命権人的裁量權已經相噹明璀，則不容許其恣意作成錄用與否的決定。任命權人當然有為國民乃至於地方自治圍體居民的利</w:t>
      </w:r>
      <w:r>
        <w:rPr>
          <w:spacing w:val="1"/>
          <w:w w:val="115"/>
          <w:sz w:val="24"/>
        </w:rPr>
        <w:t> </w:t>
      </w:r>
      <w:r>
        <w:rPr>
          <w:w w:val="115"/>
          <w:sz w:val="24"/>
        </w:rPr>
        <w:t>益，負有基於考試成績及其他能力實證，而選擇錄用有能力人才的責任與</w:t>
      </w:r>
    </w:p>
    <w:p>
      <w:pPr>
        <w:tabs>
          <w:tab w:pos="5040" w:val="left" w:leader="none"/>
        </w:tabs>
        <w:spacing w:line="319" w:lineRule="exact" w:before="0"/>
        <w:ind w:left="324" w:right="0" w:firstLine="0"/>
        <w:jc w:val="left"/>
        <w:rPr>
          <w:sz w:val="24"/>
        </w:rPr>
      </w:pPr>
      <w:r>
        <w:rPr>
          <w:w w:val="96"/>
          <w:sz w:val="24"/>
        </w:rPr>
        <w:t>義務</w:t>
      </w:r>
      <w:r>
        <w:rPr>
          <w:spacing w:val="28"/>
          <w:sz w:val="24"/>
        </w:rPr>
        <w:t> </w:t>
      </w:r>
      <w:r>
        <w:rPr>
          <w:w w:val="96"/>
          <w:sz w:val="24"/>
        </w:rPr>
        <w:t>。</w:t>
      </w:r>
      <w:r>
        <w:rPr>
          <w:spacing w:val="37"/>
          <w:w w:val="96"/>
          <w:sz w:val="24"/>
        </w:rPr>
        <w:t>所</w:t>
      </w:r>
      <w:r>
        <w:rPr>
          <w:spacing w:val="29"/>
          <w:w w:val="103"/>
          <w:sz w:val="24"/>
        </w:rPr>
        <w:t>謂</w:t>
      </w:r>
      <w:r>
        <w:rPr>
          <w:spacing w:val="22"/>
          <w:w w:val="110"/>
          <w:sz w:val="24"/>
        </w:rPr>
        <w:t>的</w:t>
      </w:r>
      <w:r>
        <w:rPr>
          <w:spacing w:val="16"/>
          <w:w w:val="109"/>
          <w:sz w:val="24"/>
        </w:rPr>
        <w:t>成</w:t>
      </w:r>
      <w:r>
        <w:rPr>
          <w:spacing w:val="28"/>
          <w:w w:val="110"/>
          <w:sz w:val="24"/>
        </w:rPr>
        <w:t>績</w:t>
      </w:r>
      <w:r>
        <w:rPr>
          <w:spacing w:val="42"/>
          <w:w w:val="100"/>
          <w:sz w:val="24"/>
        </w:rPr>
        <w:t>主</w:t>
      </w:r>
      <w:r>
        <w:rPr>
          <w:w w:val="96"/>
          <w:sz w:val="24"/>
        </w:rPr>
        <w:t>義</w:t>
      </w:r>
      <w:r>
        <w:rPr>
          <w:spacing w:val="34"/>
          <w:sz w:val="24"/>
        </w:rPr>
        <w:t> </w:t>
      </w:r>
      <w:r>
        <w:rPr>
          <w:rFonts w:ascii="Times New Roman" w:eastAsia="Times New Roman"/>
          <w:w w:val="96"/>
          <w:sz w:val="28"/>
        </w:rPr>
        <w:t>(</w:t>
      </w:r>
      <w:r>
        <w:rPr>
          <w:rFonts w:ascii="Times New Roman" w:eastAsia="Times New Roman"/>
          <w:spacing w:val="-15"/>
          <w:w w:val="96"/>
          <w:sz w:val="28"/>
        </w:rPr>
        <w:t>m</w:t>
      </w:r>
      <w:r>
        <w:rPr>
          <w:rFonts w:ascii="Times New Roman" w:eastAsia="Times New Roman"/>
          <w:spacing w:val="15"/>
          <w:w w:val="106"/>
          <w:sz w:val="28"/>
        </w:rPr>
        <w:t>e</w:t>
      </w:r>
      <w:r>
        <w:rPr>
          <w:rFonts w:ascii="Times New Roman" w:eastAsia="Times New Roman"/>
          <w:w w:val="106"/>
          <w:sz w:val="28"/>
        </w:rPr>
        <w:t>r</w:t>
      </w:r>
      <w:r>
        <w:rPr>
          <w:rFonts w:ascii="Times New Roman" w:eastAsia="Times New Roman"/>
          <w:spacing w:val="-12"/>
          <w:sz w:val="28"/>
        </w:rPr>
        <w:t> </w:t>
      </w:r>
      <w:r>
        <w:rPr>
          <w:rFonts w:ascii="Times New Roman" w:eastAsia="Times New Roman"/>
          <w:w w:val="106"/>
          <w:sz w:val="28"/>
        </w:rPr>
        <w:t>i</w:t>
      </w:r>
      <w:r>
        <w:rPr>
          <w:rFonts w:ascii="Times New Roman" w:eastAsia="Times New Roman"/>
          <w:spacing w:val="-22"/>
          <w:sz w:val="28"/>
        </w:rPr>
        <w:t> </w:t>
      </w:r>
      <w:r>
        <w:rPr>
          <w:rFonts w:ascii="Times New Roman" w:eastAsia="Times New Roman"/>
          <w:w w:val="106"/>
          <w:sz w:val="28"/>
        </w:rPr>
        <w:t>t</w:t>
      </w:r>
      <w:r>
        <w:rPr>
          <w:rFonts w:ascii="Times New Roman" w:eastAsia="Times New Roman"/>
          <w:sz w:val="28"/>
        </w:rPr>
        <w:t> </w:t>
      </w:r>
      <w:r>
        <w:rPr>
          <w:rFonts w:ascii="Times New Roman" w:eastAsia="Times New Roman"/>
          <w:spacing w:val="-27"/>
          <w:sz w:val="28"/>
        </w:rPr>
        <w:t> </w:t>
      </w:r>
      <w:r>
        <w:rPr>
          <w:rFonts w:ascii="Times New Roman" w:eastAsia="Times New Roman"/>
          <w:spacing w:val="31"/>
          <w:w w:val="106"/>
          <w:sz w:val="28"/>
        </w:rPr>
        <w:t>s</w:t>
      </w:r>
      <w:r>
        <w:rPr>
          <w:rFonts w:ascii="Times New Roman" w:eastAsia="Times New Roman"/>
          <w:w w:val="89"/>
          <w:sz w:val="28"/>
        </w:rPr>
        <w:t>ys</w:t>
      </w:r>
      <w:r>
        <w:rPr>
          <w:rFonts w:ascii="Times New Roman" w:eastAsia="Times New Roman"/>
          <w:spacing w:val="-5"/>
          <w:sz w:val="28"/>
        </w:rPr>
        <w:t> </w:t>
      </w:r>
      <w:r>
        <w:rPr>
          <w:rFonts w:ascii="Times New Roman" w:eastAsia="Times New Roman"/>
          <w:w w:val="89"/>
          <w:sz w:val="28"/>
        </w:rPr>
        <w:t>t</w:t>
      </w:r>
      <w:r>
        <w:rPr>
          <w:rFonts w:ascii="Times New Roman" w:eastAsia="Times New Roman"/>
          <w:spacing w:val="-30"/>
          <w:sz w:val="28"/>
        </w:rPr>
        <w:t> </w:t>
      </w:r>
      <w:r>
        <w:rPr>
          <w:rFonts w:ascii="Times New Roman" w:eastAsia="Times New Roman"/>
          <w:spacing w:val="-210"/>
          <w:w w:val="106"/>
          <w:sz w:val="28"/>
        </w:rPr>
        <w:t>m</w:t>
      </w:r>
      <w:r>
        <w:rPr>
          <w:rFonts w:ascii="Times New Roman" w:eastAsia="Times New Roman"/>
          <w:w w:val="89"/>
          <w:sz w:val="28"/>
        </w:rPr>
        <w:t>e</w:t>
      </w:r>
      <w:r>
        <w:rPr>
          <w:rFonts w:ascii="Times New Roman" w:eastAsia="Times New Roman"/>
          <w:sz w:val="28"/>
        </w:rPr>
        <w:tab/>
      </w:r>
      <w:r>
        <w:rPr>
          <w:rFonts w:ascii="Times New Roman" w:eastAsia="Times New Roman"/>
          <w:w w:val="106"/>
          <w:sz w:val="28"/>
        </w:rPr>
        <w:t>)</w:t>
      </w:r>
      <w:r>
        <w:rPr>
          <w:rFonts w:ascii="Times New Roman" w:eastAsia="Times New Roman"/>
          <w:sz w:val="28"/>
        </w:rPr>
        <w:t> </w:t>
      </w:r>
      <w:r>
        <w:rPr>
          <w:rFonts w:ascii="Times New Roman" w:eastAsia="Times New Roman"/>
          <w:spacing w:val="14"/>
          <w:sz w:val="28"/>
        </w:rPr>
        <w:t> </w:t>
      </w:r>
      <w:r>
        <w:rPr>
          <w:spacing w:val="22"/>
          <w:w w:val="102"/>
          <w:sz w:val="24"/>
        </w:rPr>
        <w:t>或</w:t>
      </w:r>
      <w:r>
        <w:rPr>
          <w:spacing w:val="44"/>
          <w:w w:val="102"/>
          <w:sz w:val="24"/>
        </w:rPr>
        <w:t>能</w:t>
      </w:r>
      <w:r>
        <w:rPr>
          <w:spacing w:val="59"/>
          <w:w w:val="96"/>
          <w:sz w:val="24"/>
        </w:rPr>
        <w:t>力</w:t>
      </w:r>
      <w:r>
        <w:rPr>
          <w:spacing w:val="42"/>
          <w:w w:val="98"/>
          <w:sz w:val="24"/>
        </w:rPr>
        <w:t>主</w:t>
      </w:r>
      <w:r>
        <w:rPr>
          <w:w w:val="96"/>
          <w:sz w:val="24"/>
        </w:rPr>
        <w:t>義原</w:t>
      </w:r>
      <w:r>
        <w:rPr>
          <w:spacing w:val="-32"/>
          <w:sz w:val="24"/>
        </w:rPr>
        <w:t> </w:t>
      </w:r>
      <w:r>
        <w:rPr>
          <w:w w:val="103"/>
          <w:sz w:val="24"/>
        </w:rPr>
        <w:t>則</w:t>
      </w:r>
      <w:r>
        <w:rPr>
          <w:spacing w:val="-7"/>
          <w:sz w:val="24"/>
        </w:rPr>
        <w:t> </w:t>
      </w:r>
      <w:r>
        <w:rPr>
          <w:w w:val="65"/>
          <w:sz w:val="24"/>
        </w:rPr>
        <w:t>，</w:t>
      </w:r>
      <w:r>
        <w:rPr>
          <w:spacing w:val="-69"/>
          <w:sz w:val="24"/>
        </w:rPr>
        <w:t> </w:t>
      </w:r>
      <w:r>
        <w:rPr>
          <w:spacing w:val="52"/>
          <w:w w:val="95"/>
          <w:sz w:val="24"/>
        </w:rPr>
        <w:t>因</w:t>
      </w:r>
      <w:r>
        <w:rPr>
          <w:spacing w:val="20"/>
          <w:w w:val="105"/>
          <w:sz w:val="24"/>
        </w:rPr>
        <w:t>已</w:t>
      </w:r>
      <w:r>
        <w:rPr>
          <w:spacing w:val="34"/>
          <w:w w:val="105"/>
          <w:sz w:val="24"/>
        </w:rPr>
        <w:t>規</w:t>
      </w:r>
      <w:r>
        <w:rPr>
          <w:spacing w:val="6"/>
          <w:w w:val="108"/>
          <w:sz w:val="24"/>
        </w:rPr>
        <w:t>定</w:t>
      </w:r>
      <w:r>
        <w:rPr>
          <w:spacing w:val="39"/>
          <w:w w:val="108"/>
          <w:sz w:val="24"/>
        </w:rPr>
        <w:t>在</w:t>
      </w:r>
      <w:r>
        <w:rPr>
          <w:w w:val="93"/>
          <w:sz w:val="24"/>
        </w:rPr>
        <w:t>日</w:t>
      </w:r>
    </w:p>
    <w:p>
      <w:pPr>
        <w:spacing w:line="304" w:lineRule="auto" w:before="94"/>
        <w:ind w:left="312" w:right="488" w:hanging="6"/>
        <w:jc w:val="left"/>
        <w:rPr>
          <w:sz w:val="24"/>
        </w:rPr>
      </w:pPr>
      <w:r>
        <w:rPr>
          <w:spacing w:val="-4"/>
          <w:w w:val="95"/>
          <w:sz w:val="24"/>
        </w:rPr>
        <w:t>本 國 家公務員 法</w:t>
      </w:r>
      <w:r>
        <w:rPr>
          <w:w w:val="95"/>
          <w:sz w:val="24"/>
        </w:rPr>
        <w:t>（</w:t>
      </w:r>
      <w:r>
        <w:rPr>
          <w:spacing w:val="20"/>
          <w:w w:val="95"/>
          <w:sz w:val="24"/>
        </w:rPr>
        <w:t>下稱「國公法」</w:t>
      </w:r>
      <w:r>
        <w:rPr>
          <w:w w:val="95"/>
          <w:sz w:val="24"/>
        </w:rPr>
        <w:t>）</w:t>
      </w:r>
      <w:r>
        <w:rPr>
          <w:spacing w:val="-63"/>
          <w:w w:val="95"/>
          <w:sz w:val="24"/>
        </w:rPr>
        <w:t>第</w:t>
      </w:r>
      <w:r>
        <w:rPr>
          <w:rFonts w:ascii="Times New Roman" w:eastAsia="Times New Roman"/>
          <w:w w:val="95"/>
          <w:sz w:val="30"/>
        </w:rPr>
        <w:t>33</w:t>
      </w:r>
      <w:r>
        <w:rPr>
          <w:rFonts w:ascii="Times New Roman" w:eastAsia="Times New Roman"/>
          <w:spacing w:val="5"/>
          <w:w w:val="95"/>
          <w:sz w:val="30"/>
        </w:rPr>
        <w:t> </w:t>
      </w:r>
      <w:r>
        <w:rPr>
          <w:spacing w:val="-8"/>
          <w:w w:val="95"/>
          <w:sz w:val="24"/>
        </w:rPr>
        <w:t>條與 日 本 地 方公務 員 法第 </w:t>
      </w:r>
      <w:r>
        <w:rPr>
          <w:rFonts w:ascii="Times New Roman" w:eastAsia="Times New Roman"/>
          <w:w w:val="95"/>
          <w:sz w:val="30"/>
        </w:rPr>
        <w:t>15 </w:t>
      </w:r>
      <w:r>
        <w:rPr>
          <w:w w:val="95"/>
          <w:sz w:val="24"/>
        </w:rPr>
        <w:t>條 ，</w:t>
      </w:r>
      <w:r>
        <w:rPr>
          <w:spacing w:val="-111"/>
          <w:w w:val="95"/>
          <w:sz w:val="24"/>
        </w:rPr>
        <w:t> </w:t>
      </w:r>
      <w:r>
        <w:rPr>
          <w:spacing w:val="15"/>
          <w:sz w:val="24"/>
        </w:rPr>
        <w:t>法律並設有罰則以實現貫徹上開基準 。</w:t>
      </w:r>
      <w:r>
        <w:rPr>
          <w:spacing w:val="-153"/>
          <w:sz w:val="24"/>
        </w:rPr>
        <w:t>（</w:t>
      </w:r>
      <w:r>
        <w:rPr>
          <w:spacing w:val="-2"/>
          <w:sz w:val="24"/>
        </w:rPr>
        <w:t>國公 法第 </w:t>
      </w:r>
      <w:r>
        <w:rPr>
          <w:rFonts w:ascii="Times New Roman" w:eastAsia="Times New Roman"/>
          <w:sz w:val="30"/>
        </w:rPr>
        <w:t>110</w:t>
      </w:r>
      <w:r>
        <w:rPr>
          <w:rFonts w:ascii="Times New Roman" w:eastAsia="Times New Roman"/>
          <w:spacing w:val="9"/>
          <w:sz w:val="30"/>
        </w:rPr>
        <w:t> </w:t>
      </w:r>
      <w:r>
        <w:rPr>
          <w:spacing w:val="2"/>
          <w:sz w:val="24"/>
        </w:rPr>
        <w:t>條 第 </w:t>
      </w:r>
      <w:r>
        <w:rPr>
          <w:rFonts w:ascii="Times New Roman" w:eastAsia="Times New Roman"/>
          <w:sz w:val="30"/>
        </w:rPr>
        <w:t>l</w:t>
      </w:r>
      <w:r>
        <w:rPr>
          <w:rFonts w:ascii="Times New Roman" w:eastAsia="Times New Roman"/>
          <w:spacing w:val="45"/>
          <w:sz w:val="30"/>
        </w:rPr>
        <w:t> </w:t>
      </w:r>
      <w:r>
        <w:rPr>
          <w:spacing w:val="17"/>
          <w:sz w:val="24"/>
        </w:rPr>
        <w:t>項第 </w:t>
      </w:r>
      <w:r>
        <w:rPr>
          <w:rFonts w:ascii="Times New Roman" w:eastAsia="Times New Roman"/>
          <w:sz w:val="30"/>
        </w:rPr>
        <w:t>7</w:t>
      </w:r>
      <w:r>
        <w:rPr>
          <w:rFonts w:ascii="Times New Roman" w:eastAsia="Times New Roman"/>
          <w:spacing w:val="9"/>
          <w:sz w:val="30"/>
        </w:rPr>
        <w:t> </w:t>
      </w:r>
      <w:r>
        <w:rPr>
          <w:spacing w:val="-16"/>
          <w:sz w:val="24"/>
        </w:rPr>
        <w:t>款 與</w:t>
      </w:r>
      <w:r>
        <w:rPr>
          <w:w w:val="85"/>
          <w:sz w:val="24"/>
        </w:rPr>
        <w:t>地</w:t>
      </w:r>
      <w:r>
        <w:rPr>
          <w:spacing w:val="-27"/>
          <w:w w:val="85"/>
          <w:sz w:val="24"/>
        </w:rPr>
        <w:t> </w:t>
      </w:r>
      <w:r>
        <w:rPr>
          <w:spacing w:val="5"/>
          <w:w w:val="85"/>
          <w:sz w:val="24"/>
        </w:rPr>
        <w:t>公 法第 </w:t>
      </w:r>
      <w:r>
        <w:rPr>
          <w:rFonts w:ascii="Times New Roman" w:eastAsia="Times New Roman"/>
          <w:w w:val="85"/>
          <w:sz w:val="30"/>
        </w:rPr>
        <w:t>61</w:t>
      </w:r>
      <w:r>
        <w:rPr>
          <w:rFonts w:ascii="Times New Roman" w:eastAsia="Times New Roman"/>
          <w:spacing w:val="32"/>
          <w:w w:val="85"/>
          <w:sz w:val="30"/>
        </w:rPr>
        <w:t> </w:t>
      </w:r>
      <w:r>
        <w:rPr>
          <w:spacing w:val="-5"/>
          <w:w w:val="85"/>
          <w:sz w:val="24"/>
        </w:rPr>
        <w:t>條 第 </w:t>
      </w:r>
      <w:r>
        <w:rPr>
          <w:rFonts w:ascii="Times New Roman" w:eastAsia="Times New Roman"/>
          <w:w w:val="85"/>
          <w:sz w:val="30"/>
        </w:rPr>
        <w:t>2</w:t>
      </w:r>
      <w:r>
        <w:rPr>
          <w:rFonts w:ascii="Times New Roman" w:eastAsia="Times New Roman"/>
          <w:spacing w:val="22"/>
          <w:w w:val="85"/>
          <w:sz w:val="30"/>
        </w:rPr>
        <w:t> </w:t>
      </w:r>
      <w:r>
        <w:rPr>
          <w:spacing w:val="-2"/>
          <w:w w:val="85"/>
          <w:sz w:val="24"/>
        </w:rPr>
        <w:t>款 </w:t>
      </w:r>
      <w:r>
        <w:rPr>
          <w:w w:val="85"/>
          <w:sz w:val="24"/>
        </w:rPr>
        <w:t>）</w:t>
      </w:r>
    </w:p>
    <w:p>
      <w:pPr>
        <w:spacing w:line="345" w:lineRule="auto" w:before="35"/>
        <w:ind w:left="316" w:right="563" w:firstLine="550"/>
        <w:jc w:val="both"/>
        <w:rPr>
          <w:sz w:val="24"/>
        </w:rPr>
      </w:pPr>
      <w:r>
        <w:rPr>
          <w:w w:val="115"/>
          <w:sz w:val="24"/>
        </w:rPr>
        <w:t>從而，任命権人錄用職員時，未基於法律所要求的能力實證，或考慮其他情事，或有不正不噹的動機乃至於目的而作成錄用與否的決定，其處分是否逾越脫裁量範圍或係裁量権濫用違法，成為撤銷訴訟的對象。</w:t>
      </w:r>
    </w:p>
    <w:p>
      <w:pPr>
        <w:spacing w:line="333" w:lineRule="auto" w:before="0"/>
        <w:ind w:left="303" w:right="495" w:firstLine="569"/>
        <w:jc w:val="both"/>
        <w:rPr>
          <w:sz w:val="24"/>
        </w:rPr>
      </w:pPr>
      <w:r>
        <w:rPr>
          <w:w w:val="105"/>
          <w:sz w:val="24"/>
        </w:rPr>
        <w:t>就本件而言，經由前述的認定，原告在第二階段考試，其至少已達到   </w:t>
      </w:r>
      <w:r>
        <w:rPr>
          <w:spacing w:val="56"/>
          <w:w w:val="105"/>
          <w:sz w:val="24"/>
        </w:rPr>
        <w:t> </w:t>
      </w:r>
      <w:r>
        <w:rPr>
          <w:spacing w:val="2"/>
          <w:w w:val="95"/>
          <w:sz w:val="24"/>
        </w:rPr>
        <w:t>受錄 用人 </w:t>
      </w:r>
      <w:r>
        <w:rPr>
          <w:rFonts w:ascii="Times New Roman" w:eastAsia="Times New Roman"/>
          <w:w w:val="95"/>
          <w:sz w:val="30"/>
        </w:rPr>
        <w:t>14</w:t>
      </w:r>
      <w:r>
        <w:rPr>
          <w:rFonts w:ascii="Times New Roman" w:eastAsia="Times New Roman"/>
          <w:spacing w:val="-1"/>
          <w:w w:val="95"/>
          <w:sz w:val="30"/>
        </w:rPr>
        <w:t> </w:t>
      </w:r>
      <w:r>
        <w:rPr>
          <w:spacing w:val="9"/>
          <w:w w:val="95"/>
          <w:sz w:val="24"/>
        </w:rPr>
        <w:t>名的同等成績 ，被 告 鎮 長一旦決意錄 用原告 ，卻 將造成鎮公</w:t>
      </w:r>
      <w:r>
        <w:rPr>
          <w:w w:val="105"/>
          <w:sz w:val="24"/>
        </w:rPr>
        <w:t>所職員工會（町職綑）的強烈反彈，其工會的反對理由為：若基於「應以   </w:t>
      </w:r>
      <w:r>
        <w:rPr>
          <w:spacing w:val="113"/>
          <w:w w:val="105"/>
          <w:sz w:val="24"/>
        </w:rPr>
        <w:t> </w:t>
      </w:r>
      <w:r>
        <w:rPr>
          <w:w w:val="105"/>
          <w:sz w:val="24"/>
        </w:rPr>
        <w:t>地方出身之人優先錄用」的標準，此標準噹然無視於上開地方公務員法所   </w:t>
      </w:r>
      <w:r>
        <w:rPr>
          <w:spacing w:val="113"/>
          <w:w w:val="105"/>
          <w:sz w:val="24"/>
        </w:rPr>
        <w:t> </w:t>
      </w:r>
      <w:r>
        <w:rPr>
          <w:w w:val="105"/>
          <w:sz w:val="24"/>
        </w:rPr>
        <w:t>揭示的成續主義規定，甚且將導致違反平等原則的不噹結果。最終，在無</w:t>
      </w:r>
    </w:p>
    <w:p>
      <w:pPr>
        <w:pStyle w:val="BodyText"/>
        <w:spacing w:before="10"/>
        <w:rPr>
          <w:sz w:val="27"/>
        </w:rPr>
      </w:pPr>
      <w:r>
        <w:rPr/>
        <w:pict>
          <v:shape style="position:absolute;margin-left:95.174004pt;margin-top:20.045803pt;width:144.25pt;height:.1pt;mso-position-horizontal-relative:page;mso-position-vertical-relative:paragraph;z-index:-15577088;mso-wrap-distance-left:0;mso-wrap-distance-right:0" coordorigin="1903,401" coordsize="2885,0" path="m1903,401l4788,401e" filled="false" stroked="true" strokeweight=".480547pt" strokecolor="#000000">
            <v:path arrowok="t"/>
            <v:stroke dashstyle="solid"/>
            <w10:wrap type="topAndBottom"/>
          </v:shape>
        </w:pict>
      </w:r>
    </w:p>
    <w:p>
      <w:pPr>
        <w:pStyle w:val="BodyText"/>
        <w:spacing w:before="10"/>
        <w:rPr>
          <w:sz w:val="7"/>
        </w:rPr>
      </w:pPr>
    </w:p>
    <w:p>
      <w:pPr>
        <w:spacing w:after="0"/>
        <w:rPr>
          <w:sz w:val="7"/>
        </w:rPr>
        <w:sectPr>
          <w:pgSz w:w="11910" w:h="16840"/>
          <w:pgMar w:header="862" w:footer="1017" w:top="1060" w:bottom="1200" w:left="1120" w:right="1060"/>
        </w:sectPr>
      </w:pPr>
    </w:p>
    <w:p>
      <w:pPr>
        <w:pStyle w:val="BodyText"/>
        <w:spacing w:before="8"/>
        <w:rPr>
          <w:sz w:val="10"/>
        </w:rPr>
      </w:pPr>
    </w:p>
    <w:p>
      <w:pPr>
        <w:spacing w:before="0"/>
        <w:ind w:left="298" w:right="0" w:firstLine="0"/>
        <w:jc w:val="left"/>
        <w:rPr>
          <w:rFonts w:ascii="Times New Roman"/>
          <w:sz w:val="13"/>
        </w:rPr>
      </w:pPr>
      <w:r>
        <w:rPr>
          <w:rFonts w:ascii="Times New Roman"/>
          <w:sz w:val="13"/>
        </w:rPr>
        <w:t>182</w:t>
      </w:r>
    </w:p>
    <w:p>
      <w:pPr>
        <w:spacing w:before="89"/>
        <w:ind w:left="71" w:right="0" w:firstLine="0"/>
        <w:jc w:val="left"/>
        <w:rPr>
          <w:rFonts w:ascii="Times New Roman" w:eastAsia="Times New Roman"/>
          <w:sz w:val="26"/>
        </w:rPr>
      </w:pPr>
      <w:r>
        <w:rPr/>
        <w:br w:type="column"/>
      </w:r>
      <w:r>
        <w:rPr>
          <w:spacing w:val="15"/>
          <w:w w:val="90"/>
          <w:sz w:val="21"/>
        </w:rPr>
        <w:t>水戶地判</w:t>
      </w:r>
      <w:r>
        <w:rPr>
          <w:rFonts w:ascii="Times New Roman" w:eastAsia="Times New Roman"/>
          <w:w w:val="90"/>
          <w:sz w:val="26"/>
        </w:rPr>
        <w:t>1980</w:t>
      </w:r>
      <w:r>
        <w:rPr>
          <w:w w:val="90"/>
          <w:sz w:val="21"/>
        </w:rPr>
        <w:t>年</w:t>
      </w:r>
      <w:r>
        <w:rPr>
          <w:rFonts w:ascii="Times New Roman" w:eastAsia="Times New Roman"/>
          <w:w w:val="90"/>
          <w:sz w:val="26"/>
        </w:rPr>
        <w:t>11</w:t>
      </w:r>
      <w:r>
        <w:rPr>
          <w:spacing w:val="-19"/>
          <w:w w:val="90"/>
          <w:sz w:val="21"/>
        </w:rPr>
        <w:t>月 </w:t>
      </w:r>
      <w:r>
        <w:rPr>
          <w:rFonts w:ascii="Times New Roman" w:eastAsia="Times New Roman"/>
          <w:w w:val="90"/>
          <w:sz w:val="26"/>
        </w:rPr>
        <w:t>20</w:t>
      </w:r>
      <w:r>
        <w:rPr>
          <w:rFonts w:ascii="Times New Roman" w:eastAsia="Times New Roman"/>
          <w:spacing w:val="-4"/>
          <w:w w:val="90"/>
          <w:sz w:val="26"/>
        </w:rPr>
        <w:t> </w:t>
      </w:r>
      <w:r>
        <w:rPr>
          <w:spacing w:val="1"/>
          <w:w w:val="90"/>
          <w:sz w:val="21"/>
        </w:rPr>
        <w:t>日 ， 詳參 ， 判例時報</w:t>
      </w:r>
      <w:r>
        <w:rPr>
          <w:rFonts w:ascii="Times New Roman" w:eastAsia="Times New Roman"/>
          <w:w w:val="90"/>
          <w:sz w:val="26"/>
        </w:rPr>
        <w:t>999</w:t>
      </w:r>
      <w:r>
        <w:rPr>
          <w:rFonts w:ascii="Times New Roman" w:eastAsia="Times New Roman"/>
          <w:spacing w:val="-19"/>
          <w:w w:val="90"/>
          <w:sz w:val="26"/>
        </w:rPr>
        <w:t> </w:t>
      </w:r>
      <w:r>
        <w:rPr>
          <w:spacing w:val="3"/>
          <w:w w:val="90"/>
          <w:sz w:val="21"/>
        </w:rPr>
        <w:t>芳 ， 頁</w:t>
      </w:r>
      <w:r>
        <w:rPr>
          <w:rFonts w:ascii="Times New Roman" w:eastAsia="Times New Roman"/>
          <w:w w:val="90"/>
          <w:sz w:val="26"/>
        </w:rPr>
        <w:t>11,8</w:t>
      </w:r>
    </w:p>
    <w:p>
      <w:pPr>
        <w:spacing w:before="122"/>
        <w:ind w:left="209" w:right="0" w:firstLine="0"/>
        <w:jc w:val="left"/>
        <w:rPr>
          <w:sz w:val="21"/>
        </w:rPr>
      </w:pPr>
      <w:r>
        <w:rPr/>
        <w:br w:type="column"/>
      </w:r>
      <w:r>
        <w:rPr>
          <w:spacing w:val="2"/>
          <w:sz w:val="21"/>
        </w:rPr>
        <w:t>判例時報社； 旁働 判例</w:t>
      </w:r>
    </w:p>
    <w:p>
      <w:pPr>
        <w:spacing w:after="0"/>
        <w:jc w:val="left"/>
        <w:rPr>
          <w:sz w:val="21"/>
        </w:rPr>
        <w:sectPr>
          <w:type w:val="continuous"/>
          <w:pgSz w:w="11910" w:h="16840"/>
          <w:pgMar w:top="1020" w:bottom="280" w:left="1120" w:right="1060"/>
          <w:cols w:num="3" w:equalWidth="0">
            <w:col w:w="494" w:space="40"/>
            <w:col w:w="6040" w:space="39"/>
            <w:col w:w="3117"/>
          </w:cols>
        </w:sectPr>
      </w:pPr>
    </w:p>
    <w:p>
      <w:pPr>
        <w:spacing w:before="6"/>
        <w:ind w:left="508" w:right="0" w:firstLine="0"/>
        <w:jc w:val="left"/>
        <w:rPr>
          <w:rFonts w:ascii="Times New Roman" w:eastAsia="Times New Roman"/>
          <w:sz w:val="26"/>
        </w:rPr>
      </w:pPr>
      <w:r>
        <w:rPr>
          <w:rFonts w:ascii="Times New Roman" w:eastAsia="Times New Roman"/>
          <w:w w:val="85"/>
          <w:sz w:val="26"/>
        </w:rPr>
        <w:t>355</w:t>
      </w:r>
      <w:r>
        <w:rPr>
          <w:spacing w:val="-8"/>
          <w:w w:val="85"/>
          <w:sz w:val="21"/>
        </w:rPr>
        <w:t>芳 ， 頁</w:t>
      </w:r>
      <w:r>
        <w:rPr>
          <w:rFonts w:ascii="Times New Roman" w:eastAsia="Times New Roman"/>
          <w:w w:val="85"/>
          <w:sz w:val="26"/>
        </w:rPr>
        <w:t>4,9</w:t>
      </w:r>
    </w:p>
    <w:p>
      <w:pPr>
        <w:spacing w:before="39"/>
        <w:ind w:left="206" w:right="0" w:firstLine="0"/>
        <w:jc w:val="left"/>
        <w:rPr>
          <w:sz w:val="21"/>
        </w:rPr>
      </w:pPr>
      <w:r>
        <w:rPr/>
        <w:br w:type="column"/>
      </w:r>
      <w:r>
        <w:rPr>
          <w:spacing w:val="-13"/>
          <w:w w:val="95"/>
          <w:sz w:val="21"/>
        </w:rPr>
        <w:t>產旁総合研究所 。另可 參 ， 阿部泰隆 ，行 政 裁量匕 行 政 救 济 ， 初版 ，</w:t>
      </w:r>
    </w:p>
    <w:p>
      <w:pPr>
        <w:spacing w:after="0"/>
        <w:jc w:val="left"/>
        <w:rPr>
          <w:sz w:val="21"/>
        </w:rPr>
        <w:sectPr>
          <w:type w:val="continuous"/>
          <w:pgSz w:w="11910" w:h="16840"/>
          <w:pgMar w:top="1020" w:bottom="280" w:left="1120" w:right="1060"/>
          <w:cols w:num="2" w:equalWidth="0">
            <w:col w:w="1812" w:space="40"/>
            <w:col w:w="7878"/>
          </w:cols>
        </w:sectPr>
      </w:pPr>
    </w:p>
    <w:p>
      <w:pPr>
        <w:spacing w:before="15"/>
        <w:ind w:left="498" w:right="0" w:firstLine="0"/>
        <w:jc w:val="left"/>
        <w:rPr>
          <w:sz w:val="21"/>
        </w:rPr>
      </w:pPr>
      <w:r>
        <w:rPr>
          <w:rFonts w:ascii="Times New Roman" w:eastAsia="Times New Roman"/>
          <w:w w:val="95"/>
          <w:sz w:val="26"/>
        </w:rPr>
        <w:t>1987</w:t>
      </w:r>
      <w:r>
        <w:rPr>
          <w:spacing w:val="-9"/>
          <w:w w:val="95"/>
          <w:sz w:val="21"/>
        </w:rPr>
        <w:t>年 ， 三省堂 ， 頁</w:t>
      </w:r>
      <w:r>
        <w:rPr>
          <w:rFonts w:ascii="Times New Roman" w:eastAsia="Times New Roman"/>
          <w:w w:val="95"/>
          <w:sz w:val="26"/>
        </w:rPr>
        <w:t>71</w:t>
      </w:r>
      <w:r>
        <w:rPr>
          <w:spacing w:val="3"/>
          <w:w w:val="95"/>
          <w:sz w:val="21"/>
        </w:rPr>
        <w:t>以下 。</w:t>
      </w:r>
    </w:p>
    <w:p>
      <w:pPr>
        <w:spacing w:after="0"/>
        <w:jc w:val="left"/>
        <w:rPr>
          <w:sz w:val="21"/>
        </w:rPr>
        <w:sectPr>
          <w:type w:val="continuous"/>
          <w:pgSz w:w="11910" w:h="16840"/>
          <w:pgMar w:top="1020" w:bottom="280" w:left="1120" w:right="1060"/>
        </w:sectPr>
      </w:pPr>
    </w:p>
    <w:p>
      <w:pPr>
        <w:pStyle w:val="BodyText"/>
        <w:spacing w:before="8"/>
        <w:rPr>
          <w:sz w:val="29"/>
        </w:rPr>
      </w:pPr>
    </w:p>
    <w:p>
      <w:pPr>
        <w:spacing w:line="345" w:lineRule="auto" w:before="67"/>
        <w:ind w:left="317" w:right="499" w:hanging="14"/>
        <w:jc w:val="both"/>
        <w:rPr>
          <w:sz w:val="24"/>
        </w:rPr>
      </w:pPr>
      <w:r>
        <w:rPr>
          <w:w w:val="115"/>
          <w:sz w:val="24"/>
        </w:rPr>
        <w:t>任何其他特殊理由的情形下，而作成拒絕錄用原告的決定，此項不錄用處分，其是否逸脫裁量範圍，或有疑間，然應可謂有濫用裁量權而有違法情狀存在。</w:t>
      </w:r>
    </w:p>
    <w:p>
      <w:pPr>
        <w:spacing w:line="340" w:lineRule="auto" w:before="0"/>
        <w:ind w:left="298" w:right="488" w:firstLine="583"/>
        <w:jc w:val="left"/>
        <w:rPr>
          <w:sz w:val="24"/>
        </w:rPr>
      </w:pPr>
      <w:r>
        <w:rPr>
          <w:w w:val="110"/>
          <w:sz w:val="24"/>
        </w:rPr>
        <w:t>國家公務員法與地方公務員法，就任命行為方式均無明文，而法律上</w:t>
      </w:r>
      <w:r>
        <w:rPr>
          <w:spacing w:val="46"/>
          <w:w w:val="110"/>
          <w:sz w:val="24"/>
        </w:rPr>
        <w:t> </w:t>
      </w:r>
      <w:r>
        <w:rPr>
          <w:w w:val="110"/>
          <w:sz w:val="24"/>
        </w:rPr>
        <w:t>僅要求任用權人的意思表示到達相對人即為已足，其並未以交付辭呈等行</w:t>
      </w:r>
      <w:r>
        <w:rPr>
          <w:spacing w:val="101"/>
          <w:w w:val="110"/>
          <w:sz w:val="24"/>
        </w:rPr>
        <w:t> </w:t>
      </w:r>
      <w:r>
        <w:rPr>
          <w:w w:val="110"/>
          <w:sz w:val="24"/>
        </w:rPr>
        <w:t>為為必要（就此，被告等人不得主張要式行為）。地方公務員的任命行為，</w:t>
      </w:r>
      <w:r>
        <w:rPr>
          <w:spacing w:val="1"/>
          <w:w w:val="110"/>
          <w:sz w:val="24"/>
        </w:rPr>
        <w:t> </w:t>
      </w:r>
      <w:r>
        <w:rPr>
          <w:w w:val="110"/>
          <w:sz w:val="24"/>
        </w:rPr>
        <w:t>應考量其行為係屬如何的法律性質，因其行為係以地方公務員之地位設  </w:t>
      </w:r>
      <w:r>
        <w:rPr>
          <w:spacing w:val="101"/>
          <w:w w:val="110"/>
          <w:sz w:val="24"/>
        </w:rPr>
        <w:t> </w:t>
      </w:r>
      <w:r>
        <w:rPr>
          <w:w w:val="110"/>
          <w:sz w:val="24"/>
        </w:rPr>
        <w:t>定、變更作為目的，其意思表示必須明璀。然從上述所認定的事實以觀，</w:t>
      </w:r>
      <w:r>
        <w:rPr>
          <w:spacing w:val="97"/>
          <w:w w:val="110"/>
          <w:sz w:val="24"/>
        </w:rPr>
        <w:t> </w:t>
      </w:r>
      <w:r>
        <w:rPr>
          <w:spacing w:val="10"/>
          <w:w w:val="105"/>
          <w:sz w:val="24"/>
        </w:rPr>
        <w:t>被告鹿兒</w:t>
      </w:r>
      <w:r>
        <w:rPr>
          <w:spacing w:val="-9"/>
          <w:w w:val="95"/>
          <w:sz w:val="24"/>
        </w:rPr>
        <w:t>島町 企 </w:t>
      </w:r>
      <w:r>
        <w:rPr>
          <w:spacing w:val="49"/>
          <w:w w:val="105"/>
          <w:sz w:val="24"/>
        </w:rPr>
        <w:t>画</w:t>
      </w:r>
      <w:r>
        <w:rPr>
          <w:spacing w:val="-32"/>
          <w:w w:val="95"/>
          <w:sz w:val="24"/>
        </w:rPr>
        <w:t>室 </w:t>
      </w:r>
      <w:r>
        <w:rPr>
          <w:spacing w:val="2"/>
          <w:w w:val="105"/>
          <w:sz w:val="24"/>
        </w:rPr>
        <w:t>長承認 </w:t>
      </w:r>
      <w:r>
        <w:rPr>
          <w:spacing w:val="-31"/>
          <w:w w:val="95"/>
          <w:sz w:val="24"/>
        </w:rPr>
        <w:t>， </w:t>
      </w:r>
      <w:r>
        <w:rPr>
          <w:spacing w:val="19"/>
          <w:w w:val="105"/>
          <w:sz w:val="24"/>
        </w:rPr>
        <w:t>其雖曾數度以口頭向訴外人</w:t>
      </w:r>
      <w:r>
        <w:rPr>
          <w:spacing w:val="-18"/>
          <w:w w:val="95"/>
          <w:sz w:val="24"/>
        </w:rPr>
        <w:t>某 </w:t>
      </w:r>
      <w:r>
        <w:rPr>
          <w:rFonts w:ascii="Arial" w:hAnsi="Arial" w:eastAsia="Arial"/>
          <w:w w:val="105"/>
          <w:sz w:val="28"/>
        </w:rPr>
        <w:t>A</w:t>
      </w:r>
      <w:r>
        <w:rPr>
          <w:rFonts w:ascii="Arial" w:hAnsi="Arial" w:eastAsia="Arial"/>
          <w:spacing w:val="-18"/>
          <w:w w:val="105"/>
          <w:sz w:val="28"/>
        </w:rPr>
        <w:t> </w:t>
      </w:r>
      <w:r>
        <w:rPr>
          <w:spacing w:val="4"/>
          <w:w w:val="105"/>
          <w:sz w:val="24"/>
        </w:rPr>
        <w:t>表示：「關</w:t>
      </w:r>
      <w:r>
        <w:rPr>
          <w:w w:val="110"/>
          <w:sz w:val="24"/>
        </w:rPr>
        <w:t>於錄用原告之事，目前正進行決定…」等語，惟此項表示僅能推斷被告鎮</w:t>
      </w:r>
      <w:r>
        <w:rPr>
          <w:spacing w:val="101"/>
          <w:w w:val="110"/>
          <w:sz w:val="24"/>
        </w:rPr>
        <w:t> </w:t>
      </w:r>
      <w:r>
        <w:rPr>
          <w:w w:val="110"/>
          <w:sz w:val="24"/>
        </w:rPr>
        <w:t>長其自身是否有錄用原告之意，而若依本件全部證據顯示，硏考課長關於</w:t>
      </w:r>
      <w:r>
        <w:rPr>
          <w:spacing w:val="101"/>
          <w:w w:val="110"/>
          <w:sz w:val="24"/>
        </w:rPr>
        <w:t> </w:t>
      </w:r>
      <w:r>
        <w:rPr>
          <w:w w:val="110"/>
          <w:sz w:val="24"/>
        </w:rPr>
        <w:t>鎮職員錄用事項，其雖可參與人員調整事務，但其並無直接錄用之立場，</w:t>
      </w:r>
      <w:r>
        <w:rPr>
          <w:spacing w:val="101"/>
          <w:w w:val="110"/>
          <w:sz w:val="24"/>
        </w:rPr>
        <w:t> </w:t>
      </w:r>
      <w:r>
        <w:rPr>
          <w:w w:val="110"/>
          <w:sz w:val="24"/>
        </w:rPr>
        <w:t>此乃因對於鎮職員的錄用権限係屬於被告鎮長所擁有，對原告的錄用行  </w:t>
      </w:r>
      <w:r>
        <w:rPr>
          <w:spacing w:val="101"/>
          <w:w w:val="110"/>
          <w:sz w:val="24"/>
        </w:rPr>
        <w:t> </w:t>
      </w:r>
      <w:r>
        <w:rPr>
          <w:w w:val="110"/>
          <w:sz w:val="24"/>
        </w:rPr>
        <w:t>為，應認為尚未作成。</w:t>
      </w:r>
    </w:p>
    <w:p>
      <w:pPr>
        <w:spacing w:before="72"/>
        <w:ind w:left="3063" w:right="0" w:firstLine="0"/>
        <w:jc w:val="left"/>
        <w:rPr>
          <w:rFonts w:ascii="Times New Roman" w:eastAsia="Times New Roman"/>
          <w:sz w:val="15"/>
        </w:rPr>
      </w:pPr>
      <w:r>
        <w:rPr>
          <w:sz w:val="24"/>
        </w:rPr>
        <w:t>（</w:t>
      </w:r>
      <w:r>
        <w:rPr>
          <w:spacing w:val="-30"/>
          <w:sz w:val="24"/>
        </w:rPr>
        <w:t> 二</w:t>
      </w:r>
      <w:r>
        <w:rPr>
          <w:sz w:val="24"/>
        </w:rPr>
        <w:t>）</w:t>
      </w:r>
      <w:r>
        <w:rPr>
          <w:spacing w:val="16"/>
          <w:sz w:val="24"/>
        </w:rPr>
        <w:t> 升等之性別歧視案</w:t>
      </w:r>
      <w:r>
        <w:rPr>
          <w:rFonts w:ascii="Times New Roman" w:eastAsia="Times New Roman"/>
          <w:w w:val="80"/>
          <w:sz w:val="15"/>
        </w:rPr>
        <w:t>1</w:t>
      </w:r>
      <w:r>
        <w:rPr>
          <w:rFonts w:ascii="Times New Roman" w:eastAsia="Times New Roman"/>
          <w:spacing w:val="7"/>
          <w:w w:val="80"/>
          <w:sz w:val="15"/>
        </w:rPr>
        <w:t> </w:t>
      </w:r>
      <w:r>
        <w:rPr>
          <w:rFonts w:ascii="Times New Roman" w:eastAsia="Times New Roman"/>
          <w:w w:val="80"/>
          <w:sz w:val="15"/>
        </w:rPr>
        <w:t>83</w:t>
      </w:r>
    </w:p>
    <w:p>
      <w:pPr>
        <w:pStyle w:val="BodyText"/>
        <w:rPr>
          <w:rFonts w:ascii="Times New Roman"/>
          <w:sz w:val="20"/>
        </w:rPr>
      </w:pPr>
    </w:p>
    <w:p>
      <w:pPr>
        <w:pStyle w:val="ListParagraph"/>
        <w:numPr>
          <w:ilvl w:val="0"/>
          <w:numId w:val="11"/>
        </w:numPr>
        <w:tabs>
          <w:tab w:pos="1278" w:val="left" w:leader="none"/>
          <w:tab w:pos="1279" w:val="left" w:leader="none"/>
        </w:tabs>
        <w:spacing w:line="240" w:lineRule="auto" w:before="216" w:after="0"/>
        <w:ind w:left="1278" w:right="0" w:hanging="501"/>
        <w:jc w:val="left"/>
        <w:rPr>
          <w:sz w:val="24"/>
        </w:rPr>
      </w:pPr>
      <w:r>
        <w:rPr>
          <w:w w:val="110"/>
          <w:sz w:val="24"/>
        </w:rPr>
        <w:t>事實概要</w:t>
      </w:r>
    </w:p>
    <w:p>
      <w:pPr>
        <w:pStyle w:val="BodyText"/>
        <w:spacing w:before="9"/>
        <w:rPr>
          <w:sz w:val="13"/>
        </w:rPr>
      </w:pPr>
    </w:p>
    <w:p>
      <w:pPr>
        <w:spacing w:line="304" w:lineRule="auto" w:before="88"/>
        <w:ind w:left="308" w:right="483" w:firstLine="555"/>
        <w:jc w:val="both"/>
        <w:rPr>
          <w:sz w:val="24"/>
        </w:rPr>
      </w:pPr>
      <w:r>
        <w:rPr>
          <w:spacing w:val="39"/>
          <w:w w:val="95"/>
          <w:sz w:val="24"/>
        </w:rPr>
        <w:t>原告</w:t>
      </w:r>
      <w:r>
        <w:rPr>
          <w:rFonts w:ascii="Times New Roman" w:eastAsia="Times New Roman"/>
          <w:spacing w:val="35"/>
          <w:w w:val="95"/>
          <w:sz w:val="30"/>
        </w:rPr>
        <w:t>X</w:t>
      </w:r>
      <w:r>
        <w:rPr>
          <w:spacing w:val="4"/>
          <w:w w:val="95"/>
          <w:sz w:val="24"/>
        </w:rPr>
        <w:t>在 </w:t>
      </w:r>
      <w:r>
        <w:rPr>
          <w:rFonts w:ascii="Times New Roman" w:eastAsia="Times New Roman"/>
          <w:w w:val="95"/>
          <w:sz w:val="30"/>
        </w:rPr>
        <w:t>1948</w:t>
      </w:r>
      <w:r>
        <w:rPr>
          <w:rFonts w:ascii="Times New Roman" w:eastAsia="Times New Roman"/>
          <w:spacing w:val="7"/>
          <w:w w:val="95"/>
          <w:sz w:val="30"/>
        </w:rPr>
        <w:t> </w:t>
      </w:r>
      <w:r>
        <w:rPr>
          <w:spacing w:val="-12"/>
          <w:w w:val="95"/>
          <w:sz w:val="24"/>
        </w:rPr>
        <w:t>年間 ， 受被告 </w:t>
      </w:r>
      <w:r>
        <w:rPr>
          <w:rFonts w:ascii="Times New Roman" w:eastAsia="Times New Roman"/>
          <w:w w:val="95"/>
          <w:sz w:val="30"/>
        </w:rPr>
        <w:t>Y</w:t>
      </w:r>
      <w:r>
        <w:rPr>
          <w:rFonts w:ascii="Times New Roman" w:eastAsia="Times New Roman"/>
          <w:spacing w:val="-24"/>
          <w:w w:val="95"/>
          <w:sz w:val="30"/>
        </w:rPr>
        <w:t> </w:t>
      </w:r>
      <w:r>
        <w:rPr>
          <w:spacing w:val="17"/>
          <w:w w:val="95"/>
          <w:sz w:val="24"/>
        </w:rPr>
        <w:t>巿任 用為事務吏員之 後 ，在 </w:t>
      </w:r>
      <w:r>
        <w:rPr>
          <w:rFonts w:ascii="Times New Roman" w:eastAsia="Times New Roman"/>
          <w:w w:val="95"/>
          <w:sz w:val="30"/>
        </w:rPr>
        <w:t>1966</w:t>
      </w:r>
      <w:r>
        <w:rPr>
          <w:rFonts w:ascii="Times New Roman" w:eastAsia="Times New Roman"/>
          <w:spacing w:val="7"/>
          <w:w w:val="95"/>
          <w:sz w:val="30"/>
        </w:rPr>
        <w:t> </w:t>
      </w:r>
      <w:r>
        <w:rPr>
          <w:spacing w:val="9"/>
          <w:w w:val="95"/>
          <w:sz w:val="24"/>
        </w:rPr>
        <w:t>年間</w:t>
      </w:r>
      <w:r>
        <w:rPr>
          <w:spacing w:val="33"/>
          <w:w w:val="90"/>
          <w:sz w:val="24"/>
        </w:rPr>
        <w:t>轉任</w:t>
      </w:r>
      <w:r>
        <w:rPr>
          <w:rFonts w:ascii="Times New Roman" w:eastAsia="Times New Roman"/>
          <w:w w:val="90"/>
          <w:sz w:val="30"/>
        </w:rPr>
        <w:t>Y</w:t>
      </w:r>
      <w:r>
        <w:rPr>
          <w:rFonts w:ascii="Times New Roman" w:eastAsia="Times New Roman"/>
          <w:spacing w:val="-19"/>
          <w:w w:val="90"/>
          <w:sz w:val="30"/>
        </w:rPr>
        <w:t> </w:t>
      </w:r>
      <w:r>
        <w:rPr>
          <w:spacing w:val="10"/>
          <w:w w:val="90"/>
          <w:sz w:val="24"/>
        </w:rPr>
        <w:t>市消防局本部職員 。其間 ，在 </w:t>
      </w:r>
      <w:r>
        <w:rPr>
          <w:rFonts w:ascii="Times New Roman" w:eastAsia="Times New Roman"/>
          <w:w w:val="90"/>
          <w:sz w:val="30"/>
        </w:rPr>
        <w:t>1964</w:t>
      </w:r>
      <w:r>
        <w:rPr>
          <w:rFonts w:ascii="Times New Roman" w:eastAsia="Times New Roman"/>
          <w:spacing w:val="19"/>
          <w:w w:val="90"/>
          <w:sz w:val="30"/>
        </w:rPr>
        <w:t> </w:t>
      </w:r>
      <w:r>
        <w:rPr>
          <w:spacing w:val="7"/>
          <w:w w:val="90"/>
          <w:sz w:val="24"/>
        </w:rPr>
        <w:t>年時 ，晉 升 為 </w:t>
      </w:r>
      <w:r>
        <w:rPr>
          <w:rFonts w:ascii="Times New Roman" w:eastAsia="Times New Roman"/>
          <w:w w:val="90"/>
          <w:sz w:val="30"/>
        </w:rPr>
        <w:t>5</w:t>
      </w:r>
      <w:r>
        <w:rPr>
          <w:rFonts w:ascii="Times New Roman" w:eastAsia="Times New Roman"/>
          <w:spacing w:val="45"/>
          <w:w w:val="90"/>
          <w:sz w:val="30"/>
        </w:rPr>
        <w:t> </w:t>
      </w:r>
      <w:r>
        <w:rPr>
          <w:spacing w:val="-6"/>
          <w:w w:val="90"/>
          <w:sz w:val="24"/>
        </w:rPr>
        <w:t>等之 職 員之 後 ，</w:t>
      </w:r>
      <w:r>
        <w:rPr>
          <w:spacing w:val="-105"/>
          <w:w w:val="90"/>
          <w:sz w:val="24"/>
        </w:rPr>
        <w:t> </w:t>
      </w:r>
      <w:r>
        <w:rPr>
          <w:spacing w:val="10"/>
          <w:w w:val="90"/>
          <w:sz w:val="24"/>
        </w:rPr>
        <w:t>其年供奉在 </w:t>
      </w:r>
      <w:r>
        <w:rPr>
          <w:rFonts w:ascii="Times New Roman" w:eastAsia="Times New Roman"/>
          <w:w w:val="90"/>
          <w:sz w:val="30"/>
        </w:rPr>
        <w:t>1970</w:t>
      </w:r>
      <w:r>
        <w:rPr>
          <w:rFonts w:ascii="Times New Roman" w:eastAsia="Times New Roman"/>
          <w:spacing w:val="38"/>
          <w:w w:val="90"/>
          <w:sz w:val="30"/>
        </w:rPr>
        <w:t> </w:t>
      </w:r>
      <w:r>
        <w:rPr>
          <w:spacing w:val="-12"/>
          <w:w w:val="90"/>
          <w:sz w:val="24"/>
        </w:rPr>
        <w:t>年 </w:t>
      </w:r>
      <w:r>
        <w:rPr>
          <w:rFonts w:ascii="Times New Roman" w:eastAsia="Times New Roman"/>
          <w:w w:val="90"/>
          <w:sz w:val="30"/>
        </w:rPr>
        <w:t>4</w:t>
      </w:r>
      <w:r>
        <w:rPr>
          <w:rFonts w:ascii="Times New Roman" w:eastAsia="Times New Roman"/>
          <w:spacing w:val="35"/>
          <w:w w:val="90"/>
          <w:sz w:val="30"/>
        </w:rPr>
        <w:t> </w:t>
      </w:r>
      <w:r>
        <w:rPr>
          <w:spacing w:val="24"/>
          <w:w w:val="90"/>
          <w:sz w:val="24"/>
        </w:rPr>
        <w:t>月時為 </w:t>
      </w:r>
      <w:r>
        <w:rPr>
          <w:rFonts w:ascii="Arial" w:eastAsia="Arial"/>
          <w:w w:val="90"/>
          <w:sz w:val="28"/>
        </w:rPr>
        <w:t>5</w:t>
      </w:r>
      <w:r>
        <w:rPr>
          <w:rFonts w:ascii="Arial" w:eastAsia="Arial"/>
          <w:spacing w:val="48"/>
          <w:w w:val="90"/>
          <w:sz w:val="28"/>
        </w:rPr>
        <w:t> </w:t>
      </w:r>
      <w:r>
        <w:rPr>
          <w:spacing w:val="-8"/>
          <w:w w:val="90"/>
          <w:sz w:val="24"/>
        </w:rPr>
        <w:t>等 </w:t>
      </w:r>
      <w:r>
        <w:rPr>
          <w:rFonts w:ascii="Times New Roman" w:eastAsia="Times New Roman"/>
          <w:w w:val="90"/>
          <w:sz w:val="30"/>
        </w:rPr>
        <w:t>19</w:t>
      </w:r>
      <w:r>
        <w:rPr>
          <w:rFonts w:ascii="Times New Roman" w:eastAsia="Times New Roman"/>
          <w:spacing w:val="17"/>
          <w:w w:val="90"/>
          <w:sz w:val="30"/>
        </w:rPr>
        <w:t> </w:t>
      </w:r>
      <w:r>
        <w:rPr>
          <w:spacing w:val="-1"/>
          <w:w w:val="90"/>
          <w:sz w:val="24"/>
        </w:rPr>
        <w:t>號 俸 、</w:t>
      </w:r>
      <w:r>
        <w:rPr>
          <w:rFonts w:ascii="Times New Roman" w:eastAsia="Times New Roman"/>
          <w:w w:val="90"/>
          <w:sz w:val="30"/>
        </w:rPr>
        <w:t>7</w:t>
      </w:r>
      <w:r>
        <w:rPr>
          <w:rFonts w:ascii="Times New Roman" w:eastAsia="Times New Roman"/>
          <w:spacing w:val="33"/>
          <w:w w:val="90"/>
          <w:sz w:val="30"/>
        </w:rPr>
        <w:t> </w:t>
      </w:r>
      <w:r>
        <w:rPr>
          <w:spacing w:val="-2"/>
          <w:w w:val="90"/>
          <w:sz w:val="24"/>
        </w:rPr>
        <w:t>月時 為 </w:t>
      </w:r>
      <w:r>
        <w:rPr>
          <w:rFonts w:ascii="Arial" w:eastAsia="Arial"/>
          <w:w w:val="90"/>
          <w:sz w:val="28"/>
        </w:rPr>
        <w:t>5</w:t>
      </w:r>
      <w:r>
        <w:rPr>
          <w:rFonts w:ascii="Arial" w:eastAsia="Arial"/>
          <w:spacing w:val="49"/>
          <w:w w:val="90"/>
          <w:sz w:val="28"/>
        </w:rPr>
        <w:t> </w:t>
      </w:r>
      <w:r>
        <w:rPr>
          <w:spacing w:val="-1"/>
          <w:w w:val="90"/>
          <w:sz w:val="24"/>
        </w:rPr>
        <w:t>等 </w:t>
      </w:r>
      <w:r>
        <w:rPr>
          <w:rFonts w:ascii="Times New Roman" w:eastAsia="Times New Roman"/>
          <w:w w:val="90"/>
          <w:sz w:val="30"/>
        </w:rPr>
        <w:t>20</w:t>
      </w:r>
      <w:r>
        <w:rPr>
          <w:rFonts w:ascii="Times New Roman" w:eastAsia="Times New Roman"/>
          <w:spacing w:val="42"/>
          <w:w w:val="90"/>
          <w:sz w:val="30"/>
        </w:rPr>
        <w:t> </w:t>
      </w:r>
      <w:r>
        <w:rPr>
          <w:spacing w:val="3"/>
          <w:w w:val="90"/>
          <w:sz w:val="24"/>
        </w:rPr>
        <w:t>號 俸 ，隔 年 </w:t>
      </w:r>
      <w:r>
        <w:rPr>
          <w:rFonts w:ascii="Times New Roman" w:eastAsia="Times New Roman"/>
          <w:w w:val="90"/>
          <w:sz w:val="30"/>
        </w:rPr>
        <w:t>7</w:t>
      </w:r>
      <w:r>
        <w:rPr>
          <w:rFonts w:ascii="Times New Roman" w:eastAsia="Times New Roman"/>
          <w:spacing w:val="-65"/>
          <w:w w:val="90"/>
          <w:sz w:val="30"/>
        </w:rPr>
        <w:t> </w:t>
      </w:r>
      <w:r>
        <w:rPr>
          <w:spacing w:val="1"/>
          <w:w w:val="90"/>
          <w:sz w:val="24"/>
        </w:rPr>
        <w:t>月時 則為 </w:t>
      </w:r>
      <w:r>
        <w:rPr>
          <w:rFonts w:ascii="Times New Roman" w:eastAsia="Times New Roman"/>
          <w:w w:val="90"/>
          <w:sz w:val="30"/>
        </w:rPr>
        <w:t>5</w:t>
      </w:r>
      <w:r>
        <w:rPr>
          <w:rFonts w:ascii="Times New Roman" w:eastAsia="Times New Roman"/>
          <w:spacing w:val="28"/>
          <w:w w:val="90"/>
          <w:sz w:val="30"/>
        </w:rPr>
        <w:t> </w:t>
      </w:r>
      <w:r>
        <w:rPr>
          <w:spacing w:val="-4"/>
          <w:w w:val="90"/>
          <w:sz w:val="24"/>
        </w:rPr>
        <w:t>等 </w:t>
      </w:r>
      <w:r>
        <w:rPr>
          <w:rFonts w:ascii="Times New Roman" w:eastAsia="Times New Roman"/>
          <w:w w:val="90"/>
          <w:sz w:val="30"/>
        </w:rPr>
        <w:t>21</w:t>
      </w:r>
      <w:r>
        <w:rPr>
          <w:rFonts w:ascii="Times New Roman" w:eastAsia="Times New Roman"/>
          <w:spacing w:val="39"/>
          <w:w w:val="90"/>
          <w:sz w:val="30"/>
        </w:rPr>
        <w:t> </w:t>
      </w:r>
      <w:r>
        <w:rPr>
          <w:spacing w:val="15"/>
          <w:w w:val="90"/>
          <w:sz w:val="24"/>
        </w:rPr>
        <w:t>號俸 。</w:t>
      </w:r>
    </w:p>
    <w:p>
      <w:pPr>
        <w:spacing w:line="333" w:lineRule="auto" w:before="13"/>
        <w:ind w:left="302" w:right="539" w:firstLine="600"/>
        <w:jc w:val="left"/>
        <w:rPr>
          <w:sz w:val="24"/>
        </w:rPr>
      </w:pPr>
      <w:r>
        <w:rPr>
          <w:rFonts w:ascii="Arial" w:eastAsia="Arial"/>
          <w:sz w:val="28"/>
        </w:rPr>
        <w:t>Y</w:t>
      </w:r>
      <w:r>
        <w:rPr>
          <w:rFonts w:ascii="Arial" w:eastAsia="Arial"/>
          <w:spacing w:val="-21"/>
          <w:sz w:val="28"/>
        </w:rPr>
        <w:t> </w:t>
      </w:r>
      <w:r>
        <w:rPr>
          <w:spacing w:val="14"/>
          <w:sz w:val="24"/>
        </w:rPr>
        <w:t>市的俸給條例是採取職務俸給制</w:t>
      </w:r>
      <w:r>
        <w:rPr>
          <w:spacing w:val="19"/>
          <w:w w:val="95"/>
          <w:sz w:val="24"/>
        </w:rPr>
        <w:t>，也 就 是 </w:t>
      </w:r>
      <w:r>
        <w:rPr>
          <w:spacing w:val="19"/>
          <w:sz w:val="24"/>
        </w:rPr>
        <w:t>原則上以一個職等作 為一</w:t>
      </w:r>
      <w:r>
        <w:rPr>
          <w:w w:val="105"/>
          <w:sz w:val="24"/>
        </w:rPr>
        <w:t>個等級之計算基礎。據此，任命權人如擬使職員升等，則須符合以下要件：</w:t>
      </w:r>
    </w:p>
    <w:p>
      <w:pPr>
        <w:spacing w:line="288" w:lineRule="auto" w:before="9"/>
        <w:ind w:left="312" w:right="580" w:hanging="14"/>
        <w:jc w:val="left"/>
        <w:rPr>
          <w:sz w:val="24"/>
        </w:rPr>
      </w:pPr>
      <w:r>
        <w:rPr>
          <w:rFonts w:ascii="MS UI Gothic" w:hAnsi="MS UI Gothic" w:eastAsia="MS UI Gothic" w:hint="eastAsia"/>
          <w:spacing w:val="-153"/>
          <w:w w:val="100"/>
          <w:position w:val="-2"/>
          <w:sz w:val="28"/>
        </w:rPr>
        <w:t>①</w:t>
      </w:r>
      <w:r>
        <w:rPr>
          <w:w w:val="117"/>
          <w:sz w:val="24"/>
        </w:rPr>
        <w:t>．擬欲使其升等之職務，必須符合級別標準職務表所定之級別分類標</w:t>
      </w:r>
      <w:r>
        <w:rPr>
          <w:w w:val="117"/>
          <w:sz w:val="24"/>
        </w:rPr>
        <w:t> </w:t>
      </w:r>
      <w:r>
        <w:rPr>
          <w:w w:val="96"/>
          <w:sz w:val="24"/>
        </w:rPr>
        <w:t>準。</w:t>
      </w:r>
      <w:r>
        <w:rPr>
          <w:spacing w:val="-34"/>
          <w:sz w:val="24"/>
        </w:rPr>
        <w:t> </w:t>
      </w:r>
      <w:r>
        <w:rPr>
          <w:rFonts w:ascii="MS UI Gothic" w:hAnsi="MS UI Gothic" w:eastAsia="MS UI Gothic" w:hint="eastAsia"/>
          <w:spacing w:val="-152"/>
          <w:w w:val="100"/>
          <w:position w:val="-1"/>
          <w:sz w:val="28"/>
        </w:rPr>
        <w:t>②</w:t>
      </w:r>
      <w:r>
        <w:rPr>
          <w:spacing w:val="-1"/>
          <w:w w:val="117"/>
          <w:sz w:val="24"/>
        </w:rPr>
        <w:t>．在有規定級別之一定員額之場合，必須在擬欲使其升等之級別編</w:t>
      </w:r>
    </w:p>
    <w:p>
      <w:pPr>
        <w:spacing w:after="0" w:line="288" w:lineRule="auto"/>
        <w:jc w:val="left"/>
        <w:rPr>
          <w:sz w:val="24"/>
        </w:rPr>
        <w:sectPr>
          <w:headerReference w:type="default" r:id="rId523"/>
          <w:footerReference w:type="default" r:id="rId524"/>
          <w:pgSz w:w="11910" w:h="16840"/>
          <w:pgMar w:header="862" w:footer="1206" w:top="1060" w:bottom="1400" w:left="1120" w:right="1060"/>
        </w:sectPr>
      </w:pPr>
    </w:p>
    <w:p>
      <w:pPr>
        <w:spacing w:before="34"/>
        <w:ind w:left="311" w:right="0" w:firstLine="0"/>
        <w:jc w:val="left"/>
        <w:rPr>
          <w:sz w:val="24"/>
        </w:rPr>
      </w:pPr>
      <w:r>
        <w:rPr>
          <w:w w:val="110"/>
          <w:sz w:val="24"/>
        </w:rPr>
        <w:t>制的一定員額範圍內。</w:t>
      </w:r>
    </w:p>
    <w:p>
      <w:pPr>
        <w:spacing w:before="14"/>
        <w:ind w:left="80" w:right="0" w:firstLine="0"/>
        <w:jc w:val="left"/>
        <w:rPr>
          <w:sz w:val="24"/>
        </w:rPr>
      </w:pPr>
      <w:r>
        <w:rPr/>
        <w:br w:type="column"/>
      </w:r>
      <w:r>
        <w:rPr>
          <w:rFonts w:ascii="MS UI Gothic" w:hAnsi="MS UI Gothic" w:eastAsia="MS UI Gothic" w:hint="eastAsia"/>
          <w:spacing w:val="-152"/>
          <w:w w:val="100"/>
          <w:position w:val="-1"/>
          <w:sz w:val="28"/>
        </w:rPr>
        <w:t>③</w:t>
      </w:r>
      <w:r>
        <w:rPr>
          <w:w w:val="118"/>
          <w:sz w:val="24"/>
        </w:rPr>
        <w:t>．職員在擬使其升等之等級上，須符合一定之資</w:t>
      </w:r>
    </w:p>
    <w:p>
      <w:pPr>
        <w:spacing w:after="0"/>
        <w:jc w:val="left"/>
        <w:rPr>
          <w:sz w:val="24"/>
        </w:rPr>
        <w:sectPr>
          <w:type w:val="continuous"/>
          <w:pgSz w:w="11910" w:h="16840"/>
          <w:pgMar w:top="1020" w:bottom="280" w:left="1120" w:right="1060"/>
          <w:cols w:num="2" w:equalWidth="0">
            <w:col w:w="2980" w:space="40"/>
            <w:col w:w="6710"/>
          </w:cols>
        </w:sectPr>
      </w:pPr>
    </w:p>
    <w:p>
      <w:pPr>
        <w:spacing w:line="328" w:lineRule="auto" w:before="98"/>
        <w:ind w:left="306" w:right="404" w:hanging="4"/>
        <w:jc w:val="left"/>
        <w:rPr>
          <w:sz w:val="24"/>
        </w:rPr>
      </w:pPr>
      <w:r>
        <w:rPr>
          <w:w w:val="105"/>
          <w:sz w:val="24"/>
        </w:rPr>
        <w:t>格要件，以及在升等前之職務等級上，原則上已經在職一定年數以上。在    </w:t>
      </w:r>
      <w:r>
        <w:rPr>
          <w:spacing w:val="68"/>
          <w:w w:val="105"/>
          <w:sz w:val="24"/>
        </w:rPr>
        <w:t> </w:t>
      </w:r>
      <w:r>
        <w:rPr>
          <w:spacing w:val="8"/>
          <w:position w:val="2"/>
          <w:sz w:val="24"/>
        </w:rPr>
        <w:t>本案中 </w:t>
      </w:r>
      <w:r>
        <w:rPr>
          <w:spacing w:val="20"/>
          <w:w w:val="95"/>
          <w:position w:val="2"/>
          <w:sz w:val="24"/>
        </w:rPr>
        <w:t>，被 告 </w:t>
      </w:r>
      <w:r>
        <w:rPr>
          <w:rFonts w:ascii="Arial" w:hAnsi="Arial" w:eastAsia="Arial"/>
          <w:position w:val="2"/>
          <w:sz w:val="28"/>
        </w:rPr>
        <w:t>Y</w:t>
      </w:r>
      <w:r>
        <w:rPr>
          <w:rFonts w:ascii="Arial" w:hAnsi="Arial" w:eastAsia="Arial"/>
          <w:spacing w:val="-23"/>
          <w:position w:val="2"/>
          <w:sz w:val="28"/>
        </w:rPr>
        <w:t> </w:t>
      </w:r>
      <w:r>
        <w:rPr>
          <w:spacing w:val="-22"/>
          <w:position w:val="2"/>
          <w:sz w:val="24"/>
        </w:rPr>
        <w:t>市 </w:t>
      </w:r>
      <w:r>
        <w:rPr>
          <w:spacing w:val="14"/>
          <w:w w:val="95"/>
          <w:position w:val="2"/>
          <w:sz w:val="24"/>
        </w:rPr>
        <w:t>，並 未 規 </w:t>
      </w:r>
      <w:r>
        <w:rPr>
          <w:spacing w:val="17"/>
          <w:position w:val="2"/>
          <w:sz w:val="24"/>
        </w:rPr>
        <w:t>定有關</w:t>
      </w:r>
      <w:r>
        <w:rPr>
          <w:rFonts w:ascii="MS UI Gothic" w:hAnsi="MS UI Gothic" w:eastAsia="MS UI Gothic" w:hint="eastAsia"/>
          <w:spacing w:val="13"/>
          <w:sz w:val="28"/>
        </w:rPr>
        <w:t>②</w:t>
      </w:r>
      <w:r>
        <w:rPr>
          <w:position w:val="2"/>
          <w:sz w:val="24"/>
        </w:rPr>
        <w:t>級別編制的一定員額。其次，有關</w:t>
      </w:r>
      <w:r>
        <w:rPr>
          <w:rFonts w:ascii="MS UI Gothic" w:hAnsi="MS UI Gothic" w:eastAsia="MS UI Gothic" w:hint="eastAsia"/>
          <w:sz w:val="28"/>
        </w:rPr>
        <w:t>③</w:t>
      </w:r>
      <w:r>
        <w:rPr>
          <w:position w:val="2"/>
          <w:sz w:val="24"/>
        </w:rPr>
        <w:t>．</w:t>
      </w:r>
    </w:p>
    <w:p>
      <w:pPr>
        <w:pStyle w:val="BodyText"/>
        <w:spacing w:before="5"/>
        <w:rPr>
          <w:sz w:val="26"/>
        </w:rPr>
      </w:pPr>
    </w:p>
    <w:p>
      <w:pPr>
        <w:spacing w:line="247" w:lineRule="auto" w:before="89"/>
        <w:ind w:left="521" w:right="585" w:hanging="223"/>
        <w:jc w:val="both"/>
        <w:rPr>
          <w:sz w:val="22"/>
        </w:rPr>
      </w:pPr>
      <w:r>
        <w:rPr>
          <w:rFonts w:ascii="Times New Roman" w:eastAsia="Times New Roman"/>
          <w:w w:val="99"/>
          <w:position w:val="7"/>
          <w:sz w:val="13"/>
        </w:rPr>
        <w:t>183</w:t>
      </w:r>
      <w:r>
        <w:rPr>
          <w:rFonts w:ascii="Times New Roman" w:eastAsia="Times New Roman"/>
          <w:spacing w:val="-2"/>
          <w:position w:val="7"/>
          <w:sz w:val="13"/>
        </w:rPr>
        <w:t>    </w:t>
      </w:r>
      <w:r>
        <w:rPr>
          <w:w w:val="88"/>
          <w:sz w:val="21"/>
        </w:rPr>
        <w:t>日本</w:t>
      </w:r>
      <w:r>
        <w:rPr>
          <w:spacing w:val="-9"/>
          <w:sz w:val="21"/>
        </w:rPr>
        <w:t> </w:t>
      </w:r>
      <w:r>
        <w:rPr>
          <w:spacing w:val="22"/>
          <w:w w:val="107"/>
          <w:sz w:val="21"/>
        </w:rPr>
        <w:t>名</w:t>
      </w:r>
      <w:r>
        <w:rPr>
          <w:spacing w:val="13"/>
          <w:w w:val="105"/>
          <w:sz w:val="21"/>
        </w:rPr>
        <w:t>古</w:t>
      </w:r>
      <w:r>
        <w:rPr>
          <w:spacing w:val="35"/>
          <w:w w:val="107"/>
          <w:sz w:val="21"/>
        </w:rPr>
        <w:t>屋</w:t>
      </w:r>
      <w:r>
        <w:rPr>
          <w:spacing w:val="44"/>
          <w:w w:val="93"/>
          <w:sz w:val="21"/>
        </w:rPr>
        <w:t>高</w:t>
      </w:r>
      <w:r>
        <w:rPr>
          <w:w w:val="96"/>
          <w:sz w:val="21"/>
        </w:rPr>
        <w:t>等法</w:t>
      </w:r>
      <w:r>
        <w:rPr>
          <w:spacing w:val="-32"/>
          <w:sz w:val="21"/>
        </w:rPr>
        <w:t> </w:t>
      </w:r>
      <w:r>
        <w:rPr>
          <w:spacing w:val="-10"/>
          <w:w w:val="106"/>
          <w:sz w:val="21"/>
        </w:rPr>
        <w:t>浣</w:t>
      </w:r>
      <w:r>
        <w:rPr>
          <w:rFonts w:ascii="Times New Roman" w:eastAsia="Times New Roman"/>
          <w:w w:val="97"/>
          <w:sz w:val="26"/>
        </w:rPr>
        <w:t>198</w:t>
      </w:r>
      <w:r>
        <w:rPr>
          <w:rFonts w:ascii="Times New Roman" w:eastAsia="Times New Roman"/>
          <w:spacing w:val="-115"/>
          <w:w w:val="97"/>
          <w:sz w:val="26"/>
        </w:rPr>
        <w:t>3</w:t>
      </w:r>
      <w:r>
        <w:rPr>
          <w:w w:val="96"/>
          <w:sz w:val="21"/>
        </w:rPr>
        <w:t>（昭</w:t>
      </w:r>
      <w:r>
        <w:rPr>
          <w:spacing w:val="-52"/>
          <w:sz w:val="21"/>
        </w:rPr>
        <w:t> </w:t>
      </w:r>
      <w:r>
        <w:rPr>
          <w:spacing w:val="14"/>
          <w:w w:val="108"/>
          <w:sz w:val="21"/>
        </w:rPr>
        <w:t>和</w:t>
      </w:r>
      <w:r>
        <w:rPr>
          <w:rFonts w:ascii="Times New Roman" w:eastAsia="Times New Roman"/>
          <w:w w:val="94"/>
          <w:sz w:val="26"/>
        </w:rPr>
        <w:t>58)</w:t>
      </w:r>
      <w:r>
        <w:rPr>
          <w:rFonts w:ascii="Times New Roman" w:eastAsia="Times New Roman"/>
          <w:spacing w:val="-23"/>
          <w:sz w:val="26"/>
        </w:rPr>
        <w:t> </w:t>
      </w:r>
      <w:r>
        <w:rPr>
          <w:spacing w:val="8"/>
          <w:w w:val="108"/>
          <w:sz w:val="21"/>
        </w:rPr>
        <w:t>年</w:t>
      </w:r>
      <w:r>
        <w:rPr>
          <w:rFonts w:ascii="Times New Roman" w:eastAsia="Times New Roman"/>
          <w:spacing w:val="20"/>
          <w:w w:val="88"/>
          <w:sz w:val="26"/>
        </w:rPr>
        <w:t>4</w:t>
      </w:r>
      <w:r>
        <w:rPr>
          <w:w w:val="91"/>
          <w:sz w:val="21"/>
        </w:rPr>
        <w:t>月</w:t>
      </w:r>
      <w:r>
        <w:rPr>
          <w:spacing w:val="-68"/>
          <w:sz w:val="21"/>
        </w:rPr>
        <w:t> </w:t>
      </w:r>
      <w:r>
        <w:rPr>
          <w:rFonts w:ascii="Times New Roman" w:eastAsia="Times New Roman"/>
          <w:spacing w:val="-2"/>
          <w:w w:val="82"/>
          <w:sz w:val="26"/>
        </w:rPr>
        <w:t>2</w:t>
      </w:r>
      <w:r>
        <w:rPr>
          <w:rFonts w:ascii="Times New Roman" w:eastAsia="Times New Roman"/>
          <w:spacing w:val="8"/>
          <w:w w:val="104"/>
          <w:sz w:val="26"/>
        </w:rPr>
        <w:t>8</w:t>
      </w:r>
      <w:r>
        <w:rPr>
          <w:w w:val="88"/>
          <w:sz w:val="21"/>
        </w:rPr>
        <w:t>日</w:t>
      </w:r>
      <w:r>
        <w:rPr>
          <w:spacing w:val="-57"/>
          <w:sz w:val="21"/>
        </w:rPr>
        <w:t> </w:t>
      </w:r>
      <w:r>
        <w:rPr>
          <w:spacing w:val="11"/>
          <w:w w:val="104"/>
          <w:sz w:val="21"/>
        </w:rPr>
        <w:t>判決</w:t>
      </w:r>
      <w:r>
        <w:rPr>
          <w:spacing w:val="-21"/>
          <w:sz w:val="21"/>
        </w:rPr>
        <w:t> </w:t>
      </w:r>
      <w:r>
        <w:rPr>
          <w:w w:val="66"/>
          <w:sz w:val="21"/>
        </w:rPr>
        <w:t>，</w:t>
      </w:r>
      <w:r>
        <w:rPr>
          <w:spacing w:val="-63"/>
          <w:sz w:val="21"/>
        </w:rPr>
        <w:t> </w:t>
      </w:r>
      <w:r>
        <w:rPr>
          <w:spacing w:val="38"/>
          <w:w w:val="95"/>
          <w:sz w:val="21"/>
        </w:rPr>
        <w:t>出</w:t>
      </w:r>
      <w:r>
        <w:rPr>
          <w:spacing w:val="-6"/>
          <w:w w:val="85"/>
          <w:sz w:val="21"/>
        </w:rPr>
        <w:t>自</w:t>
      </w:r>
      <w:r>
        <w:rPr>
          <w:w w:val="109"/>
          <w:sz w:val="21"/>
        </w:rPr>
        <w:t>：</w:t>
      </w:r>
      <w:r>
        <w:rPr>
          <w:spacing w:val="-35"/>
          <w:sz w:val="21"/>
        </w:rPr>
        <w:t> </w:t>
      </w:r>
      <w:r>
        <w:rPr>
          <w:spacing w:val="20"/>
          <w:w w:val="109"/>
          <w:sz w:val="21"/>
        </w:rPr>
        <w:t>塩野</w:t>
      </w:r>
      <w:r>
        <w:rPr>
          <w:w w:val="98"/>
          <w:sz w:val="21"/>
        </w:rPr>
        <w:t>宏＝</w:t>
      </w:r>
      <w:r>
        <w:rPr>
          <w:spacing w:val="-42"/>
          <w:sz w:val="21"/>
        </w:rPr>
        <w:t> </w:t>
      </w:r>
      <w:r>
        <w:rPr>
          <w:w w:val="102"/>
          <w:sz w:val="21"/>
        </w:rPr>
        <w:t>管野和</w:t>
      </w:r>
      <w:r>
        <w:rPr>
          <w:spacing w:val="-36"/>
          <w:sz w:val="21"/>
        </w:rPr>
        <w:t> </w:t>
      </w:r>
      <w:r>
        <w:rPr>
          <w:spacing w:val="6"/>
          <w:w w:val="110"/>
          <w:sz w:val="21"/>
        </w:rPr>
        <w:t>夫</w:t>
      </w:r>
      <w:r>
        <w:rPr>
          <w:spacing w:val="10"/>
          <w:w w:val="109"/>
          <w:sz w:val="21"/>
        </w:rPr>
        <w:t>＝</w:t>
      </w:r>
      <w:r>
        <w:rPr>
          <w:w w:val="109"/>
          <w:sz w:val="21"/>
        </w:rPr>
        <w:t>田</w:t>
      </w:r>
      <w:r>
        <w:rPr>
          <w:w w:val="95"/>
          <w:sz w:val="21"/>
        </w:rPr>
        <w:t>中舘 照橘 編 ，公務 員 判例百選［</w:t>
      </w:r>
      <w:r>
        <w:rPr>
          <w:spacing w:val="-31"/>
          <w:w w:val="95"/>
          <w:sz w:val="21"/>
        </w:rPr>
        <w:t>別冊， </w:t>
      </w:r>
      <w:r>
        <w:rPr>
          <w:rFonts w:ascii="Times New Roman" w:eastAsia="Times New Roman"/>
          <w:w w:val="95"/>
          <w:sz w:val="19"/>
        </w:rPr>
        <w:t>.1</w:t>
      </w:r>
      <w:r>
        <w:rPr>
          <w:rFonts w:ascii="Times New Roman" w:eastAsia="Times New Roman"/>
          <w:spacing w:val="46"/>
          <w:sz w:val="19"/>
        </w:rPr>
        <w:t> </w:t>
      </w:r>
      <w:r>
        <w:rPr>
          <w:rFonts w:ascii="Times New Roman" w:eastAsia="Times New Roman"/>
          <w:w w:val="95"/>
          <w:sz w:val="19"/>
        </w:rPr>
        <w:t>')</w:t>
      </w:r>
      <w:r>
        <w:rPr>
          <w:rFonts w:ascii="Times New Roman" w:eastAsia="Times New Roman"/>
          <w:spacing w:val="70"/>
          <w:sz w:val="19"/>
        </w:rPr>
        <w:t> </w:t>
      </w:r>
      <w:r>
        <w:rPr>
          <w:spacing w:val="9"/>
          <w:w w:val="95"/>
          <w:sz w:val="17"/>
        </w:rPr>
        <w:t>又 卜</w:t>
      </w:r>
      <w:r>
        <w:rPr>
          <w:rFonts w:ascii="Arial" w:eastAsia="Arial"/>
          <w:w w:val="95"/>
          <w:sz w:val="24"/>
        </w:rPr>
        <w:t>No</w:t>
      </w:r>
      <w:r>
        <w:rPr>
          <w:rFonts w:ascii="Arial" w:eastAsia="Arial"/>
          <w:spacing w:val="-8"/>
          <w:w w:val="95"/>
          <w:sz w:val="24"/>
        </w:rPr>
        <w:t>. </w:t>
      </w:r>
      <w:r>
        <w:rPr>
          <w:rFonts w:ascii="Times New Roman" w:eastAsia="Times New Roman"/>
          <w:w w:val="95"/>
          <w:sz w:val="26"/>
        </w:rPr>
        <w:t>88],</w:t>
      </w:r>
      <w:r>
        <w:rPr>
          <w:rFonts w:ascii="Times New Roman" w:eastAsia="Times New Roman"/>
          <w:spacing w:val="30"/>
          <w:w w:val="95"/>
          <w:sz w:val="26"/>
        </w:rPr>
        <w:t> </w:t>
      </w:r>
      <w:r>
        <w:rPr>
          <w:rFonts w:ascii="Times New Roman" w:eastAsia="Times New Roman"/>
          <w:w w:val="95"/>
          <w:sz w:val="26"/>
        </w:rPr>
        <w:t>1</w:t>
      </w:r>
      <w:r>
        <w:rPr>
          <w:spacing w:val="8"/>
          <w:w w:val="95"/>
          <w:sz w:val="21"/>
        </w:rPr>
        <w:t>版 ，</w:t>
      </w:r>
      <w:r>
        <w:rPr>
          <w:rFonts w:ascii="Times New Roman" w:eastAsia="Times New Roman"/>
          <w:w w:val="95"/>
          <w:sz w:val="26"/>
        </w:rPr>
        <w:t>1986</w:t>
      </w:r>
      <w:r>
        <w:rPr>
          <w:w w:val="95"/>
          <w:sz w:val="21"/>
        </w:rPr>
        <w:t>年</w:t>
      </w:r>
      <w:r>
        <w:rPr>
          <w:rFonts w:ascii="Arial" w:eastAsia="Arial"/>
          <w:spacing w:val="17"/>
          <w:w w:val="95"/>
          <w:sz w:val="24"/>
        </w:rPr>
        <w:t>4</w:t>
      </w:r>
      <w:r>
        <w:rPr>
          <w:spacing w:val="32"/>
          <w:w w:val="95"/>
          <w:sz w:val="21"/>
        </w:rPr>
        <w:t>月</w:t>
      </w:r>
      <w:r>
        <w:rPr>
          <w:rFonts w:ascii="Times New Roman" w:eastAsia="Times New Roman"/>
          <w:w w:val="95"/>
          <w:sz w:val="26"/>
        </w:rPr>
        <w:t>30</w:t>
      </w:r>
      <w:r>
        <w:rPr>
          <w:spacing w:val="-7"/>
          <w:w w:val="95"/>
          <w:sz w:val="21"/>
        </w:rPr>
        <w:t>日 ， 有</w:t>
      </w:r>
      <w:r>
        <w:rPr>
          <w:spacing w:val="1"/>
          <w:w w:val="90"/>
          <w:sz w:val="22"/>
        </w:rPr>
        <w:t>斐閣 ，頁 </w:t>
      </w:r>
      <w:r>
        <w:rPr>
          <w:rFonts w:ascii="Times New Roman" w:eastAsia="Times New Roman"/>
          <w:w w:val="90"/>
          <w:sz w:val="26"/>
        </w:rPr>
        <w:t>40-</w:t>
      </w:r>
      <w:r>
        <w:rPr>
          <w:rFonts w:ascii="Times New Roman" w:eastAsia="Times New Roman"/>
          <w:spacing w:val="-2"/>
          <w:w w:val="90"/>
          <w:sz w:val="26"/>
        </w:rPr>
        <w:t> </w:t>
      </w:r>
      <w:r>
        <w:rPr>
          <w:rFonts w:ascii="Times New Roman" w:eastAsia="Times New Roman"/>
          <w:w w:val="90"/>
          <w:sz w:val="26"/>
        </w:rPr>
        <w:t>41</w:t>
      </w:r>
      <w:r>
        <w:rPr>
          <w:w w:val="90"/>
          <w:sz w:val="21"/>
        </w:rPr>
        <w:t>（</w:t>
      </w:r>
      <w:r>
        <w:rPr>
          <w:spacing w:val="-11"/>
          <w:w w:val="90"/>
          <w:sz w:val="21"/>
        </w:rPr>
        <w:t> 洩倉 </w:t>
      </w:r>
      <w:r>
        <w:rPr>
          <w:rFonts w:ascii="Times New Roman" w:eastAsia="Times New Roman"/>
          <w:w w:val="90"/>
          <w:sz w:val="26"/>
        </w:rPr>
        <w:t>L:</w:t>
      </w:r>
      <w:r>
        <w:rPr>
          <w:spacing w:val="-2"/>
          <w:w w:val="90"/>
          <w:sz w:val="22"/>
        </w:rPr>
        <w:t>？ 子 執筆</w:t>
      </w:r>
      <w:r>
        <w:rPr>
          <w:w w:val="90"/>
          <w:sz w:val="22"/>
        </w:rPr>
        <w:t>）。</w:t>
      </w:r>
    </w:p>
    <w:p>
      <w:pPr>
        <w:spacing w:after="0" w:line="247" w:lineRule="auto"/>
        <w:jc w:val="both"/>
        <w:rPr>
          <w:sz w:val="22"/>
        </w:rPr>
        <w:sectPr>
          <w:type w:val="continuous"/>
          <w:pgSz w:w="11910" w:h="16840"/>
          <w:pgMar w:top="1020" w:bottom="280" w:left="1120" w:right="1060"/>
        </w:sectPr>
      </w:pPr>
    </w:p>
    <w:p>
      <w:pPr>
        <w:pStyle w:val="BodyText"/>
        <w:spacing w:before="3"/>
      </w:pPr>
    </w:p>
    <w:p>
      <w:pPr>
        <w:spacing w:before="88"/>
        <w:ind w:left="339" w:right="0" w:firstLine="0"/>
        <w:jc w:val="left"/>
        <w:rPr>
          <w:sz w:val="25"/>
        </w:rPr>
      </w:pPr>
      <w:r>
        <w:rPr>
          <w:rFonts w:ascii="Times New Roman" w:eastAsia="Times New Roman"/>
          <w:spacing w:val="34"/>
          <w:w w:val="95"/>
          <w:sz w:val="30"/>
        </w:rPr>
        <w:t>X</w:t>
      </w:r>
      <w:r>
        <w:rPr>
          <w:spacing w:val="-17"/>
          <w:w w:val="95"/>
          <w:sz w:val="25"/>
        </w:rPr>
        <w:t>在 </w:t>
      </w:r>
      <w:r>
        <w:rPr>
          <w:rFonts w:ascii="Times New Roman" w:eastAsia="Times New Roman"/>
          <w:w w:val="95"/>
          <w:sz w:val="30"/>
        </w:rPr>
        <w:t>1969</w:t>
      </w:r>
      <w:r>
        <w:rPr>
          <w:rFonts w:ascii="Times New Roman" w:eastAsia="Times New Roman"/>
          <w:spacing w:val="13"/>
          <w:w w:val="95"/>
          <w:sz w:val="30"/>
        </w:rPr>
        <w:t> </w:t>
      </w:r>
      <w:r>
        <w:rPr>
          <w:spacing w:val="-13"/>
          <w:w w:val="95"/>
          <w:sz w:val="25"/>
        </w:rPr>
        <w:t>年 </w:t>
      </w:r>
      <w:r>
        <w:rPr>
          <w:rFonts w:ascii="Times New Roman" w:eastAsia="Times New Roman"/>
          <w:w w:val="95"/>
          <w:sz w:val="30"/>
        </w:rPr>
        <w:t>4</w:t>
      </w:r>
      <w:r>
        <w:rPr>
          <w:rFonts w:ascii="Times New Roman" w:eastAsia="Times New Roman"/>
          <w:spacing w:val="39"/>
          <w:w w:val="95"/>
          <w:sz w:val="30"/>
        </w:rPr>
        <w:t> </w:t>
      </w:r>
      <w:r>
        <w:rPr>
          <w:spacing w:val="15"/>
          <w:w w:val="95"/>
          <w:sz w:val="25"/>
        </w:rPr>
        <w:t>月 </w:t>
      </w:r>
      <w:r>
        <w:rPr>
          <w:rFonts w:ascii="Times New Roman" w:eastAsia="Times New Roman"/>
          <w:w w:val="95"/>
          <w:sz w:val="30"/>
        </w:rPr>
        <w:t>l</w:t>
      </w:r>
      <w:r>
        <w:rPr>
          <w:rFonts w:ascii="Times New Roman" w:eastAsia="Times New Roman"/>
          <w:spacing w:val="12"/>
          <w:w w:val="95"/>
          <w:sz w:val="30"/>
        </w:rPr>
        <w:t> </w:t>
      </w:r>
      <w:r>
        <w:rPr>
          <w:spacing w:val="-4"/>
          <w:w w:val="95"/>
          <w:sz w:val="25"/>
        </w:rPr>
        <w:t>日 當時 ， 已經具備升等 </w:t>
      </w:r>
      <w:r>
        <w:rPr>
          <w:rFonts w:ascii="Times New Roman" w:eastAsia="Times New Roman"/>
          <w:w w:val="95"/>
          <w:sz w:val="30"/>
        </w:rPr>
        <w:t>4</w:t>
      </w:r>
      <w:r>
        <w:rPr>
          <w:rFonts w:ascii="Times New Roman" w:eastAsia="Times New Roman"/>
          <w:spacing w:val="42"/>
          <w:w w:val="95"/>
          <w:sz w:val="30"/>
        </w:rPr>
        <w:t> </w:t>
      </w:r>
      <w:r>
        <w:rPr>
          <w:w w:val="95"/>
          <w:sz w:val="25"/>
        </w:rPr>
        <w:t>等之 必要經檢年資 。</w:t>
      </w:r>
    </w:p>
    <w:p>
      <w:pPr>
        <w:pStyle w:val="BodyText"/>
        <w:spacing w:line="309" w:lineRule="auto" w:before="86"/>
        <w:ind w:left="296" w:right="447" w:firstLine="605"/>
      </w:pPr>
      <w:r>
        <w:rPr>
          <w:rFonts w:ascii="Arial" w:eastAsia="Arial"/>
          <w:spacing w:val="36"/>
          <w:w w:val="95"/>
          <w:sz w:val="28"/>
        </w:rPr>
        <w:t>X</w:t>
      </w:r>
      <w:r>
        <w:rPr>
          <w:spacing w:val="5"/>
          <w:w w:val="95"/>
        </w:rPr>
        <w:t>在原審主張 ， </w:t>
      </w:r>
      <w:r>
        <w:rPr>
          <w:rFonts w:ascii="Arial" w:eastAsia="Arial"/>
          <w:w w:val="95"/>
          <w:sz w:val="28"/>
        </w:rPr>
        <w:t>Y</w:t>
      </w:r>
      <w:r>
        <w:rPr>
          <w:rFonts w:ascii="Arial" w:eastAsia="Arial"/>
          <w:spacing w:val="-25"/>
          <w:w w:val="95"/>
          <w:sz w:val="28"/>
        </w:rPr>
        <w:t> </w:t>
      </w:r>
      <w:r>
        <w:rPr>
          <w:spacing w:val="-7"/>
          <w:w w:val="95"/>
        </w:rPr>
        <w:t>市在 </w:t>
      </w:r>
      <w:r>
        <w:rPr>
          <w:rFonts w:ascii="Times New Roman" w:eastAsia="Times New Roman"/>
          <w:w w:val="95"/>
          <w:sz w:val="30"/>
        </w:rPr>
        <w:t>1970</w:t>
      </w:r>
      <w:r>
        <w:rPr>
          <w:rFonts w:ascii="Times New Roman" w:eastAsia="Times New Roman"/>
          <w:spacing w:val="34"/>
          <w:w w:val="95"/>
          <w:sz w:val="30"/>
        </w:rPr>
        <w:t> </w:t>
      </w:r>
      <w:r>
        <w:rPr>
          <w:spacing w:val="-5"/>
          <w:w w:val="95"/>
        </w:rPr>
        <w:t>年以及 </w:t>
      </w:r>
      <w:r>
        <w:rPr>
          <w:rFonts w:ascii="Times New Roman" w:eastAsia="Times New Roman"/>
          <w:w w:val="95"/>
          <w:sz w:val="30"/>
        </w:rPr>
        <w:t>1971</w:t>
      </w:r>
      <w:r>
        <w:rPr>
          <w:rFonts w:ascii="Times New Roman" w:eastAsia="Times New Roman"/>
          <w:spacing w:val="11"/>
          <w:w w:val="95"/>
          <w:sz w:val="30"/>
        </w:rPr>
        <w:t> </w:t>
      </w:r>
      <w:r>
        <w:rPr>
          <w:spacing w:val="-14"/>
          <w:w w:val="95"/>
        </w:rPr>
        <w:t>年 </w:t>
      </w:r>
      <w:r>
        <w:rPr>
          <w:rFonts w:ascii="Times New Roman" w:eastAsia="Times New Roman"/>
          <w:w w:val="95"/>
          <w:sz w:val="30"/>
        </w:rPr>
        <w:t>4</w:t>
      </w:r>
      <w:r>
        <w:rPr>
          <w:rFonts w:ascii="Times New Roman" w:eastAsia="Times New Roman"/>
          <w:spacing w:val="42"/>
          <w:w w:val="95"/>
          <w:sz w:val="30"/>
        </w:rPr>
        <w:t> </w:t>
      </w:r>
      <w:r>
        <w:rPr>
          <w:spacing w:val="3"/>
          <w:w w:val="95"/>
        </w:rPr>
        <w:t>月實紇 升等時 ， 沒有對</w:t>
      </w:r>
      <w:r>
        <w:rPr>
          <w:rFonts w:ascii="Arial" w:eastAsia="Arial"/>
          <w:sz w:val="28"/>
        </w:rPr>
        <w:t>X</w:t>
      </w:r>
      <w:r>
        <w:rPr>
          <w:rFonts w:ascii="Arial" w:eastAsia="Arial"/>
          <w:spacing w:val="-34"/>
          <w:sz w:val="28"/>
        </w:rPr>
        <w:t> </w:t>
      </w:r>
      <w:r>
        <w:rPr>
          <w:spacing w:val="-4"/>
        </w:rPr>
        <w:t>採取升上四級之升等措 花 ， 乃僅以</w:t>
      </w:r>
      <w:r>
        <w:rPr>
          <w:rFonts w:ascii="Arial" w:eastAsia="Arial"/>
          <w:sz w:val="28"/>
        </w:rPr>
        <w:t>X</w:t>
      </w:r>
      <w:r>
        <w:rPr>
          <w:rFonts w:ascii="Arial" w:eastAsia="Arial"/>
          <w:spacing w:val="-20"/>
          <w:sz w:val="28"/>
        </w:rPr>
        <w:t> </w:t>
      </w:r>
      <w:r>
        <w:rPr>
          <w:spacing w:val="-6"/>
        </w:rPr>
        <w:t>為女性之理由 ， 故意違 反日本 憲法</w:t>
      </w:r>
      <w:r>
        <w:rPr>
          <w:rFonts w:ascii="Times New Roman" w:eastAsia="Times New Roman"/>
          <w:w w:val="90"/>
          <w:sz w:val="30"/>
        </w:rPr>
        <w:t>14</w:t>
      </w:r>
      <w:r>
        <w:rPr>
          <w:rFonts w:ascii="Times New Roman" w:eastAsia="Times New Roman"/>
          <w:spacing w:val="11"/>
          <w:w w:val="90"/>
          <w:sz w:val="30"/>
        </w:rPr>
        <w:t> </w:t>
      </w:r>
      <w:r>
        <w:rPr>
          <w:spacing w:val="-2"/>
          <w:w w:val="90"/>
        </w:rPr>
        <w:t>條 ， 日本 勞基 法第 </w:t>
      </w:r>
      <w:r>
        <w:rPr>
          <w:rFonts w:ascii="Times New Roman" w:eastAsia="Times New Roman"/>
          <w:w w:val="90"/>
          <w:sz w:val="30"/>
        </w:rPr>
        <w:t>4</w:t>
      </w:r>
      <w:r>
        <w:rPr>
          <w:rFonts w:ascii="Times New Roman" w:eastAsia="Times New Roman"/>
          <w:spacing w:val="14"/>
          <w:w w:val="90"/>
          <w:sz w:val="30"/>
        </w:rPr>
        <w:t> </w:t>
      </w:r>
      <w:r>
        <w:rPr>
          <w:spacing w:val="3"/>
          <w:w w:val="90"/>
        </w:rPr>
        <w:t>條 ， </w:t>
      </w:r>
      <w:r>
        <w:rPr>
          <w:rFonts w:ascii="Times New Roman" w:eastAsia="Times New Roman"/>
          <w:w w:val="90"/>
          <w:sz w:val="30"/>
        </w:rPr>
        <w:t>I</w:t>
      </w:r>
      <w:r>
        <w:rPr>
          <w:rFonts w:ascii="Times New Roman" w:eastAsia="Times New Roman"/>
          <w:spacing w:val="95"/>
          <w:sz w:val="30"/>
        </w:rPr>
        <w:t> </w:t>
      </w:r>
      <w:r>
        <w:rPr>
          <w:rFonts w:ascii="Times New Roman" w:eastAsia="Times New Roman"/>
          <w:w w:val="90"/>
          <w:sz w:val="30"/>
        </w:rPr>
        <w:t>LO</w:t>
      </w:r>
      <w:r>
        <w:rPr>
          <w:rFonts w:ascii="Times New Roman" w:eastAsia="Times New Roman"/>
          <w:spacing w:val="99"/>
          <w:sz w:val="30"/>
        </w:rPr>
        <w:t> </w:t>
      </w:r>
      <w:r>
        <w:rPr>
          <w:rFonts w:ascii="Times New Roman" w:eastAsia="Times New Roman"/>
          <w:w w:val="90"/>
          <w:sz w:val="30"/>
        </w:rPr>
        <w:t>100</w:t>
      </w:r>
      <w:r>
        <w:rPr>
          <w:rFonts w:ascii="Times New Roman" w:eastAsia="Times New Roman"/>
          <w:spacing w:val="62"/>
          <w:w w:val="90"/>
          <w:sz w:val="30"/>
        </w:rPr>
        <w:t> </w:t>
      </w:r>
      <w:r>
        <w:rPr>
          <w:spacing w:val="-8"/>
          <w:w w:val="90"/>
        </w:rPr>
        <w:t>號公約 ， 日 本地方公務 員 法 </w:t>
      </w:r>
      <w:r>
        <w:rPr>
          <w:rFonts w:ascii="Times New Roman" w:eastAsia="Times New Roman"/>
          <w:w w:val="90"/>
          <w:sz w:val="30"/>
        </w:rPr>
        <w:t>13</w:t>
      </w:r>
      <w:r>
        <w:rPr>
          <w:rFonts w:ascii="Times New Roman" w:eastAsia="Times New Roman"/>
          <w:spacing w:val="5"/>
          <w:w w:val="90"/>
          <w:sz w:val="30"/>
        </w:rPr>
        <w:t> </w:t>
      </w:r>
      <w:r>
        <w:rPr>
          <w:w w:val="90"/>
        </w:rPr>
        <w:t>條</w:t>
      </w:r>
      <w:r>
        <w:rPr/>
        <w:t>等有關性別平等之規定，為升等之差別行為。由於此等行為屬侵權行為，    </w:t>
      </w:r>
      <w:r>
        <w:rPr>
          <w:spacing w:val="75"/>
        </w:rPr>
        <w:t> </w:t>
      </w:r>
      <w:r>
        <w:rPr>
          <w:spacing w:val="43"/>
          <w:w w:val="95"/>
        </w:rPr>
        <w:t>因此</w:t>
      </w:r>
      <w:r>
        <w:rPr>
          <w:rFonts w:ascii="Times New Roman" w:eastAsia="Times New Roman"/>
          <w:w w:val="95"/>
          <w:sz w:val="30"/>
        </w:rPr>
        <w:t>Y</w:t>
      </w:r>
      <w:r>
        <w:rPr>
          <w:rFonts w:ascii="Times New Roman" w:eastAsia="Times New Roman"/>
          <w:spacing w:val="-15"/>
          <w:w w:val="95"/>
          <w:sz w:val="30"/>
        </w:rPr>
        <w:t> </w:t>
      </w:r>
      <w:r>
        <w:rPr>
          <w:spacing w:val="17"/>
          <w:w w:val="95"/>
        </w:rPr>
        <w:t>市依日本 國賠法第 </w:t>
      </w:r>
      <w:r>
        <w:rPr>
          <w:rFonts w:ascii="Times New Roman" w:eastAsia="Times New Roman"/>
          <w:w w:val="95"/>
          <w:sz w:val="30"/>
        </w:rPr>
        <w:t>l</w:t>
      </w:r>
      <w:r>
        <w:rPr>
          <w:rFonts w:ascii="Times New Roman" w:eastAsia="Times New Roman"/>
          <w:spacing w:val="2"/>
          <w:w w:val="95"/>
          <w:sz w:val="30"/>
        </w:rPr>
        <w:t> </w:t>
      </w:r>
      <w:r>
        <w:rPr>
          <w:spacing w:val="-11"/>
          <w:w w:val="95"/>
        </w:rPr>
        <w:t>條之規定 ， 負 有損 害賠償 責任 。</w:t>
      </w:r>
      <w:r>
        <w:rPr>
          <w:rFonts w:ascii="Times New Roman" w:eastAsia="Times New Roman"/>
          <w:w w:val="95"/>
          <w:sz w:val="30"/>
        </w:rPr>
        <w:t>X</w:t>
      </w:r>
      <w:r>
        <w:rPr>
          <w:rFonts w:ascii="Times New Roman" w:eastAsia="Times New Roman"/>
          <w:spacing w:val="-6"/>
          <w:w w:val="95"/>
          <w:sz w:val="30"/>
        </w:rPr>
        <w:t> </w:t>
      </w:r>
      <w:r>
        <w:rPr>
          <w:spacing w:val="14"/>
          <w:w w:val="95"/>
        </w:rPr>
        <w:t>因此提超請</w:t>
      </w:r>
      <w:r>
        <w:rPr>
          <w:spacing w:val="-3"/>
        </w:rPr>
        <w:t>求支付 ， 若</w:t>
      </w:r>
      <w:r>
        <w:rPr>
          <w:rFonts w:ascii="Arial" w:eastAsia="Arial"/>
          <w:sz w:val="28"/>
        </w:rPr>
        <w:t>X</w:t>
      </w:r>
      <w:r>
        <w:rPr>
          <w:rFonts w:ascii="Arial" w:eastAsia="Arial"/>
          <w:spacing w:val="-13"/>
          <w:sz w:val="28"/>
        </w:rPr>
        <w:t> </w:t>
      </w:r>
      <w:r>
        <w:rPr>
          <w:spacing w:val="-6"/>
        </w:rPr>
        <w:t>遭受差別待遇 ， 即可能受領 之薪資差額之總額 、愆撫金 、律</w:t>
      </w:r>
      <w:r>
        <w:rPr>
          <w:spacing w:val="-2"/>
          <w:w w:val="95"/>
        </w:rPr>
        <w:t>師費用 等損 害賠償 之訴 。</w:t>
      </w:r>
      <w:r>
        <w:rPr>
          <w:rFonts w:ascii="Arial" w:eastAsia="Arial"/>
          <w:spacing w:val="33"/>
          <w:w w:val="95"/>
          <w:sz w:val="26"/>
        </w:rPr>
        <w:t>( </w:t>
      </w:r>
      <w:r>
        <w:rPr>
          <w:rFonts w:ascii="Arial" w:eastAsia="Arial"/>
          <w:w w:val="95"/>
          <w:sz w:val="26"/>
        </w:rPr>
        <w:t>X</w:t>
      </w:r>
      <w:r>
        <w:rPr>
          <w:rFonts w:ascii="Arial" w:eastAsia="Arial"/>
          <w:spacing w:val="9"/>
          <w:w w:val="95"/>
          <w:sz w:val="26"/>
        </w:rPr>
        <w:t> </w:t>
      </w:r>
      <w:r>
        <w:rPr>
          <w:spacing w:val="-1"/>
          <w:w w:val="95"/>
        </w:rPr>
        <w:t>在提超本訴訟之後 ， 已於 </w:t>
      </w:r>
      <w:r>
        <w:rPr>
          <w:rFonts w:ascii="Times New Roman" w:eastAsia="Times New Roman"/>
          <w:w w:val="95"/>
          <w:sz w:val="30"/>
        </w:rPr>
        <w:t>1973</w:t>
      </w:r>
      <w:r>
        <w:rPr>
          <w:rFonts w:ascii="Times New Roman" w:eastAsia="Times New Roman"/>
          <w:spacing w:val="14"/>
          <w:w w:val="95"/>
          <w:sz w:val="30"/>
        </w:rPr>
        <w:t> </w:t>
      </w:r>
      <w:r>
        <w:rPr>
          <w:spacing w:val="-13"/>
          <w:w w:val="95"/>
        </w:rPr>
        <w:t>年 </w:t>
      </w:r>
      <w:r>
        <w:rPr>
          <w:rFonts w:ascii="Times New Roman" w:eastAsia="Times New Roman"/>
          <w:w w:val="95"/>
          <w:sz w:val="30"/>
        </w:rPr>
        <w:t>10</w:t>
      </w:r>
      <w:r>
        <w:rPr>
          <w:rFonts w:ascii="Times New Roman" w:eastAsia="Times New Roman"/>
          <w:spacing w:val="55"/>
          <w:w w:val="95"/>
          <w:sz w:val="30"/>
        </w:rPr>
        <w:t> </w:t>
      </w:r>
      <w:r>
        <w:rPr>
          <w:spacing w:val="25"/>
          <w:w w:val="95"/>
        </w:rPr>
        <w:t>月升等</w:t>
      </w:r>
      <w:r>
        <w:rPr>
          <w:spacing w:val="-14"/>
        </w:rPr>
        <w:t>為 </w:t>
      </w:r>
      <w:r>
        <w:rPr>
          <w:rFonts w:ascii="Times New Roman" w:eastAsia="Times New Roman"/>
          <w:sz w:val="30"/>
        </w:rPr>
        <w:t>4</w:t>
      </w:r>
      <w:r>
        <w:rPr>
          <w:rFonts w:ascii="Times New Roman" w:eastAsia="Times New Roman"/>
          <w:spacing w:val="4"/>
          <w:sz w:val="30"/>
        </w:rPr>
        <w:t> </w:t>
      </w:r>
      <w:r>
        <w:rPr>
          <w:spacing w:val="-2"/>
        </w:rPr>
        <w:t>級 </w:t>
      </w:r>
      <w:r>
        <w:rPr>
          <w:rFonts w:ascii="Times New Roman" w:eastAsia="Times New Roman"/>
          <w:sz w:val="30"/>
        </w:rPr>
        <w:t>10</w:t>
      </w:r>
      <w:r>
        <w:rPr>
          <w:rFonts w:ascii="Times New Roman" w:eastAsia="Times New Roman"/>
          <w:spacing w:val="16"/>
          <w:sz w:val="30"/>
        </w:rPr>
        <w:t> </w:t>
      </w:r>
      <w:r>
        <w:rPr>
          <w:spacing w:val="23"/>
        </w:rPr>
        <w:t>號俸</w:t>
      </w:r>
      <w:r>
        <w:rPr/>
        <w:t>）。</w:t>
      </w:r>
    </w:p>
    <w:p>
      <w:pPr>
        <w:pStyle w:val="BodyText"/>
        <w:spacing w:line="309" w:lineRule="auto"/>
        <w:ind w:left="303" w:right="518" w:firstLine="571"/>
        <w:jc w:val="both"/>
      </w:pPr>
      <w:r>
        <w:rPr>
          <w:w w:val="95"/>
        </w:rPr>
        <w:t>對此 </w:t>
      </w:r>
      <w:r>
        <w:rPr>
          <w:spacing w:val="-21"/>
          <w:w w:val="75"/>
        </w:rPr>
        <w:t>， </w:t>
      </w:r>
      <w:r>
        <w:rPr>
          <w:spacing w:val="5"/>
          <w:w w:val="95"/>
        </w:rPr>
        <w:t>一審 津市地方法院於 </w:t>
      </w:r>
      <w:r>
        <w:rPr>
          <w:rFonts w:ascii="Times New Roman" w:eastAsia="Times New Roman"/>
          <w:w w:val="95"/>
          <w:sz w:val="30"/>
        </w:rPr>
        <w:t>1980</w:t>
      </w:r>
      <w:r>
        <w:rPr>
          <w:rFonts w:ascii="Times New Roman" w:eastAsia="Times New Roman"/>
          <w:spacing w:val="32"/>
          <w:w w:val="95"/>
          <w:sz w:val="30"/>
        </w:rPr>
        <w:t> </w:t>
      </w:r>
      <w:r>
        <w:rPr>
          <w:spacing w:val="-12"/>
          <w:w w:val="95"/>
        </w:rPr>
        <w:t>年 </w:t>
      </w:r>
      <w:r>
        <w:rPr>
          <w:rFonts w:ascii="Times New Roman" w:eastAsia="Times New Roman"/>
          <w:w w:val="95"/>
          <w:sz w:val="30"/>
        </w:rPr>
        <w:t>2</w:t>
      </w:r>
      <w:r>
        <w:rPr>
          <w:rFonts w:ascii="Times New Roman" w:eastAsia="Times New Roman"/>
          <w:spacing w:val="34"/>
          <w:w w:val="95"/>
          <w:sz w:val="30"/>
        </w:rPr>
        <w:t> </w:t>
      </w:r>
      <w:r>
        <w:rPr>
          <w:w w:val="95"/>
        </w:rPr>
        <w:t>月 </w:t>
      </w:r>
      <w:r>
        <w:rPr>
          <w:rFonts w:ascii="Times New Roman" w:eastAsia="Times New Roman"/>
          <w:w w:val="95"/>
          <w:sz w:val="30"/>
        </w:rPr>
        <w:t>21</w:t>
      </w:r>
      <w:r>
        <w:rPr>
          <w:rFonts w:ascii="Times New Roman" w:eastAsia="Times New Roman"/>
          <w:spacing w:val="19"/>
          <w:w w:val="95"/>
          <w:sz w:val="30"/>
        </w:rPr>
        <w:t> </w:t>
      </w:r>
      <w:r>
        <w:rPr>
          <w:spacing w:val="-1"/>
          <w:w w:val="95"/>
        </w:rPr>
        <w:t>日 的判決</w:t>
      </w:r>
      <w:r>
        <w:rPr>
          <w:rFonts w:ascii="Times New Roman" w:eastAsia="Times New Roman"/>
          <w:w w:val="75"/>
          <w:sz w:val="15"/>
        </w:rPr>
        <w:t>1</w:t>
      </w:r>
      <w:r>
        <w:rPr>
          <w:rFonts w:ascii="Times New Roman" w:eastAsia="Times New Roman"/>
          <w:spacing w:val="8"/>
          <w:w w:val="75"/>
          <w:sz w:val="15"/>
        </w:rPr>
        <w:t> </w:t>
      </w:r>
      <w:r>
        <w:rPr>
          <w:rFonts w:ascii="Times New Roman" w:eastAsia="Times New Roman"/>
          <w:w w:val="75"/>
          <w:sz w:val="15"/>
        </w:rPr>
        <w:t>84</w:t>
      </w:r>
      <w:r>
        <w:rPr>
          <w:rFonts w:ascii="Times New Roman" w:eastAsia="Times New Roman"/>
          <w:spacing w:val="26"/>
          <w:w w:val="75"/>
          <w:sz w:val="15"/>
        </w:rPr>
        <w:t> </w:t>
      </w:r>
      <w:r>
        <w:rPr>
          <w:spacing w:val="2"/>
          <w:w w:val="95"/>
        </w:rPr>
        <w:t>中 </w:t>
      </w:r>
      <w:r>
        <w:rPr>
          <w:spacing w:val="-27"/>
          <w:w w:val="75"/>
        </w:rPr>
        <w:t>， </w:t>
      </w:r>
      <w:r>
        <w:rPr>
          <w:spacing w:val="-5"/>
          <w:w w:val="95"/>
        </w:rPr>
        <w:t>作出 </w:t>
      </w:r>
      <w:r>
        <w:rPr>
          <w:rFonts w:ascii="Arial" w:eastAsia="Arial"/>
          <w:w w:val="95"/>
          <w:sz w:val="28"/>
        </w:rPr>
        <w:t>Y</w:t>
      </w:r>
      <w:r>
        <w:rPr>
          <w:rFonts w:ascii="Arial" w:eastAsia="Arial"/>
          <w:spacing w:val="-26"/>
          <w:w w:val="95"/>
          <w:sz w:val="28"/>
        </w:rPr>
        <w:t> </w:t>
      </w:r>
      <w:r>
        <w:rPr>
          <w:w w:val="95"/>
        </w:rPr>
        <w:t>巿</w:t>
      </w:r>
      <w:r>
        <w:rPr>
          <w:spacing w:val="-18"/>
          <w:w w:val="95"/>
        </w:rPr>
        <w:t>在 </w:t>
      </w:r>
      <w:r>
        <w:rPr>
          <w:rFonts w:ascii="Times New Roman" w:eastAsia="Times New Roman"/>
          <w:w w:val="95"/>
          <w:sz w:val="30"/>
        </w:rPr>
        <w:t>1971</w:t>
      </w:r>
      <w:r>
        <w:rPr>
          <w:rFonts w:ascii="Times New Roman" w:eastAsia="Times New Roman"/>
          <w:spacing w:val="12"/>
          <w:w w:val="95"/>
          <w:sz w:val="30"/>
        </w:rPr>
        <w:t> </w:t>
      </w:r>
      <w:r>
        <w:rPr>
          <w:spacing w:val="-11"/>
          <w:w w:val="95"/>
        </w:rPr>
        <w:t>年 </w:t>
      </w:r>
      <w:r>
        <w:rPr>
          <w:rFonts w:ascii="Times New Roman" w:eastAsia="Times New Roman"/>
          <w:w w:val="95"/>
          <w:sz w:val="30"/>
        </w:rPr>
        <w:t>4</w:t>
      </w:r>
      <w:r>
        <w:rPr>
          <w:rFonts w:ascii="Times New Roman" w:eastAsia="Times New Roman"/>
          <w:spacing w:val="37"/>
          <w:w w:val="95"/>
          <w:sz w:val="30"/>
        </w:rPr>
        <w:t> </w:t>
      </w:r>
      <w:r>
        <w:rPr>
          <w:spacing w:val="6"/>
          <w:w w:val="95"/>
        </w:rPr>
        <w:t>月的 升等實泥 中 </w:t>
      </w:r>
      <w:r>
        <w:rPr>
          <w:spacing w:val="-23"/>
          <w:w w:val="75"/>
        </w:rPr>
        <w:t>， </w:t>
      </w:r>
      <w:r>
        <w:rPr>
          <w:spacing w:val="11"/>
          <w:w w:val="95"/>
        </w:rPr>
        <w:t>若採取性別平等措 花 </w:t>
      </w:r>
      <w:r>
        <w:rPr>
          <w:spacing w:val="-21"/>
          <w:w w:val="75"/>
        </w:rPr>
        <w:t>， </w:t>
      </w:r>
      <w:r>
        <w:rPr>
          <w:spacing w:val="54"/>
          <w:w w:val="95"/>
        </w:rPr>
        <w:t>則</w:t>
      </w:r>
      <w:r>
        <w:rPr>
          <w:rFonts w:ascii="Times New Roman" w:eastAsia="Times New Roman"/>
          <w:w w:val="95"/>
          <w:sz w:val="30"/>
        </w:rPr>
        <w:t>X</w:t>
      </w:r>
      <w:r>
        <w:rPr>
          <w:rFonts w:ascii="Times New Roman" w:eastAsia="Times New Roman"/>
          <w:spacing w:val="-28"/>
          <w:w w:val="95"/>
          <w:sz w:val="30"/>
        </w:rPr>
        <w:t> </w:t>
      </w:r>
      <w:r>
        <w:rPr>
          <w:spacing w:val="10"/>
          <w:w w:val="95"/>
        </w:rPr>
        <w:t>應為噹然之 升</w:t>
      </w:r>
      <w:r>
        <w:rPr>
          <w:spacing w:val="-10"/>
          <w:w w:val="95"/>
        </w:rPr>
        <w:t>等對 象 </w:t>
      </w:r>
      <w:r>
        <w:rPr>
          <w:spacing w:val="-32"/>
          <w:w w:val="75"/>
        </w:rPr>
        <w:t>， </w:t>
      </w:r>
      <w:r>
        <w:rPr>
          <w:spacing w:val="-2"/>
          <w:w w:val="95"/>
        </w:rPr>
        <w:t>其至少應 升等為接 近上位等級 的 </w:t>
      </w:r>
      <w:r>
        <w:rPr>
          <w:rFonts w:ascii="Times New Roman" w:eastAsia="Times New Roman"/>
          <w:w w:val="95"/>
          <w:sz w:val="30"/>
        </w:rPr>
        <w:t>5</w:t>
      </w:r>
      <w:r>
        <w:rPr>
          <w:rFonts w:ascii="Times New Roman" w:eastAsia="Times New Roman"/>
          <w:spacing w:val="13"/>
          <w:w w:val="95"/>
          <w:sz w:val="30"/>
        </w:rPr>
        <w:t> </w:t>
      </w:r>
      <w:r>
        <w:rPr>
          <w:spacing w:val="9"/>
          <w:w w:val="95"/>
        </w:rPr>
        <w:t>級 </w:t>
      </w:r>
      <w:r>
        <w:rPr>
          <w:rFonts w:ascii="Times New Roman" w:eastAsia="Times New Roman"/>
          <w:w w:val="95"/>
          <w:sz w:val="30"/>
        </w:rPr>
        <w:t>20</w:t>
      </w:r>
      <w:r>
        <w:rPr>
          <w:rFonts w:ascii="Times New Roman" w:eastAsia="Times New Roman"/>
          <w:spacing w:val="46"/>
          <w:w w:val="95"/>
          <w:sz w:val="30"/>
        </w:rPr>
        <w:t> </w:t>
      </w:r>
      <w:r>
        <w:rPr>
          <w:spacing w:val="-3"/>
          <w:w w:val="95"/>
        </w:rPr>
        <w:t>號俸之 </w:t>
      </w:r>
      <w:r>
        <w:rPr>
          <w:rFonts w:ascii="Times New Roman" w:eastAsia="Times New Roman"/>
          <w:w w:val="95"/>
          <w:sz w:val="30"/>
        </w:rPr>
        <w:t>4</w:t>
      </w:r>
      <w:r>
        <w:rPr>
          <w:rFonts w:ascii="Times New Roman" w:eastAsia="Times New Roman"/>
          <w:spacing w:val="18"/>
          <w:w w:val="95"/>
          <w:sz w:val="30"/>
        </w:rPr>
        <w:t> </w:t>
      </w:r>
      <w:r>
        <w:rPr>
          <w:spacing w:val="9"/>
          <w:w w:val="95"/>
        </w:rPr>
        <w:t>級 </w:t>
      </w:r>
      <w:r>
        <w:rPr>
          <w:rFonts w:ascii="Times New Roman" w:eastAsia="Times New Roman"/>
          <w:w w:val="95"/>
          <w:sz w:val="30"/>
        </w:rPr>
        <w:t>10</w:t>
      </w:r>
      <w:r>
        <w:rPr>
          <w:rFonts w:ascii="Times New Roman" w:eastAsia="Times New Roman"/>
          <w:spacing w:val="32"/>
          <w:w w:val="95"/>
          <w:sz w:val="30"/>
        </w:rPr>
        <w:t> </w:t>
      </w:r>
      <w:r>
        <w:rPr>
          <w:spacing w:val="-5"/>
          <w:w w:val="95"/>
        </w:rPr>
        <w:t>號俸 </w:t>
      </w:r>
      <w:r>
        <w:rPr>
          <w:spacing w:val="-32"/>
          <w:w w:val="75"/>
        </w:rPr>
        <w:t>， </w:t>
      </w:r>
      <w:r>
        <w:rPr>
          <w:w w:val="95"/>
        </w:rPr>
        <w:t>對</w:t>
      </w:r>
      <w:r>
        <w:rPr>
          <w:rFonts w:ascii="Arial" w:eastAsia="Arial"/>
          <w:sz w:val="28"/>
        </w:rPr>
        <w:t>X</w:t>
      </w:r>
      <w:r>
        <w:rPr>
          <w:rFonts w:ascii="Arial" w:eastAsia="Arial"/>
          <w:spacing w:val="-27"/>
          <w:sz w:val="28"/>
        </w:rPr>
        <w:t> </w:t>
      </w:r>
      <w:r>
        <w:rPr>
          <w:spacing w:val="-2"/>
        </w:rPr>
        <w:t>之請求 </w:t>
      </w:r>
      <w:r>
        <w:rPr>
          <w:spacing w:val="2"/>
          <w:w w:val="75"/>
        </w:rPr>
        <w:t>，除 </w:t>
      </w:r>
      <w:r>
        <w:rPr>
          <w:spacing w:val="2"/>
        </w:rPr>
        <w:t>薪資差額 相當額之一部 外 </w:t>
      </w:r>
      <w:r>
        <w:rPr>
          <w:spacing w:val="-24"/>
          <w:w w:val="75"/>
        </w:rPr>
        <w:t>， </w:t>
      </w:r>
      <w:r>
        <w:rPr>
          <w:spacing w:val="-3"/>
        </w:rPr>
        <w:t>容許其請求 。對此 </w:t>
      </w:r>
      <w:r>
        <w:rPr>
          <w:spacing w:val="-10"/>
          <w:w w:val="75"/>
        </w:rPr>
        <w:t>， </w:t>
      </w:r>
      <w:r>
        <w:rPr>
          <w:rFonts w:ascii="Arial" w:eastAsia="Arial"/>
          <w:sz w:val="28"/>
        </w:rPr>
        <w:t>Y</w:t>
      </w:r>
      <w:r>
        <w:rPr>
          <w:rFonts w:ascii="Arial" w:eastAsia="Arial"/>
          <w:spacing w:val="-31"/>
          <w:sz w:val="28"/>
        </w:rPr>
        <w:t> </w:t>
      </w:r>
      <w:r>
        <w:rPr>
          <w:spacing w:val="2"/>
        </w:rPr>
        <w:t>巿提超請</w:t>
      </w:r>
      <w:r>
        <w:rPr>
          <w:spacing w:val="14"/>
        </w:rPr>
        <w:t>求廢棄敗訴部份之上訴。</w:t>
      </w:r>
      <w:r>
        <w:rPr>
          <w:rFonts w:ascii="Times New Roman" w:eastAsia="Times New Roman"/>
          <w:sz w:val="30"/>
        </w:rPr>
        <w:t>X</w:t>
      </w:r>
      <w:r>
        <w:rPr>
          <w:rFonts w:ascii="Times New Roman" w:eastAsia="Times New Roman"/>
          <w:spacing w:val="78"/>
          <w:sz w:val="30"/>
        </w:rPr>
        <w:t> </w:t>
      </w:r>
      <w:r>
        <w:rPr>
          <w:spacing w:val="14"/>
        </w:rPr>
        <w:t>則提超請求廢棄遭到駁回之請求部分的附帶上</w:t>
      </w:r>
      <w:r>
        <w:rPr/>
        <w:t>訴。</w:t>
      </w:r>
    </w:p>
    <w:p>
      <w:pPr>
        <w:pStyle w:val="ListParagraph"/>
        <w:numPr>
          <w:ilvl w:val="0"/>
          <w:numId w:val="11"/>
        </w:numPr>
        <w:tabs>
          <w:tab w:pos="1273" w:val="left" w:leader="none"/>
          <w:tab w:pos="1274" w:val="left" w:leader="none"/>
        </w:tabs>
        <w:spacing w:line="240" w:lineRule="auto" w:before="128" w:after="0"/>
        <w:ind w:left="1273" w:right="0" w:hanging="496"/>
        <w:jc w:val="left"/>
        <w:rPr>
          <w:sz w:val="25"/>
        </w:rPr>
      </w:pPr>
      <w:r>
        <w:rPr>
          <w:w w:val="105"/>
          <w:sz w:val="25"/>
        </w:rPr>
        <w:t>判決要旨</w:t>
      </w:r>
    </w:p>
    <w:p>
      <w:pPr>
        <w:pStyle w:val="BodyText"/>
        <w:spacing w:before="6"/>
        <w:rPr>
          <w:sz w:val="17"/>
        </w:rPr>
      </w:pPr>
    </w:p>
    <w:p>
      <w:pPr>
        <w:pStyle w:val="BodyText"/>
        <w:spacing w:line="331" w:lineRule="auto" w:before="65"/>
        <w:ind w:left="304" w:right="518" w:firstLine="573"/>
      </w:pPr>
      <w:r>
        <w:rPr>
          <w:w w:val="110"/>
        </w:rPr>
        <w:t>法院認為，在公務員的勤務關係中的升等，原本係屬任命權人的權</w:t>
      </w:r>
      <w:r>
        <w:rPr>
          <w:spacing w:val="1"/>
          <w:w w:val="110"/>
        </w:rPr>
        <w:t> </w:t>
      </w:r>
      <w:r>
        <w:rPr>
          <w:w w:val="110"/>
        </w:rPr>
        <w:t>限，故公務員並無靖求升等之權利。但任命権人無在沒有任何法律上的合理事由，而作成在社會觀念上顯著恣意而濫用裁量權限的升等行為，則可認定其有損害賠償義務。</w:t>
      </w:r>
    </w:p>
    <w:p>
      <w:pPr>
        <w:pStyle w:val="BodyText"/>
        <w:spacing w:line="324" w:lineRule="auto"/>
        <w:ind w:left="299" w:right="500" w:firstLine="578"/>
      </w:pPr>
      <w:r>
        <w:rPr/>
        <w:t>法院認為，升等乃相噹於任用上的陞遷，特別是在等級標準職務俸玲   </w:t>
      </w:r>
      <w:r>
        <w:rPr>
          <w:spacing w:val="104"/>
        </w:rPr>
        <w:t> </w:t>
      </w:r>
      <w:r>
        <w:rPr/>
        <w:t>為基礎，自陞遷至的上位職位者噹中，加以甄選使其升等，為升等制定之    </w:t>
      </w:r>
      <w:r>
        <w:rPr>
          <w:spacing w:val="57"/>
        </w:rPr>
        <w:t> </w:t>
      </w:r>
      <w:r>
        <w:rPr/>
        <w:t>原本樣貌。因此，於未經陞遷而使其升等之情況，應儘可能遵守地方公務    </w:t>
      </w:r>
      <w:r>
        <w:rPr>
          <w:spacing w:val="57"/>
        </w:rPr>
        <w:t> </w:t>
      </w:r>
      <w:r>
        <w:rPr/>
        <w:t>員法上有關陞遷之規定，或是法律上之一般原則進行甄選。不過，由於在    </w:t>
      </w:r>
      <w:r>
        <w:rPr>
          <w:spacing w:val="57"/>
        </w:rPr>
        <w:t> </w:t>
      </w:r>
      <w:r>
        <w:rPr>
          <w:spacing w:val="13"/>
        </w:rPr>
        <w:t>本件噹中 </w:t>
      </w:r>
      <w:r>
        <w:rPr>
          <w:spacing w:val="-29"/>
          <w:w w:val="95"/>
        </w:rPr>
        <w:t>， </w:t>
      </w:r>
      <w:r>
        <w:rPr>
          <w:spacing w:val="-28"/>
        </w:rPr>
        <w:t>因 </w:t>
      </w:r>
      <w:r>
        <w:rPr>
          <w:rFonts w:ascii="Times New Roman" w:eastAsia="Times New Roman"/>
          <w:sz w:val="30"/>
        </w:rPr>
        <w:t>Y</w:t>
      </w:r>
      <w:r>
        <w:rPr>
          <w:rFonts w:ascii="Times New Roman" w:eastAsia="Times New Roman"/>
          <w:spacing w:val="-31"/>
          <w:sz w:val="30"/>
        </w:rPr>
        <w:t> </w:t>
      </w:r>
      <w:r>
        <w:rPr>
          <w:spacing w:val="8"/>
        </w:rPr>
        <w:t>市明顯並未實花地方公務員 法第 </w:t>
      </w:r>
      <w:r>
        <w:rPr>
          <w:rFonts w:ascii="Times New Roman" w:eastAsia="Times New Roman"/>
          <w:sz w:val="30"/>
        </w:rPr>
        <w:t>40</w:t>
      </w:r>
      <w:r>
        <w:rPr>
          <w:rFonts w:ascii="Times New Roman" w:eastAsia="Times New Roman"/>
          <w:spacing w:val="14"/>
          <w:sz w:val="30"/>
        </w:rPr>
        <w:t> </w:t>
      </w:r>
      <w:r>
        <w:rPr>
          <w:spacing w:val="12"/>
        </w:rPr>
        <w:t>條所定之定期勤務考</w:t>
      </w:r>
      <w:r>
        <w:rPr/>
        <w:t>核，為翦實證明是與能力實證的競爭考試，</w:t>
      </w:r>
    </w:p>
    <w:p>
      <w:pPr>
        <w:pStyle w:val="BodyText"/>
        <w:spacing w:line="326" w:lineRule="auto"/>
        <w:ind w:left="301" w:right="530" w:firstLine="572"/>
        <w:jc w:val="both"/>
      </w:pPr>
      <w:r>
        <w:rPr>
          <w:spacing w:val="19"/>
          <w:w w:val="95"/>
        </w:rPr>
        <w:t>判決中拉 出</w:t>
      </w:r>
      <w:r>
        <w:rPr>
          <w:spacing w:val="-9"/>
          <w:w w:val="80"/>
        </w:rPr>
        <w:t>： </w:t>
      </w:r>
      <w:r>
        <w:rPr>
          <w:rFonts w:ascii="Times New Roman" w:eastAsia="Times New Roman"/>
          <w:w w:val="95"/>
          <w:sz w:val="30"/>
        </w:rPr>
        <w:t>Y</w:t>
      </w:r>
      <w:r>
        <w:rPr>
          <w:rFonts w:ascii="Times New Roman" w:eastAsia="Times New Roman"/>
          <w:spacing w:val="-11"/>
          <w:w w:val="95"/>
          <w:sz w:val="30"/>
        </w:rPr>
        <w:t> </w:t>
      </w:r>
      <w:r>
        <w:rPr>
          <w:spacing w:val="-2"/>
          <w:w w:val="95"/>
        </w:rPr>
        <w:t>市在 </w:t>
      </w:r>
      <w:r>
        <w:rPr>
          <w:rFonts w:ascii="Times New Roman" w:eastAsia="Times New Roman"/>
          <w:w w:val="95"/>
          <w:sz w:val="30"/>
        </w:rPr>
        <w:t>1970</w:t>
      </w:r>
      <w:r>
        <w:rPr>
          <w:rFonts w:ascii="Times New Roman" w:eastAsia="Times New Roman"/>
          <w:spacing w:val="27"/>
          <w:w w:val="95"/>
          <w:sz w:val="30"/>
        </w:rPr>
        <w:t> </w:t>
      </w:r>
      <w:r>
        <w:rPr>
          <w:w w:val="95"/>
        </w:rPr>
        <w:t>、</w:t>
      </w:r>
      <w:r>
        <w:rPr>
          <w:rFonts w:ascii="Times New Roman" w:eastAsia="Times New Roman"/>
          <w:w w:val="95"/>
          <w:sz w:val="30"/>
        </w:rPr>
        <w:t>1971</w:t>
      </w:r>
      <w:r>
        <w:rPr>
          <w:rFonts w:ascii="Times New Roman" w:eastAsia="Times New Roman"/>
          <w:spacing w:val="37"/>
          <w:w w:val="95"/>
          <w:sz w:val="30"/>
        </w:rPr>
        <w:t> </w:t>
      </w:r>
      <w:r>
        <w:rPr>
          <w:spacing w:val="10"/>
          <w:w w:val="95"/>
        </w:rPr>
        <w:t>年間所實施的四級升等甄選中 </w:t>
      </w:r>
      <w:r>
        <w:rPr>
          <w:spacing w:val="18"/>
          <w:w w:val="80"/>
        </w:rPr>
        <w:t>，</w:t>
      </w:r>
      <w:r>
        <w:rPr>
          <w:spacing w:val="10"/>
          <w:w w:val="95"/>
        </w:rPr>
        <w:t>雖不</w:t>
      </w:r>
      <w:r>
        <w:rPr/>
        <w:t>得不謂其係賦予任命権人相噹魔泛的裁量權，但自升等運作之全盤運作觀    </w:t>
      </w:r>
      <w:r>
        <w:rPr>
          <w:spacing w:val="25"/>
        </w:rPr>
        <w:t> </w:t>
      </w:r>
      <w:r>
        <w:rPr/>
        <w:t>之，「尚不能認為任命権人，有顯箸欠缺社會觀念上之妥噹性，逾越逸脫</w:t>
      </w:r>
    </w:p>
    <w:p>
      <w:pPr>
        <w:pStyle w:val="BodyText"/>
        <w:spacing w:before="3"/>
        <w:rPr>
          <w:sz w:val="16"/>
        </w:rPr>
      </w:pPr>
      <w:r>
        <w:rPr/>
        <w:pict>
          <v:shape style="position:absolute;margin-left:95.174004pt;margin-top:12.770465pt;width:144.25pt;height:.1pt;mso-position-horizontal-relative:page;mso-position-vertical-relative:paragraph;z-index:-15576576;mso-wrap-distance-left:0;mso-wrap-distance-right:0" coordorigin="1903,255" coordsize="2885,0" path="m1903,255l4788,255e" filled="false" stroked="true" strokeweight=".720821pt" strokecolor="#000000">
            <v:path arrowok="t"/>
            <v:stroke dashstyle="solid"/>
            <w10:wrap type="topAndBottom"/>
          </v:shape>
        </w:pict>
      </w:r>
    </w:p>
    <w:p>
      <w:pPr>
        <w:pStyle w:val="BodyText"/>
        <w:spacing w:before="7"/>
        <w:rPr>
          <w:sz w:val="7"/>
        </w:rPr>
      </w:pPr>
    </w:p>
    <w:p>
      <w:pPr>
        <w:spacing w:before="89"/>
        <w:ind w:left="298" w:right="0" w:firstLine="0"/>
        <w:jc w:val="left"/>
        <w:rPr>
          <w:sz w:val="24"/>
        </w:rPr>
      </w:pPr>
      <w:r>
        <w:rPr>
          <w:rFonts w:ascii="Times New Roman" w:eastAsia="Times New Roman"/>
          <w:w w:val="90"/>
          <w:position w:val="8"/>
          <w:sz w:val="13"/>
        </w:rPr>
        <w:t>184</w:t>
      </w:r>
      <w:r>
        <w:rPr>
          <w:rFonts w:ascii="Times New Roman" w:eastAsia="Times New Roman"/>
          <w:spacing w:val="46"/>
          <w:position w:val="8"/>
          <w:sz w:val="13"/>
        </w:rPr>
        <w:t> </w:t>
      </w:r>
      <w:r>
        <w:rPr>
          <w:spacing w:val="16"/>
          <w:w w:val="90"/>
          <w:sz w:val="21"/>
        </w:rPr>
        <w:t>津地判</w:t>
      </w:r>
      <w:r>
        <w:rPr>
          <w:rFonts w:ascii="Times New Roman" w:eastAsia="Times New Roman"/>
          <w:w w:val="90"/>
          <w:sz w:val="26"/>
        </w:rPr>
        <w:t>1980</w:t>
      </w:r>
      <w:r>
        <w:rPr>
          <w:spacing w:val="5"/>
          <w:w w:val="90"/>
          <w:sz w:val="20"/>
        </w:rPr>
        <w:t>年 </w:t>
      </w:r>
      <w:r>
        <w:rPr>
          <w:rFonts w:ascii="Times New Roman" w:eastAsia="Times New Roman"/>
          <w:w w:val="90"/>
          <w:sz w:val="26"/>
        </w:rPr>
        <w:t>2</w:t>
      </w:r>
      <w:r>
        <w:rPr>
          <w:rFonts w:ascii="Times New Roman" w:eastAsia="Times New Roman"/>
          <w:spacing w:val="-27"/>
          <w:w w:val="90"/>
          <w:sz w:val="26"/>
        </w:rPr>
        <w:t> </w:t>
      </w:r>
      <w:r>
        <w:rPr>
          <w:spacing w:val="-24"/>
          <w:w w:val="90"/>
          <w:sz w:val="21"/>
        </w:rPr>
        <w:t>月 </w:t>
      </w:r>
      <w:r>
        <w:rPr>
          <w:rFonts w:ascii="Times New Roman" w:eastAsia="Times New Roman"/>
          <w:w w:val="90"/>
          <w:sz w:val="26"/>
        </w:rPr>
        <w:t>21</w:t>
      </w:r>
      <w:r>
        <w:rPr>
          <w:rFonts w:ascii="Times New Roman" w:eastAsia="Times New Roman"/>
          <w:spacing w:val="-12"/>
          <w:w w:val="90"/>
          <w:sz w:val="26"/>
        </w:rPr>
        <w:t> </w:t>
      </w:r>
      <w:r>
        <w:rPr>
          <w:spacing w:val="15"/>
          <w:w w:val="90"/>
          <w:sz w:val="21"/>
        </w:rPr>
        <w:t>日； 判例時報</w:t>
      </w:r>
      <w:r>
        <w:rPr>
          <w:rFonts w:ascii="Times New Roman" w:eastAsia="Times New Roman"/>
          <w:w w:val="90"/>
          <w:sz w:val="26"/>
        </w:rPr>
        <w:t>961</w:t>
      </w:r>
      <w:r>
        <w:rPr>
          <w:rFonts w:ascii="Times New Roman" w:eastAsia="Times New Roman"/>
          <w:spacing w:val="-23"/>
          <w:w w:val="90"/>
          <w:sz w:val="26"/>
        </w:rPr>
        <w:t> </w:t>
      </w:r>
      <w:r>
        <w:rPr>
          <w:spacing w:val="5"/>
          <w:w w:val="90"/>
          <w:sz w:val="20"/>
        </w:rPr>
        <w:t>芳 ， 頁</w:t>
      </w:r>
      <w:r>
        <w:rPr>
          <w:rFonts w:ascii="Times New Roman" w:eastAsia="Times New Roman"/>
          <w:w w:val="90"/>
          <w:sz w:val="26"/>
        </w:rPr>
        <w:t>41</w:t>
      </w:r>
      <w:r>
        <w:rPr>
          <w:rFonts w:ascii="Times New Roman" w:eastAsia="Times New Roman"/>
          <w:spacing w:val="26"/>
          <w:w w:val="90"/>
          <w:sz w:val="26"/>
        </w:rPr>
        <w:t> </w:t>
      </w:r>
      <w:r>
        <w:rPr>
          <w:w w:val="90"/>
          <w:sz w:val="24"/>
        </w:rPr>
        <w:t>。</w:t>
      </w:r>
    </w:p>
    <w:p>
      <w:pPr>
        <w:spacing w:after="0"/>
        <w:jc w:val="left"/>
        <w:rPr>
          <w:sz w:val="24"/>
        </w:rPr>
        <w:sectPr>
          <w:headerReference w:type="default" r:id="rId525"/>
          <w:footerReference w:type="default" r:id="rId526"/>
          <w:pgSz w:w="11910" w:h="16840"/>
          <w:pgMar w:header="862" w:footer="1017" w:top="1060" w:bottom="1200" w:left="1120" w:right="1060"/>
          <w:pgNumType w:start="86"/>
        </w:sectPr>
      </w:pPr>
    </w:p>
    <w:p>
      <w:pPr>
        <w:pStyle w:val="BodyText"/>
        <w:spacing w:before="12"/>
        <w:rPr>
          <w:sz w:val="28"/>
        </w:rPr>
      </w:pPr>
    </w:p>
    <w:p>
      <w:pPr>
        <w:pStyle w:val="BodyText"/>
        <w:spacing w:line="331" w:lineRule="auto" w:before="65"/>
        <w:ind w:left="303" w:right="528" w:firstLine="7"/>
        <w:jc w:val="both"/>
      </w:pPr>
      <w:r>
        <w:rPr>
          <w:w w:val="110"/>
        </w:rPr>
        <w:t>裁量權所賦予之目的而構成裁量之濫用。」「此外，亦不能因為在升等人數的比例上，男性和女性之間…有所不同，而以此即動搖到前開升等之認定。」</w:t>
      </w:r>
    </w:p>
    <w:p>
      <w:pPr>
        <w:pStyle w:val="BodyText"/>
        <w:spacing w:line="321" w:lineRule="exact"/>
        <w:ind w:left="879"/>
      </w:pPr>
      <w:r>
        <w:rPr>
          <w:spacing w:val="14"/>
        </w:rPr>
        <w:t>判決中亦指 出</w:t>
      </w:r>
      <w:r>
        <w:rPr>
          <w:spacing w:val="18"/>
          <w:w w:val="70"/>
        </w:rPr>
        <w:t>：</w:t>
      </w:r>
      <w:r>
        <w:rPr>
          <w:spacing w:val="42"/>
        </w:rPr>
        <w:t>原告</w:t>
      </w:r>
      <w:r>
        <w:rPr>
          <w:rFonts w:ascii="Arial" w:eastAsia="Arial"/>
          <w:sz w:val="29"/>
        </w:rPr>
        <w:t>X</w:t>
      </w:r>
      <w:r>
        <w:rPr>
          <w:rFonts w:ascii="Arial" w:eastAsia="Arial"/>
          <w:spacing w:val="-30"/>
          <w:sz w:val="29"/>
        </w:rPr>
        <w:t> </w:t>
      </w:r>
      <w:r>
        <w:rPr>
          <w:spacing w:val="14"/>
        </w:rPr>
        <w:t>所掌係屬「輔助業務」。其</w:t>
      </w:r>
      <w:r>
        <w:rPr>
          <w:spacing w:val="-29"/>
        </w:rPr>
        <w:t>所屬 長官已就 </w:t>
      </w:r>
      <w:r>
        <w:rPr>
          <w:rFonts w:ascii="Arial" w:eastAsia="Arial"/>
          <w:sz w:val="29"/>
        </w:rPr>
        <w:t>X</w:t>
      </w:r>
      <w:r>
        <w:rPr>
          <w:rFonts w:ascii="Arial" w:eastAsia="Arial"/>
          <w:spacing w:val="-35"/>
          <w:sz w:val="29"/>
        </w:rPr>
        <w:t> </w:t>
      </w:r>
      <w:r>
        <w:rPr>
          <w:spacing w:val="16"/>
        </w:rPr>
        <w:t>在業</w:t>
      </w:r>
    </w:p>
    <w:p>
      <w:pPr>
        <w:pStyle w:val="BodyText"/>
        <w:spacing w:line="319" w:lineRule="auto" w:before="113"/>
        <w:ind w:left="300" w:right="515" w:firstLine="1"/>
      </w:pPr>
      <w:r>
        <w:rPr>
          <w:w w:val="105"/>
        </w:rPr>
        <w:t>務上「有關知識、判斷力、正璀性及執行力等方面，雖認為其具良；但在</w:t>
      </w:r>
      <w:r>
        <w:rPr>
          <w:spacing w:val="121"/>
          <w:w w:val="105"/>
        </w:rPr>
        <w:t> </w:t>
      </w:r>
      <w:r>
        <w:rPr>
          <w:w w:val="105"/>
        </w:rPr>
        <w:t>他方面，則欠缺熱誠、包容、協調以及拉導之性質，…同時也認為其人際</w:t>
      </w:r>
      <w:r>
        <w:rPr>
          <w:spacing w:val="122"/>
          <w:w w:val="105"/>
        </w:rPr>
        <w:t> </w:t>
      </w:r>
      <w:r>
        <w:rPr>
          <w:w w:val="105"/>
        </w:rPr>
        <w:t>關係不佳，整體而言，評定其勤務成績不能說是良好，且亦不能謂其具有</w:t>
      </w:r>
      <w:r>
        <w:rPr>
          <w:spacing w:val="122"/>
          <w:w w:val="105"/>
        </w:rPr>
        <w:t> </w:t>
      </w:r>
      <w:r>
        <w:rPr>
          <w:w w:val="105"/>
        </w:rPr>
        <w:t>優秀之能力」。其結果，任命權人依據所謂「以基於公務效率之維持及璀</w:t>
      </w:r>
      <w:r>
        <w:rPr>
          <w:spacing w:val="116"/>
          <w:w w:val="105"/>
        </w:rPr>
        <w:t> </w:t>
      </w:r>
      <w:r>
        <w:rPr>
          <w:spacing w:val="-1"/>
          <w:w w:val="95"/>
        </w:rPr>
        <w:t>保適正的營作之目 的 ， 所作成的裁量判 斷」，使 </w:t>
      </w:r>
      <w:r>
        <w:rPr>
          <w:rFonts w:ascii="Times New Roman" w:hAnsi="Times New Roman" w:eastAsia="Times New Roman"/>
          <w:w w:val="95"/>
          <w:sz w:val="30"/>
        </w:rPr>
        <w:t>X</w:t>
      </w:r>
      <w:r>
        <w:rPr>
          <w:rFonts w:ascii="Times New Roman" w:hAnsi="Times New Roman" w:eastAsia="Times New Roman"/>
          <w:spacing w:val="-15"/>
          <w:w w:val="95"/>
          <w:sz w:val="30"/>
        </w:rPr>
        <w:t> </w:t>
      </w:r>
      <w:r>
        <w:rPr>
          <w:spacing w:val="3"/>
          <w:w w:val="95"/>
        </w:rPr>
        <w:t>不能升等四級－事 ， 若</w:t>
      </w:r>
      <w:r>
        <w:rPr>
          <w:spacing w:val="26"/>
        </w:rPr>
        <w:t>依照與</w:t>
      </w:r>
      <w:r>
        <w:rPr>
          <w:rFonts w:ascii="Arial" w:hAnsi="Arial" w:eastAsia="Arial"/>
          <w:spacing w:val="37"/>
          <w:sz w:val="29"/>
        </w:rPr>
        <w:t>X</w:t>
      </w:r>
      <w:r>
        <w:rPr>
          <w:spacing w:val="10"/>
        </w:rPr>
        <w:t>從事同種 事務的其他機關單位之男性和女性，也 都同樣未獲升等</w:t>
      </w:r>
      <w:r>
        <w:rPr>
          <w:spacing w:val="6"/>
          <w:w w:val="95"/>
        </w:rPr>
        <w:t>之事實認定 ， 則有關</w:t>
      </w:r>
      <w:r>
        <w:rPr>
          <w:rFonts w:ascii="Times New Roman" w:hAnsi="Times New Roman" w:eastAsia="Times New Roman"/>
          <w:w w:val="95"/>
          <w:sz w:val="30"/>
        </w:rPr>
        <w:t>Y</w:t>
      </w:r>
      <w:r>
        <w:rPr>
          <w:rFonts w:ascii="Times New Roman" w:hAnsi="Times New Roman" w:eastAsia="Times New Roman"/>
          <w:spacing w:val="-15"/>
          <w:w w:val="95"/>
          <w:sz w:val="30"/>
        </w:rPr>
        <w:t> </w:t>
      </w:r>
      <w:r>
        <w:rPr>
          <w:spacing w:val="-4"/>
          <w:w w:val="95"/>
        </w:rPr>
        <w:t>市在 </w:t>
      </w:r>
      <w:r>
        <w:rPr>
          <w:rFonts w:ascii="Times New Roman" w:hAnsi="Times New Roman" w:eastAsia="Times New Roman"/>
          <w:w w:val="95"/>
          <w:sz w:val="30"/>
        </w:rPr>
        <w:t>1970</w:t>
      </w:r>
      <w:r>
        <w:rPr>
          <w:rFonts w:ascii="Times New Roman" w:hAnsi="Times New Roman" w:eastAsia="Times New Roman"/>
          <w:spacing w:val="48"/>
          <w:w w:val="95"/>
          <w:sz w:val="30"/>
        </w:rPr>
        <w:t> </w:t>
      </w:r>
      <w:r>
        <w:rPr>
          <w:spacing w:val="-5"/>
          <w:w w:val="95"/>
        </w:rPr>
        <w:t>年和 </w:t>
      </w:r>
      <w:r>
        <w:rPr>
          <w:rFonts w:ascii="Times New Roman" w:hAnsi="Times New Roman" w:eastAsia="Times New Roman"/>
          <w:w w:val="95"/>
          <w:sz w:val="30"/>
        </w:rPr>
        <w:t>1971</w:t>
      </w:r>
      <w:r>
        <w:rPr>
          <w:rFonts w:ascii="Times New Roman" w:hAnsi="Times New Roman" w:eastAsia="Times New Roman"/>
          <w:spacing w:val="24"/>
          <w:w w:val="95"/>
          <w:sz w:val="30"/>
        </w:rPr>
        <w:t> </w:t>
      </w:r>
      <w:r>
        <w:rPr>
          <w:spacing w:val="17"/>
          <w:w w:val="95"/>
        </w:rPr>
        <w:t>年間作成 ，使 </w:t>
      </w:r>
      <w:r>
        <w:rPr>
          <w:rFonts w:ascii="Times New Roman" w:hAnsi="Times New Roman" w:eastAsia="Times New Roman"/>
          <w:w w:val="95"/>
          <w:sz w:val="30"/>
        </w:rPr>
        <w:t>X</w:t>
      </w:r>
      <w:r>
        <w:rPr>
          <w:rFonts w:ascii="Times New Roman" w:hAnsi="Times New Roman" w:eastAsia="Times New Roman"/>
          <w:spacing w:val="-5"/>
          <w:w w:val="95"/>
          <w:sz w:val="30"/>
        </w:rPr>
        <w:t> </w:t>
      </w:r>
      <w:r>
        <w:rPr>
          <w:spacing w:val="19"/>
          <w:w w:val="95"/>
        </w:rPr>
        <w:t>不能升等四級</w:t>
      </w:r>
      <w:r>
        <w:rPr>
          <w:w w:val="105"/>
        </w:rPr>
        <w:t>的裁量判斷，即不能認為係屬逸脫目的，而構成裁量濫用，是以前開「有 </w:t>
      </w:r>
      <w:r>
        <w:rPr>
          <w:spacing w:val="16"/>
          <w:w w:val="105"/>
        </w:rPr>
        <w:t> </w:t>
      </w:r>
      <w:r>
        <w:rPr>
          <w:spacing w:val="-1"/>
          <w:w w:val="95"/>
        </w:rPr>
        <w:t>關使其不能升等之 不作 為 ， 將此稱之為違法的公權力使 之 </w:t>
      </w:r>
      <w:r>
        <w:rPr>
          <w:rFonts w:ascii="Arial" w:hAnsi="Arial" w:eastAsia="Arial"/>
          <w:w w:val="95"/>
          <w:sz w:val="29"/>
        </w:rPr>
        <w:t>X</w:t>
      </w:r>
      <w:r>
        <w:rPr>
          <w:rFonts w:ascii="Arial" w:hAnsi="Arial" w:eastAsia="Arial"/>
          <w:spacing w:val="-20"/>
          <w:w w:val="95"/>
          <w:sz w:val="29"/>
        </w:rPr>
        <w:t> </w:t>
      </w:r>
      <w:r>
        <w:rPr>
          <w:spacing w:val="1"/>
          <w:w w:val="95"/>
        </w:rPr>
        <w:t>的主張 ， 即無</w:t>
      </w:r>
      <w:r>
        <w:rPr>
          <w:w w:val="105"/>
        </w:rPr>
        <w:t>理由而有失妥噹。」</w:t>
      </w:r>
    </w:p>
    <w:p>
      <w:pPr>
        <w:pStyle w:val="ListParagraph"/>
        <w:numPr>
          <w:ilvl w:val="0"/>
          <w:numId w:val="11"/>
        </w:numPr>
        <w:tabs>
          <w:tab w:pos="1262" w:val="left" w:leader="none"/>
          <w:tab w:pos="1264" w:val="left" w:leader="none"/>
        </w:tabs>
        <w:spacing w:line="240" w:lineRule="auto" w:before="121" w:after="0"/>
        <w:ind w:left="1263" w:right="0" w:hanging="486"/>
        <w:jc w:val="left"/>
        <w:rPr>
          <w:sz w:val="25"/>
        </w:rPr>
      </w:pPr>
      <w:r>
        <w:rPr>
          <w:w w:val="105"/>
          <w:position w:val="2"/>
          <w:sz w:val="25"/>
        </w:rPr>
        <w:t>評析</w:t>
      </w:r>
    </w:p>
    <w:p>
      <w:pPr>
        <w:pStyle w:val="BodyText"/>
        <w:spacing w:before="3"/>
        <w:rPr>
          <w:sz w:val="17"/>
        </w:rPr>
      </w:pPr>
    </w:p>
    <w:p>
      <w:pPr>
        <w:pStyle w:val="BodyText"/>
        <w:spacing w:before="65"/>
        <w:ind w:left="874"/>
      </w:pPr>
      <w:r>
        <w:rPr>
          <w:w w:val="110"/>
        </w:rPr>
        <w:t>對此判決，日本學說常提出以下評析：</w:t>
      </w:r>
    </w:p>
    <w:p>
      <w:pPr>
        <w:pStyle w:val="BodyText"/>
        <w:spacing w:line="326" w:lineRule="auto" w:before="122"/>
        <w:ind w:left="303" w:right="512" w:firstLine="565"/>
      </w:pPr>
      <w:r>
        <w:rPr>
          <w:w w:val="105"/>
        </w:rPr>
        <w:t>本件訴訟，乃源於對於女性職員由五級升等自四級的不利益對待情  </w:t>
      </w:r>
      <w:r>
        <w:rPr>
          <w:spacing w:val="107"/>
          <w:w w:val="105"/>
        </w:rPr>
        <w:t> </w:t>
      </w:r>
      <w:r>
        <w:rPr>
          <w:spacing w:val="18"/>
          <w:w w:val="95"/>
        </w:rPr>
        <w:t>形 ，並 經</w:t>
      </w:r>
      <w:r>
        <w:rPr>
          <w:rFonts w:ascii="Times New Roman" w:eastAsia="Times New Roman"/>
          <w:w w:val="95"/>
          <w:sz w:val="30"/>
        </w:rPr>
        <w:t>X</w:t>
      </w:r>
      <w:r>
        <w:rPr>
          <w:rFonts w:ascii="Times New Roman" w:eastAsia="Times New Roman"/>
          <w:spacing w:val="-1"/>
          <w:w w:val="95"/>
          <w:sz w:val="30"/>
        </w:rPr>
        <w:t> </w:t>
      </w:r>
      <w:r>
        <w:rPr>
          <w:spacing w:val="1"/>
          <w:w w:val="95"/>
        </w:rPr>
        <w:t>主張 違反地公法第 </w:t>
      </w:r>
      <w:r>
        <w:rPr>
          <w:rFonts w:ascii="Times New Roman" w:eastAsia="Times New Roman"/>
          <w:w w:val="95"/>
          <w:sz w:val="30"/>
        </w:rPr>
        <w:t>13</w:t>
      </w:r>
      <w:r>
        <w:rPr>
          <w:rFonts w:ascii="Times New Roman" w:eastAsia="Times New Roman"/>
          <w:spacing w:val="4"/>
          <w:w w:val="95"/>
          <w:sz w:val="30"/>
        </w:rPr>
        <w:t> </w:t>
      </w:r>
      <w:r>
        <w:rPr>
          <w:spacing w:val="2"/>
          <w:w w:val="95"/>
        </w:rPr>
        <w:t>條 ， 已如前述 。而一 審認定原告</w:t>
      </w:r>
      <w:r>
        <w:rPr>
          <w:rFonts w:ascii="Times New Roman" w:eastAsia="Times New Roman"/>
          <w:w w:val="95"/>
          <w:sz w:val="30"/>
        </w:rPr>
        <w:t>X</w:t>
      </w:r>
      <w:r>
        <w:rPr>
          <w:rFonts w:ascii="Times New Roman" w:eastAsia="Times New Roman"/>
          <w:spacing w:val="-16"/>
          <w:w w:val="95"/>
          <w:sz w:val="30"/>
        </w:rPr>
        <w:t> </w:t>
      </w:r>
      <w:r>
        <w:rPr>
          <w:w w:val="95"/>
        </w:rPr>
        <w:t>有理</w:t>
      </w:r>
      <w:r>
        <w:rPr>
          <w:w w:val="105"/>
        </w:rPr>
        <w:t>由，二審卻逆轉為無理由駁回，似乎是出於上下級法院事實認定不同而  </w:t>
      </w:r>
      <w:r>
        <w:rPr>
          <w:spacing w:val="122"/>
          <w:w w:val="105"/>
        </w:rPr>
        <w:t> </w:t>
      </w:r>
      <w:r>
        <w:rPr>
          <w:w w:val="105"/>
        </w:rPr>
        <w:t>來。一審就升等解釋之運用，採取了「認為對於未予升等的男性，係出於</w:t>
      </w:r>
      <w:r>
        <w:rPr>
          <w:spacing w:val="122"/>
          <w:w w:val="105"/>
        </w:rPr>
        <w:t> </w:t>
      </w:r>
      <w:r>
        <w:rPr>
          <w:w w:val="105"/>
        </w:rPr>
        <w:t>瀆職或廢弛職務等關係之客觀事由」，然在二審則以「並非放寬解釋限於</w:t>
      </w:r>
      <w:r>
        <w:rPr>
          <w:spacing w:val="122"/>
          <w:w w:val="105"/>
        </w:rPr>
        <w:t> </w:t>
      </w:r>
      <w:r>
        <w:rPr>
          <w:w w:val="105"/>
        </w:rPr>
        <w:t>在無瀆職或廢弛職務而一律玲予升等那般程度」。不過，認定事實雖有差</w:t>
      </w:r>
      <w:r>
        <w:rPr>
          <w:spacing w:val="122"/>
          <w:w w:val="105"/>
        </w:rPr>
        <w:t> </w:t>
      </w:r>
      <w:r>
        <w:rPr>
          <w:w w:val="105"/>
        </w:rPr>
        <w:t>異，究其－二審結論最大的區別，想必是在於「任命権人的升等裁量権」</w:t>
      </w:r>
      <w:r>
        <w:rPr>
          <w:spacing w:val="122"/>
          <w:w w:val="105"/>
        </w:rPr>
        <w:t> </w:t>
      </w:r>
      <w:r>
        <w:rPr>
          <w:w w:val="105"/>
        </w:rPr>
        <w:t>之判斷上。</w:t>
      </w:r>
    </w:p>
    <w:p>
      <w:pPr>
        <w:pStyle w:val="BodyText"/>
        <w:spacing w:line="316" w:lineRule="auto" w:before="3"/>
        <w:ind w:left="302" w:right="525" w:firstLine="577"/>
      </w:pPr>
      <w:r>
        <w:rPr>
          <w:w w:val="105"/>
        </w:rPr>
        <w:t>一審判決在操作升等基準時，儘管沒有否定任命權人所為裁量的本  </w:t>
      </w:r>
      <w:r>
        <w:rPr>
          <w:spacing w:val="83"/>
          <w:w w:val="105"/>
        </w:rPr>
        <w:t> </w:t>
      </w:r>
      <w:r>
        <w:rPr>
          <w:spacing w:val="-2"/>
          <w:w w:val="95"/>
        </w:rPr>
        <w:t>身 ， 但行使裁量權 時 ， 由於任命權人違反地公法第 </w:t>
      </w:r>
      <w:r>
        <w:rPr>
          <w:rFonts w:ascii="Times New Roman" w:eastAsia="Times New Roman"/>
          <w:w w:val="95"/>
          <w:sz w:val="30"/>
        </w:rPr>
        <w:t>13</w:t>
      </w:r>
      <w:r>
        <w:rPr>
          <w:rFonts w:ascii="Times New Roman" w:eastAsia="Times New Roman"/>
          <w:spacing w:val="18"/>
          <w:w w:val="95"/>
          <w:sz w:val="30"/>
        </w:rPr>
        <w:t> </w:t>
      </w:r>
      <w:r>
        <w:rPr>
          <w:w w:val="95"/>
        </w:rPr>
        <w:t>條 ， 而在有侵 害該</w:t>
      </w:r>
      <w:r>
        <w:rPr>
          <w:w w:val="105"/>
        </w:rPr>
        <w:t>條所保障之女性職員所擁有的法律上利益之情形，應負侵權行為的損害賠</w:t>
      </w:r>
      <w:r>
        <w:rPr>
          <w:spacing w:val="110"/>
          <w:w w:val="105"/>
        </w:rPr>
        <w:t> </w:t>
      </w:r>
      <w:r>
        <w:rPr>
          <w:w w:val="105"/>
        </w:rPr>
        <w:t>償責任。故此，從升級人數的男女比率差異及其他差別僱用管理之事實以 </w:t>
      </w:r>
      <w:r>
        <w:rPr>
          <w:spacing w:val="4"/>
          <w:w w:val="105"/>
        </w:rPr>
        <w:t> </w:t>
      </w:r>
      <w:r>
        <w:rPr>
          <w:spacing w:val="-3"/>
          <w:w w:val="95"/>
        </w:rPr>
        <w:t>觀 ， 而推斷本件有男女 不平等 ， 一審 法院認為 ，被 告 </w:t>
      </w:r>
      <w:r>
        <w:rPr>
          <w:rFonts w:ascii="Arial" w:eastAsia="Arial"/>
          <w:w w:val="95"/>
          <w:sz w:val="29"/>
        </w:rPr>
        <w:t>Y</w:t>
      </w:r>
      <w:r>
        <w:rPr>
          <w:rFonts w:ascii="Arial" w:eastAsia="Arial"/>
          <w:spacing w:val="-35"/>
          <w:w w:val="95"/>
          <w:sz w:val="29"/>
        </w:rPr>
        <w:t> </w:t>
      </w:r>
      <w:r>
        <w:rPr>
          <w:spacing w:val="12"/>
          <w:w w:val="95"/>
        </w:rPr>
        <w:t>巿無法成功舉證推</w:t>
      </w:r>
      <w:r>
        <w:rPr>
          <w:w w:val="105"/>
        </w:rPr>
        <w:t>翻此項推定。</w:t>
      </w:r>
    </w:p>
    <w:p>
      <w:pPr>
        <w:pStyle w:val="BodyText"/>
        <w:spacing w:before="38"/>
        <w:ind w:left="897"/>
      </w:pPr>
      <w:r>
        <w:rPr>
          <w:w w:val="110"/>
        </w:rPr>
        <w:t>而二審判決相較一審判決，其說理則較為噯昧。首先，法院認定本件</w:t>
      </w:r>
    </w:p>
    <w:p>
      <w:pPr>
        <w:spacing w:after="0"/>
        <w:sectPr>
          <w:pgSz w:w="11910" w:h="16840"/>
          <w:pgMar w:header="862" w:footer="1017" w:top="1060" w:bottom="1200" w:left="1120" w:right="1060"/>
        </w:sectPr>
      </w:pPr>
    </w:p>
    <w:p>
      <w:pPr>
        <w:pStyle w:val="BodyText"/>
        <w:spacing w:before="8"/>
        <w:rPr>
          <w:sz w:val="29"/>
        </w:rPr>
      </w:pPr>
    </w:p>
    <w:p>
      <w:pPr>
        <w:spacing w:line="343" w:lineRule="auto" w:before="67"/>
        <w:ind w:left="301" w:right="501" w:firstLine="9"/>
        <w:jc w:val="both"/>
        <w:rPr>
          <w:sz w:val="24"/>
        </w:rPr>
      </w:pPr>
      <w:r>
        <w:rPr>
          <w:w w:val="115"/>
          <w:sz w:val="24"/>
        </w:rPr>
        <w:t>升等過程並無以性別作為理由的不合理差別對待，接箸指出關於得因升等而請求損害賠償的情形，應係「任命權人無任何法律上的合理事由，且在社會觀念上顯著恣意濫用升等裁量権而未予升等」之場合。然而，二審法院判定本件並不存在升等人數男女比率差別與不平等僱用管理等情事。</w:t>
      </w:r>
    </w:p>
    <w:p>
      <w:pPr>
        <w:spacing w:line="333" w:lineRule="auto" w:before="0"/>
        <w:ind w:left="307" w:right="487" w:firstLine="577"/>
        <w:jc w:val="left"/>
        <w:rPr>
          <w:sz w:val="24"/>
        </w:rPr>
      </w:pPr>
      <w:r>
        <w:rPr>
          <w:w w:val="105"/>
          <w:sz w:val="24"/>
        </w:rPr>
        <w:t>因二審判決意旨廣泛承認升等裁量權之故，原告欲舉證權利濫用之事   </w:t>
      </w:r>
      <w:r>
        <w:rPr>
          <w:spacing w:val="44"/>
          <w:w w:val="105"/>
          <w:sz w:val="24"/>
        </w:rPr>
        <w:t> </w:t>
      </w:r>
      <w:r>
        <w:rPr>
          <w:w w:val="105"/>
          <w:sz w:val="24"/>
        </w:rPr>
        <w:t>實將極為困難。日本學說認為，最大的問題乃在於，法院一方面認定本件   </w:t>
      </w:r>
      <w:r>
        <w:rPr>
          <w:spacing w:val="117"/>
          <w:w w:val="105"/>
          <w:sz w:val="24"/>
        </w:rPr>
        <w:t> </w:t>
      </w:r>
      <w:r>
        <w:rPr>
          <w:w w:val="105"/>
          <w:sz w:val="24"/>
        </w:rPr>
        <w:t>不構成不合理差別待遇，另方面指出，僅在顯箸逾越権限的情形，始有損   </w:t>
      </w:r>
      <w:r>
        <w:rPr>
          <w:spacing w:val="97"/>
          <w:w w:val="105"/>
          <w:sz w:val="24"/>
        </w:rPr>
        <w:t> </w:t>
      </w:r>
      <w:r>
        <w:rPr>
          <w:spacing w:val="5"/>
          <w:sz w:val="24"/>
        </w:rPr>
        <w:t>害賠償義務 。只是如 此解讀日本 地公 法第 </w:t>
      </w:r>
      <w:r>
        <w:rPr>
          <w:rFonts w:ascii="Times New Roman" w:eastAsia="Times New Roman"/>
          <w:sz w:val="28"/>
        </w:rPr>
        <w:t>13</w:t>
      </w:r>
      <w:r>
        <w:rPr>
          <w:rFonts w:ascii="Times New Roman" w:eastAsia="Times New Roman"/>
          <w:spacing w:val="5"/>
          <w:sz w:val="28"/>
        </w:rPr>
        <w:t> </w:t>
      </w:r>
      <w:r>
        <w:rPr>
          <w:spacing w:val="13"/>
          <w:sz w:val="24"/>
        </w:rPr>
        <w:t>條的結果 </w:t>
      </w:r>
      <w:r>
        <w:rPr>
          <w:spacing w:val="-34"/>
          <w:w w:val="95"/>
          <w:sz w:val="24"/>
        </w:rPr>
        <w:t>， </w:t>
      </w:r>
      <w:r>
        <w:rPr>
          <w:spacing w:val="21"/>
          <w:sz w:val="24"/>
        </w:rPr>
        <w:t>將使該條成為具</w:t>
      </w:r>
      <w:r>
        <w:rPr>
          <w:w w:val="105"/>
          <w:sz w:val="24"/>
        </w:rPr>
        <w:t>文。本來，升等延長的決定，其若係以性別作為理由，不僅違反地方公務    </w:t>
      </w:r>
      <w:r>
        <w:rPr>
          <w:spacing w:val="15"/>
          <w:w w:val="105"/>
          <w:sz w:val="24"/>
        </w:rPr>
        <w:t> </w:t>
      </w:r>
      <w:r>
        <w:rPr>
          <w:spacing w:val="-9"/>
          <w:w w:val="95"/>
          <w:sz w:val="24"/>
        </w:rPr>
        <w:t>員 法第 </w:t>
      </w:r>
      <w:r>
        <w:rPr>
          <w:rFonts w:ascii="Times New Roman" w:eastAsia="Times New Roman"/>
          <w:w w:val="95"/>
          <w:sz w:val="28"/>
        </w:rPr>
        <w:t>13</w:t>
      </w:r>
      <w:r>
        <w:rPr>
          <w:rFonts w:ascii="Times New Roman" w:eastAsia="Times New Roman"/>
          <w:spacing w:val="2"/>
          <w:w w:val="95"/>
          <w:sz w:val="28"/>
        </w:rPr>
        <w:t> </w:t>
      </w:r>
      <w:r>
        <w:rPr>
          <w:spacing w:val="1"/>
          <w:w w:val="95"/>
          <w:sz w:val="24"/>
        </w:rPr>
        <w:t>條 ，即 便 無任何違法公権力行 使 情事 ，任 命 權人多半亦應負 損</w:t>
      </w:r>
      <w:r>
        <w:rPr>
          <w:w w:val="105"/>
          <w:sz w:val="24"/>
        </w:rPr>
        <w:t>害賠償責任。就此，日本學說有所質疑。更且，法院在認定有無差別對待    </w:t>
      </w:r>
      <w:r>
        <w:rPr>
          <w:spacing w:val="3"/>
          <w:w w:val="105"/>
          <w:sz w:val="24"/>
        </w:rPr>
        <w:t> </w:t>
      </w:r>
      <w:r>
        <w:rPr>
          <w:spacing w:val="-16"/>
          <w:sz w:val="24"/>
        </w:rPr>
        <w:t>上 </w:t>
      </w:r>
      <w:r>
        <w:rPr>
          <w:spacing w:val="-41"/>
          <w:w w:val="95"/>
          <w:sz w:val="24"/>
        </w:rPr>
        <w:t>， </w:t>
      </w:r>
      <w:r>
        <w:rPr>
          <w:spacing w:val="4"/>
          <w:sz w:val="24"/>
        </w:rPr>
        <w:t>若提出 </w:t>
      </w:r>
      <w:r>
        <w:rPr>
          <w:rFonts w:ascii="Arial" w:eastAsia="Arial"/>
          <w:sz w:val="28"/>
        </w:rPr>
        <w:t>X</w:t>
      </w:r>
      <w:r>
        <w:rPr>
          <w:rFonts w:ascii="Arial" w:eastAsia="Arial"/>
          <w:spacing w:val="-36"/>
          <w:sz w:val="28"/>
        </w:rPr>
        <w:t> </w:t>
      </w:r>
      <w:r>
        <w:rPr>
          <w:spacing w:val="11"/>
          <w:sz w:val="24"/>
        </w:rPr>
        <w:t>個人的勤務績效與能力評 定結果 </w:t>
      </w:r>
      <w:r>
        <w:rPr>
          <w:spacing w:val="21"/>
          <w:w w:val="95"/>
          <w:sz w:val="24"/>
        </w:rPr>
        <w:t>，作 </w:t>
      </w:r>
      <w:r>
        <w:rPr>
          <w:spacing w:val="10"/>
          <w:sz w:val="24"/>
        </w:rPr>
        <w:t>為升 等延長的合理性 </w:t>
      </w:r>
      <w:r>
        <w:rPr>
          <w:w w:val="95"/>
          <w:sz w:val="24"/>
        </w:rPr>
        <w:t>，</w:t>
      </w:r>
    </w:p>
    <w:p>
      <w:pPr>
        <w:spacing w:line="307" w:lineRule="auto" w:before="7"/>
        <w:ind w:left="318" w:right="533" w:hanging="2"/>
        <w:jc w:val="left"/>
        <w:rPr>
          <w:rFonts w:ascii="Times New Roman" w:eastAsia="Times New Roman"/>
          <w:sz w:val="16"/>
        </w:rPr>
      </w:pPr>
      <w:r>
        <w:rPr>
          <w:spacing w:val="14"/>
          <w:sz w:val="24"/>
        </w:rPr>
        <w:t>則判斷上 </w:t>
      </w:r>
      <w:r>
        <w:rPr>
          <w:w w:val="65"/>
          <w:sz w:val="24"/>
        </w:rPr>
        <w:t>，</w:t>
      </w:r>
      <w:r>
        <w:rPr>
          <w:spacing w:val="13"/>
          <w:sz w:val="24"/>
        </w:rPr>
        <w:t>應課予被告 </w:t>
      </w:r>
      <w:r>
        <w:rPr>
          <w:rFonts w:ascii="Arial" w:eastAsia="Arial"/>
          <w:sz w:val="28"/>
        </w:rPr>
        <w:t>Y</w:t>
      </w:r>
      <w:r>
        <w:rPr>
          <w:rFonts w:ascii="Arial" w:eastAsia="Arial"/>
          <w:spacing w:val="2"/>
          <w:sz w:val="28"/>
        </w:rPr>
        <w:t> </w:t>
      </w:r>
      <w:r>
        <w:rPr>
          <w:spacing w:val="14"/>
          <w:sz w:val="24"/>
        </w:rPr>
        <w:t>巿提出能夠作為對照紐織同等男性 職 員 成績與能</w:t>
      </w:r>
      <w:r>
        <w:rPr>
          <w:spacing w:val="15"/>
          <w:sz w:val="24"/>
        </w:rPr>
        <w:t>力資料 </w:t>
      </w:r>
      <w:r>
        <w:rPr>
          <w:spacing w:val="7"/>
          <w:w w:val="65"/>
          <w:sz w:val="24"/>
        </w:rPr>
        <w:t>，以 </w:t>
      </w:r>
      <w:r>
        <w:rPr>
          <w:spacing w:val="-23"/>
          <w:sz w:val="24"/>
        </w:rPr>
        <w:t>為佐證 。</w:t>
      </w:r>
      <w:r>
        <w:rPr>
          <w:rFonts w:ascii="Times New Roman" w:eastAsia="Times New Roman"/>
          <w:w w:val="65"/>
          <w:sz w:val="16"/>
        </w:rPr>
        <w:t>185</w:t>
      </w:r>
    </w:p>
    <w:p>
      <w:pPr>
        <w:spacing w:before="160"/>
        <w:ind w:left="2222" w:right="0" w:firstLine="0"/>
        <w:jc w:val="left"/>
        <w:rPr>
          <w:rFonts w:ascii="Times New Roman" w:eastAsia="Times New Roman"/>
          <w:sz w:val="16"/>
        </w:rPr>
      </w:pPr>
      <w:r>
        <w:rPr>
          <w:w w:val="70"/>
          <w:sz w:val="24"/>
        </w:rPr>
        <w:t>（</w:t>
      </w:r>
      <w:r>
        <w:rPr>
          <w:spacing w:val="9"/>
          <w:w w:val="70"/>
          <w:sz w:val="24"/>
        </w:rPr>
        <w:t> 三 </w:t>
      </w:r>
      <w:r>
        <w:rPr>
          <w:w w:val="70"/>
          <w:sz w:val="24"/>
        </w:rPr>
        <w:t>）</w:t>
      </w:r>
      <w:r>
        <w:rPr>
          <w:spacing w:val="107"/>
          <w:sz w:val="24"/>
        </w:rPr>
        <w:t> </w:t>
      </w:r>
      <w:r>
        <w:rPr>
          <w:spacing w:val="-1"/>
          <w:w w:val="95"/>
          <w:sz w:val="24"/>
        </w:rPr>
        <w:t>日本 濱松市職員 陞任差別對待 案</w:t>
      </w:r>
      <w:r>
        <w:rPr>
          <w:rFonts w:ascii="Times New Roman" w:eastAsia="Times New Roman"/>
          <w:w w:val="70"/>
          <w:sz w:val="16"/>
        </w:rPr>
        <w:t>186</w:t>
      </w:r>
    </w:p>
    <w:p>
      <w:pPr>
        <w:pStyle w:val="BodyText"/>
        <w:rPr>
          <w:rFonts w:ascii="Times New Roman"/>
          <w:sz w:val="20"/>
        </w:rPr>
      </w:pPr>
    </w:p>
    <w:p>
      <w:pPr>
        <w:pStyle w:val="ListParagraph"/>
        <w:numPr>
          <w:ilvl w:val="0"/>
          <w:numId w:val="12"/>
        </w:numPr>
        <w:tabs>
          <w:tab w:pos="1278" w:val="left" w:leader="none"/>
          <w:tab w:pos="1279" w:val="left" w:leader="none"/>
        </w:tabs>
        <w:spacing w:line="240" w:lineRule="auto" w:before="206" w:after="0"/>
        <w:ind w:left="1278" w:right="0" w:hanging="501"/>
        <w:jc w:val="left"/>
        <w:rPr>
          <w:sz w:val="24"/>
        </w:rPr>
      </w:pPr>
      <w:r>
        <w:rPr>
          <w:w w:val="110"/>
          <w:sz w:val="24"/>
        </w:rPr>
        <w:t>事實概要</w:t>
      </w:r>
    </w:p>
    <w:p>
      <w:pPr>
        <w:pStyle w:val="BodyText"/>
        <w:spacing w:before="10"/>
        <w:rPr>
          <w:sz w:val="13"/>
        </w:rPr>
      </w:pPr>
    </w:p>
    <w:p>
      <w:pPr>
        <w:spacing w:line="321" w:lineRule="auto" w:before="88"/>
        <w:ind w:left="296" w:right="395" w:firstLine="572"/>
        <w:jc w:val="both"/>
        <w:rPr>
          <w:sz w:val="24"/>
        </w:rPr>
      </w:pPr>
      <w:r>
        <w:rPr>
          <w:spacing w:val="19"/>
          <w:sz w:val="24"/>
        </w:rPr>
        <w:t>本件原告</w:t>
      </w:r>
      <w:r>
        <w:rPr>
          <w:rFonts w:ascii="Times New Roman" w:eastAsia="Times New Roman"/>
          <w:sz w:val="30"/>
        </w:rPr>
        <w:t>X</w:t>
      </w:r>
      <w:r>
        <w:rPr>
          <w:rFonts w:ascii="Times New Roman" w:eastAsia="Times New Roman"/>
          <w:spacing w:val="-33"/>
          <w:sz w:val="30"/>
        </w:rPr>
        <w:t> </w:t>
      </w:r>
      <w:r>
        <w:rPr>
          <w:spacing w:val="25"/>
          <w:sz w:val="24"/>
        </w:rPr>
        <w:t>原任職於被告</w:t>
      </w:r>
      <w:r>
        <w:rPr>
          <w:rFonts w:ascii="Times New Roman" w:eastAsia="Times New Roman"/>
          <w:sz w:val="30"/>
        </w:rPr>
        <w:t>Y</w:t>
      </w:r>
      <w:r>
        <w:rPr>
          <w:rFonts w:ascii="Times New Roman" w:eastAsia="Times New Roman"/>
          <w:spacing w:val="-31"/>
          <w:sz w:val="30"/>
        </w:rPr>
        <w:t> </w:t>
      </w:r>
      <w:r>
        <w:rPr>
          <w:spacing w:val="3"/>
          <w:sz w:val="24"/>
        </w:rPr>
        <w:t>所屬市政府 ， 其在 </w:t>
      </w:r>
      <w:r>
        <w:rPr>
          <w:rFonts w:ascii="Times New Roman" w:eastAsia="Times New Roman"/>
          <w:sz w:val="30"/>
        </w:rPr>
        <w:t>1995</w:t>
      </w:r>
      <w:r>
        <w:rPr>
          <w:rFonts w:ascii="Times New Roman" w:eastAsia="Times New Roman"/>
          <w:spacing w:val="2"/>
          <w:sz w:val="30"/>
        </w:rPr>
        <w:t> </w:t>
      </w:r>
      <w:r>
        <w:rPr>
          <w:spacing w:val="-13"/>
          <w:sz w:val="24"/>
        </w:rPr>
        <w:t>年 </w:t>
      </w:r>
      <w:r>
        <w:rPr>
          <w:rFonts w:ascii="Times New Roman" w:eastAsia="Times New Roman"/>
          <w:sz w:val="30"/>
        </w:rPr>
        <w:t>4</w:t>
      </w:r>
      <w:r>
        <w:rPr>
          <w:rFonts w:ascii="Times New Roman" w:eastAsia="Times New Roman"/>
          <w:spacing w:val="34"/>
          <w:sz w:val="30"/>
        </w:rPr>
        <w:t> </w:t>
      </w:r>
      <w:r>
        <w:rPr>
          <w:spacing w:val="8"/>
          <w:sz w:val="25"/>
        </w:rPr>
        <w:t>月 </w:t>
      </w:r>
      <w:r>
        <w:rPr>
          <w:rFonts w:ascii="Times New Roman" w:eastAsia="Times New Roman"/>
          <w:sz w:val="30"/>
        </w:rPr>
        <w:t>l</w:t>
      </w:r>
      <w:r>
        <w:rPr>
          <w:rFonts w:ascii="Times New Roman" w:eastAsia="Times New Roman"/>
          <w:spacing w:val="11"/>
          <w:sz w:val="30"/>
        </w:rPr>
        <w:t> </w:t>
      </w:r>
      <w:r>
        <w:rPr>
          <w:spacing w:val="-9"/>
          <w:sz w:val="24"/>
        </w:rPr>
        <w:t>日 直到</w:t>
      </w:r>
      <w:r>
        <w:rPr>
          <w:rFonts w:ascii="Times New Roman" w:eastAsia="Times New Roman"/>
          <w:w w:val="96"/>
          <w:sz w:val="30"/>
        </w:rPr>
        <w:t>199</w:t>
      </w:r>
      <w:r>
        <w:rPr>
          <w:rFonts w:ascii="Times New Roman" w:eastAsia="Times New Roman"/>
          <w:spacing w:val="-118"/>
          <w:w w:val="96"/>
          <w:sz w:val="30"/>
        </w:rPr>
        <w:t>9</w:t>
      </w:r>
      <w:r>
        <w:rPr>
          <w:w w:val="82"/>
          <w:sz w:val="24"/>
        </w:rPr>
        <w:t>（</w:t>
      </w:r>
      <w:r>
        <w:rPr>
          <w:spacing w:val="-58"/>
          <w:sz w:val="24"/>
        </w:rPr>
        <w:t> </w:t>
      </w:r>
      <w:r>
        <w:rPr>
          <w:spacing w:val="23"/>
          <w:w w:val="107"/>
          <w:sz w:val="24"/>
        </w:rPr>
        <w:t>平</w:t>
      </w:r>
      <w:r>
        <w:rPr>
          <w:w w:val="109"/>
          <w:sz w:val="24"/>
        </w:rPr>
        <w:t>成</w:t>
      </w:r>
      <w:r>
        <w:rPr>
          <w:spacing w:val="-20"/>
          <w:sz w:val="24"/>
        </w:rPr>
        <w:t> </w:t>
      </w:r>
      <w:r>
        <w:rPr>
          <w:rFonts w:ascii="Times New Roman" w:eastAsia="Times New Roman"/>
          <w:w w:val="109"/>
          <w:sz w:val="30"/>
        </w:rPr>
        <w:t>l</w:t>
      </w:r>
      <w:r>
        <w:rPr>
          <w:rFonts w:ascii="Times New Roman" w:eastAsia="Times New Roman"/>
          <w:spacing w:val="-27"/>
          <w:sz w:val="30"/>
        </w:rPr>
        <w:t> </w:t>
      </w:r>
      <w:r>
        <w:rPr>
          <w:rFonts w:ascii="Times New Roman" w:eastAsia="Times New Roman"/>
          <w:w w:val="109"/>
          <w:sz w:val="30"/>
        </w:rPr>
        <w:t>l</w:t>
      </w:r>
      <w:r>
        <w:rPr>
          <w:rFonts w:ascii="Times New Roman" w:eastAsia="Times New Roman"/>
          <w:spacing w:val="-24"/>
          <w:sz w:val="30"/>
        </w:rPr>
        <w:t> </w:t>
      </w:r>
      <w:r>
        <w:rPr>
          <w:rFonts w:ascii="Times New Roman" w:eastAsia="Times New Roman"/>
          <w:spacing w:val="21"/>
          <w:w w:val="109"/>
          <w:sz w:val="30"/>
        </w:rPr>
        <w:t>)</w:t>
      </w:r>
      <w:r>
        <w:rPr>
          <w:w w:val="110"/>
          <w:sz w:val="24"/>
        </w:rPr>
        <w:t>年</w:t>
      </w:r>
      <w:r>
        <w:rPr>
          <w:spacing w:val="-45"/>
          <w:sz w:val="24"/>
        </w:rPr>
        <w:t> </w:t>
      </w:r>
      <w:r>
        <w:rPr>
          <w:rFonts w:ascii="Times New Roman" w:eastAsia="Times New Roman"/>
          <w:w w:val="96"/>
          <w:sz w:val="30"/>
        </w:rPr>
        <w:t>3</w:t>
      </w:r>
      <w:r>
        <w:rPr>
          <w:rFonts w:ascii="Times New Roman" w:eastAsia="Times New Roman"/>
          <w:spacing w:val="12"/>
          <w:sz w:val="30"/>
        </w:rPr>
        <w:t> </w:t>
      </w:r>
      <w:r>
        <w:rPr>
          <w:w w:val="90"/>
          <w:sz w:val="25"/>
        </w:rPr>
        <w:t>月</w:t>
      </w:r>
      <w:r>
        <w:rPr>
          <w:spacing w:val="-20"/>
          <w:sz w:val="25"/>
        </w:rPr>
        <w:t> </w:t>
      </w:r>
      <w:r>
        <w:rPr>
          <w:rFonts w:ascii="Times New Roman" w:eastAsia="Times New Roman"/>
          <w:w w:val="96"/>
          <w:sz w:val="30"/>
        </w:rPr>
        <w:t>31</w:t>
      </w:r>
      <w:r>
        <w:rPr>
          <w:rFonts w:ascii="Times New Roman" w:eastAsia="Times New Roman"/>
          <w:spacing w:val="6"/>
          <w:sz w:val="30"/>
        </w:rPr>
        <w:t> </w:t>
      </w:r>
      <w:r>
        <w:rPr>
          <w:w w:val="90"/>
          <w:sz w:val="24"/>
        </w:rPr>
        <w:t>日</w:t>
      </w:r>
      <w:r>
        <w:rPr>
          <w:spacing w:val="-69"/>
          <w:sz w:val="24"/>
        </w:rPr>
        <w:t> </w:t>
      </w:r>
      <w:r>
        <w:rPr>
          <w:spacing w:val="33"/>
          <w:w w:val="103"/>
          <w:sz w:val="24"/>
        </w:rPr>
        <w:t>屆齡退休時</w:t>
      </w:r>
      <w:r>
        <w:rPr>
          <w:spacing w:val="34"/>
          <w:w w:val="100"/>
          <w:sz w:val="24"/>
        </w:rPr>
        <w:t>為</w:t>
      </w:r>
      <w:r>
        <w:rPr>
          <w:spacing w:val="11"/>
          <w:w w:val="106"/>
          <w:sz w:val="24"/>
        </w:rPr>
        <w:t>止</w:t>
      </w:r>
      <w:r>
        <w:rPr>
          <w:w w:val="106"/>
          <w:sz w:val="24"/>
        </w:rPr>
        <w:t>（</w:t>
      </w:r>
      <w:r>
        <w:rPr>
          <w:spacing w:val="-91"/>
          <w:sz w:val="24"/>
        </w:rPr>
        <w:t> </w:t>
      </w:r>
      <w:r>
        <w:rPr>
          <w:spacing w:val="25"/>
          <w:w w:val="106"/>
          <w:sz w:val="24"/>
        </w:rPr>
        <w:t>下稱「本</w:t>
      </w:r>
      <w:r>
        <w:rPr>
          <w:spacing w:val="18"/>
          <w:w w:val="109"/>
          <w:sz w:val="24"/>
        </w:rPr>
        <w:t>件係</w:t>
      </w:r>
      <w:r>
        <w:rPr>
          <w:spacing w:val="20"/>
          <w:w w:val="108"/>
          <w:sz w:val="24"/>
        </w:rPr>
        <w:t>爭</w:t>
      </w:r>
      <w:r>
        <w:rPr>
          <w:spacing w:val="15"/>
          <w:w w:val="107"/>
          <w:sz w:val="24"/>
        </w:rPr>
        <w:t>期間」</w:t>
      </w:r>
      <w:r>
        <w:rPr>
          <w:spacing w:val="-156"/>
          <w:w w:val="107"/>
          <w:sz w:val="24"/>
        </w:rPr>
        <w:t>）</w:t>
      </w:r>
      <w:r>
        <w:rPr>
          <w:w w:val="65"/>
          <w:sz w:val="24"/>
        </w:rPr>
        <w:t>，</w:t>
      </w:r>
      <w:r>
        <w:rPr>
          <w:spacing w:val="-74"/>
          <w:sz w:val="24"/>
        </w:rPr>
        <w:t> </w:t>
      </w:r>
      <w:r>
        <w:rPr>
          <w:w w:val="108"/>
          <w:sz w:val="24"/>
        </w:rPr>
        <w:t>遭</w:t>
      </w:r>
      <w:r>
        <w:rPr>
          <w:w w:val="105"/>
          <w:sz w:val="24"/>
        </w:rPr>
        <w:t>被告市長以其積極參與濱松市公務員協會（浜松市職員維合）活動為由，    </w:t>
      </w:r>
      <w:r>
        <w:rPr>
          <w:spacing w:val="94"/>
          <w:w w:val="105"/>
          <w:sz w:val="24"/>
        </w:rPr>
        <w:t> </w:t>
      </w:r>
      <w:r>
        <w:rPr>
          <w:w w:val="105"/>
          <w:sz w:val="24"/>
        </w:rPr>
        <w:t>而在陞遷上受到不當的差別對待，因此受有經濟上及精神上損害，基於日    </w:t>
      </w:r>
      <w:r>
        <w:rPr>
          <w:spacing w:val="98"/>
          <w:w w:val="105"/>
          <w:sz w:val="24"/>
        </w:rPr>
        <w:t> </w:t>
      </w:r>
      <w:r>
        <w:rPr>
          <w:w w:val="95"/>
          <w:sz w:val="24"/>
        </w:rPr>
        <w:t>本國 家賠償法第 </w:t>
      </w:r>
      <w:r>
        <w:rPr>
          <w:rFonts w:ascii="Times New Roman" w:eastAsia="Times New Roman"/>
          <w:w w:val="95"/>
          <w:sz w:val="30"/>
        </w:rPr>
        <w:t>1</w:t>
      </w:r>
      <w:r>
        <w:rPr>
          <w:rFonts w:ascii="Times New Roman" w:eastAsia="Times New Roman"/>
          <w:spacing w:val="-14"/>
          <w:w w:val="95"/>
          <w:sz w:val="30"/>
        </w:rPr>
        <w:t> </w:t>
      </w:r>
      <w:r>
        <w:rPr>
          <w:spacing w:val="-9"/>
          <w:w w:val="95"/>
          <w:sz w:val="24"/>
        </w:rPr>
        <w:t>條 第 </w:t>
      </w:r>
      <w:r>
        <w:rPr>
          <w:rFonts w:ascii="Times New Roman" w:eastAsia="Times New Roman"/>
          <w:w w:val="95"/>
          <w:sz w:val="30"/>
        </w:rPr>
        <w:t>l</w:t>
      </w:r>
      <w:r>
        <w:rPr>
          <w:rFonts w:ascii="Times New Roman" w:eastAsia="Times New Roman"/>
          <w:spacing w:val="42"/>
          <w:w w:val="95"/>
          <w:sz w:val="30"/>
        </w:rPr>
        <w:t> </w:t>
      </w:r>
      <w:r>
        <w:rPr>
          <w:spacing w:val="-6"/>
          <w:w w:val="95"/>
          <w:sz w:val="24"/>
        </w:rPr>
        <w:t>項及日 本 民 法第 </w:t>
      </w:r>
      <w:r>
        <w:rPr>
          <w:rFonts w:ascii="Times New Roman" w:eastAsia="Times New Roman"/>
          <w:w w:val="95"/>
          <w:sz w:val="30"/>
        </w:rPr>
        <w:t>715</w:t>
      </w:r>
      <w:r>
        <w:rPr>
          <w:rFonts w:ascii="Times New Roman" w:eastAsia="Times New Roman"/>
          <w:spacing w:val="13"/>
          <w:w w:val="95"/>
          <w:sz w:val="30"/>
        </w:rPr>
        <w:t> </w:t>
      </w:r>
      <w:r>
        <w:rPr>
          <w:spacing w:val="15"/>
          <w:w w:val="95"/>
          <w:sz w:val="24"/>
        </w:rPr>
        <w:t>條規定，超 訴 請 求損害賠償。</w:t>
      </w:r>
    </w:p>
    <w:p>
      <w:pPr>
        <w:spacing w:before="82"/>
        <w:ind w:left="298" w:right="0" w:firstLine="0"/>
        <w:jc w:val="both"/>
        <w:rPr>
          <w:sz w:val="27"/>
        </w:rPr>
      </w:pPr>
      <w:r>
        <w:rPr>
          <w:rFonts w:ascii="新細明體" w:eastAsia="新細明體" w:hint="eastAsia"/>
          <w:b/>
          <w:sz w:val="28"/>
        </w:rPr>
        <w:t>（</w:t>
      </w:r>
      <w:r>
        <w:rPr>
          <w:rFonts w:ascii="新細明體" w:eastAsia="新細明體" w:hint="eastAsia"/>
          <w:b/>
          <w:spacing w:val="-47"/>
          <w:sz w:val="28"/>
        </w:rPr>
        <w:t> </w:t>
      </w:r>
      <w:r>
        <w:rPr>
          <w:rFonts w:ascii="Times New Roman" w:eastAsia="Times New Roman"/>
          <w:position w:val="2"/>
          <w:sz w:val="29"/>
        </w:rPr>
        <w:t>l</w:t>
      </w:r>
      <w:r>
        <w:rPr>
          <w:rFonts w:ascii="Times New Roman" w:eastAsia="Times New Roman"/>
          <w:spacing w:val="-45"/>
          <w:position w:val="2"/>
          <w:sz w:val="29"/>
        </w:rPr>
        <w:t> </w:t>
      </w:r>
      <w:r>
        <w:rPr>
          <w:rFonts w:ascii="新細明體" w:eastAsia="新細明體" w:hint="eastAsia"/>
          <w:b/>
          <w:sz w:val="28"/>
        </w:rPr>
        <w:t>）</w:t>
      </w:r>
      <w:r>
        <w:rPr>
          <w:rFonts w:ascii="新細明體" w:eastAsia="新細明體" w:hint="eastAsia"/>
          <w:b/>
          <w:spacing w:val="-47"/>
          <w:sz w:val="28"/>
        </w:rPr>
        <w:t> </w:t>
      </w:r>
      <w:r>
        <w:rPr>
          <w:position w:val="2"/>
          <w:sz w:val="27"/>
        </w:rPr>
        <w:t>爭點</w:t>
      </w:r>
    </w:p>
    <w:p>
      <w:pPr>
        <w:spacing w:before="248"/>
        <w:ind w:left="864" w:right="0" w:firstLine="0"/>
        <w:jc w:val="left"/>
        <w:rPr>
          <w:sz w:val="24"/>
        </w:rPr>
      </w:pPr>
      <w:r>
        <w:rPr>
          <w:w w:val="115"/>
          <w:sz w:val="24"/>
        </w:rPr>
        <w:t>原告甲之陞任顯然較其他同期獲錄用之同學歷職員為遲，究竟超因於</w:t>
      </w:r>
    </w:p>
    <w:p>
      <w:pPr>
        <w:pStyle w:val="BodyText"/>
        <w:rPr>
          <w:sz w:val="20"/>
        </w:rPr>
      </w:pPr>
    </w:p>
    <w:p>
      <w:pPr>
        <w:pStyle w:val="BodyText"/>
        <w:spacing w:before="7"/>
        <w:rPr>
          <w:sz w:val="23"/>
        </w:rPr>
      </w:pPr>
      <w:r>
        <w:rPr/>
        <w:pict>
          <v:shape style="position:absolute;margin-left:95.174004pt;margin-top:17.473614pt;width:144.25pt;height:.1pt;mso-position-horizontal-relative:page;mso-position-vertical-relative:paragraph;z-index:-15576064;mso-wrap-distance-left:0;mso-wrap-distance-right:0" coordorigin="1903,349" coordsize="2885,0" path="m1903,349l4788,349e" filled="false" stroked="true" strokeweight=".720821pt" strokecolor="#000000">
            <v:path arrowok="t"/>
            <v:stroke dashstyle="solid"/>
            <w10:wrap type="topAndBottom"/>
          </v:shape>
        </w:pict>
      </w:r>
    </w:p>
    <w:p>
      <w:pPr>
        <w:pStyle w:val="BodyText"/>
        <w:spacing w:before="9"/>
        <w:rPr>
          <w:sz w:val="10"/>
        </w:rPr>
      </w:pPr>
    </w:p>
    <w:p>
      <w:pPr>
        <w:spacing w:before="87"/>
        <w:ind w:left="298" w:right="0" w:firstLine="0"/>
        <w:jc w:val="both"/>
        <w:rPr>
          <w:sz w:val="20"/>
        </w:rPr>
      </w:pPr>
      <w:r>
        <w:rPr>
          <w:rFonts w:ascii="Times New Roman" w:hAnsi="Times New Roman" w:eastAsia="Times New Roman"/>
          <w:w w:val="120"/>
          <w:sz w:val="20"/>
          <w:vertAlign w:val="superscript"/>
        </w:rPr>
        <w:t>185</w:t>
      </w:r>
      <w:r>
        <w:rPr>
          <w:rFonts w:ascii="Times New Roman" w:hAnsi="Times New Roman" w:eastAsia="Times New Roman"/>
          <w:spacing w:val="25"/>
          <w:w w:val="120"/>
          <w:sz w:val="20"/>
          <w:vertAlign w:val="baseline"/>
        </w:rPr>
        <w:t>  </w:t>
      </w:r>
      <w:r>
        <w:rPr>
          <w:w w:val="120"/>
          <w:sz w:val="20"/>
          <w:vertAlign w:val="baseline"/>
        </w:rPr>
        <w:t>中嶋士元也，市®女子職員匕対寸石昇格差別匕損害賠償義務，実用法律雑誌．，</w:t>
      </w:r>
    </w:p>
    <w:p>
      <w:pPr>
        <w:spacing w:line="252" w:lineRule="auto" w:before="13"/>
        <w:ind w:left="505" w:right="486" w:firstLine="13"/>
        <w:jc w:val="both"/>
        <w:rPr>
          <w:sz w:val="20"/>
        </w:rPr>
      </w:pPr>
      <w:r>
        <w:rPr>
          <w:rFonts w:ascii="Times New Roman" w:eastAsia="Times New Roman"/>
          <w:w w:val="105"/>
          <w:sz w:val="20"/>
        </w:rPr>
        <w:t>.:i')</w:t>
      </w:r>
      <w:r>
        <w:rPr>
          <w:rFonts w:ascii="Times New Roman" w:eastAsia="Times New Roman"/>
          <w:spacing w:val="47"/>
          <w:w w:val="105"/>
          <w:sz w:val="20"/>
        </w:rPr>
        <w:t> </w:t>
      </w:r>
      <w:r>
        <w:rPr>
          <w:rFonts w:ascii="Times New Roman" w:eastAsia="Times New Roman"/>
          <w:sz w:val="20"/>
        </w:rPr>
        <w:t>A</w:t>
      </w:r>
      <w:r>
        <w:rPr>
          <w:rFonts w:ascii="Times New Roman" w:eastAsia="Times New Roman"/>
          <w:spacing w:val="4"/>
          <w:sz w:val="20"/>
        </w:rPr>
        <w:t> </w:t>
      </w:r>
      <w:r>
        <w:rPr>
          <w:spacing w:val="-4"/>
          <w:sz w:val="19"/>
        </w:rPr>
        <w:t>卜 </w:t>
      </w:r>
      <w:r>
        <w:rPr>
          <w:rFonts w:ascii="Times New Roman" w:eastAsia="Times New Roman"/>
          <w:sz w:val="26"/>
        </w:rPr>
        <w:t>737</w:t>
      </w:r>
      <w:r>
        <w:rPr>
          <w:rFonts w:ascii="Times New Roman" w:eastAsia="Times New Roman"/>
          <w:spacing w:val="28"/>
          <w:sz w:val="26"/>
        </w:rPr>
        <w:t> </w:t>
      </w:r>
      <w:r>
        <w:rPr>
          <w:spacing w:val="-8"/>
          <w:sz w:val="20"/>
        </w:rPr>
        <w:t>芳 ，有斐閣。尾崎正利 ， 昇格 匕 関寸 石 男女 差別匕任命権 者 </w:t>
      </w:r>
      <w:r>
        <w:rPr>
          <w:rFonts w:ascii="Arial" w:eastAsia="Arial"/>
          <w:sz w:val="14"/>
        </w:rPr>
        <w:t>(J)</w:t>
      </w:r>
      <w:r>
        <w:rPr>
          <w:rFonts w:ascii="Arial" w:eastAsia="Arial"/>
          <w:spacing w:val="7"/>
          <w:sz w:val="14"/>
        </w:rPr>
        <w:t> </w:t>
      </w:r>
      <w:r>
        <w:rPr>
          <w:spacing w:val="14"/>
          <w:sz w:val="20"/>
        </w:rPr>
        <w:t>裁量権 ，</w:t>
      </w:r>
      <w:r>
        <w:rPr>
          <w:spacing w:val="-98"/>
          <w:sz w:val="20"/>
        </w:rPr>
        <w:t> </w:t>
      </w:r>
      <w:r>
        <w:rPr>
          <w:spacing w:val="4"/>
          <w:w w:val="95"/>
          <w:sz w:val="20"/>
        </w:rPr>
        <w:t>季刊旁働 法 </w:t>
      </w:r>
      <w:r>
        <w:rPr>
          <w:rFonts w:ascii="Times New Roman" w:eastAsia="Times New Roman"/>
          <w:w w:val="95"/>
          <w:sz w:val="26"/>
        </w:rPr>
        <w:t>129</w:t>
      </w:r>
      <w:r>
        <w:rPr>
          <w:rFonts w:ascii="Times New Roman" w:eastAsia="Times New Roman"/>
          <w:spacing w:val="30"/>
          <w:w w:val="95"/>
          <w:sz w:val="26"/>
        </w:rPr>
        <w:t> </w:t>
      </w:r>
      <w:r>
        <w:rPr>
          <w:spacing w:val="-8"/>
          <w:w w:val="95"/>
          <w:sz w:val="20"/>
        </w:rPr>
        <w:t>芳 。坂 本 福 子 ，地 方公務 員 叨 男女 昇級 差別匕 男女 平等 ， 旁働 法律</w:t>
      </w:r>
      <w:r>
        <w:rPr>
          <w:spacing w:val="-10"/>
          <w:sz w:val="22"/>
        </w:rPr>
        <w:t>句報 </w:t>
      </w:r>
      <w:r>
        <w:rPr>
          <w:rFonts w:ascii="Times New Roman" w:eastAsia="Times New Roman"/>
          <w:sz w:val="26"/>
        </w:rPr>
        <w:t>120</w:t>
      </w:r>
      <w:r>
        <w:rPr>
          <w:rFonts w:ascii="Times New Roman" w:eastAsia="Times New Roman"/>
          <w:spacing w:val="12"/>
          <w:sz w:val="26"/>
        </w:rPr>
        <w:t> </w:t>
      </w:r>
      <w:r>
        <w:rPr>
          <w:spacing w:val="10"/>
          <w:sz w:val="20"/>
        </w:rPr>
        <w:t>芳 。</w:t>
      </w:r>
    </w:p>
    <w:p>
      <w:pPr>
        <w:spacing w:line="296" w:lineRule="exact" w:before="0"/>
        <w:ind w:left="298" w:right="0" w:firstLine="0"/>
        <w:jc w:val="both"/>
        <w:rPr>
          <w:sz w:val="20"/>
        </w:rPr>
      </w:pPr>
      <w:r>
        <w:rPr>
          <w:rFonts w:ascii="Times New Roman" w:eastAsia="Times New Roman"/>
          <w:position w:val="7"/>
          <w:sz w:val="13"/>
        </w:rPr>
        <w:t>186</w:t>
      </w:r>
      <w:r>
        <w:rPr>
          <w:rFonts w:ascii="Times New Roman" w:eastAsia="Times New Roman"/>
          <w:spacing w:val="17"/>
          <w:position w:val="7"/>
          <w:sz w:val="13"/>
        </w:rPr>
        <w:t> </w:t>
      </w:r>
      <w:r>
        <w:rPr>
          <w:spacing w:val="15"/>
          <w:sz w:val="20"/>
        </w:rPr>
        <w:t>靜 岡地判浜松支部</w:t>
      </w:r>
      <w:r>
        <w:rPr>
          <w:rFonts w:ascii="Times New Roman" w:eastAsia="Times New Roman"/>
          <w:sz w:val="26"/>
        </w:rPr>
        <w:t>2002</w:t>
      </w:r>
      <w:r>
        <w:rPr>
          <w:rFonts w:ascii="Times New Roman" w:eastAsia="Times New Roman"/>
          <w:spacing w:val="-8"/>
          <w:sz w:val="26"/>
        </w:rPr>
        <w:t> </w:t>
      </w:r>
      <w:r>
        <w:rPr>
          <w:spacing w:val="11"/>
          <w:sz w:val="21"/>
        </w:rPr>
        <w:t>年</w:t>
      </w:r>
      <w:r>
        <w:rPr>
          <w:rFonts w:ascii="Times New Roman" w:eastAsia="Times New Roman"/>
          <w:sz w:val="26"/>
        </w:rPr>
        <w:t>2</w:t>
      </w:r>
      <w:r>
        <w:rPr>
          <w:rFonts w:ascii="Times New Roman" w:eastAsia="Times New Roman"/>
          <w:spacing w:val="-40"/>
          <w:sz w:val="26"/>
        </w:rPr>
        <w:t> </w:t>
      </w:r>
      <w:r>
        <w:rPr>
          <w:spacing w:val="-33"/>
          <w:sz w:val="21"/>
        </w:rPr>
        <w:t>月 </w:t>
      </w:r>
      <w:r>
        <w:rPr>
          <w:rFonts w:ascii="Times New Roman" w:eastAsia="Times New Roman"/>
          <w:sz w:val="26"/>
        </w:rPr>
        <w:t>25</w:t>
      </w:r>
      <w:r>
        <w:rPr>
          <w:rFonts w:ascii="Times New Roman" w:eastAsia="Times New Roman"/>
          <w:spacing w:val="-25"/>
          <w:sz w:val="26"/>
        </w:rPr>
        <w:t> </w:t>
      </w:r>
      <w:r>
        <w:rPr>
          <w:spacing w:val="-4"/>
          <w:sz w:val="20"/>
        </w:rPr>
        <w:t>日 ， 資料來源： 裁判所／裁判例情報 ，</w:t>
      </w:r>
    </w:p>
    <w:p>
      <w:pPr>
        <w:spacing w:before="20"/>
        <w:ind w:left="502" w:right="0" w:firstLine="0"/>
        <w:jc w:val="left"/>
        <w:rPr>
          <w:rFonts w:ascii="Times New Roman"/>
          <w:sz w:val="26"/>
        </w:rPr>
      </w:pPr>
      <w:hyperlink r:id="rId527">
        <w:r>
          <w:rPr>
            <w:rFonts w:ascii="Times New Roman"/>
            <w:w w:val="105"/>
            <w:sz w:val="26"/>
          </w:rPr>
          <w:t>http://www.courts.go.jp/search/jhsp0030?action_id=dspDetail&amp;hanreiSrchKb</w:t>
        </w:r>
      </w:hyperlink>
    </w:p>
    <w:p>
      <w:pPr>
        <w:tabs>
          <w:tab w:pos="4599" w:val="left" w:leader="none"/>
        </w:tabs>
        <w:spacing w:before="9"/>
        <w:ind w:left="507" w:right="0" w:firstLine="0"/>
        <w:jc w:val="left"/>
        <w:rPr>
          <w:sz w:val="20"/>
        </w:rPr>
      </w:pPr>
      <w:r>
        <w:rPr>
          <w:rFonts w:ascii="Times New Roman" w:eastAsia="Times New Roman"/>
          <w:w w:val="85"/>
          <w:sz w:val="26"/>
        </w:rPr>
        <w:t>n=O1&amp;hanre</w:t>
      </w:r>
      <w:r>
        <w:rPr>
          <w:rFonts w:ascii="Times New Roman" w:eastAsia="Times New Roman"/>
          <w:spacing w:val="-17"/>
          <w:w w:val="85"/>
          <w:sz w:val="26"/>
        </w:rPr>
        <w:t> </w:t>
      </w:r>
      <w:r>
        <w:rPr>
          <w:rFonts w:ascii="Times New Roman" w:eastAsia="Times New Roman"/>
          <w:w w:val="85"/>
          <w:sz w:val="26"/>
        </w:rPr>
        <w:t>i</w:t>
      </w:r>
      <w:r>
        <w:rPr>
          <w:rFonts w:ascii="Times New Roman" w:eastAsia="Times New Roman"/>
          <w:spacing w:val="-17"/>
          <w:w w:val="85"/>
          <w:sz w:val="26"/>
        </w:rPr>
        <w:t> </w:t>
      </w:r>
      <w:r>
        <w:rPr>
          <w:rFonts w:ascii="Times New Roman" w:eastAsia="Times New Roman"/>
          <w:w w:val="85"/>
          <w:sz w:val="26"/>
        </w:rPr>
        <w:t>No=18704&amp;hanre</w:t>
      </w:r>
      <w:r>
        <w:rPr>
          <w:rFonts w:ascii="Times New Roman" w:eastAsia="Times New Roman"/>
          <w:spacing w:val="-15"/>
          <w:w w:val="85"/>
          <w:sz w:val="26"/>
        </w:rPr>
        <w:t> </w:t>
      </w:r>
      <w:r>
        <w:rPr>
          <w:rFonts w:ascii="Times New Roman" w:eastAsia="Times New Roman"/>
          <w:w w:val="85"/>
          <w:sz w:val="26"/>
        </w:rPr>
        <w:t>i</w:t>
      </w:r>
      <w:r>
        <w:rPr>
          <w:rFonts w:ascii="Times New Roman" w:eastAsia="Times New Roman"/>
          <w:spacing w:val="-31"/>
          <w:w w:val="85"/>
          <w:sz w:val="26"/>
        </w:rPr>
        <w:t> </w:t>
      </w:r>
      <w:r>
        <w:rPr>
          <w:rFonts w:ascii="Times New Roman" w:eastAsia="Times New Roman"/>
          <w:w w:val="85"/>
          <w:sz w:val="26"/>
        </w:rPr>
        <w:t>Kbn=0,5</w:t>
        <w:tab/>
      </w:r>
      <w:r>
        <w:rPr>
          <w:spacing w:val="23"/>
          <w:w w:val="85"/>
          <w:sz w:val="20"/>
        </w:rPr>
        <w:t>最 後 瀏覽日： </w:t>
      </w:r>
      <w:r>
        <w:rPr>
          <w:rFonts w:ascii="Times New Roman" w:eastAsia="Times New Roman"/>
          <w:w w:val="85"/>
          <w:sz w:val="26"/>
        </w:rPr>
        <w:t>2010</w:t>
      </w:r>
      <w:r>
        <w:rPr>
          <w:w w:val="85"/>
          <w:sz w:val="21"/>
        </w:rPr>
        <w:t>年</w:t>
      </w:r>
      <w:r>
        <w:rPr>
          <w:rFonts w:ascii="Times New Roman" w:eastAsia="Times New Roman"/>
          <w:w w:val="85"/>
          <w:sz w:val="26"/>
        </w:rPr>
        <w:t>9</w:t>
      </w:r>
      <w:r>
        <w:rPr>
          <w:rFonts w:ascii="Times New Roman" w:eastAsia="Times New Roman"/>
          <w:spacing w:val="-27"/>
          <w:w w:val="85"/>
          <w:sz w:val="26"/>
        </w:rPr>
        <w:t> </w:t>
      </w:r>
      <w:r>
        <w:rPr>
          <w:spacing w:val="33"/>
          <w:w w:val="85"/>
          <w:sz w:val="21"/>
        </w:rPr>
        <w:t>月</w:t>
      </w:r>
      <w:r>
        <w:rPr>
          <w:rFonts w:ascii="Times New Roman" w:eastAsia="Times New Roman"/>
          <w:w w:val="85"/>
          <w:sz w:val="26"/>
        </w:rPr>
        <w:t>7</w:t>
      </w:r>
      <w:r>
        <w:rPr>
          <w:rFonts w:ascii="Times New Roman" w:eastAsia="Times New Roman"/>
          <w:spacing w:val="-28"/>
          <w:w w:val="85"/>
          <w:sz w:val="26"/>
        </w:rPr>
        <w:t> </w:t>
      </w:r>
      <w:r>
        <w:rPr>
          <w:spacing w:val="10"/>
          <w:w w:val="85"/>
          <w:sz w:val="20"/>
        </w:rPr>
        <w:t>日 。</w:t>
      </w:r>
    </w:p>
    <w:p>
      <w:pPr>
        <w:spacing w:after="0"/>
        <w:jc w:val="left"/>
        <w:rPr>
          <w:sz w:val="20"/>
        </w:rPr>
        <w:sectPr>
          <w:pgSz w:w="11910" w:h="16840"/>
          <w:pgMar w:header="862" w:footer="1017" w:top="1060" w:bottom="1200" w:left="1120" w:right="1060"/>
        </w:sectPr>
      </w:pPr>
    </w:p>
    <w:p>
      <w:pPr>
        <w:pStyle w:val="BodyText"/>
        <w:spacing w:before="12"/>
        <w:rPr>
          <w:sz w:val="28"/>
        </w:rPr>
      </w:pPr>
    </w:p>
    <w:p>
      <w:pPr>
        <w:pStyle w:val="BodyText"/>
        <w:spacing w:before="65"/>
        <w:ind w:left="316"/>
      </w:pPr>
      <w:r>
        <w:rPr>
          <w:w w:val="110"/>
        </w:rPr>
        <w:t>其能力或工作績效？抑或因其積極參與工會活動？</w:t>
      </w:r>
    </w:p>
    <w:p>
      <w:pPr>
        <w:pStyle w:val="ListParagraph"/>
        <w:numPr>
          <w:ilvl w:val="0"/>
          <w:numId w:val="13"/>
        </w:numPr>
        <w:tabs>
          <w:tab w:pos="1018" w:val="left" w:leader="none"/>
        </w:tabs>
        <w:spacing w:line="240" w:lineRule="auto" w:before="183" w:after="0"/>
        <w:ind w:left="1017" w:right="0" w:hanging="720"/>
        <w:jc w:val="left"/>
        <w:rPr>
          <w:sz w:val="25"/>
        </w:rPr>
      </w:pPr>
      <w:r>
        <w:rPr>
          <w:spacing w:val="36"/>
          <w:sz w:val="25"/>
        </w:rPr>
        <w:t>原告</w:t>
      </w:r>
      <w:r>
        <w:rPr>
          <w:rFonts w:ascii="Times New Roman" w:eastAsia="Times New Roman"/>
          <w:sz w:val="30"/>
        </w:rPr>
        <w:t>X</w:t>
      </w:r>
      <w:r>
        <w:rPr>
          <w:rFonts w:ascii="Times New Roman" w:eastAsia="Times New Roman"/>
          <w:spacing w:val="-31"/>
          <w:sz w:val="30"/>
        </w:rPr>
        <w:t> </w:t>
      </w:r>
      <w:r>
        <w:rPr>
          <w:spacing w:val="29"/>
          <w:sz w:val="25"/>
        </w:rPr>
        <w:t>之主張</w:t>
      </w:r>
    </w:p>
    <w:p>
      <w:pPr>
        <w:pStyle w:val="BodyText"/>
        <w:spacing w:line="321" w:lineRule="auto" w:before="226"/>
        <w:ind w:left="301" w:right="518" w:firstLine="558"/>
      </w:pPr>
      <w:r>
        <w:rPr>
          <w:spacing w:val="34"/>
        </w:rPr>
        <w:t>被告</w:t>
      </w:r>
      <w:r>
        <w:rPr>
          <w:rFonts w:ascii="Arial" w:eastAsia="Arial"/>
          <w:sz w:val="28"/>
        </w:rPr>
        <w:t>Y</w:t>
      </w:r>
      <w:r>
        <w:rPr>
          <w:rFonts w:ascii="Arial" w:eastAsia="Arial"/>
          <w:spacing w:val="-3"/>
          <w:sz w:val="28"/>
        </w:rPr>
        <w:t> </w:t>
      </w:r>
      <w:r>
        <w:rPr>
          <w:spacing w:val="9"/>
        </w:rPr>
        <w:t>市政府就公務員 協會採取敵對態度 </w:t>
      </w:r>
      <w:r>
        <w:rPr>
          <w:w w:val="95"/>
        </w:rPr>
        <w:t>，</w:t>
      </w:r>
      <w:r>
        <w:rPr>
          <w:spacing w:val="46"/>
        </w:rPr>
        <w:t>對</w:t>
      </w:r>
      <w:r>
        <w:rPr>
          <w:rFonts w:ascii="Arial" w:eastAsia="Arial"/>
          <w:sz w:val="28"/>
        </w:rPr>
        <w:t>X</w:t>
      </w:r>
      <w:r>
        <w:rPr>
          <w:rFonts w:ascii="Arial" w:eastAsia="Arial"/>
          <w:spacing w:val="-9"/>
          <w:sz w:val="28"/>
        </w:rPr>
        <w:t> </w:t>
      </w:r>
      <w:r>
        <w:rPr>
          <w:spacing w:val="7"/>
        </w:rPr>
        <w:t>積極參與公務員 協會</w:t>
      </w:r>
      <w:r>
        <w:rPr>
          <w:w w:val="105"/>
        </w:rPr>
        <w:t>活動，要求實現工會會員們權利的行為，戚到厭惡，除對其他職員提出警</w:t>
      </w:r>
      <w:r>
        <w:rPr>
          <w:spacing w:val="118"/>
          <w:w w:val="105"/>
        </w:rPr>
        <w:t> </w:t>
      </w:r>
      <w:r>
        <w:rPr>
          <w:w w:val="105"/>
        </w:rPr>
        <w:t>告，並持續對已符合陞任條件的原告玲予差別對待。此項陞遷差別對待，</w:t>
      </w:r>
      <w:r>
        <w:rPr>
          <w:spacing w:val="100"/>
          <w:w w:val="105"/>
        </w:rPr>
        <w:t> </w:t>
      </w:r>
      <w:r>
        <w:rPr>
          <w:spacing w:val="-5"/>
        </w:rPr>
        <w:t>原告方面 主張 違反日 本憲法第 </w:t>
      </w:r>
      <w:r>
        <w:rPr>
          <w:rFonts w:ascii="Times New Roman" w:eastAsia="Times New Roman"/>
          <w:sz w:val="30"/>
        </w:rPr>
        <w:t>14</w:t>
      </w:r>
      <w:r>
        <w:rPr>
          <w:rFonts w:ascii="Times New Roman" w:eastAsia="Times New Roman"/>
          <w:spacing w:val="-11"/>
          <w:sz w:val="30"/>
        </w:rPr>
        <w:t> </w:t>
      </w:r>
      <w:r>
        <w:rPr>
          <w:spacing w:val="-9"/>
        </w:rPr>
        <w:t>條及日 本公務員 法第 </w:t>
      </w:r>
      <w:r>
        <w:rPr>
          <w:rFonts w:ascii="Times New Roman" w:eastAsia="Times New Roman"/>
          <w:sz w:val="30"/>
        </w:rPr>
        <w:t>13</w:t>
      </w:r>
      <w:r>
        <w:rPr>
          <w:rFonts w:ascii="Times New Roman" w:eastAsia="Times New Roman"/>
          <w:spacing w:val="-11"/>
          <w:sz w:val="30"/>
        </w:rPr>
        <w:t> </w:t>
      </w:r>
      <w:r>
        <w:rPr>
          <w:spacing w:val="-3"/>
        </w:rPr>
        <w:t>條 、同法第 </w:t>
      </w:r>
      <w:r>
        <w:rPr>
          <w:rFonts w:ascii="Times New Roman" w:eastAsia="Times New Roman"/>
          <w:sz w:val="30"/>
        </w:rPr>
        <w:t>56</w:t>
      </w:r>
      <w:r>
        <w:rPr>
          <w:rFonts w:ascii="Times New Roman" w:eastAsia="Times New Roman"/>
          <w:spacing w:val="1"/>
          <w:sz w:val="30"/>
        </w:rPr>
        <w:t> </w:t>
      </w:r>
      <w:r>
        <w:rPr>
          <w:w w:val="105"/>
        </w:rPr>
        <w:t>條的平等原則、不利益處遇禁止原則。</w:t>
      </w:r>
    </w:p>
    <w:p>
      <w:pPr>
        <w:pStyle w:val="ListParagraph"/>
        <w:numPr>
          <w:ilvl w:val="0"/>
          <w:numId w:val="13"/>
        </w:numPr>
        <w:tabs>
          <w:tab w:pos="1019" w:val="left" w:leader="none"/>
        </w:tabs>
        <w:spacing w:line="240" w:lineRule="auto" w:before="95" w:after="0"/>
        <w:ind w:left="1018" w:right="0" w:hanging="721"/>
        <w:jc w:val="left"/>
        <w:rPr>
          <w:sz w:val="25"/>
        </w:rPr>
      </w:pPr>
      <w:r>
        <w:rPr>
          <w:spacing w:val="33"/>
          <w:w w:val="105"/>
          <w:sz w:val="25"/>
        </w:rPr>
        <w:t>被告</w:t>
      </w:r>
      <w:r>
        <w:rPr>
          <w:rFonts w:ascii="Times New Roman" w:eastAsia="Times New Roman"/>
          <w:w w:val="105"/>
          <w:sz w:val="28"/>
        </w:rPr>
        <w:t>Y</w:t>
      </w:r>
      <w:r>
        <w:rPr>
          <w:rFonts w:ascii="Times New Roman" w:eastAsia="Times New Roman"/>
          <w:spacing w:val="-33"/>
          <w:w w:val="105"/>
          <w:sz w:val="28"/>
        </w:rPr>
        <w:t> </w:t>
      </w:r>
      <w:r>
        <w:rPr>
          <w:spacing w:val="9"/>
          <w:w w:val="105"/>
          <w:sz w:val="25"/>
        </w:rPr>
        <w:t>市政府之主張</w:t>
      </w:r>
    </w:p>
    <w:p>
      <w:pPr>
        <w:pStyle w:val="BodyText"/>
        <w:spacing w:before="8"/>
        <w:rPr>
          <w:sz w:val="37"/>
        </w:rPr>
      </w:pPr>
    </w:p>
    <w:p>
      <w:pPr>
        <w:pStyle w:val="ListParagraph"/>
        <w:numPr>
          <w:ilvl w:val="0"/>
          <w:numId w:val="14"/>
        </w:numPr>
        <w:tabs>
          <w:tab w:pos="790" w:val="left" w:leader="none"/>
          <w:tab w:pos="791" w:val="left" w:leader="none"/>
        </w:tabs>
        <w:spacing w:line="240" w:lineRule="auto" w:before="0" w:after="0"/>
        <w:ind w:left="790" w:right="0" w:hanging="486"/>
        <w:jc w:val="left"/>
        <w:rPr>
          <w:rFonts w:ascii="Times New Roman" w:eastAsia="Times New Roman"/>
          <w:sz w:val="30"/>
        </w:rPr>
      </w:pPr>
      <w:r>
        <w:rPr>
          <w:w w:val="110"/>
          <w:sz w:val="25"/>
        </w:rPr>
        <w:t>就被告人事制度而言</w:t>
      </w:r>
    </w:p>
    <w:p>
      <w:pPr>
        <w:pStyle w:val="BodyText"/>
        <w:spacing w:before="2"/>
        <w:rPr>
          <w:sz w:val="30"/>
        </w:rPr>
      </w:pPr>
    </w:p>
    <w:p>
      <w:pPr>
        <w:pStyle w:val="BodyText"/>
        <w:spacing w:line="438" w:lineRule="exact"/>
        <w:ind w:left="301" w:right="515" w:firstLine="558"/>
      </w:pPr>
      <w:r>
        <w:rPr>
          <w:w w:val="105"/>
        </w:rPr>
        <w:t>被告任用職員均本於日本地方公務員法之宗旨與職員之工作成績及  </w:t>
      </w:r>
      <w:r>
        <w:rPr>
          <w:spacing w:val="88"/>
          <w:w w:val="105"/>
        </w:rPr>
        <w:t> </w:t>
      </w:r>
      <w:r>
        <w:rPr>
          <w:w w:val="105"/>
        </w:rPr>
        <w:t>其他能力實證為之。就職員陞遷，乃依據濱松市職員錄用及陞遷規則（浜 </w:t>
      </w:r>
      <w:r>
        <w:rPr>
          <w:spacing w:val="15"/>
          <w:w w:val="105"/>
        </w:rPr>
        <w:t> </w:t>
      </w:r>
      <w:r>
        <w:rPr>
          <w:spacing w:val="6"/>
          <w:w w:val="95"/>
        </w:rPr>
        <w:t>松市職員 </w:t>
      </w:r>
      <w:r>
        <w:rPr>
          <w:rFonts w:ascii="Arial" w:eastAsia="Arial"/>
          <w:w w:val="95"/>
          <w:sz w:val="16"/>
        </w:rPr>
        <w:t>(J)</w:t>
      </w:r>
      <w:r>
        <w:rPr>
          <w:rFonts w:ascii="Arial" w:eastAsia="Arial"/>
          <w:spacing w:val="26"/>
          <w:w w:val="95"/>
          <w:sz w:val="16"/>
        </w:rPr>
        <w:t> </w:t>
      </w:r>
      <w:r>
        <w:rPr>
          <w:spacing w:val="11"/>
          <w:w w:val="95"/>
        </w:rPr>
        <w:t>採用及菘昇 任仁関寸 石 規則</w:t>
      </w:r>
      <w:r>
        <w:rPr>
          <w:w w:val="95"/>
        </w:rPr>
        <w:t>）</w:t>
      </w:r>
      <w:r>
        <w:rPr>
          <w:spacing w:val="31"/>
          <w:w w:val="95"/>
        </w:rPr>
        <w:t>第</w:t>
      </w:r>
      <w:r>
        <w:rPr>
          <w:rFonts w:ascii="Times New Roman" w:eastAsia="Times New Roman"/>
          <w:w w:val="95"/>
          <w:sz w:val="44"/>
        </w:rPr>
        <w:t>n</w:t>
      </w:r>
      <w:r>
        <w:rPr>
          <w:rFonts w:ascii="Times New Roman" w:eastAsia="Times New Roman"/>
          <w:spacing w:val="18"/>
          <w:w w:val="95"/>
          <w:sz w:val="44"/>
        </w:rPr>
        <w:t> </w:t>
      </w:r>
      <w:r>
        <w:rPr>
          <w:spacing w:val="6"/>
          <w:w w:val="95"/>
        </w:rPr>
        <w:t>條規定 心息甌選方式行之 ，</w:t>
      </w:r>
    </w:p>
    <w:p>
      <w:pPr>
        <w:pStyle w:val="BodyText"/>
        <w:spacing w:line="331" w:lineRule="auto" w:before="108"/>
        <w:ind w:left="312" w:right="501" w:firstLine="18"/>
        <w:jc w:val="both"/>
      </w:pPr>
      <w:r>
        <w:rPr>
          <w:w w:val="110"/>
        </w:rPr>
        <w:t>而未以升等競爭考試為之。就陞遷甄選，乃綜合檢討考量，如：參加甄選人員原所屬長官之意見、該職位出缺情況及補實之必要性、參加甄選人員對該項職位業務內容之知識專門性、有無原所屬長官的推薦等而加以綜合判斷。</w:t>
      </w:r>
    </w:p>
    <w:p>
      <w:pPr>
        <w:pStyle w:val="BodyText"/>
        <w:spacing w:before="9"/>
        <w:rPr>
          <w:sz w:val="18"/>
        </w:rPr>
      </w:pPr>
    </w:p>
    <w:p>
      <w:pPr>
        <w:pStyle w:val="ListParagraph"/>
        <w:numPr>
          <w:ilvl w:val="0"/>
          <w:numId w:val="14"/>
        </w:numPr>
        <w:tabs>
          <w:tab w:pos="791" w:val="left" w:leader="none"/>
        </w:tabs>
        <w:spacing w:line="240" w:lineRule="auto" w:before="0" w:after="0"/>
        <w:ind w:left="790" w:right="0" w:hanging="504"/>
        <w:jc w:val="left"/>
        <w:rPr>
          <w:rFonts w:ascii="Arial" w:eastAsia="Arial"/>
          <w:sz w:val="28"/>
        </w:rPr>
      </w:pPr>
      <w:r>
        <w:rPr>
          <w:w w:val="110"/>
          <w:sz w:val="25"/>
        </w:rPr>
        <w:t>就原告工作成磧丶態度等而言</w:t>
      </w:r>
    </w:p>
    <w:p>
      <w:pPr>
        <w:pStyle w:val="BodyText"/>
        <w:rPr>
          <w:sz w:val="35"/>
        </w:rPr>
      </w:pPr>
    </w:p>
    <w:p>
      <w:pPr>
        <w:pStyle w:val="BodyText"/>
        <w:spacing w:line="319" w:lineRule="auto"/>
        <w:ind w:left="304" w:right="519" w:firstLine="559"/>
        <w:jc w:val="both"/>
      </w:pPr>
      <w:r>
        <w:rPr>
          <w:spacing w:val="41"/>
          <w:w w:val="95"/>
        </w:rPr>
        <w:t>原告</w:t>
      </w:r>
      <w:r>
        <w:rPr>
          <w:rFonts w:ascii="Times New Roman" w:eastAsia="Times New Roman"/>
          <w:w w:val="95"/>
          <w:sz w:val="30"/>
        </w:rPr>
        <w:t>X</w:t>
      </w:r>
      <w:r>
        <w:rPr>
          <w:rFonts w:ascii="Times New Roman" w:eastAsia="Times New Roman"/>
          <w:spacing w:val="-25"/>
          <w:w w:val="95"/>
          <w:sz w:val="30"/>
        </w:rPr>
        <w:t> </w:t>
      </w:r>
      <w:r>
        <w:rPr>
          <w:w w:val="95"/>
        </w:rPr>
        <w:t>所擔噹的 業務 量 </w:t>
      </w:r>
      <w:r>
        <w:rPr>
          <w:spacing w:val="-37"/>
          <w:w w:val="90"/>
        </w:rPr>
        <w:t>， </w:t>
      </w:r>
      <w:r>
        <w:rPr>
          <w:spacing w:val="5"/>
          <w:w w:val="95"/>
        </w:rPr>
        <w:t>因其公務 </w:t>
      </w:r>
      <w:r>
        <w:rPr>
          <w:spacing w:val="-28"/>
          <w:w w:val="90"/>
        </w:rPr>
        <w:t>員 </w:t>
      </w:r>
      <w:r>
        <w:rPr>
          <w:spacing w:val="16"/>
          <w:w w:val="95"/>
        </w:rPr>
        <w:t>協會活動多所忙碌 </w:t>
      </w:r>
      <w:r>
        <w:rPr>
          <w:spacing w:val="-25"/>
          <w:w w:val="90"/>
        </w:rPr>
        <w:t>， </w:t>
      </w:r>
      <w:r>
        <w:rPr>
          <w:spacing w:val="3"/>
          <w:w w:val="95"/>
        </w:rPr>
        <w:t>而經常僅 有</w:t>
      </w:r>
      <w:r>
        <w:rPr>
          <w:spacing w:val="23"/>
        </w:rPr>
        <w:t>其他職</w:t>
      </w:r>
      <w:r>
        <w:rPr>
          <w:spacing w:val="-31"/>
          <w:w w:val="90"/>
        </w:rPr>
        <w:t>員 </w:t>
      </w:r>
      <w:r>
        <w:rPr>
          <w:spacing w:val="5"/>
        </w:rPr>
        <w:t>的平均值 </w:t>
      </w:r>
      <w:r>
        <w:rPr>
          <w:spacing w:val="-38"/>
          <w:w w:val="90"/>
        </w:rPr>
        <w:t>， </w:t>
      </w:r>
      <w:r>
        <w:rPr>
          <w:spacing w:val="11"/>
        </w:rPr>
        <w:t>甚至是在平均值以下 </w:t>
      </w:r>
      <w:r>
        <w:rPr>
          <w:spacing w:val="-33"/>
          <w:w w:val="90"/>
        </w:rPr>
        <w:t>， </w:t>
      </w:r>
      <w:r>
        <w:rPr>
          <w:spacing w:val="30"/>
        </w:rPr>
        <w:t>又相較於</w:t>
      </w:r>
      <w:r>
        <w:rPr>
          <w:rFonts w:ascii="Arial" w:eastAsia="Arial"/>
          <w:sz w:val="28"/>
        </w:rPr>
        <w:t>X</w:t>
      </w:r>
      <w:r>
        <w:rPr>
          <w:rFonts w:ascii="Arial" w:eastAsia="Arial"/>
          <w:spacing w:val="-22"/>
          <w:sz w:val="28"/>
        </w:rPr>
        <w:t> </w:t>
      </w:r>
      <w:r>
        <w:rPr>
          <w:spacing w:val="24"/>
        </w:rPr>
        <w:t>對於公務</w:t>
      </w:r>
      <w:r>
        <w:rPr>
          <w:spacing w:val="-27"/>
          <w:w w:val="90"/>
        </w:rPr>
        <w:t>員 </w:t>
      </w:r>
      <w:r>
        <w:rPr>
          <w:spacing w:val="13"/>
        </w:rPr>
        <w:t>協會活</w:t>
      </w:r>
      <w:r>
        <w:rPr>
          <w:spacing w:val="8"/>
        </w:rPr>
        <w:t>動的熱情 </w:t>
      </w:r>
      <w:r>
        <w:rPr>
          <w:spacing w:val="-42"/>
          <w:w w:val="90"/>
        </w:rPr>
        <w:t>， </w:t>
      </w:r>
      <w:r>
        <w:rPr>
          <w:spacing w:val="2"/>
        </w:rPr>
        <w:t>看不到其對本身職 務的積極態度 。加以 </w:t>
      </w:r>
      <w:r>
        <w:rPr>
          <w:spacing w:val="-19"/>
          <w:w w:val="90"/>
        </w:rPr>
        <w:t>， </w:t>
      </w:r>
      <w:r>
        <w:rPr>
          <w:rFonts w:ascii="Arial" w:eastAsia="Arial"/>
          <w:sz w:val="28"/>
        </w:rPr>
        <w:t>X</w:t>
      </w:r>
      <w:r>
        <w:rPr>
          <w:rFonts w:ascii="Arial" w:eastAsia="Arial"/>
          <w:spacing w:val="-26"/>
          <w:sz w:val="28"/>
        </w:rPr>
        <w:t> </w:t>
      </w:r>
      <w:r>
        <w:rPr/>
        <w:t>經常反 瞿在上班時</w:t>
      </w:r>
      <w:r>
        <w:rPr>
          <w:spacing w:val="9"/>
        </w:rPr>
        <w:t>間無故擅離職守 。從上述</w:t>
      </w:r>
      <w:r>
        <w:rPr>
          <w:rFonts w:ascii="Arial" w:eastAsia="Arial"/>
          <w:sz w:val="28"/>
        </w:rPr>
        <w:t>X</w:t>
      </w:r>
      <w:r>
        <w:rPr>
          <w:rFonts w:ascii="Arial" w:eastAsia="Arial"/>
          <w:spacing w:val="-20"/>
          <w:sz w:val="28"/>
        </w:rPr>
        <w:t> </w:t>
      </w:r>
      <w:r>
        <w:rPr>
          <w:spacing w:val="-3"/>
        </w:rPr>
        <w:t>的能力與 工作態度 觀之 </w:t>
      </w:r>
      <w:r>
        <w:rPr>
          <w:spacing w:val="-38"/>
          <w:w w:val="90"/>
        </w:rPr>
        <w:t>， </w:t>
      </w:r>
      <w:r>
        <w:rPr>
          <w:spacing w:val="19"/>
        </w:rPr>
        <w:t>其是否值得陞遷為管</w:t>
      </w:r>
      <w:r>
        <w:rPr/>
        <w:t>理職，實難以不予考慮。</w:t>
      </w:r>
    </w:p>
    <w:p>
      <w:pPr>
        <w:pStyle w:val="BodyText"/>
        <w:spacing w:before="7"/>
        <w:rPr>
          <w:sz w:val="21"/>
        </w:rPr>
      </w:pPr>
    </w:p>
    <w:p>
      <w:pPr>
        <w:pStyle w:val="ListParagraph"/>
        <w:numPr>
          <w:ilvl w:val="0"/>
          <w:numId w:val="14"/>
        </w:numPr>
        <w:tabs>
          <w:tab w:pos="796" w:val="left" w:leader="none"/>
          <w:tab w:pos="797" w:val="left" w:leader="none"/>
        </w:tabs>
        <w:spacing w:line="240" w:lineRule="auto" w:before="1" w:after="0"/>
        <w:ind w:left="796" w:right="0" w:hanging="501"/>
        <w:jc w:val="left"/>
        <w:rPr>
          <w:rFonts w:ascii="Times New Roman" w:eastAsia="Times New Roman"/>
          <w:sz w:val="30"/>
        </w:rPr>
      </w:pPr>
      <w:r>
        <w:rPr>
          <w:w w:val="105"/>
          <w:sz w:val="25"/>
        </w:rPr>
        <w:t>其他情事</w:t>
      </w:r>
    </w:p>
    <w:p>
      <w:pPr>
        <w:pStyle w:val="BodyText"/>
        <w:spacing w:before="8"/>
        <w:rPr>
          <w:sz w:val="36"/>
        </w:rPr>
      </w:pPr>
    </w:p>
    <w:p>
      <w:pPr>
        <w:pStyle w:val="BodyText"/>
        <w:spacing w:line="312" w:lineRule="auto"/>
        <w:ind w:left="316" w:right="454" w:firstLine="585"/>
        <w:jc w:val="both"/>
      </w:pPr>
      <w:r>
        <w:rPr>
          <w:rFonts w:ascii="Arial" w:eastAsia="Arial"/>
          <w:sz w:val="28"/>
        </w:rPr>
        <w:t>X</w:t>
      </w:r>
      <w:r>
        <w:rPr>
          <w:rFonts w:ascii="Arial" w:eastAsia="Arial"/>
          <w:spacing w:val="-25"/>
          <w:sz w:val="28"/>
        </w:rPr>
        <w:t> </w:t>
      </w:r>
      <w:r>
        <w:rPr>
          <w:spacing w:val="10"/>
        </w:rPr>
        <w:t>長時期留任在農業委 </w:t>
      </w:r>
      <w:r>
        <w:rPr>
          <w:spacing w:val="-28"/>
          <w:w w:val="90"/>
        </w:rPr>
        <w:t>員 </w:t>
      </w:r>
      <w:r>
        <w:rPr>
          <w:spacing w:val="2"/>
        </w:rPr>
        <w:t>會事務局 </w:t>
      </w:r>
      <w:r>
        <w:rPr>
          <w:spacing w:val="-45"/>
          <w:w w:val="90"/>
        </w:rPr>
        <w:t>， </w:t>
      </w:r>
      <w:r>
        <w:rPr>
          <w:spacing w:val="6"/>
        </w:rPr>
        <w:t>本為其所願 </w:t>
      </w:r>
      <w:r>
        <w:rPr>
          <w:spacing w:val="17"/>
          <w:w w:val="90"/>
        </w:rPr>
        <w:t>，</w:t>
      </w:r>
      <w:r>
        <w:rPr>
          <w:spacing w:val="8"/>
        </w:rPr>
        <w:t>復因作 為必要職的</w:t>
      </w:r>
      <w:r>
        <w:rPr>
          <w:spacing w:val="9"/>
          <w:w w:val="95"/>
        </w:rPr>
        <w:t>農地 主事 </w:t>
      </w:r>
      <w:r>
        <w:rPr>
          <w:rFonts w:ascii="Times New Roman" w:eastAsia="Times New Roman"/>
          <w:w w:val="90"/>
          <w:sz w:val="30"/>
        </w:rPr>
        <w:t>2</w:t>
      </w:r>
      <w:r>
        <w:rPr>
          <w:rFonts w:ascii="Times New Roman" w:eastAsia="Times New Roman"/>
          <w:spacing w:val="56"/>
          <w:w w:val="90"/>
          <w:sz w:val="30"/>
        </w:rPr>
        <w:t> </w:t>
      </w:r>
      <w:r>
        <w:rPr>
          <w:spacing w:val="4"/>
          <w:w w:val="95"/>
        </w:rPr>
        <w:t>人之被告 </w:t>
      </w:r>
      <w:r>
        <w:rPr>
          <w:spacing w:val="-32"/>
          <w:w w:val="90"/>
        </w:rPr>
        <w:t>， </w:t>
      </w:r>
      <w:r>
        <w:rPr>
          <w:spacing w:val="26"/>
          <w:w w:val="95"/>
        </w:rPr>
        <w:t>其人</w:t>
      </w:r>
      <w:r>
        <w:rPr>
          <w:spacing w:val="-16"/>
          <w:w w:val="90"/>
        </w:rPr>
        <w:t>員 </w:t>
      </w:r>
      <w:r>
        <w:rPr>
          <w:spacing w:val="7"/>
          <w:w w:val="95"/>
        </w:rPr>
        <w:t>配置慣行 </w:t>
      </w:r>
      <w:r>
        <w:rPr>
          <w:spacing w:val="-23"/>
          <w:w w:val="90"/>
        </w:rPr>
        <w:t>， 而 </w:t>
      </w:r>
      <w:r>
        <w:rPr>
          <w:spacing w:val="11"/>
          <w:w w:val="95"/>
        </w:rPr>
        <w:t>成為阻礙原告升等的 結果。此</w:t>
      </w:r>
      <w:r>
        <w:rPr>
          <w:w w:val="105"/>
        </w:rPr>
        <w:t>外，原告以外其他同時期獲錄用之相同學歷人員，除中途辭職者外，雖全</w:t>
      </w:r>
    </w:p>
    <w:p>
      <w:pPr>
        <w:spacing w:after="0" w:line="312" w:lineRule="auto"/>
        <w:jc w:val="both"/>
        <w:sectPr>
          <w:pgSz w:w="11910" w:h="16840"/>
          <w:pgMar w:header="862" w:footer="1017" w:top="1060" w:bottom="1200" w:left="1120" w:right="1060"/>
        </w:sectPr>
      </w:pPr>
    </w:p>
    <w:p>
      <w:pPr>
        <w:pStyle w:val="BodyText"/>
        <w:spacing w:before="3"/>
      </w:pPr>
    </w:p>
    <w:p>
      <w:pPr>
        <w:pStyle w:val="BodyText"/>
        <w:spacing w:line="309" w:lineRule="auto" w:before="88"/>
        <w:ind w:left="303" w:right="580"/>
        <w:jc w:val="both"/>
      </w:pPr>
      <w:r>
        <w:rPr>
          <w:spacing w:val="6"/>
          <w:w w:val="95"/>
        </w:rPr>
        <w:t>部均陞遷至課長以上之職 ， 但在 </w:t>
      </w:r>
      <w:r>
        <w:rPr>
          <w:rFonts w:ascii="Times New Roman" w:eastAsia="Times New Roman"/>
          <w:w w:val="95"/>
          <w:sz w:val="30"/>
        </w:rPr>
        <w:t>1960</w:t>
      </w:r>
      <w:r>
        <w:rPr>
          <w:rFonts w:ascii="Times New Roman" w:eastAsia="Times New Roman"/>
          <w:spacing w:val="4"/>
          <w:w w:val="95"/>
          <w:sz w:val="30"/>
        </w:rPr>
        <w:t> </w:t>
      </w:r>
      <w:r>
        <w:rPr>
          <w:spacing w:val="13"/>
          <w:w w:val="95"/>
        </w:rPr>
        <w:t>年間獲錄用的職員 噹中 ， 與</w:t>
      </w:r>
      <w:r>
        <w:rPr>
          <w:rFonts w:ascii="Times New Roman" w:eastAsia="Times New Roman"/>
          <w:w w:val="95"/>
          <w:sz w:val="30"/>
        </w:rPr>
        <w:t>X</w:t>
      </w:r>
      <w:r>
        <w:rPr>
          <w:rFonts w:ascii="Times New Roman" w:eastAsia="Times New Roman"/>
          <w:spacing w:val="3"/>
          <w:w w:val="95"/>
          <w:sz w:val="30"/>
        </w:rPr>
        <w:t> </w:t>
      </w:r>
      <w:r>
        <w:rPr>
          <w:spacing w:val="15"/>
          <w:w w:val="95"/>
        </w:rPr>
        <w:t>同樣</w:t>
      </w:r>
      <w:r>
        <w:rPr>
          <w:spacing w:val="-13"/>
        </w:rPr>
        <w:t>留任 為股 長</w:t>
      </w:r>
      <w:r>
        <w:rPr/>
        <w:t>（</w:t>
      </w:r>
      <w:r>
        <w:rPr>
          <w:spacing w:val="21"/>
        </w:rPr>
        <w:t>係長</w:t>
      </w:r>
      <w:r>
        <w:rPr/>
        <w:t>）</w:t>
      </w:r>
      <w:r>
        <w:rPr>
          <w:spacing w:val="3"/>
        </w:rPr>
        <w:t>級職位者尚有 </w:t>
      </w:r>
      <w:r>
        <w:rPr>
          <w:rFonts w:ascii="Times New Roman" w:eastAsia="Times New Roman"/>
          <w:sz w:val="30"/>
        </w:rPr>
        <w:t>3</w:t>
      </w:r>
      <w:r>
        <w:rPr>
          <w:rFonts w:ascii="Times New Roman" w:eastAsia="Times New Roman"/>
          <w:spacing w:val="4"/>
          <w:sz w:val="30"/>
        </w:rPr>
        <w:t> </w:t>
      </w:r>
      <w:r>
        <w:rPr>
          <w:spacing w:val="-31"/>
        </w:rPr>
        <w:t>人 ， 該 </w:t>
      </w:r>
      <w:r>
        <w:rPr>
          <w:rFonts w:ascii="Times New Roman" w:eastAsia="Times New Roman"/>
          <w:sz w:val="30"/>
        </w:rPr>
        <w:t>3</w:t>
      </w:r>
      <w:r>
        <w:rPr>
          <w:rFonts w:ascii="Times New Roman" w:eastAsia="Times New Roman"/>
          <w:spacing w:val="9"/>
          <w:sz w:val="30"/>
        </w:rPr>
        <w:t> </w:t>
      </w:r>
      <w:r>
        <w:rPr>
          <w:spacing w:val="8"/>
        </w:rPr>
        <w:t>人均無從事公務員協 會中擔</w:t>
      </w:r>
      <w:r>
        <w:rPr/>
        <w:t>任協會幹部（維合役員）的活動經歷。</w:t>
      </w:r>
    </w:p>
    <w:p>
      <w:pPr>
        <w:pStyle w:val="BodyText"/>
        <w:spacing w:before="12"/>
        <w:rPr>
          <w:sz w:val="22"/>
        </w:rPr>
      </w:pPr>
    </w:p>
    <w:p>
      <w:pPr>
        <w:pStyle w:val="ListParagraph"/>
        <w:numPr>
          <w:ilvl w:val="0"/>
          <w:numId w:val="14"/>
        </w:numPr>
        <w:tabs>
          <w:tab w:pos="791" w:val="left" w:leader="none"/>
          <w:tab w:pos="792" w:val="left" w:leader="none"/>
        </w:tabs>
        <w:spacing w:line="240" w:lineRule="auto" w:before="0" w:after="0"/>
        <w:ind w:left="791" w:right="0" w:hanging="507"/>
        <w:jc w:val="left"/>
        <w:rPr>
          <w:rFonts w:ascii="Arial" w:eastAsia="Arial"/>
          <w:sz w:val="29"/>
        </w:rPr>
      </w:pPr>
      <w:r>
        <w:rPr>
          <w:w w:val="80"/>
          <w:sz w:val="24"/>
        </w:rPr>
        <w:t>小結</w:t>
      </w:r>
    </w:p>
    <w:p>
      <w:pPr>
        <w:pStyle w:val="BodyText"/>
        <w:spacing w:before="6"/>
        <w:rPr>
          <w:sz w:val="37"/>
        </w:rPr>
      </w:pPr>
    </w:p>
    <w:p>
      <w:pPr>
        <w:pStyle w:val="BodyText"/>
        <w:spacing w:line="319" w:lineRule="auto"/>
        <w:ind w:left="306" w:right="521" w:firstLine="559"/>
        <w:jc w:val="both"/>
      </w:pPr>
      <w:r>
        <w:rPr/>
        <w:t>據此可以認為，原告職務遂行能力與勤勉程度不足，欠缺勤務評定上   </w:t>
      </w:r>
      <w:r>
        <w:rPr>
          <w:spacing w:val="95"/>
        </w:rPr>
        <w:t> </w:t>
      </w:r>
      <w:r>
        <w:rPr/>
        <w:t>所要求之上位主管職應有之挂導能力與統御能力。加以其並無從農業委員    </w:t>
      </w:r>
      <w:r>
        <w:rPr>
          <w:spacing w:val="17"/>
        </w:rPr>
        <w:t> </w:t>
      </w:r>
      <w:r>
        <w:rPr>
          <w:spacing w:val="6"/>
          <w:w w:val="95"/>
        </w:rPr>
        <w:t>會事務局轉任之意願 。因此於 農業委 </w:t>
      </w:r>
      <w:r>
        <w:rPr>
          <w:spacing w:val="-11"/>
          <w:w w:val="90"/>
        </w:rPr>
        <w:t>員 </w:t>
      </w:r>
      <w:r>
        <w:rPr>
          <w:spacing w:val="-3"/>
          <w:w w:val="95"/>
        </w:rPr>
        <w:t>會 </w:t>
      </w:r>
      <w:r>
        <w:rPr>
          <w:spacing w:val="-30"/>
          <w:w w:val="90"/>
        </w:rPr>
        <w:t>， </w:t>
      </w:r>
      <w:r>
        <w:rPr>
          <w:spacing w:val="31"/>
          <w:w w:val="95"/>
        </w:rPr>
        <w:t>對於</w:t>
      </w:r>
      <w:r>
        <w:rPr>
          <w:rFonts w:ascii="Times New Roman" w:eastAsia="Times New Roman"/>
          <w:w w:val="95"/>
          <w:sz w:val="30"/>
        </w:rPr>
        <w:t>X</w:t>
      </w:r>
      <w:r>
        <w:rPr>
          <w:rFonts w:ascii="Times New Roman" w:eastAsia="Times New Roman"/>
          <w:spacing w:val="-7"/>
          <w:w w:val="95"/>
          <w:sz w:val="30"/>
        </w:rPr>
        <w:t> </w:t>
      </w:r>
      <w:r>
        <w:rPr>
          <w:spacing w:val="6"/>
          <w:w w:val="95"/>
        </w:rPr>
        <w:t>可擔任的相噹職 位 </w:t>
      </w:r>
      <w:r>
        <w:rPr>
          <w:spacing w:val="-37"/>
          <w:w w:val="90"/>
        </w:rPr>
        <w:t>， </w:t>
      </w:r>
      <w:r>
        <w:rPr>
          <w:w w:val="95"/>
        </w:rPr>
        <w:t>應</w:t>
      </w:r>
      <w:r>
        <w:rPr>
          <w:spacing w:val="4"/>
        </w:rPr>
        <w:t>為相 噹股 長而未配有下屬的副主管職 </w:t>
      </w:r>
      <w:r>
        <w:rPr>
          <w:w w:val="90"/>
        </w:rPr>
        <w:t>，</w:t>
      </w:r>
      <w:r>
        <w:rPr>
          <w:spacing w:val="-3"/>
        </w:rPr>
        <w:t>又因原 </w:t>
      </w:r>
      <w:r>
        <w:rPr>
          <w:rFonts w:ascii="Arial" w:eastAsia="Arial"/>
          <w:sz w:val="28"/>
        </w:rPr>
        <w:t>X</w:t>
      </w:r>
      <w:r>
        <w:rPr>
          <w:rFonts w:ascii="Arial" w:eastAsia="Arial"/>
          <w:spacing w:val="-36"/>
          <w:sz w:val="28"/>
        </w:rPr>
        <w:t> </w:t>
      </w:r>
      <w:r>
        <w:rPr>
          <w:spacing w:val="16"/>
        </w:rPr>
        <w:t>並無合於更上位的主管職</w:t>
      </w:r>
      <w:r>
        <w:rPr/>
        <w:t>的實際成績，故其無陞遷之可能性空間。</w:t>
      </w:r>
    </w:p>
    <w:p>
      <w:pPr>
        <w:pStyle w:val="ListParagraph"/>
        <w:numPr>
          <w:ilvl w:val="0"/>
          <w:numId w:val="12"/>
        </w:numPr>
        <w:tabs>
          <w:tab w:pos="1277" w:val="left" w:leader="none"/>
          <w:tab w:pos="1278" w:val="left" w:leader="none"/>
        </w:tabs>
        <w:spacing w:line="240" w:lineRule="auto" w:before="116" w:after="0"/>
        <w:ind w:left="1277" w:right="0" w:hanging="500"/>
        <w:jc w:val="left"/>
        <w:rPr>
          <w:sz w:val="25"/>
        </w:rPr>
      </w:pPr>
      <w:r>
        <w:rPr>
          <w:w w:val="110"/>
          <w:sz w:val="25"/>
        </w:rPr>
        <w:t>法院的判斷</w:t>
      </w:r>
    </w:p>
    <w:p>
      <w:pPr>
        <w:pStyle w:val="BodyText"/>
        <w:spacing w:before="11"/>
        <w:rPr>
          <w:sz w:val="20"/>
        </w:rPr>
      </w:pPr>
    </w:p>
    <w:p>
      <w:pPr>
        <w:pStyle w:val="BodyText"/>
        <w:spacing w:before="87"/>
        <w:ind w:left="298"/>
      </w:pPr>
      <w:r>
        <w:rPr>
          <w:rFonts w:ascii="新細明體" w:eastAsia="新細明體" w:hint="eastAsia"/>
          <w:b/>
          <w:w w:val="110"/>
          <w:position w:val="-1"/>
          <w:sz w:val="28"/>
        </w:rPr>
        <w:t>（</w:t>
      </w:r>
      <w:r>
        <w:rPr>
          <w:rFonts w:ascii="新細明體" w:eastAsia="新細明體" w:hint="eastAsia"/>
          <w:b/>
          <w:spacing w:val="-49"/>
          <w:w w:val="110"/>
          <w:position w:val="-1"/>
          <w:sz w:val="28"/>
        </w:rPr>
        <w:t> </w:t>
      </w:r>
      <w:r>
        <w:rPr>
          <w:rFonts w:ascii="Times New Roman" w:eastAsia="Times New Roman"/>
          <w:spacing w:val="11"/>
          <w:w w:val="110"/>
          <w:sz w:val="30"/>
        </w:rPr>
        <w:t>l</w:t>
      </w:r>
      <w:r>
        <w:rPr>
          <w:rFonts w:ascii="新細明體" w:eastAsia="新細明體" w:hint="eastAsia"/>
          <w:b/>
          <w:spacing w:val="11"/>
          <w:w w:val="110"/>
          <w:position w:val="-1"/>
          <w:sz w:val="28"/>
        </w:rPr>
        <w:t>）</w:t>
      </w:r>
      <w:r>
        <w:rPr>
          <w:rFonts w:ascii="新細明體" w:eastAsia="新細明體" w:hint="eastAsia"/>
          <w:b/>
          <w:spacing w:val="-41"/>
          <w:w w:val="110"/>
          <w:position w:val="-1"/>
          <w:sz w:val="28"/>
        </w:rPr>
        <w:t> </w:t>
      </w:r>
      <w:r>
        <w:rPr>
          <w:w w:val="110"/>
        </w:rPr>
        <w:t>陞遷顯然較其他同期獲錄用之同學歷職員為遲之事實</w:t>
      </w:r>
    </w:p>
    <w:p>
      <w:pPr>
        <w:pStyle w:val="BodyText"/>
        <w:spacing w:line="312" w:lineRule="auto" w:before="239"/>
        <w:ind w:left="305" w:right="522" w:firstLine="559"/>
      </w:pPr>
      <w:r>
        <w:rPr/>
        <w:t>於本件判決中，法院認為其同時期同學歷而受錄用的職員噹中，其間   </w:t>
      </w:r>
      <w:r>
        <w:rPr>
          <w:spacing w:val="95"/>
        </w:rPr>
        <w:t> </w:t>
      </w:r>
      <w:r>
        <w:rPr/>
        <w:t>均已陞任五等股長、六等課長輔佐（課長補佐）、七等課長、八等次長，    </w:t>
      </w:r>
      <w:r>
        <w:rPr>
          <w:spacing w:val="13"/>
        </w:rPr>
        <w:t> </w:t>
      </w:r>
      <w:r>
        <w:rPr>
          <w:spacing w:val="4"/>
          <w:w w:val="95"/>
        </w:rPr>
        <w:t>直至 </w:t>
      </w:r>
      <w:r>
        <w:rPr>
          <w:rFonts w:ascii="Times New Roman" w:eastAsia="Times New Roman"/>
          <w:w w:val="95"/>
          <w:sz w:val="30"/>
        </w:rPr>
        <w:t>1996</w:t>
      </w:r>
      <w:r>
        <w:rPr>
          <w:rFonts w:ascii="Times New Roman" w:eastAsia="Times New Roman"/>
          <w:spacing w:val="27"/>
          <w:w w:val="95"/>
          <w:sz w:val="30"/>
        </w:rPr>
        <w:t> </w:t>
      </w:r>
      <w:r>
        <w:rPr>
          <w:spacing w:val="-2"/>
          <w:w w:val="95"/>
        </w:rPr>
        <w:t>年時 ， 全部都已陞任至九等部 長 。因此 ， 若依上開事實 ， 本件</w:t>
      </w:r>
      <w:r>
        <w:rPr>
          <w:spacing w:val="6"/>
          <w:w w:val="95"/>
        </w:rPr>
        <w:t>係爭期間內 ， 原告甲在 </w:t>
      </w:r>
      <w:r>
        <w:rPr>
          <w:rFonts w:ascii="Times New Roman" w:eastAsia="Times New Roman"/>
          <w:w w:val="95"/>
          <w:sz w:val="30"/>
        </w:rPr>
        <w:t>1995</w:t>
      </w:r>
      <w:r>
        <w:rPr>
          <w:rFonts w:ascii="Times New Roman" w:eastAsia="Times New Roman"/>
          <w:spacing w:val="30"/>
          <w:w w:val="95"/>
          <w:sz w:val="30"/>
        </w:rPr>
        <w:t> </w:t>
      </w:r>
      <w:r>
        <w:rPr>
          <w:spacing w:val="11"/>
          <w:w w:val="95"/>
        </w:rPr>
        <w:t>年使陞遷股長級副主管 ， 且其後再無陞遷 ，</w:t>
      </w:r>
      <w:r>
        <w:rPr>
          <w:spacing w:val="1"/>
          <w:w w:val="95"/>
        </w:rPr>
        <w:t> </w:t>
      </w:r>
      <w:r>
        <w:rPr>
          <w:w w:val="95"/>
        </w:rPr>
        <w:t>直至 </w:t>
      </w:r>
      <w:r>
        <w:rPr>
          <w:rFonts w:ascii="Times New Roman" w:eastAsia="Times New Roman"/>
          <w:w w:val="95"/>
          <w:sz w:val="30"/>
        </w:rPr>
        <w:t>1999</w:t>
      </w:r>
      <w:r>
        <w:rPr>
          <w:w w:val="95"/>
        </w:rPr>
        <w:t>（</w:t>
      </w:r>
      <w:r>
        <w:rPr>
          <w:spacing w:val="-1"/>
          <w:w w:val="95"/>
        </w:rPr>
        <w:t> 平成 </w:t>
      </w:r>
      <w:r>
        <w:rPr>
          <w:rFonts w:ascii="Times New Roman" w:eastAsia="Times New Roman"/>
          <w:w w:val="95"/>
          <w:sz w:val="30"/>
        </w:rPr>
        <w:t>l</w:t>
      </w:r>
      <w:r>
        <w:rPr>
          <w:rFonts w:ascii="Times New Roman" w:eastAsia="Times New Roman"/>
          <w:spacing w:val="-9"/>
          <w:w w:val="95"/>
          <w:sz w:val="30"/>
        </w:rPr>
        <w:t> </w:t>
      </w:r>
      <w:r>
        <w:rPr>
          <w:rFonts w:ascii="Times New Roman" w:eastAsia="Times New Roman"/>
          <w:w w:val="95"/>
          <w:sz w:val="30"/>
        </w:rPr>
        <w:t>l</w:t>
      </w:r>
      <w:r>
        <w:rPr>
          <w:rFonts w:ascii="Times New Roman" w:eastAsia="Times New Roman"/>
          <w:spacing w:val="18"/>
          <w:w w:val="95"/>
          <w:sz w:val="30"/>
        </w:rPr>
        <w:t> ) </w:t>
      </w:r>
      <w:r>
        <w:rPr>
          <w:spacing w:val="-14"/>
          <w:w w:val="95"/>
        </w:rPr>
        <w:t>年 </w:t>
      </w:r>
      <w:r>
        <w:rPr>
          <w:rFonts w:ascii="Times New Roman" w:eastAsia="Times New Roman"/>
          <w:w w:val="95"/>
          <w:sz w:val="30"/>
        </w:rPr>
        <w:t>3</w:t>
      </w:r>
      <w:r>
        <w:rPr>
          <w:rFonts w:ascii="Times New Roman" w:eastAsia="Times New Roman"/>
          <w:spacing w:val="26"/>
          <w:w w:val="95"/>
          <w:sz w:val="30"/>
        </w:rPr>
        <w:t> </w:t>
      </w:r>
      <w:r>
        <w:rPr>
          <w:spacing w:val="7"/>
          <w:w w:val="95"/>
        </w:rPr>
        <w:t>月底 屆齡退休為止 ， 可認為</w:t>
      </w:r>
      <w:r>
        <w:rPr>
          <w:rFonts w:ascii="Times New Roman" w:eastAsia="Times New Roman"/>
          <w:w w:val="95"/>
          <w:sz w:val="30"/>
        </w:rPr>
        <w:t>X</w:t>
      </w:r>
      <w:r>
        <w:rPr>
          <w:rFonts w:ascii="Times New Roman" w:eastAsia="Times New Roman"/>
          <w:spacing w:val="-26"/>
          <w:w w:val="95"/>
          <w:sz w:val="30"/>
        </w:rPr>
        <w:t> </w:t>
      </w:r>
      <w:r>
        <w:rPr>
          <w:spacing w:val="-2"/>
          <w:w w:val="95"/>
        </w:rPr>
        <w:t>所遭受處遇 ， 在</w:t>
      </w:r>
      <w:r>
        <w:rPr/>
        <w:t>同時期同學歷職員噹中，係屬最劣等者。</w:t>
      </w:r>
    </w:p>
    <w:p>
      <w:pPr>
        <w:pStyle w:val="BodyText"/>
        <w:spacing w:before="98"/>
        <w:ind w:left="298"/>
      </w:pPr>
      <w:r>
        <w:rPr>
          <w:rFonts w:ascii="新細明體" w:hAnsi="新細明體" w:eastAsia="新細明體" w:hint="eastAsia"/>
          <w:b/>
          <w:position w:val="-2"/>
          <w:sz w:val="28"/>
        </w:rPr>
        <w:t>（</w:t>
      </w:r>
      <w:r>
        <w:rPr>
          <w:rFonts w:ascii="Times New Roman" w:hAnsi="Times New Roman" w:eastAsia="Times New Roman"/>
          <w:sz w:val="30"/>
        </w:rPr>
        <w:t>2</w:t>
      </w:r>
      <w:r>
        <w:rPr>
          <w:rFonts w:ascii="新細明體" w:hAnsi="新細明體" w:eastAsia="新細明體" w:hint="eastAsia"/>
          <w:b/>
          <w:position w:val="-2"/>
          <w:sz w:val="28"/>
        </w:rPr>
        <w:t>）</w:t>
      </w:r>
      <w:r>
        <w:rPr>
          <w:rFonts w:ascii="新細明體" w:hAnsi="新細明體" w:eastAsia="新細明體" w:hint="eastAsia"/>
          <w:b/>
          <w:spacing w:val="-22"/>
          <w:position w:val="-2"/>
          <w:sz w:val="28"/>
        </w:rPr>
        <w:t> </w:t>
      </w:r>
      <w:r>
        <w:rPr>
          <w:spacing w:val="5"/>
        </w:rPr>
        <w:t>不予陞遷虞分之違法性— 被告市長</w:t>
      </w:r>
      <w:r>
        <w:rPr>
          <w:rFonts w:ascii="Times New Roman" w:hAnsi="Times New Roman" w:eastAsia="Times New Roman"/>
          <w:spacing w:val="36"/>
          <w:sz w:val="30"/>
        </w:rPr>
        <w:t>Y</w:t>
      </w:r>
      <w:r>
        <w:rPr>
          <w:spacing w:val="14"/>
        </w:rPr>
        <w:t>之裁量椎</w:t>
      </w:r>
    </w:p>
    <w:p>
      <w:pPr>
        <w:pStyle w:val="BodyText"/>
        <w:spacing w:line="326" w:lineRule="auto" w:before="233"/>
        <w:ind w:left="312" w:right="509" w:firstLine="553"/>
        <w:jc w:val="both"/>
      </w:pPr>
      <w:r>
        <w:rPr/>
        <w:t>在以成續主義作為基本原則的任命及俸給制度上，縱其學歷與經臉年   </w:t>
      </w:r>
      <w:r>
        <w:rPr>
          <w:spacing w:val="107"/>
        </w:rPr>
        <w:t> </w:t>
      </w:r>
      <w:r>
        <w:rPr/>
        <w:t>資相同，就所歷年數的勤務實績乃至於其考評所產生影攀的相應情事，其    </w:t>
      </w:r>
      <w:r>
        <w:rPr>
          <w:spacing w:val="35"/>
        </w:rPr>
        <w:t> </w:t>
      </w:r>
      <w:r>
        <w:rPr/>
        <w:t>中噹然有差異存在，若單還原告與同時期錄用的同學歷職員間，進行集體    </w:t>
      </w:r>
      <w:r>
        <w:rPr>
          <w:spacing w:val="27"/>
        </w:rPr>
        <w:t> </w:t>
      </w:r>
      <w:r>
        <w:rPr>
          <w:spacing w:val="9"/>
          <w:w w:val="95"/>
        </w:rPr>
        <w:t>對照觀之 </w:t>
      </w:r>
      <w:r>
        <w:rPr>
          <w:spacing w:val="-13"/>
          <w:w w:val="90"/>
        </w:rPr>
        <w:t>， </w:t>
      </w:r>
      <w:r>
        <w:rPr>
          <w:spacing w:val="23"/>
          <w:w w:val="95"/>
        </w:rPr>
        <w:t>而認 為因此有升等差別 之對待 </w:t>
      </w:r>
      <w:r>
        <w:rPr>
          <w:spacing w:val="18"/>
          <w:w w:val="90"/>
        </w:rPr>
        <w:t>，</w:t>
      </w:r>
      <w:r>
        <w:rPr>
          <w:spacing w:val="21"/>
          <w:w w:val="95"/>
        </w:rPr>
        <w:t>實不能謂其係以原告</w:t>
      </w:r>
      <w:r>
        <w:rPr>
          <w:rFonts w:ascii="Arial" w:eastAsia="Arial"/>
          <w:w w:val="95"/>
          <w:sz w:val="28"/>
        </w:rPr>
        <w:t>X</w:t>
      </w:r>
      <w:r>
        <w:rPr>
          <w:rFonts w:ascii="Arial" w:eastAsia="Arial"/>
          <w:spacing w:val="-9"/>
          <w:w w:val="95"/>
          <w:sz w:val="28"/>
        </w:rPr>
        <w:t> </w:t>
      </w:r>
      <w:r>
        <w:rPr>
          <w:spacing w:val="3"/>
          <w:w w:val="95"/>
        </w:rPr>
        <w:t>積極從</w:t>
      </w:r>
      <w:r>
        <w:rPr/>
        <w:t>事工會活動而做出差別對待處遇的理由。</w:t>
      </w:r>
    </w:p>
    <w:p>
      <w:pPr>
        <w:pStyle w:val="BodyText"/>
        <w:spacing w:line="330" w:lineRule="exact"/>
        <w:ind w:left="883"/>
      </w:pPr>
      <w:r>
        <w:rPr>
          <w:spacing w:val="15"/>
          <w:w w:val="95"/>
        </w:rPr>
        <w:t>因此 </w:t>
      </w:r>
      <w:r>
        <w:rPr>
          <w:spacing w:val="18"/>
          <w:w w:val="90"/>
        </w:rPr>
        <w:t>，</w:t>
      </w:r>
      <w:r>
        <w:rPr>
          <w:spacing w:val="10"/>
          <w:w w:val="95"/>
        </w:rPr>
        <w:t>倘從規範被告升等之規定觀之 </w:t>
      </w:r>
      <w:r>
        <w:rPr>
          <w:w w:val="90"/>
        </w:rPr>
        <w:t>，被</w:t>
      </w:r>
      <w:r>
        <w:rPr>
          <w:spacing w:val="106"/>
        </w:rPr>
        <w:t> </w:t>
      </w:r>
      <w:r>
        <w:rPr>
          <w:spacing w:val="42"/>
          <w:w w:val="90"/>
        </w:rPr>
        <w:t>告 </w:t>
      </w:r>
      <w:r>
        <w:rPr>
          <w:spacing w:val="33"/>
          <w:w w:val="95"/>
        </w:rPr>
        <w:t>市長</w:t>
      </w:r>
      <w:r>
        <w:rPr>
          <w:rFonts w:ascii="Times New Roman" w:eastAsia="Times New Roman"/>
          <w:w w:val="95"/>
          <w:sz w:val="30"/>
        </w:rPr>
        <w:t>Y</w:t>
      </w:r>
      <w:r>
        <w:rPr>
          <w:rFonts w:ascii="Times New Roman" w:eastAsia="Times New Roman"/>
          <w:spacing w:val="-8"/>
          <w:w w:val="95"/>
          <w:sz w:val="30"/>
        </w:rPr>
        <w:t> </w:t>
      </w:r>
      <w:r>
        <w:rPr>
          <w:spacing w:val="19"/>
          <w:w w:val="95"/>
        </w:rPr>
        <w:t>所做之陞遷行為 </w:t>
      </w:r>
      <w:r>
        <w:rPr>
          <w:w w:val="90"/>
        </w:rPr>
        <w:t>，</w:t>
      </w:r>
    </w:p>
    <w:p>
      <w:pPr>
        <w:pStyle w:val="BodyText"/>
        <w:spacing w:line="331" w:lineRule="auto" w:before="127"/>
        <w:ind w:left="304" w:right="501" w:firstLine="25"/>
        <w:jc w:val="both"/>
      </w:pPr>
      <w:r>
        <w:rPr>
          <w:w w:val="110"/>
        </w:rPr>
        <w:t>乃在成續主義之基本原則下，綜合考察各職員之各自經歷、學識、資格、能力、適性及勤務實績等，對應於員額有限之管理職的與級別之員額，使其陞遷更上位之職，其陞遷究竟適噹與否，可謂係從高度合目的性、技術性的見解所作成的裁量行為。因該種判斷乃與是否可順利且有效率達成，</w:t>
      </w:r>
    </w:p>
    <w:p>
      <w:pPr>
        <w:spacing w:after="0" w:line="331" w:lineRule="auto"/>
        <w:jc w:val="both"/>
        <w:sectPr>
          <w:pgSz w:w="11910" w:h="16840"/>
          <w:pgMar w:header="862" w:footer="1017" w:top="1060" w:bottom="1200" w:left="1120" w:right="1060"/>
        </w:sectPr>
      </w:pPr>
    </w:p>
    <w:p>
      <w:pPr>
        <w:pStyle w:val="BodyText"/>
        <w:spacing w:before="12"/>
      </w:pPr>
    </w:p>
    <w:p>
      <w:pPr>
        <w:pStyle w:val="BodyText"/>
        <w:spacing w:line="324" w:lineRule="auto" w:before="91"/>
        <w:ind w:left="311" w:right="543" w:hanging="7"/>
      </w:pPr>
      <w:r>
        <w:rPr>
          <w:spacing w:val="5"/>
          <w:w w:val="95"/>
        </w:rPr>
        <w:t>辦理日 常大 量廣 泛業務 </w:t>
      </w:r>
      <w:r>
        <w:rPr>
          <w:spacing w:val="-34"/>
          <w:w w:val="90"/>
        </w:rPr>
        <w:t>， </w:t>
      </w:r>
      <w:r>
        <w:rPr>
          <w:spacing w:val="-6"/>
          <w:w w:val="95"/>
        </w:rPr>
        <w:t>有其密切 關係 。因 此 </w:t>
      </w:r>
      <w:r>
        <w:rPr>
          <w:spacing w:val="-41"/>
          <w:w w:val="90"/>
        </w:rPr>
        <w:t>， </w:t>
      </w:r>
      <w:r>
        <w:rPr>
          <w:spacing w:val="18"/>
          <w:w w:val="95"/>
        </w:rPr>
        <w:t>應解釋被告</w:t>
      </w:r>
      <w:r>
        <w:rPr>
          <w:rFonts w:ascii="Arial" w:eastAsia="Arial"/>
          <w:w w:val="95"/>
          <w:sz w:val="28"/>
        </w:rPr>
        <w:t>Y</w:t>
      </w:r>
      <w:r>
        <w:rPr>
          <w:rFonts w:ascii="Arial" w:eastAsia="Arial"/>
          <w:spacing w:val="-7"/>
          <w:w w:val="95"/>
          <w:sz w:val="28"/>
        </w:rPr>
        <w:t> </w:t>
      </w:r>
      <w:r>
        <w:rPr>
          <w:spacing w:val="16"/>
          <w:w w:val="95"/>
        </w:rPr>
        <w:t>市長之裁量</w:t>
      </w:r>
      <w:r>
        <w:rPr/>
        <w:t>有廣泛之空間。</w:t>
      </w:r>
    </w:p>
    <w:p>
      <w:pPr>
        <w:pStyle w:val="BodyText"/>
        <w:spacing w:line="316" w:lineRule="auto"/>
        <w:ind w:left="303" w:right="511" w:firstLine="579"/>
      </w:pPr>
      <w:r>
        <w:rPr>
          <w:spacing w:val="12"/>
          <w:w w:val="95"/>
        </w:rPr>
        <w:t>另方面 ， 前述</w:t>
      </w:r>
      <w:r>
        <w:rPr>
          <w:rFonts w:ascii="Times New Roman" w:eastAsia="Times New Roman"/>
          <w:w w:val="95"/>
          <w:sz w:val="30"/>
        </w:rPr>
        <w:t>Y</w:t>
      </w:r>
      <w:r>
        <w:rPr>
          <w:rFonts w:ascii="Times New Roman" w:eastAsia="Times New Roman"/>
          <w:spacing w:val="-15"/>
          <w:w w:val="95"/>
          <w:sz w:val="30"/>
        </w:rPr>
        <w:t> </w:t>
      </w:r>
      <w:r>
        <w:rPr>
          <w:w w:val="95"/>
        </w:rPr>
        <w:t>市長之裁量 ， 若有違反地方公務 員 法第 </w:t>
      </w:r>
      <w:r>
        <w:rPr>
          <w:rFonts w:ascii="Times New Roman" w:eastAsia="Times New Roman"/>
          <w:w w:val="95"/>
          <w:sz w:val="30"/>
        </w:rPr>
        <w:t>13</w:t>
      </w:r>
      <w:r>
        <w:rPr>
          <w:rFonts w:ascii="Times New Roman" w:eastAsia="Times New Roman"/>
          <w:spacing w:val="9"/>
          <w:w w:val="95"/>
          <w:sz w:val="30"/>
        </w:rPr>
        <w:t> </w:t>
      </w:r>
      <w:r>
        <w:rPr>
          <w:spacing w:val="10"/>
          <w:w w:val="95"/>
        </w:rPr>
        <w:t>條及第 </w:t>
      </w:r>
      <w:r>
        <w:rPr>
          <w:rFonts w:ascii="Times New Roman" w:eastAsia="Times New Roman"/>
          <w:w w:val="95"/>
          <w:sz w:val="30"/>
        </w:rPr>
        <w:t>56</w:t>
      </w:r>
      <w:r>
        <w:rPr>
          <w:rFonts w:ascii="Times New Roman" w:eastAsia="Times New Roman"/>
          <w:spacing w:val="-68"/>
          <w:w w:val="95"/>
          <w:sz w:val="30"/>
        </w:rPr>
        <w:t> </w:t>
      </w:r>
      <w:r>
        <w:rPr>
          <w:w w:val="105"/>
        </w:rPr>
        <w:t>條基於平等原則的不利益對待禁止原則而以從事公務員協會活動作為理  </w:t>
      </w:r>
      <w:r>
        <w:rPr>
          <w:spacing w:val="123"/>
          <w:w w:val="105"/>
        </w:rPr>
        <w:t> </w:t>
      </w:r>
      <w:r>
        <w:rPr/>
        <w:t>由加以行使時 </w:t>
      </w:r>
      <w:r>
        <w:rPr>
          <w:spacing w:val="-43"/>
          <w:w w:val="95"/>
        </w:rPr>
        <w:t>， </w:t>
      </w:r>
      <w:r>
        <w:rPr/>
        <w:t>將對於原告不予陞任 、升等之 情事 </w:t>
      </w:r>
      <w:r>
        <w:rPr>
          <w:spacing w:val="-41"/>
          <w:w w:val="95"/>
        </w:rPr>
        <w:t>， </w:t>
      </w:r>
      <w:r>
        <w:rPr>
          <w:spacing w:val="-3"/>
        </w:rPr>
        <w:t>則作 為有關侵 害</w:t>
      </w:r>
      <w:r>
        <w:rPr>
          <w:rFonts w:ascii="Times New Roman" w:eastAsia="Times New Roman"/>
          <w:spacing w:val="34"/>
          <w:sz w:val="30"/>
        </w:rPr>
        <w:t>X</w:t>
      </w:r>
      <w:r>
        <w:rPr/>
        <w:t>在</w:t>
      </w:r>
      <w:r>
        <w:rPr>
          <w:w w:val="105"/>
        </w:rPr>
        <w:t>陞遷、升等之法律上之利益者，即應負超侵權行為責任。</w:t>
      </w:r>
    </w:p>
    <w:p>
      <w:pPr>
        <w:pStyle w:val="BodyText"/>
        <w:spacing w:line="326" w:lineRule="auto" w:before="11"/>
        <w:ind w:left="298" w:right="521" w:firstLine="565"/>
        <w:jc w:val="both"/>
      </w:pPr>
      <w:r>
        <w:rPr>
          <w:w w:val="105"/>
        </w:rPr>
        <w:t>原本陞遷、升等制度即應使其反映職員的能力、性格與勤務實績作為</w:t>
      </w:r>
      <w:r>
        <w:rPr>
          <w:spacing w:val="90"/>
          <w:w w:val="105"/>
        </w:rPr>
        <w:t> </w:t>
      </w:r>
      <w:r>
        <w:rPr>
          <w:spacing w:val="-12"/>
        </w:rPr>
        <w:t>根本 </w:t>
      </w:r>
      <w:r>
        <w:rPr>
          <w:spacing w:val="5"/>
          <w:w w:val="90"/>
        </w:rPr>
        <w:t>， 而因本 </w:t>
      </w:r>
      <w:r>
        <w:rPr>
          <w:spacing w:val="49"/>
        </w:rPr>
        <w:t>件</w:t>
      </w:r>
      <w:r>
        <w:rPr>
          <w:rFonts w:ascii="Arial" w:eastAsia="Arial"/>
          <w:spacing w:val="35"/>
          <w:sz w:val="28"/>
        </w:rPr>
        <w:t>X</w:t>
      </w:r>
      <w:r>
        <w:rPr>
          <w:spacing w:val="4"/>
        </w:rPr>
        <w:t>在陞遷上 </w:t>
      </w:r>
      <w:r>
        <w:rPr>
          <w:spacing w:val="-36"/>
          <w:w w:val="90"/>
        </w:rPr>
        <w:t>， </w:t>
      </w:r>
      <w:r>
        <w:rPr>
          <w:spacing w:val="18"/>
        </w:rPr>
        <w:t>可以認為與其他同時期錄</w:t>
      </w:r>
      <w:r>
        <w:rPr>
          <w:spacing w:val="11"/>
          <w:w w:val="90"/>
        </w:rPr>
        <w:t>用同 </w:t>
      </w:r>
      <w:r>
        <w:rPr>
          <w:spacing w:val="29"/>
        </w:rPr>
        <w:t>學歷職</w:t>
      </w:r>
      <w:r>
        <w:rPr>
          <w:spacing w:val="43"/>
          <w:w w:val="90"/>
        </w:rPr>
        <w:t>員</w:t>
      </w:r>
      <w:r>
        <w:rPr>
          <w:spacing w:val="5"/>
        </w:rPr>
        <w:t>比較</w:t>
      </w:r>
      <w:r>
        <w:rPr>
          <w:w w:val="105"/>
        </w:rPr>
        <w:t>上，係受到差別對待，在其受差別對待的特定查定時期內，作為比較對象</w:t>
      </w:r>
      <w:r>
        <w:rPr>
          <w:spacing w:val="118"/>
          <w:w w:val="105"/>
        </w:rPr>
        <w:t> </w:t>
      </w:r>
      <w:r>
        <w:rPr>
          <w:w w:val="105"/>
        </w:rPr>
        <w:t>的同時期錄用同學歷職員間，其勤務實續與能力等差異，必須個別具體加</w:t>
      </w:r>
      <w:r>
        <w:rPr>
          <w:spacing w:val="118"/>
          <w:w w:val="105"/>
        </w:rPr>
        <w:t> </w:t>
      </w:r>
      <w:r>
        <w:rPr>
          <w:w w:val="105"/>
        </w:rPr>
        <w:t>以舉證。</w:t>
      </w:r>
    </w:p>
    <w:p>
      <w:pPr>
        <w:pStyle w:val="BodyText"/>
        <w:spacing w:line="321" w:lineRule="auto"/>
        <w:ind w:left="302" w:right="490" w:firstLine="570"/>
        <w:jc w:val="both"/>
      </w:pPr>
      <w:r>
        <w:rPr>
          <w:spacing w:val="8"/>
          <w:w w:val="95"/>
        </w:rPr>
        <w:t>就此觀點言 </w:t>
      </w:r>
      <w:r>
        <w:rPr>
          <w:spacing w:val="26"/>
          <w:w w:val="90"/>
        </w:rPr>
        <w:t>，被 告 </w:t>
      </w:r>
      <w:r>
        <w:rPr>
          <w:rFonts w:ascii="Arial" w:eastAsia="Arial"/>
          <w:w w:val="95"/>
          <w:sz w:val="28"/>
        </w:rPr>
        <w:t>Y</w:t>
      </w:r>
      <w:r>
        <w:rPr>
          <w:rFonts w:ascii="Arial" w:eastAsia="Arial"/>
          <w:spacing w:val="-24"/>
          <w:w w:val="95"/>
          <w:sz w:val="28"/>
        </w:rPr>
        <w:t> </w:t>
      </w:r>
      <w:r>
        <w:rPr>
          <w:spacing w:val="14"/>
          <w:w w:val="95"/>
        </w:rPr>
        <w:t>巿張主張原 告</w:t>
      </w:r>
      <w:r>
        <w:rPr>
          <w:rFonts w:ascii="Arial" w:eastAsia="Arial"/>
          <w:w w:val="95"/>
          <w:sz w:val="28"/>
        </w:rPr>
        <w:t>X</w:t>
      </w:r>
      <w:r>
        <w:rPr>
          <w:rFonts w:ascii="Arial" w:eastAsia="Arial"/>
          <w:spacing w:val="-7"/>
          <w:w w:val="95"/>
          <w:sz w:val="28"/>
        </w:rPr>
        <w:t> </w:t>
      </w:r>
      <w:r>
        <w:rPr>
          <w:spacing w:val="6"/>
          <w:w w:val="95"/>
        </w:rPr>
        <w:t>因從 事公務</w:t>
      </w:r>
      <w:r>
        <w:rPr>
          <w:spacing w:val="-24"/>
          <w:w w:val="90"/>
        </w:rPr>
        <w:t>員 </w:t>
      </w:r>
      <w:r>
        <w:rPr>
          <w:spacing w:val="32"/>
          <w:w w:val="95"/>
        </w:rPr>
        <w:t>協會活動</w:t>
      </w:r>
      <w:r>
        <w:rPr>
          <w:spacing w:val="35"/>
          <w:w w:val="90"/>
        </w:rPr>
        <w:t>而</w:t>
      </w:r>
      <w:r>
        <w:rPr>
          <w:spacing w:val="9"/>
          <w:w w:val="95"/>
        </w:rPr>
        <w:t>經常無</w:t>
      </w:r>
      <w:r>
        <w:rPr>
          <w:w w:val="105"/>
        </w:rPr>
        <w:t>端擅離職守，應視為廢弛職務。惟依證人之證言，其在人事課在職期間， </w:t>
      </w:r>
      <w:r>
        <w:rPr>
          <w:spacing w:val="26"/>
          <w:w w:val="105"/>
        </w:rPr>
        <w:t> </w:t>
      </w:r>
      <w:r>
        <w:rPr>
          <w:spacing w:val="18"/>
          <w:w w:val="95"/>
        </w:rPr>
        <w:t>是否有向農業委 </w:t>
      </w:r>
      <w:r>
        <w:rPr>
          <w:spacing w:val="-14"/>
          <w:w w:val="90"/>
        </w:rPr>
        <w:t>員 </w:t>
      </w:r>
      <w:r>
        <w:rPr>
          <w:spacing w:val="21"/>
          <w:w w:val="95"/>
        </w:rPr>
        <w:t>會事務局長報告原告</w:t>
      </w:r>
      <w:r>
        <w:rPr>
          <w:rFonts w:ascii="Arial" w:eastAsia="Arial"/>
          <w:w w:val="95"/>
          <w:sz w:val="28"/>
        </w:rPr>
        <w:t>X</w:t>
      </w:r>
      <w:r>
        <w:rPr>
          <w:rFonts w:ascii="Arial" w:eastAsia="Arial"/>
          <w:spacing w:val="-4"/>
          <w:w w:val="95"/>
          <w:sz w:val="28"/>
        </w:rPr>
        <w:t> </w:t>
      </w:r>
      <w:r>
        <w:rPr>
          <w:spacing w:val="8"/>
          <w:w w:val="95"/>
        </w:rPr>
        <w:t>無端擅離職守情 事 </w:t>
      </w:r>
      <w:r>
        <w:rPr>
          <w:spacing w:val="2"/>
          <w:w w:val="90"/>
        </w:rPr>
        <w:t>，證 </w:t>
      </w:r>
      <w:r>
        <w:rPr>
          <w:spacing w:val="18"/>
          <w:w w:val="95"/>
        </w:rPr>
        <w:t>人表示 </w:t>
      </w:r>
      <w:r>
        <w:rPr>
          <w:w w:val="90"/>
        </w:rPr>
        <w:t>，</w:t>
      </w:r>
      <w:r>
        <w:rPr>
          <w:spacing w:val="-111"/>
          <w:w w:val="90"/>
        </w:rPr>
        <w:t> </w:t>
      </w:r>
      <w:r>
        <w:rPr>
          <w:spacing w:val="10"/>
        </w:rPr>
        <w:t>其在總務部長任內 </w:t>
      </w:r>
      <w:r>
        <w:rPr>
          <w:spacing w:val="-43"/>
          <w:w w:val="90"/>
        </w:rPr>
        <w:t>， </w:t>
      </w:r>
      <w:r>
        <w:rPr>
          <w:spacing w:val="23"/>
        </w:rPr>
        <w:t>曾有人事課職</w:t>
      </w:r>
      <w:r>
        <w:rPr>
          <w:spacing w:val="-31"/>
          <w:w w:val="90"/>
        </w:rPr>
        <w:t>員 </w:t>
      </w:r>
      <w:r>
        <w:rPr>
          <w:spacing w:val="27"/>
        </w:rPr>
        <w:t>調查璀認</w:t>
      </w:r>
      <w:r>
        <w:rPr>
          <w:rFonts w:ascii="Arial" w:eastAsia="Arial"/>
          <w:sz w:val="28"/>
        </w:rPr>
        <w:t>X</w:t>
      </w:r>
      <w:r>
        <w:rPr>
          <w:rFonts w:ascii="Arial" w:eastAsia="Arial"/>
          <w:spacing w:val="-25"/>
          <w:sz w:val="28"/>
        </w:rPr>
        <w:t> </w:t>
      </w:r>
      <w:r>
        <w:rPr>
          <w:spacing w:val="23"/>
        </w:rPr>
        <w:t>有上開情</w:t>
      </w:r>
      <w:r>
        <w:rPr>
          <w:spacing w:val="-9"/>
          <w:w w:val="90"/>
        </w:rPr>
        <w:t>節之 證 </w:t>
      </w:r>
      <w:r>
        <w:rPr>
          <w:spacing w:val="-17"/>
        </w:rPr>
        <w:t>詞 </w:t>
      </w:r>
      <w:r>
        <w:rPr>
          <w:spacing w:val="-36"/>
          <w:w w:val="90"/>
        </w:rPr>
        <w:t>， </w:t>
      </w:r>
      <w:r>
        <w:rPr>
          <w:spacing w:val="18"/>
        </w:rPr>
        <w:t>然綜</w:t>
      </w:r>
      <w:r>
        <w:rPr>
          <w:spacing w:val="63"/>
        </w:rPr>
        <w:t>觀</w:t>
      </w:r>
      <w:r>
        <w:rPr>
          <w:rFonts w:ascii="Arial" w:eastAsia="Arial"/>
          <w:sz w:val="28"/>
        </w:rPr>
        <w:t>X</w:t>
      </w:r>
      <w:r>
        <w:rPr>
          <w:rFonts w:ascii="Arial" w:eastAsia="Arial"/>
          <w:spacing w:val="-23"/>
          <w:sz w:val="28"/>
        </w:rPr>
        <w:t> </w:t>
      </w:r>
      <w:r>
        <w:rPr>
          <w:spacing w:val="5"/>
        </w:rPr>
        <w:t>之勤務考核書就此點均查無記載 。其次 </w:t>
      </w:r>
      <w:r>
        <w:rPr>
          <w:spacing w:val="-32"/>
          <w:w w:val="90"/>
        </w:rPr>
        <w:t>， </w:t>
      </w:r>
      <w:r>
        <w:rPr>
          <w:spacing w:val="3"/>
        </w:rPr>
        <w:t>亦無任 何證據顯示 </w:t>
      </w:r>
      <w:r>
        <w:rPr>
          <w:spacing w:val="17"/>
          <w:w w:val="90"/>
        </w:rPr>
        <w:t>，</w:t>
      </w:r>
      <w:r>
        <w:rPr>
          <w:spacing w:val="42"/>
        </w:rPr>
        <w:t>原告</w:t>
      </w:r>
      <w:r>
        <w:rPr>
          <w:rFonts w:ascii="Arial" w:eastAsia="Arial"/>
          <w:sz w:val="28"/>
        </w:rPr>
        <w:t>X</w:t>
      </w:r>
      <w:r>
        <w:rPr>
          <w:rFonts w:ascii="Arial" w:eastAsia="Arial"/>
          <w:spacing w:val="1"/>
          <w:sz w:val="28"/>
        </w:rPr>
        <w:t> </w:t>
      </w:r>
      <w:r>
        <w:rPr>
          <w:w w:val="105"/>
        </w:rPr>
        <w:t>在勤務時間噹中，為公務員協會活動而經常性地的擅離職守。</w:t>
      </w:r>
    </w:p>
    <w:p>
      <w:pPr>
        <w:pStyle w:val="BodyText"/>
        <w:spacing w:line="321" w:lineRule="auto"/>
        <w:ind w:left="297" w:right="526" w:firstLine="576"/>
        <w:jc w:val="both"/>
      </w:pPr>
      <w:r>
        <w:rPr>
          <w:spacing w:val="6"/>
        </w:rPr>
        <w:t>判決指 出 </w:t>
      </w:r>
      <w:r>
        <w:rPr>
          <w:spacing w:val="10"/>
          <w:w w:val="90"/>
        </w:rPr>
        <w:t>，</w:t>
      </w:r>
      <w:r>
        <w:rPr>
          <w:spacing w:val="22"/>
        </w:rPr>
        <w:t>不能否認被告</w:t>
      </w:r>
      <w:r>
        <w:rPr>
          <w:rFonts w:ascii="Times New Roman" w:eastAsia="Times New Roman"/>
          <w:sz w:val="30"/>
        </w:rPr>
        <w:t>Y</w:t>
      </w:r>
      <w:r>
        <w:rPr>
          <w:rFonts w:ascii="Times New Roman" w:eastAsia="Times New Roman"/>
          <w:spacing w:val="-2"/>
          <w:sz w:val="30"/>
        </w:rPr>
        <w:t> </w:t>
      </w:r>
      <w:r>
        <w:rPr>
          <w:spacing w:val="14"/>
        </w:rPr>
        <w:t>市長至少在本件係爭期間以前的相噹時期</w:t>
      </w:r>
      <w:r>
        <w:rPr/>
        <w:t>開始，即採取全體一般性之指針，對於積極參與公務員協會活動的職員，    </w:t>
      </w:r>
      <w:r>
        <w:rPr>
          <w:spacing w:val="22"/>
        </w:rPr>
        <w:t> </w:t>
      </w:r>
      <w:r>
        <w:rPr>
          <w:spacing w:val="4"/>
        </w:rPr>
        <w:t>給予其較低職位之差別對待 。若據此推斷 </w:t>
      </w:r>
      <w:r>
        <w:rPr>
          <w:spacing w:val="-18"/>
          <w:w w:val="90"/>
        </w:rPr>
        <w:t>， </w:t>
      </w:r>
      <w:r>
        <w:rPr>
          <w:rFonts w:ascii="Arial" w:eastAsia="Arial"/>
          <w:sz w:val="28"/>
        </w:rPr>
        <w:t>X</w:t>
      </w:r>
      <w:r>
        <w:rPr>
          <w:rFonts w:ascii="Arial" w:eastAsia="Arial"/>
          <w:spacing w:val="-28"/>
          <w:sz w:val="28"/>
        </w:rPr>
        <w:t> </w:t>
      </w:r>
      <w:r>
        <w:rPr>
          <w:spacing w:val="4"/>
        </w:rPr>
        <w:t>之陞遷 </w:t>
      </w:r>
      <w:r>
        <w:rPr>
          <w:spacing w:val="-29"/>
          <w:w w:val="90"/>
        </w:rPr>
        <w:t>， </w:t>
      </w:r>
      <w:r>
        <w:rPr>
          <w:spacing w:val="8"/>
        </w:rPr>
        <w:t>乃顯 著遲於同時期</w:t>
      </w:r>
      <w:r>
        <w:rPr>
          <w:spacing w:val="35"/>
        </w:rPr>
        <w:t>錄</w:t>
      </w:r>
      <w:r>
        <w:rPr>
          <w:spacing w:val="7"/>
          <w:w w:val="90"/>
        </w:rPr>
        <w:t>用同 </w:t>
      </w:r>
      <w:r>
        <w:rPr>
          <w:spacing w:val="33"/>
        </w:rPr>
        <w:t>學歷職</w:t>
      </w:r>
      <w:r>
        <w:rPr>
          <w:spacing w:val="-18"/>
          <w:w w:val="90"/>
        </w:rPr>
        <w:t>員 ， </w:t>
      </w:r>
      <w:r>
        <w:rPr>
          <w:spacing w:val="22"/>
        </w:rPr>
        <w:t>且按上開</w:t>
      </w:r>
      <w:r>
        <w:rPr>
          <w:rFonts w:ascii="Arial" w:eastAsia="Arial"/>
          <w:sz w:val="28"/>
        </w:rPr>
        <w:t>X</w:t>
      </w:r>
      <w:r>
        <w:rPr>
          <w:rFonts w:ascii="Arial" w:eastAsia="Arial"/>
          <w:spacing w:val="-27"/>
          <w:sz w:val="28"/>
        </w:rPr>
        <w:t> </w:t>
      </w:r>
      <w:r>
        <w:rPr>
          <w:spacing w:val="7"/>
        </w:rPr>
        <w:t>的勤務考核內容與工會活動經歷等觀 之 </w:t>
      </w:r>
      <w:r>
        <w:rPr>
          <w:spacing w:val="-41"/>
          <w:w w:val="90"/>
        </w:rPr>
        <w:t>， </w:t>
      </w:r>
      <w:r>
        <w:rPr/>
        <w:t>可</w:t>
      </w:r>
      <w:r>
        <w:rPr>
          <w:spacing w:val="46"/>
        </w:rPr>
        <w:t>認為</w:t>
      </w:r>
      <w:r>
        <w:rPr>
          <w:rFonts w:ascii="Arial" w:eastAsia="Arial"/>
          <w:sz w:val="28"/>
        </w:rPr>
        <w:t>X</w:t>
      </w:r>
      <w:r>
        <w:rPr>
          <w:rFonts w:ascii="Arial" w:eastAsia="Arial"/>
          <w:spacing w:val="-16"/>
          <w:sz w:val="28"/>
        </w:rPr>
        <w:t> </w:t>
      </w:r>
      <w:r>
        <w:rPr>
          <w:spacing w:val="18"/>
        </w:rPr>
        <w:t>有積極參與公務</w:t>
      </w:r>
      <w:r>
        <w:rPr>
          <w:spacing w:val="14"/>
          <w:w w:val="90"/>
        </w:rPr>
        <w:t>員協 </w:t>
      </w:r>
      <w:r>
        <w:rPr>
          <w:spacing w:val="27"/>
        </w:rPr>
        <w:t>會活動之情事</w:t>
      </w:r>
      <w:r>
        <w:rPr>
          <w:spacing w:val="18"/>
          <w:w w:val="90"/>
        </w:rPr>
        <w:t>，</w:t>
      </w:r>
      <w:r>
        <w:rPr>
          <w:spacing w:val="1"/>
        </w:rPr>
        <w:t>因此認為被 告 </w:t>
      </w:r>
      <w:r>
        <w:rPr>
          <w:rFonts w:ascii="Arial" w:eastAsia="Arial"/>
          <w:sz w:val="28"/>
        </w:rPr>
        <w:t>Y</w:t>
      </w:r>
      <w:r>
        <w:rPr>
          <w:rFonts w:ascii="Arial" w:eastAsia="Arial"/>
          <w:spacing w:val="-23"/>
          <w:sz w:val="28"/>
        </w:rPr>
        <w:t> </w:t>
      </w:r>
      <w:r>
        <w:rPr>
          <w:spacing w:val="16"/>
        </w:rPr>
        <w:t>市長已逾越其</w:t>
      </w:r>
      <w:r>
        <w:rPr/>
        <w:t>裁量範圍，其上開行為可謂構成故意之侵權行為。</w:t>
      </w:r>
    </w:p>
    <w:p>
      <w:pPr>
        <w:spacing w:after="0" w:line="321" w:lineRule="auto"/>
        <w:jc w:val="both"/>
        <w:sectPr>
          <w:pgSz w:w="11910" w:h="16840"/>
          <w:pgMar w:header="862" w:footer="1017" w:top="1060" w:bottom="1200" w:left="1120" w:right="1060"/>
        </w:sectPr>
      </w:pPr>
    </w:p>
    <w:p>
      <w:pPr>
        <w:pStyle w:val="BodyText"/>
        <w:rPr>
          <w:sz w:val="20"/>
        </w:rPr>
      </w:pPr>
    </w:p>
    <w:p>
      <w:pPr>
        <w:pStyle w:val="Heading1"/>
      </w:pPr>
      <w:bookmarkStart w:name="_bookmark37" w:id="38"/>
      <w:bookmarkEnd w:id="38"/>
      <w:r>
        <w:rPr/>
      </w:r>
      <w:r>
        <w:rPr>
          <w:w w:val="105"/>
        </w:rPr>
        <w:t>附錄二：期中報告審查會議紀錄</w:t>
      </w:r>
    </w:p>
    <w:p>
      <w:pPr>
        <w:pStyle w:val="BodyText"/>
        <w:spacing w:before="12"/>
        <w:rPr>
          <w:sz w:val="24"/>
        </w:rPr>
      </w:pPr>
    </w:p>
    <w:p>
      <w:pPr>
        <w:spacing w:line="369" w:lineRule="auto" w:before="0"/>
        <w:ind w:left="309" w:right="1709" w:firstLine="8"/>
        <w:jc w:val="left"/>
        <w:rPr>
          <w:sz w:val="24"/>
        </w:rPr>
      </w:pPr>
      <w:r>
        <w:rPr>
          <w:w w:val="95"/>
          <w:sz w:val="24"/>
        </w:rPr>
        <w:t>壹 、開會時間： 民國 </w:t>
      </w:r>
      <w:r>
        <w:rPr>
          <w:rFonts w:ascii="Times New Roman" w:eastAsia="Times New Roman"/>
          <w:w w:val="95"/>
          <w:sz w:val="30"/>
        </w:rPr>
        <w:t>99</w:t>
      </w:r>
      <w:r>
        <w:rPr>
          <w:rFonts w:ascii="Times New Roman" w:eastAsia="Times New Roman"/>
          <w:spacing w:val="64"/>
          <w:w w:val="95"/>
          <w:sz w:val="30"/>
        </w:rPr>
        <w:t> </w:t>
      </w:r>
      <w:r>
        <w:rPr>
          <w:spacing w:val="-15"/>
          <w:w w:val="95"/>
          <w:sz w:val="24"/>
        </w:rPr>
        <w:t>年 </w:t>
      </w:r>
      <w:r>
        <w:rPr>
          <w:rFonts w:ascii="Times New Roman" w:eastAsia="Times New Roman"/>
          <w:w w:val="95"/>
          <w:sz w:val="30"/>
        </w:rPr>
        <w:t>8</w:t>
      </w:r>
      <w:r>
        <w:rPr>
          <w:rFonts w:ascii="Times New Roman" w:eastAsia="Times New Roman"/>
          <w:spacing w:val="32"/>
          <w:w w:val="95"/>
          <w:sz w:val="30"/>
        </w:rPr>
        <w:t> </w:t>
      </w:r>
      <w:r>
        <w:rPr>
          <w:spacing w:val="7"/>
          <w:w w:val="95"/>
          <w:sz w:val="25"/>
        </w:rPr>
        <w:t>月 </w:t>
      </w:r>
      <w:r>
        <w:rPr>
          <w:rFonts w:ascii="Times New Roman" w:eastAsia="Times New Roman"/>
          <w:w w:val="95"/>
          <w:sz w:val="30"/>
        </w:rPr>
        <w:t>9</w:t>
      </w:r>
      <w:r>
        <w:rPr>
          <w:rFonts w:ascii="Times New Roman" w:eastAsia="Times New Roman"/>
          <w:spacing w:val="53"/>
          <w:w w:val="95"/>
          <w:sz w:val="30"/>
        </w:rPr>
        <w:t> </w:t>
      </w:r>
      <w:r>
        <w:rPr>
          <w:w w:val="95"/>
          <w:sz w:val="24"/>
        </w:rPr>
        <w:t>日（</w:t>
      </w:r>
      <w:r>
        <w:rPr>
          <w:spacing w:val="33"/>
          <w:w w:val="95"/>
          <w:sz w:val="24"/>
        </w:rPr>
        <w:t> 星期一</w:t>
      </w:r>
      <w:r>
        <w:rPr>
          <w:w w:val="95"/>
          <w:sz w:val="24"/>
        </w:rPr>
        <w:t>）</w:t>
      </w:r>
      <w:r>
        <w:rPr>
          <w:spacing w:val="-25"/>
          <w:w w:val="95"/>
          <w:sz w:val="24"/>
        </w:rPr>
        <w:t> 上午 </w:t>
      </w:r>
      <w:r>
        <w:rPr>
          <w:rFonts w:ascii="Times New Roman" w:eastAsia="Times New Roman"/>
          <w:w w:val="95"/>
          <w:sz w:val="30"/>
        </w:rPr>
        <w:t>10</w:t>
      </w:r>
      <w:r>
        <w:rPr>
          <w:rFonts w:ascii="Times New Roman" w:eastAsia="Times New Roman"/>
          <w:spacing w:val="46"/>
          <w:w w:val="95"/>
          <w:sz w:val="30"/>
        </w:rPr>
        <w:t> </w:t>
      </w:r>
      <w:r>
        <w:rPr>
          <w:spacing w:val="32"/>
          <w:w w:val="95"/>
          <w:sz w:val="24"/>
        </w:rPr>
        <w:t>時 </w:t>
      </w:r>
      <w:r>
        <w:rPr>
          <w:rFonts w:ascii="Times New Roman" w:eastAsia="Times New Roman"/>
          <w:w w:val="95"/>
          <w:sz w:val="30"/>
        </w:rPr>
        <w:t>30</w:t>
      </w:r>
      <w:r>
        <w:rPr>
          <w:rFonts w:ascii="Times New Roman" w:eastAsia="Times New Roman"/>
          <w:spacing w:val="50"/>
          <w:w w:val="95"/>
          <w:sz w:val="30"/>
        </w:rPr>
        <w:t> </w:t>
      </w:r>
      <w:r>
        <w:rPr>
          <w:w w:val="95"/>
          <w:sz w:val="24"/>
        </w:rPr>
        <w:t>分</w:t>
      </w:r>
      <w:r>
        <w:rPr>
          <w:spacing w:val="-6"/>
          <w:sz w:val="24"/>
        </w:rPr>
        <w:t>貳 、開會地點： 本會 </w:t>
      </w:r>
      <w:r>
        <w:rPr>
          <w:rFonts w:ascii="Times New Roman" w:eastAsia="Times New Roman"/>
          <w:sz w:val="30"/>
        </w:rPr>
        <w:t>7</w:t>
      </w:r>
      <w:r>
        <w:rPr>
          <w:rFonts w:ascii="Times New Roman" w:eastAsia="Times New Roman"/>
          <w:spacing w:val="-3"/>
          <w:sz w:val="30"/>
        </w:rPr>
        <w:t> </w:t>
      </w:r>
      <w:r>
        <w:rPr>
          <w:spacing w:val="5"/>
          <w:sz w:val="24"/>
        </w:rPr>
        <w:t>樓 會議室</w:t>
      </w:r>
    </w:p>
    <w:p>
      <w:pPr>
        <w:spacing w:line="424" w:lineRule="auto" w:before="41"/>
        <w:ind w:left="855" w:right="5818" w:hanging="544"/>
        <w:jc w:val="left"/>
        <w:rPr>
          <w:sz w:val="24"/>
        </w:rPr>
      </w:pPr>
      <w:r>
        <w:rPr>
          <w:w w:val="115"/>
          <w:sz w:val="24"/>
        </w:rPr>
        <w:t>參丶主席：李副主任委員暠賢記錄：徐新隆</w:t>
      </w:r>
    </w:p>
    <w:p>
      <w:pPr>
        <w:spacing w:line="424" w:lineRule="auto" w:before="0"/>
        <w:ind w:left="303" w:right="5484" w:hanging="1"/>
        <w:jc w:val="left"/>
        <w:rPr>
          <w:sz w:val="24"/>
        </w:rPr>
      </w:pPr>
      <w:r>
        <w:rPr>
          <w:w w:val="115"/>
          <w:sz w:val="24"/>
        </w:rPr>
        <w:t>肆、出（列）席人員：如簽到單伍、討論：</w:t>
      </w:r>
    </w:p>
    <w:p>
      <w:pPr>
        <w:spacing w:line="305" w:lineRule="exact" w:before="0"/>
        <w:ind w:left="880" w:right="0" w:firstLine="0"/>
        <w:jc w:val="left"/>
        <w:rPr>
          <w:sz w:val="24"/>
        </w:rPr>
      </w:pPr>
      <w:r>
        <w:rPr>
          <w:spacing w:val="8"/>
          <w:sz w:val="24"/>
        </w:rPr>
        <w:t>一、硏究團隊報告： </w:t>
      </w:r>
      <w:r>
        <w:rPr>
          <w:sz w:val="24"/>
        </w:rPr>
        <w:t>（略）</w:t>
      </w:r>
    </w:p>
    <w:p>
      <w:pPr>
        <w:pStyle w:val="BodyText"/>
        <w:spacing w:before="10"/>
        <w:rPr>
          <w:sz w:val="17"/>
        </w:rPr>
      </w:pPr>
    </w:p>
    <w:p>
      <w:pPr>
        <w:spacing w:before="0"/>
        <w:ind w:left="871" w:right="0" w:firstLine="0"/>
        <w:jc w:val="left"/>
        <w:rPr>
          <w:sz w:val="24"/>
        </w:rPr>
      </w:pPr>
      <w:r>
        <w:rPr>
          <w:w w:val="105"/>
          <w:sz w:val="24"/>
        </w:rPr>
        <w:t>二、審查意見：</w:t>
      </w:r>
    </w:p>
    <w:p>
      <w:pPr>
        <w:spacing w:line="314" w:lineRule="auto" w:before="116"/>
        <w:ind w:left="1272" w:right="535" w:firstLine="668"/>
        <w:jc w:val="left"/>
        <w:rPr>
          <w:sz w:val="24"/>
        </w:rPr>
      </w:pPr>
      <w:r>
        <w:rPr>
          <w:w w:val="115"/>
          <w:sz w:val="24"/>
        </w:rPr>
        <w:t>（一）目錄過鈿之項次似無須列出，各章節之間亦應加強邏輯關係並調整整體架構。</w:t>
      </w:r>
    </w:p>
    <w:p>
      <w:pPr>
        <w:spacing w:line="300" w:lineRule="exact" w:before="0"/>
        <w:ind w:left="1828" w:right="0" w:firstLine="0"/>
        <w:jc w:val="left"/>
        <w:rPr>
          <w:sz w:val="24"/>
        </w:rPr>
      </w:pPr>
      <w:r>
        <w:rPr>
          <w:spacing w:val="19"/>
          <w:sz w:val="24"/>
        </w:rPr>
        <w:t>（</w:t>
      </w:r>
      <w:r>
        <w:rPr>
          <w:spacing w:val="23"/>
          <w:sz w:val="24"/>
        </w:rPr>
        <w:t>二</w:t>
      </w:r>
      <w:r>
        <w:rPr>
          <w:sz w:val="24"/>
        </w:rPr>
        <w:t>）</w:t>
      </w:r>
      <w:r>
        <w:rPr>
          <w:spacing w:val="28"/>
          <w:sz w:val="24"/>
        </w:rPr>
        <w:t>前言第 </w:t>
      </w:r>
      <w:r>
        <w:rPr>
          <w:rFonts w:ascii="Times New Roman" w:eastAsia="Times New Roman"/>
          <w:sz w:val="29"/>
        </w:rPr>
        <w:t>l</w:t>
      </w:r>
      <w:r>
        <w:rPr>
          <w:rFonts w:ascii="Times New Roman" w:eastAsia="Times New Roman"/>
          <w:spacing w:val="2"/>
          <w:sz w:val="29"/>
        </w:rPr>
        <w:t> </w:t>
      </w:r>
      <w:r>
        <w:rPr>
          <w:spacing w:val="7"/>
          <w:sz w:val="24"/>
        </w:rPr>
        <w:t>頁以 下部分 </w:t>
      </w:r>
      <w:r>
        <w:rPr>
          <w:spacing w:val="-33"/>
          <w:w w:val="95"/>
          <w:sz w:val="24"/>
        </w:rPr>
        <w:t>， </w:t>
      </w:r>
      <w:r>
        <w:rPr>
          <w:spacing w:val="15"/>
          <w:sz w:val="24"/>
        </w:rPr>
        <w:t>應論述研究架構 、硏究目的及</w:t>
      </w:r>
    </w:p>
    <w:p>
      <w:pPr>
        <w:spacing w:line="304" w:lineRule="auto" w:before="51"/>
        <w:ind w:left="1261" w:right="506" w:hanging="1"/>
        <w:jc w:val="both"/>
        <w:rPr>
          <w:sz w:val="24"/>
        </w:rPr>
      </w:pPr>
      <w:r>
        <w:rPr>
          <w:spacing w:val="13"/>
          <w:w w:val="90"/>
          <w:sz w:val="24"/>
        </w:rPr>
        <w:t>硏究方法 ， 不應論及鈿節部分 ，例 如 第 </w:t>
      </w:r>
      <w:r>
        <w:rPr>
          <w:rFonts w:ascii="Times New Roman" w:eastAsia="Times New Roman"/>
          <w:w w:val="90"/>
          <w:sz w:val="30"/>
        </w:rPr>
        <w:t>2</w:t>
      </w:r>
      <w:r>
        <w:rPr>
          <w:rFonts w:ascii="Times New Roman" w:eastAsia="Times New Roman"/>
          <w:spacing w:val="6"/>
          <w:w w:val="90"/>
          <w:sz w:val="30"/>
        </w:rPr>
        <w:t> </w:t>
      </w:r>
      <w:r>
        <w:rPr>
          <w:spacing w:val="31"/>
          <w:w w:val="90"/>
          <w:sz w:val="24"/>
        </w:rPr>
        <w:t>頁第 </w:t>
      </w:r>
      <w:r>
        <w:rPr>
          <w:rFonts w:ascii="Times New Roman" w:eastAsia="Times New Roman"/>
          <w:w w:val="90"/>
          <w:sz w:val="30"/>
        </w:rPr>
        <w:t>2</w:t>
      </w:r>
      <w:r>
        <w:rPr>
          <w:rFonts w:ascii="Times New Roman" w:eastAsia="Times New Roman"/>
          <w:spacing w:val="38"/>
          <w:w w:val="90"/>
          <w:sz w:val="30"/>
        </w:rPr>
        <w:t> </w:t>
      </w:r>
      <w:r>
        <w:rPr>
          <w:spacing w:val="-5"/>
          <w:w w:val="90"/>
          <w:sz w:val="24"/>
        </w:rPr>
        <w:t>行 論 及 本 研 究係</w:t>
      </w:r>
      <w:r>
        <w:rPr>
          <w:w w:val="110"/>
          <w:sz w:val="24"/>
        </w:rPr>
        <w:t>以單一職務競爭爭訟為研究對象，不及於複數職缺之競爭，建議 </w:t>
      </w:r>
      <w:r>
        <w:rPr>
          <w:spacing w:val="44"/>
          <w:w w:val="110"/>
          <w:sz w:val="24"/>
        </w:rPr>
        <w:t> </w:t>
      </w:r>
      <w:r>
        <w:rPr>
          <w:w w:val="110"/>
          <w:sz w:val="24"/>
        </w:rPr>
        <w:t>應於其後陞遷相關章節論述即可；又僅以單一職務競爭爭訟為研 </w:t>
      </w:r>
      <w:r>
        <w:rPr>
          <w:spacing w:val="62"/>
          <w:w w:val="110"/>
          <w:sz w:val="24"/>
        </w:rPr>
        <w:t> </w:t>
      </w:r>
      <w:r>
        <w:rPr>
          <w:spacing w:val="20"/>
          <w:w w:val="95"/>
          <w:sz w:val="24"/>
        </w:rPr>
        <w:t>究對象似有不足 ，例 如 第 </w:t>
      </w:r>
      <w:r>
        <w:rPr>
          <w:rFonts w:ascii="Times New Roman" w:eastAsia="Times New Roman"/>
          <w:w w:val="95"/>
          <w:sz w:val="30"/>
        </w:rPr>
        <w:t>9</w:t>
      </w:r>
      <w:r>
        <w:rPr>
          <w:rFonts w:ascii="Times New Roman" w:eastAsia="Times New Roman"/>
          <w:spacing w:val="16"/>
          <w:w w:val="95"/>
          <w:sz w:val="30"/>
        </w:rPr>
        <w:t> </w:t>
      </w:r>
      <w:r>
        <w:rPr>
          <w:spacing w:val="-2"/>
          <w:w w:val="95"/>
          <w:sz w:val="24"/>
        </w:rPr>
        <w:t>頁論 及 警察人員 陞遷辦法 ， 惟警察陞</w:t>
      </w:r>
      <w:r>
        <w:rPr>
          <w:w w:val="110"/>
          <w:sz w:val="24"/>
        </w:rPr>
        <w:t>遷及統一調動等案件，均為複數職缺之競爭，應可參考警察內部 </w:t>
      </w:r>
      <w:r>
        <w:rPr>
          <w:spacing w:val="44"/>
          <w:w w:val="110"/>
          <w:sz w:val="24"/>
        </w:rPr>
        <w:t> </w:t>
      </w:r>
      <w:r>
        <w:rPr>
          <w:w w:val="110"/>
          <w:sz w:val="24"/>
        </w:rPr>
        <w:t>相關作業規定。又建議於研究方法上作比較法或文獻分析法之說 </w:t>
      </w:r>
      <w:r>
        <w:rPr>
          <w:spacing w:val="44"/>
          <w:w w:val="110"/>
          <w:sz w:val="24"/>
        </w:rPr>
        <w:t> </w:t>
      </w:r>
      <w:r>
        <w:rPr>
          <w:w w:val="110"/>
          <w:sz w:val="24"/>
        </w:rPr>
        <w:t>明。</w:t>
      </w:r>
    </w:p>
    <w:p>
      <w:pPr>
        <w:spacing w:line="320" w:lineRule="exact" w:before="0"/>
        <w:ind w:left="1828" w:right="0" w:firstLine="0"/>
        <w:jc w:val="left"/>
        <w:rPr>
          <w:sz w:val="24"/>
        </w:rPr>
      </w:pPr>
      <w:r>
        <w:rPr>
          <w:w w:val="90"/>
          <w:sz w:val="24"/>
        </w:rPr>
        <w:t>（</w:t>
      </w:r>
      <w:r>
        <w:rPr>
          <w:spacing w:val="-9"/>
          <w:w w:val="90"/>
          <w:sz w:val="24"/>
        </w:rPr>
        <w:t> 三</w:t>
      </w:r>
      <w:r>
        <w:rPr>
          <w:w w:val="90"/>
          <w:sz w:val="24"/>
        </w:rPr>
        <w:t>）</w:t>
      </w:r>
      <w:r>
        <w:rPr>
          <w:spacing w:val="-11"/>
          <w:w w:val="90"/>
          <w:sz w:val="24"/>
        </w:rPr>
        <w:t> 第二 章 第 </w:t>
      </w:r>
      <w:r>
        <w:rPr>
          <w:rFonts w:ascii="Times New Roman" w:eastAsia="Times New Roman"/>
          <w:w w:val="90"/>
          <w:sz w:val="30"/>
        </w:rPr>
        <w:t>3</w:t>
      </w:r>
      <w:r>
        <w:rPr>
          <w:rFonts w:ascii="Times New Roman" w:eastAsia="Times New Roman"/>
          <w:spacing w:val="61"/>
          <w:w w:val="90"/>
          <w:sz w:val="30"/>
        </w:rPr>
        <w:t> </w:t>
      </w:r>
      <w:r>
        <w:rPr>
          <w:spacing w:val="2"/>
          <w:w w:val="90"/>
          <w:sz w:val="24"/>
        </w:rPr>
        <w:t>頁以 下部分 ，僅 論 及 公 務 人 員 陞遷法及其</w:t>
      </w:r>
    </w:p>
    <w:p>
      <w:pPr>
        <w:spacing w:line="312" w:lineRule="auto" w:before="91"/>
        <w:ind w:left="1264" w:right="493" w:hanging="6"/>
        <w:jc w:val="both"/>
        <w:rPr>
          <w:sz w:val="24"/>
        </w:rPr>
      </w:pPr>
      <w:r>
        <w:rPr>
          <w:w w:val="115"/>
          <w:sz w:val="24"/>
        </w:rPr>
        <w:t>紇行鈿則，但復審參加制度之涵蓋面應不限於陞遷事件，建議增加任用、留用等情形。例如最近因政府組織再造產生機關裁併丶業務緊縮或維織變更，多數人競爭留用或免予資遣之情形。另建議著重於復審參加部分，不必將公務人員陞遷法之相關法規設為專章。此外，建議針對本會審議此類競爭者類型保障事件之實務</w:t>
      </w:r>
      <w:r>
        <w:rPr>
          <w:w w:val="120"/>
          <w:sz w:val="24"/>
        </w:rPr>
        <w:t>上運作情形，提出具體評析意見。</w:t>
      </w:r>
    </w:p>
    <w:p>
      <w:pPr>
        <w:spacing w:line="312" w:lineRule="exact" w:before="0"/>
        <w:ind w:left="1828" w:right="0" w:firstLine="0"/>
        <w:jc w:val="left"/>
        <w:rPr>
          <w:sz w:val="24"/>
        </w:rPr>
      </w:pPr>
      <w:r>
        <w:rPr>
          <w:w w:val="95"/>
          <w:sz w:val="24"/>
        </w:rPr>
        <w:t>（</w:t>
      </w:r>
      <w:r>
        <w:rPr>
          <w:spacing w:val="25"/>
          <w:w w:val="95"/>
          <w:sz w:val="24"/>
        </w:rPr>
        <w:t>四</w:t>
      </w:r>
      <w:r>
        <w:rPr>
          <w:spacing w:val="11"/>
          <w:w w:val="95"/>
          <w:sz w:val="24"/>
        </w:rPr>
        <w:t>）</w:t>
      </w:r>
      <w:r>
        <w:rPr>
          <w:spacing w:val="16"/>
          <w:w w:val="95"/>
          <w:sz w:val="24"/>
        </w:rPr>
        <w:t>第三章第 </w:t>
      </w:r>
      <w:r>
        <w:rPr>
          <w:rFonts w:ascii="Times New Roman" w:eastAsia="Times New Roman"/>
          <w:w w:val="95"/>
          <w:sz w:val="30"/>
        </w:rPr>
        <w:t>13</w:t>
      </w:r>
      <w:r>
        <w:rPr>
          <w:rFonts w:ascii="Times New Roman" w:eastAsia="Times New Roman"/>
          <w:spacing w:val="38"/>
          <w:w w:val="95"/>
          <w:sz w:val="30"/>
        </w:rPr>
        <w:t> </w:t>
      </w:r>
      <w:r>
        <w:rPr>
          <w:spacing w:val="8"/>
          <w:w w:val="95"/>
          <w:sz w:val="24"/>
        </w:rPr>
        <w:t>頁以 下部分 ，依 本 案原 擬硏究計畫界定 ，</w:t>
      </w:r>
    </w:p>
    <w:p>
      <w:pPr>
        <w:spacing w:line="302" w:lineRule="auto" w:before="96"/>
        <w:ind w:left="1261" w:right="509" w:firstLine="12"/>
        <w:jc w:val="both"/>
        <w:rPr>
          <w:sz w:val="24"/>
        </w:rPr>
      </w:pPr>
      <w:r>
        <w:rPr>
          <w:w w:val="115"/>
          <w:sz w:val="24"/>
        </w:rPr>
        <w:t>希望先討論公務人員本身得否作為競爭者爭訟之當事人，如不可以作為爭訟之噹事人，再討論可否以參加方式提超救濟，應有邏輯次序的分析問題。惟整個研究內容未將此企圖表現出來，建議</w:t>
      </w:r>
      <w:r>
        <w:rPr>
          <w:spacing w:val="-11"/>
          <w:sz w:val="24"/>
        </w:rPr>
        <w:t>第 </w:t>
      </w:r>
      <w:r>
        <w:rPr>
          <w:rFonts w:ascii="Times New Roman" w:eastAsia="Times New Roman"/>
          <w:sz w:val="30"/>
        </w:rPr>
        <w:t>13</w:t>
      </w:r>
      <w:r>
        <w:rPr>
          <w:rFonts w:ascii="Times New Roman" w:eastAsia="Times New Roman"/>
          <w:spacing w:val="24"/>
          <w:sz w:val="30"/>
        </w:rPr>
        <w:t> </w:t>
      </w:r>
      <w:r>
        <w:rPr>
          <w:spacing w:val="15"/>
          <w:sz w:val="24"/>
        </w:rPr>
        <w:t>頁第三章之論述採取此種方式 。</w:t>
      </w:r>
    </w:p>
    <w:p>
      <w:pPr>
        <w:spacing w:after="0" w:line="302" w:lineRule="auto"/>
        <w:jc w:val="both"/>
        <w:rPr>
          <w:sz w:val="24"/>
        </w:rPr>
        <w:sectPr>
          <w:pgSz w:w="11910" w:h="16840"/>
          <w:pgMar w:header="862" w:footer="1017" w:top="1060" w:bottom="1200" w:left="1120" w:right="1060"/>
        </w:sectPr>
      </w:pPr>
    </w:p>
    <w:p>
      <w:pPr>
        <w:pStyle w:val="BodyText"/>
        <w:rPr>
          <w:sz w:val="23"/>
        </w:rPr>
      </w:pPr>
    </w:p>
    <w:p>
      <w:pPr>
        <w:pStyle w:val="BodyText"/>
        <w:spacing w:line="288" w:lineRule="auto" w:before="91"/>
        <w:ind w:left="1260" w:right="515" w:firstLine="562"/>
        <w:jc w:val="both"/>
      </w:pPr>
      <w:r>
        <w:rPr>
          <w:w w:val="95"/>
        </w:rPr>
        <w:t>（</w:t>
      </w:r>
      <w:r>
        <w:rPr>
          <w:spacing w:val="23"/>
          <w:w w:val="95"/>
        </w:rPr>
        <w:t>五</w:t>
      </w:r>
      <w:r>
        <w:rPr>
          <w:w w:val="95"/>
        </w:rPr>
        <w:t>）</w:t>
      </w:r>
      <w:r>
        <w:rPr>
          <w:spacing w:val="7"/>
          <w:w w:val="95"/>
        </w:rPr>
        <w:t>第四 章第三節結 語第 </w:t>
      </w:r>
      <w:r>
        <w:rPr>
          <w:rFonts w:ascii="Arial" w:eastAsia="Arial"/>
          <w:w w:val="95"/>
          <w:sz w:val="29"/>
        </w:rPr>
        <w:t>22</w:t>
      </w:r>
      <w:r>
        <w:rPr>
          <w:rFonts w:ascii="Arial" w:eastAsia="Arial"/>
          <w:spacing w:val="57"/>
          <w:w w:val="95"/>
          <w:sz w:val="29"/>
        </w:rPr>
        <w:t> </w:t>
      </w:r>
      <w:r>
        <w:rPr>
          <w:spacing w:val="3"/>
          <w:w w:val="95"/>
        </w:rPr>
        <w:t>頁部分 ，認 為應 參考行政訴訟</w:t>
      </w:r>
      <w:r>
        <w:rPr>
          <w:spacing w:val="34"/>
        </w:rPr>
        <w:t>法第 </w:t>
      </w:r>
      <w:r>
        <w:rPr>
          <w:rFonts w:ascii="Times New Roman" w:eastAsia="Times New Roman"/>
          <w:sz w:val="30"/>
        </w:rPr>
        <w:t>41</w:t>
      </w:r>
      <w:r>
        <w:rPr>
          <w:rFonts w:ascii="Times New Roman" w:eastAsia="Times New Roman"/>
          <w:spacing w:val="73"/>
          <w:sz w:val="30"/>
        </w:rPr>
        <w:t> </w:t>
      </w:r>
      <w:r>
        <w:rPr>
          <w:spacing w:val="13"/>
        </w:rPr>
        <w:t>條以下之行政訴訟參加制度</w:t>
      </w:r>
      <w:r>
        <w:rPr>
          <w:w w:val="95"/>
        </w:rPr>
        <w:t>，</w:t>
      </w:r>
      <w:r>
        <w:rPr>
          <w:spacing w:val="9"/>
        </w:rPr>
        <w:t>作為建 構復審參加制度之基</w:t>
      </w:r>
      <w:r>
        <w:rPr>
          <w:spacing w:val="-14"/>
        </w:rPr>
        <w:t>礎 </w:t>
      </w:r>
      <w:r>
        <w:rPr>
          <w:spacing w:val="-44"/>
          <w:w w:val="95"/>
        </w:rPr>
        <w:t>， </w:t>
      </w:r>
      <w:r>
        <w:rPr>
          <w:spacing w:val="3"/>
        </w:rPr>
        <w:t>理由是訴願法之規定有所 不足 </w:t>
      </w:r>
      <w:r>
        <w:rPr>
          <w:spacing w:val="-38"/>
          <w:w w:val="95"/>
        </w:rPr>
        <w:t>， </w:t>
      </w:r>
      <w:r>
        <w:rPr>
          <w:spacing w:val="9"/>
        </w:rPr>
        <w:t>惟未提及行政程序法第 </w:t>
      </w:r>
      <w:r>
        <w:rPr>
          <w:rFonts w:ascii="Arial" w:eastAsia="Arial"/>
          <w:w w:val="95"/>
          <w:sz w:val="29"/>
        </w:rPr>
        <w:t>23</w:t>
      </w:r>
      <w:r>
        <w:rPr>
          <w:rFonts w:ascii="Arial" w:eastAsia="Arial"/>
          <w:spacing w:val="29"/>
          <w:w w:val="95"/>
          <w:sz w:val="29"/>
        </w:rPr>
        <w:t> </w:t>
      </w:r>
      <w:r>
        <w:rPr/>
        <w:t>條之部分，似有不足。復審程序本為行政程序之一種，仍得依一般    </w:t>
      </w:r>
      <w:r>
        <w:rPr>
          <w:spacing w:val="81"/>
        </w:rPr>
        <w:t> </w:t>
      </w:r>
      <w:r>
        <w:rPr/>
        <w:t>行政程序參加，例如德國法類似我國的訴願程序制度，若無特別    </w:t>
      </w:r>
      <w:r>
        <w:rPr>
          <w:spacing w:val="81"/>
        </w:rPr>
        <w:t> </w:t>
      </w:r>
      <w:r>
        <w:rPr/>
        <w:t>規定，即回歸到行政程序法之規定，建議增加此一部分。</w:t>
      </w:r>
    </w:p>
    <w:p>
      <w:pPr>
        <w:pStyle w:val="BodyText"/>
        <w:spacing w:line="297" w:lineRule="auto" w:before="7"/>
        <w:ind w:left="1268" w:right="528" w:firstLine="553"/>
        <w:jc w:val="both"/>
      </w:pPr>
      <w:r>
        <w:rPr>
          <w:spacing w:val="22"/>
          <w:w w:val="95"/>
        </w:rPr>
        <w:t>（</w:t>
      </w:r>
      <w:r>
        <w:rPr>
          <w:spacing w:val="42"/>
          <w:w w:val="95"/>
        </w:rPr>
        <w:t>六</w:t>
      </w:r>
      <w:r>
        <w:rPr>
          <w:w w:val="95"/>
        </w:rPr>
        <w:t>）</w:t>
      </w:r>
      <w:r>
        <w:rPr>
          <w:spacing w:val="26"/>
          <w:w w:val="95"/>
        </w:rPr>
        <w:t>第五章第 </w:t>
      </w:r>
      <w:r>
        <w:rPr>
          <w:rFonts w:ascii="Arial" w:eastAsia="Arial"/>
          <w:w w:val="95"/>
          <w:sz w:val="29"/>
        </w:rPr>
        <w:t>23</w:t>
      </w:r>
      <w:r>
        <w:rPr>
          <w:rFonts w:ascii="Arial" w:eastAsia="Arial"/>
          <w:spacing w:val="34"/>
          <w:w w:val="95"/>
          <w:sz w:val="29"/>
        </w:rPr>
        <w:t> </w:t>
      </w:r>
      <w:r>
        <w:rPr>
          <w:spacing w:val="6"/>
          <w:w w:val="95"/>
        </w:rPr>
        <w:t>頁以下部分 ， 日本 公務人員保障制度之論</w:t>
      </w:r>
      <w:r>
        <w:rPr>
          <w:w w:val="105"/>
        </w:rPr>
        <w:t>逑，建議集中於公務人員競爭者類型救濟案件之參加制度，並檢 </w:t>
      </w:r>
      <w:r>
        <w:rPr>
          <w:spacing w:val="60"/>
          <w:w w:val="105"/>
        </w:rPr>
        <w:t> </w:t>
      </w:r>
      <w:r>
        <w:rPr>
          <w:w w:val="105"/>
        </w:rPr>
        <w:t>附該部分相關法規翻譯條文及實務見解。</w:t>
      </w:r>
    </w:p>
    <w:p>
      <w:pPr>
        <w:pStyle w:val="BodyText"/>
        <w:spacing w:line="332" w:lineRule="exact"/>
        <w:ind w:left="1822"/>
        <w:jc w:val="both"/>
      </w:pPr>
      <w:r>
        <w:rPr>
          <w:w w:val="90"/>
        </w:rPr>
        <w:t>（</w:t>
      </w:r>
      <w:r>
        <w:rPr>
          <w:spacing w:val="-19"/>
          <w:w w:val="90"/>
        </w:rPr>
        <w:t> 七</w:t>
      </w:r>
      <w:r>
        <w:rPr>
          <w:w w:val="90"/>
        </w:rPr>
        <w:t>）</w:t>
      </w:r>
      <w:r>
        <w:rPr>
          <w:spacing w:val="7"/>
          <w:w w:val="90"/>
        </w:rPr>
        <w:t>第五 章第五節結 語第 </w:t>
      </w:r>
      <w:r>
        <w:rPr>
          <w:rFonts w:ascii="Times New Roman" w:eastAsia="Times New Roman"/>
          <w:w w:val="90"/>
          <w:sz w:val="31"/>
        </w:rPr>
        <w:t>49</w:t>
      </w:r>
      <w:r>
        <w:rPr>
          <w:rFonts w:ascii="Times New Roman" w:eastAsia="Times New Roman"/>
          <w:spacing w:val="49"/>
          <w:w w:val="90"/>
          <w:sz w:val="31"/>
        </w:rPr>
        <w:t> </w:t>
      </w:r>
      <w:r>
        <w:rPr>
          <w:spacing w:val="-13"/>
          <w:w w:val="90"/>
        </w:rPr>
        <w:t>頁 第 </w:t>
      </w:r>
      <w:r>
        <w:rPr>
          <w:rFonts w:ascii="Times New Roman" w:eastAsia="Times New Roman"/>
          <w:w w:val="90"/>
          <w:sz w:val="31"/>
        </w:rPr>
        <w:t>2</w:t>
      </w:r>
      <w:r>
        <w:rPr>
          <w:rFonts w:ascii="Times New Roman" w:eastAsia="Times New Roman"/>
          <w:spacing w:val="15"/>
          <w:w w:val="90"/>
          <w:sz w:val="31"/>
        </w:rPr>
        <w:t> </w:t>
      </w:r>
      <w:r>
        <w:rPr>
          <w:w w:val="90"/>
        </w:rPr>
        <w:t>段 第 </w:t>
      </w:r>
      <w:r>
        <w:rPr>
          <w:rFonts w:ascii="Times New Roman" w:eastAsia="Times New Roman"/>
          <w:w w:val="90"/>
          <w:sz w:val="31"/>
        </w:rPr>
        <w:t>2</w:t>
      </w:r>
      <w:r>
        <w:rPr>
          <w:rFonts w:ascii="Times New Roman" w:eastAsia="Times New Roman"/>
          <w:spacing w:val="12"/>
          <w:w w:val="90"/>
          <w:sz w:val="31"/>
        </w:rPr>
        <w:t> </w:t>
      </w:r>
      <w:r>
        <w:rPr>
          <w:spacing w:val="2"/>
          <w:w w:val="90"/>
        </w:rPr>
        <w:t>行 部分 ，提 到應</w:t>
      </w:r>
    </w:p>
    <w:p>
      <w:pPr>
        <w:pStyle w:val="BodyText"/>
        <w:spacing w:line="300" w:lineRule="auto" w:before="69"/>
        <w:ind w:left="1265" w:right="388" w:firstLine="11"/>
      </w:pPr>
      <w:r>
        <w:rPr>
          <w:w w:val="110"/>
        </w:rPr>
        <w:t>肯定消極競爭訴訟之合法性，以阻止該處分之效力確定。惟在目</w:t>
      </w:r>
      <w:r>
        <w:rPr>
          <w:spacing w:val="1"/>
          <w:w w:val="110"/>
        </w:rPr>
        <w:t> </w:t>
      </w:r>
      <w:r>
        <w:rPr>
          <w:w w:val="115"/>
        </w:rPr>
        <w:t>前法制上應如何阻止該處分之效力確定？並未說明，建議應進－</w:t>
      </w:r>
      <w:r>
        <w:rPr>
          <w:spacing w:val="-141"/>
          <w:w w:val="115"/>
        </w:rPr>
        <w:t> </w:t>
      </w:r>
      <w:r>
        <w:rPr>
          <w:w w:val="115"/>
        </w:rPr>
        <w:t>步說明。又本報告對日本公務人員保障制度於第五章有專章介</w:t>
      </w:r>
      <w:r>
        <w:rPr>
          <w:spacing w:val="1"/>
          <w:w w:val="115"/>
        </w:rPr>
        <w:t> </w:t>
      </w:r>
      <w:r>
        <w:rPr>
          <w:w w:val="110"/>
        </w:rPr>
        <w:t>紹，而未專章介紹德國公務人員保障制度，建議對於德國實務或</w:t>
      </w:r>
      <w:r>
        <w:rPr>
          <w:spacing w:val="1"/>
          <w:w w:val="110"/>
        </w:rPr>
        <w:t> </w:t>
      </w:r>
      <w:r>
        <w:rPr>
          <w:w w:val="115"/>
        </w:rPr>
        <w:t>理論能有更深入的論述。</w:t>
      </w:r>
    </w:p>
    <w:p>
      <w:pPr>
        <w:pStyle w:val="BodyText"/>
        <w:spacing w:line="283" w:lineRule="auto"/>
        <w:ind w:left="1277" w:right="521" w:firstLine="544"/>
        <w:jc w:val="both"/>
      </w:pPr>
      <w:r>
        <w:rPr>
          <w:spacing w:val="18"/>
          <w:w w:val="90"/>
        </w:rPr>
        <w:t>（</w:t>
      </w:r>
      <w:r>
        <w:rPr>
          <w:spacing w:val="26"/>
          <w:w w:val="90"/>
        </w:rPr>
        <w:t>八</w:t>
      </w:r>
      <w:r>
        <w:rPr>
          <w:w w:val="90"/>
        </w:rPr>
        <w:t>）</w:t>
      </w:r>
      <w:r>
        <w:rPr>
          <w:spacing w:val="8"/>
          <w:w w:val="90"/>
        </w:rPr>
        <w:t>第六 章第三節 第 </w:t>
      </w:r>
      <w:r>
        <w:rPr>
          <w:rFonts w:ascii="Arial" w:eastAsia="Arial"/>
          <w:w w:val="90"/>
          <w:sz w:val="29"/>
        </w:rPr>
        <w:t>45</w:t>
      </w:r>
      <w:r>
        <w:rPr>
          <w:rFonts w:ascii="Arial" w:eastAsia="Arial"/>
          <w:spacing w:val="57"/>
          <w:w w:val="90"/>
          <w:sz w:val="29"/>
        </w:rPr>
        <w:t> </w:t>
      </w:r>
      <w:r>
        <w:rPr>
          <w:spacing w:val="2"/>
          <w:w w:val="90"/>
        </w:rPr>
        <w:t>頁 第二 段 部分 ，提 到德國聯 邦憲法</w:t>
      </w:r>
      <w:r>
        <w:rPr>
          <w:spacing w:val="18"/>
          <w:w w:val="90"/>
        </w:rPr>
        <w:t>法院之見解 ，並 於 </w:t>
      </w:r>
      <w:r>
        <w:rPr>
          <w:rFonts w:ascii="Times New Roman" w:eastAsia="Times New Roman"/>
          <w:w w:val="90"/>
          <w:sz w:val="30"/>
        </w:rPr>
        <w:t>1988</w:t>
      </w:r>
      <w:r>
        <w:rPr>
          <w:rFonts w:ascii="Times New Roman" w:eastAsia="Times New Roman"/>
          <w:spacing w:val="36"/>
          <w:w w:val="90"/>
          <w:sz w:val="30"/>
        </w:rPr>
        <w:t> </w:t>
      </w:r>
      <w:r>
        <w:rPr>
          <w:spacing w:val="1"/>
          <w:w w:val="90"/>
        </w:rPr>
        <w:t>年 </w:t>
      </w:r>
      <w:r>
        <w:rPr>
          <w:rFonts w:ascii="Times New Roman" w:eastAsia="Times New Roman"/>
          <w:w w:val="90"/>
          <w:sz w:val="30"/>
        </w:rPr>
        <w:t>9</w:t>
      </w:r>
      <w:r>
        <w:rPr>
          <w:rFonts w:ascii="Times New Roman" w:eastAsia="Times New Roman"/>
          <w:spacing w:val="8"/>
          <w:w w:val="90"/>
          <w:sz w:val="30"/>
        </w:rPr>
        <w:t> </w:t>
      </w:r>
      <w:r>
        <w:rPr>
          <w:spacing w:val="11"/>
          <w:w w:val="90"/>
        </w:rPr>
        <w:t>月 </w:t>
      </w:r>
      <w:r>
        <w:rPr>
          <w:rFonts w:ascii="Times New Roman" w:eastAsia="Times New Roman"/>
          <w:w w:val="90"/>
          <w:sz w:val="30"/>
        </w:rPr>
        <w:t>19</w:t>
      </w:r>
      <w:r>
        <w:rPr>
          <w:rFonts w:ascii="Times New Roman" w:eastAsia="Times New Roman"/>
          <w:spacing w:val="55"/>
          <w:w w:val="90"/>
          <w:sz w:val="30"/>
        </w:rPr>
        <w:t> </w:t>
      </w:r>
      <w:r>
        <w:rPr>
          <w:spacing w:val="-1"/>
          <w:w w:val="90"/>
        </w:rPr>
        <w:t>日 裁定中 ， 肯定此一見解 之合</w:t>
      </w:r>
      <w:r>
        <w:rPr/>
        <w:t>憲性，似應進一步說明其內容。</w:t>
      </w:r>
    </w:p>
    <w:p>
      <w:pPr>
        <w:pStyle w:val="BodyText"/>
        <w:spacing w:line="295" w:lineRule="auto"/>
        <w:ind w:left="1267" w:right="522" w:firstLine="554"/>
        <w:jc w:val="both"/>
      </w:pPr>
      <w:r>
        <w:rPr>
          <w:w w:val="95"/>
        </w:rPr>
        <w:t>（</w:t>
      </w:r>
      <w:r>
        <w:rPr>
          <w:spacing w:val="-36"/>
          <w:w w:val="95"/>
        </w:rPr>
        <w:t> 九</w:t>
      </w:r>
      <w:r>
        <w:rPr>
          <w:w w:val="95"/>
        </w:rPr>
        <w:t>）</w:t>
      </w:r>
      <w:r>
        <w:rPr>
          <w:spacing w:val="-23"/>
          <w:w w:val="95"/>
        </w:rPr>
        <w:t> 第 七章 第 </w:t>
      </w:r>
      <w:r>
        <w:rPr>
          <w:rFonts w:ascii="Times New Roman" w:eastAsia="Times New Roman"/>
          <w:w w:val="95"/>
          <w:sz w:val="30"/>
        </w:rPr>
        <w:t>51</w:t>
      </w:r>
      <w:r>
        <w:rPr>
          <w:rFonts w:ascii="Times New Roman" w:eastAsia="Times New Roman"/>
          <w:spacing w:val="42"/>
          <w:w w:val="95"/>
          <w:sz w:val="30"/>
        </w:rPr>
        <w:t> </w:t>
      </w:r>
      <w:r>
        <w:rPr>
          <w:spacing w:val="-9"/>
          <w:w w:val="95"/>
        </w:rPr>
        <w:t>頁 第 </w:t>
      </w:r>
      <w:r>
        <w:rPr>
          <w:rFonts w:ascii="Times New Roman" w:eastAsia="Times New Roman"/>
          <w:w w:val="95"/>
          <w:sz w:val="30"/>
        </w:rPr>
        <w:t>l</w:t>
      </w:r>
      <w:r>
        <w:rPr>
          <w:rFonts w:ascii="Times New Roman" w:eastAsia="Times New Roman"/>
          <w:spacing w:val="61"/>
          <w:w w:val="95"/>
          <w:sz w:val="30"/>
        </w:rPr>
        <w:t> </w:t>
      </w:r>
      <w:r>
        <w:rPr>
          <w:spacing w:val="-21"/>
          <w:w w:val="95"/>
        </w:rPr>
        <w:t>段 註 </w:t>
      </w:r>
      <w:r>
        <w:rPr>
          <w:rFonts w:ascii="Times New Roman" w:eastAsia="Times New Roman"/>
          <w:w w:val="95"/>
          <w:sz w:val="30"/>
        </w:rPr>
        <w:t>87</w:t>
      </w:r>
      <w:r>
        <w:rPr>
          <w:rFonts w:ascii="Times New Roman" w:eastAsia="Times New Roman"/>
          <w:spacing w:val="4"/>
          <w:w w:val="95"/>
          <w:sz w:val="30"/>
        </w:rPr>
        <w:t> </w:t>
      </w:r>
      <w:r>
        <w:rPr>
          <w:spacing w:val="-4"/>
          <w:w w:val="95"/>
        </w:rPr>
        <w:t>部分 ， 直接引用 最高行 政</w:t>
      </w:r>
      <w:r>
        <w:rPr/>
        <w:t>法院一個裁定作為整個論述之基礎，即認須具有「直接之第三人    </w:t>
      </w:r>
      <w:r>
        <w:rPr>
          <w:spacing w:val="67"/>
        </w:rPr>
        <w:t> </w:t>
      </w:r>
      <w:r>
        <w:rPr/>
        <w:t>效果」，論述基礎似有不足。</w:t>
      </w:r>
    </w:p>
    <w:p>
      <w:pPr>
        <w:pStyle w:val="BodyText"/>
        <w:spacing w:line="300" w:lineRule="auto"/>
        <w:ind w:left="1263" w:right="501" w:firstLine="558"/>
        <w:jc w:val="both"/>
      </w:pPr>
      <w:r>
        <w:rPr>
          <w:w w:val="95"/>
        </w:rPr>
        <w:t>（</w:t>
      </w:r>
      <w:r>
        <w:rPr>
          <w:spacing w:val="-13"/>
          <w:w w:val="95"/>
        </w:rPr>
        <w:t> 十</w:t>
      </w:r>
      <w:r>
        <w:rPr>
          <w:w w:val="95"/>
        </w:rPr>
        <w:t>） 第八 章修法建議第 </w:t>
      </w:r>
      <w:r>
        <w:rPr>
          <w:rFonts w:ascii="Arial" w:eastAsia="Arial"/>
          <w:w w:val="95"/>
          <w:sz w:val="29"/>
        </w:rPr>
        <w:t>63</w:t>
      </w:r>
      <w:r>
        <w:rPr>
          <w:rFonts w:ascii="Arial" w:eastAsia="Arial"/>
          <w:spacing w:val="73"/>
          <w:w w:val="95"/>
          <w:sz w:val="29"/>
        </w:rPr>
        <w:t> </w:t>
      </w:r>
      <w:r>
        <w:rPr>
          <w:spacing w:val="-1"/>
          <w:w w:val="95"/>
        </w:rPr>
        <w:t>頁部分 ， 建議提出修 法條文時 ，</w:t>
      </w:r>
      <w:r>
        <w:rPr>
          <w:spacing w:val="-116"/>
          <w:w w:val="95"/>
        </w:rPr>
        <w:t> </w:t>
      </w:r>
      <w:r>
        <w:rPr>
          <w:w w:val="105"/>
        </w:rPr>
        <w:t>應提出修法理由；又修法條文究建議於公務人員保障法或公務人 </w:t>
      </w:r>
      <w:r>
        <w:rPr>
          <w:spacing w:val="92"/>
          <w:w w:val="105"/>
        </w:rPr>
        <w:t> </w:t>
      </w:r>
      <w:r>
        <w:rPr>
          <w:w w:val="105"/>
        </w:rPr>
        <w:t>員陞遷法增列，亦應明璀論述；及另各章節論述時應有脈絡說明 </w:t>
      </w:r>
      <w:r>
        <w:rPr>
          <w:spacing w:val="92"/>
          <w:w w:val="105"/>
        </w:rPr>
        <w:t> </w:t>
      </w:r>
      <w:r>
        <w:rPr>
          <w:w w:val="105"/>
        </w:rPr>
        <w:t>產生具體結論之理由；另建議於公務人員保障法等相關法規完成 </w:t>
      </w:r>
      <w:r>
        <w:rPr>
          <w:spacing w:val="92"/>
          <w:w w:val="105"/>
        </w:rPr>
        <w:t> </w:t>
      </w:r>
      <w:r>
        <w:rPr>
          <w:w w:val="105"/>
        </w:rPr>
        <w:t>修正前，提出本會在現行法制下，如何審議多數競爭者事件之具 </w:t>
      </w:r>
      <w:r>
        <w:rPr>
          <w:spacing w:val="92"/>
          <w:w w:val="105"/>
        </w:rPr>
        <w:t> </w:t>
      </w:r>
      <w:r>
        <w:rPr>
          <w:w w:val="105"/>
        </w:rPr>
        <w:t>體建議。</w:t>
      </w:r>
    </w:p>
    <w:p>
      <w:pPr>
        <w:pStyle w:val="BodyText"/>
        <w:spacing w:line="322" w:lineRule="exact"/>
        <w:ind w:left="1822"/>
        <w:jc w:val="both"/>
      </w:pPr>
      <w:r>
        <w:rPr>
          <w:w w:val="95"/>
        </w:rPr>
        <w:t>（</w:t>
      </w:r>
      <w:r>
        <w:rPr>
          <w:spacing w:val="5"/>
          <w:w w:val="95"/>
        </w:rPr>
        <w:t> 十一</w:t>
      </w:r>
      <w:r>
        <w:rPr>
          <w:w w:val="95"/>
        </w:rPr>
        <w:t>）</w:t>
      </w:r>
      <w:r>
        <w:rPr>
          <w:spacing w:val="14"/>
          <w:w w:val="95"/>
        </w:rPr>
        <w:t>參考文獻第 </w:t>
      </w:r>
      <w:r>
        <w:rPr>
          <w:rFonts w:ascii="Times New Roman" w:eastAsia="Times New Roman"/>
          <w:w w:val="95"/>
          <w:sz w:val="30"/>
        </w:rPr>
        <w:t>64</w:t>
      </w:r>
      <w:r>
        <w:rPr>
          <w:rFonts w:ascii="Times New Roman" w:eastAsia="Times New Roman"/>
          <w:spacing w:val="64"/>
          <w:w w:val="95"/>
          <w:sz w:val="30"/>
        </w:rPr>
        <w:t> </w:t>
      </w:r>
      <w:r>
        <w:rPr>
          <w:spacing w:val="2"/>
          <w:w w:val="95"/>
        </w:rPr>
        <w:t>頁部分 ，參 考文獻仍有不足 ， 且似偏</w:t>
      </w:r>
    </w:p>
    <w:p>
      <w:pPr>
        <w:pStyle w:val="BodyText"/>
        <w:spacing w:line="283" w:lineRule="auto" w:before="51"/>
        <w:ind w:left="1258" w:right="511" w:firstLine="33"/>
        <w:jc w:val="both"/>
      </w:pPr>
      <w:r>
        <w:rPr/>
        <w:t>重學理之論述，欠缺實務面及法規面之文章，建議補充相關期刊    </w:t>
      </w:r>
      <w:r>
        <w:rPr>
          <w:spacing w:val="54"/>
        </w:rPr>
        <w:t> </w:t>
      </w:r>
      <w:r>
        <w:rPr/>
        <w:t>及論文；部分德文參考文獻版本過時 ， 例如第 </w:t>
      </w:r>
      <w:r>
        <w:rPr>
          <w:rFonts w:ascii="Times New Roman" w:eastAsia="Times New Roman"/>
          <w:sz w:val="30"/>
        </w:rPr>
        <w:t>64</w:t>
      </w:r>
      <w:r>
        <w:rPr>
          <w:rFonts w:ascii="Times New Roman" w:eastAsia="Times New Roman"/>
          <w:spacing w:val="1"/>
          <w:sz w:val="30"/>
        </w:rPr>
        <w:t> </w:t>
      </w:r>
      <w:r>
        <w:rPr>
          <w:spacing w:val="-18"/>
        </w:rPr>
        <w:t>頁 第 </w:t>
      </w:r>
      <w:r>
        <w:rPr>
          <w:rFonts w:ascii="Times New Roman" w:eastAsia="Times New Roman"/>
          <w:sz w:val="30"/>
        </w:rPr>
        <w:t>1</w:t>
      </w:r>
      <w:r>
        <w:rPr>
          <w:rFonts w:ascii="Times New Roman" w:eastAsia="Times New Roman"/>
          <w:spacing w:val="7"/>
          <w:sz w:val="30"/>
        </w:rPr>
        <w:t> </w:t>
      </w:r>
      <w:r>
        <w:rPr>
          <w:spacing w:val="14"/>
        </w:rPr>
        <w:t>個文獻為</w:t>
      </w:r>
      <w:r>
        <w:rPr>
          <w:rFonts w:ascii="Times New Roman" w:eastAsia="Times New Roman"/>
          <w:w w:val="95"/>
          <w:sz w:val="30"/>
        </w:rPr>
        <w:t>1999</w:t>
      </w:r>
      <w:r>
        <w:rPr>
          <w:rFonts w:ascii="Times New Roman" w:eastAsia="Times New Roman"/>
          <w:spacing w:val="41"/>
          <w:w w:val="95"/>
          <w:sz w:val="30"/>
        </w:rPr>
        <w:t> </w:t>
      </w:r>
      <w:r>
        <w:rPr>
          <w:spacing w:val="15"/>
          <w:w w:val="95"/>
        </w:rPr>
        <w:t>年版本；又參考文獻亦有脫漏，例如第 </w:t>
      </w:r>
      <w:r>
        <w:rPr>
          <w:rFonts w:ascii="Times New Roman" w:eastAsia="Times New Roman"/>
          <w:w w:val="95"/>
          <w:sz w:val="30"/>
        </w:rPr>
        <w:t>65</w:t>
      </w:r>
      <w:r>
        <w:rPr>
          <w:rFonts w:ascii="Times New Roman" w:eastAsia="Times New Roman"/>
          <w:spacing w:val="37"/>
          <w:w w:val="95"/>
          <w:sz w:val="30"/>
        </w:rPr>
        <w:t> </w:t>
      </w:r>
      <w:r>
        <w:rPr>
          <w:spacing w:val="-1"/>
          <w:w w:val="95"/>
        </w:rPr>
        <w:t>頁 第 </w:t>
      </w:r>
      <w:r>
        <w:rPr>
          <w:rFonts w:ascii="Times New Roman" w:eastAsia="Times New Roman"/>
          <w:w w:val="95"/>
          <w:sz w:val="30"/>
        </w:rPr>
        <w:t>3</w:t>
      </w:r>
      <w:r>
        <w:rPr>
          <w:rFonts w:ascii="Times New Roman" w:eastAsia="Times New Roman"/>
          <w:spacing w:val="15"/>
          <w:w w:val="95"/>
          <w:sz w:val="30"/>
        </w:rPr>
        <w:t> </w:t>
      </w:r>
      <w:r>
        <w:rPr>
          <w:spacing w:val="20"/>
          <w:w w:val="95"/>
        </w:rPr>
        <w:t>個文獻為一</w:t>
      </w:r>
      <w:r>
        <w:rPr/>
        <w:t>篇祝壽論文集文章，自應載明該文章篇名。</w:t>
      </w:r>
    </w:p>
    <w:p>
      <w:pPr>
        <w:pStyle w:val="BodyText"/>
        <w:spacing w:before="134"/>
        <w:ind w:left="874"/>
      </w:pPr>
      <w:r>
        <w:rPr>
          <w:w w:val="105"/>
        </w:rPr>
        <w:t>三、研究團隊回應：</w:t>
      </w:r>
    </w:p>
    <w:p>
      <w:pPr>
        <w:pStyle w:val="BodyText"/>
        <w:spacing w:before="141"/>
        <w:ind w:left="1939"/>
      </w:pPr>
      <w:r>
        <w:rPr>
          <w:w w:val="110"/>
        </w:rPr>
        <w:t>（一）關於復審參加制度之涵蓋面應不限於陞遷事件部分，</w:t>
      </w:r>
    </w:p>
    <w:p>
      <w:pPr>
        <w:spacing w:after="0"/>
        <w:sectPr>
          <w:pgSz w:w="11910" w:h="16840"/>
          <w:pgMar w:header="862" w:footer="1017" w:top="1060" w:bottom="1200" w:left="1120" w:right="1060"/>
        </w:sectPr>
      </w:pPr>
    </w:p>
    <w:p>
      <w:pPr>
        <w:pStyle w:val="BodyText"/>
        <w:spacing w:before="12"/>
        <w:rPr>
          <w:sz w:val="28"/>
        </w:rPr>
      </w:pPr>
    </w:p>
    <w:p>
      <w:pPr>
        <w:pStyle w:val="BodyText"/>
        <w:spacing w:line="328" w:lineRule="auto" w:before="65"/>
        <w:ind w:left="1264" w:right="522" w:hanging="5"/>
        <w:jc w:val="both"/>
      </w:pPr>
      <w:r>
        <w:rPr>
          <w:w w:val="110"/>
        </w:rPr>
        <w:t>硏究圍隊最初認為陞遷事件之爭執最為激烈，且本會決定數量較多。噹時認為多數人競爭少數名額之爭訟類型如考績事件部分，</w:t>
      </w:r>
      <w:r>
        <w:rPr>
          <w:spacing w:val="1"/>
          <w:w w:val="110"/>
        </w:rPr>
        <w:t> </w:t>
      </w:r>
      <w:r>
        <w:rPr>
          <w:w w:val="110"/>
        </w:rPr>
        <w:t>並非屬復審事件之範圍，且有名額之限制，故先找一個重要類型切入。各位委員既認為這樣的方式全面性不足，而有所質疑，硏究圍隊會修正並將其他屬於復審事件之重要類型，例如調任及留</w:t>
      </w:r>
      <w:r>
        <w:rPr>
          <w:w w:val="115"/>
        </w:rPr>
        <w:t>用部分紐入。另章節架構安排也會配合調整。</w:t>
      </w:r>
    </w:p>
    <w:p>
      <w:pPr>
        <w:pStyle w:val="BodyText"/>
        <w:spacing w:line="328" w:lineRule="auto" w:before="10"/>
        <w:ind w:left="1260" w:right="521" w:firstLine="679"/>
        <w:jc w:val="both"/>
      </w:pPr>
      <w:r>
        <w:rPr>
          <w:w w:val="110"/>
        </w:rPr>
        <w:t>（二）多位委員提到，希望先討論公務人員得否以自己名義提超復審，如否，再討論可否以復審參加方式救濟其権益，似與硏究圍隊認定之參加制度之想法有所不同。硏究圉隊原先認為，</w:t>
      </w:r>
      <w:r>
        <w:rPr>
          <w:spacing w:val="1"/>
          <w:w w:val="110"/>
        </w:rPr>
        <w:t> </w:t>
      </w:r>
      <w:r>
        <w:rPr>
          <w:w w:val="110"/>
        </w:rPr>
        <w:t>如依行政訴訟訴權理論，復審參加仍需有權利或法律上利益受損為條件。故如果該公務人員沒有權利或法律上利益受損而提超復審，似難允許其參加復審，除非我們認為沒有權利或法律上利益受損仍允許其參加復審，這樣就與一般行政訴訟所稱之參加制度</w:t>
      </w:r>
      <w:r>
        <w:rPr>
          <w:w w:val="115"/>
        </w:rPr>
        <w:t>有所不同。</w:t>
      </w:r>
    </w:p>
    <w:p>
      <w:pPr>
        <w:pStyle w:val="BodyText"/>
        <w:spacing w:line="326" w:lineRule="auto" w:before="12"/>
        <w:ind w:left="1264" w:right="494" w:firstLine="674"/>
        <w:jc w:val="both"/>
      </w:pPr>
      <w:r>
        <w:rPr>
          <w:w w:val="105"/>
        </w:rPr>
        <w:t>（三）第五章日本公務人員保障制度，由研究圍隊另一位教</w:t>
      </w:r>
      <w:r>
        <w:rPr>
          <w:spacing w:val="80"/>
          <w:w w:val="105"/>
        </w:rPr>
        <w:t> </w:t>
      </w:r>
      <w:r>
        <w:rPr>
          <w:w w:val="105"/>
        </w:rPr>
        <w:t>授負責，而日本第三人競爭爭訟部分資料較難蒐集，但於期末報 </w:t>
      </w:r>
      <w:r>
        <w:rPr>
          <w:spacing w:val="110"/>
          <w:w w:val="105"/>
        </w:rPr>
        <w:t> </w:t>
      </w:r>
      <w:r>
        <w:rPr>
          <w:spacing w:val="9"/>
        </w:rPr>
        <w:t>告時會補足；未提及行政程序法第 </w:t>
      </w:r>
      <w:r>
        <w:rPr>
          <w:rFonts w:ascii="Arial" w:eastAsia="Arial"/>
          <w:w w:val="95"/>
          <w:sz w:val="28"/>
        </w:rPr>
        <w:t>23</w:t>
      </w:r>
      <w:r>
        <w:rPr>
          <w:rFonts w:ascii="Arial" w:eastAsia="Arial"/>
          <w:spacing w:val="69"/>
          <w:w w:val="95"/>
          <w:sz w:val="28"/>
        </w:rPr>
        <w:t> </w:t>
      </w:r>
      <w:r>
        <w:rPr>
          <w:spacing w:val="7"/>
        </w:rPr>
        <w:t>條之部分 </w:t>
      </w:r>
      <w:r>
        <w:rPr>
          <w:spacing w:val="-30"/>
          <w:w w:val="95"/>
        </w:rPr>
        <w:t>， </w:t>
      </w:r>
      <w:r>
        <w:rPr>
          <w:spacing w:val="23"/>
        </w:rPr>
        <w:t>尤其德國法可參</w:t>
      </w:r>
      <w:r>
        <w:rPr>
          <w:w w:val="105"/>
        </w:rPr>
        <w:t>考處會予補足；另委員建議章節架構及應增、刪、更新、充實之 </w:t>
      </w:r>
      <w:r>
        <w:rPr>
          <w:spacing w:val="98"/>
          <w:w w:val="105"/>
        </w:rPr>
        <w:t> </w:t>
      </w:r>
      <w:r>
        <w:rPr>
          <w:w w:val="105"/>
        </w:rPr>
        <w:t>資料，硏究圍隊會於期末報告增、刪、更新、充實之。</w:t>
      </w:r>
    </w:p>
    <w:p>
      <w:pPr>
        <w:pStyle w:val="BodyText"/>
        <w:spacing w:line="328" w:lineRule="auto" w:before="15"/>
        <w:ind w:left="1268" w:right="494" w:firstLine="670"/>
      </w:pPr>
      <w:r>
        <w:rPr>
          <w:w w:val="110"/>
        </w:rPr>
        <w:t>（四）請貴會提供陞遷、調任、留用等保障事件相關案例資料供參。</w:t>
      </w:r>
    </w:p>
    <w:p>
      <w:pPr>
        <w:pStyle w:val="BodyText"/>
        <w:spacing w:line="328" w:lineRule="auto" w:before="1"/>
        <w:ind w:left="1707" w:right="519" w:hanging="1396"/>
      </w:pPr>
      <w:r>
        <w:rPr>
          <w:w w:val="110"/>
        </w:rPr>
        <w:t>陸、決議：本會議與會人員之意見，請研究團隊儘量參考紐入期末報告，</w:t>
      </w:r>
      <w:r>
        <w:rPr>
          <w:spacing w:val="-135"/>
          <w:w w:val="110"/>
        </w:rPr>
        <w:t> </w:t>
      </w:r>
      <w:r>
        <w:rPr>
          <w:w w:val="110"/>
        </w:rPr>
        <w:t>並請依時程提出期末報告。</w:t>
      </w:r>
    </w:p>
    <w:p>
      <w:pPr>
        <w:pStyle w:val="BodyText"/>
        <w:rPr>
          <w:sz w:val="24"/>
        </w:rPr>
      </w:pPr>
    </w:p>
    <w:p>
      <w:pPr>
        <w:pStyle w:val="BodyText"/>
        <w:spacing w:before="12"/>
        <w:rPr>
          <w:sz w:val="24"/>
        </w:rPr>
      </w:pPr>
    </w:p>
    <w:p>
      <w:pPr>
        <w:pStyle w:val="BodyText"/>
        <w:ind w:left="887"/>
      </w:pPr>
      <w:r>
        <w:rPr>
          <w:w w:val="110"/>
        </w:rPr>
        <w:t>主席：李副主任委員暠賢</w:t>
      </w:r>
    </w:p>
    <w:p>
      <w:pPr>
        <w:spacing w:after="0"/>
        <w:sectPr>
          <w:pgSz w:w="11910" w:h="16840"/>
          <w:pgMar w:header="862" w:footer="1017" w:top="1060" w:bottom="1200" w:left="1120" w:right="1060"/>
        </w:sectPr>
      </w:pPr>
    </w:p>
    <w:p>
      <w:pPr>
        <w:pStyle w:val="BodyText"/>
        <w:rPr>
          <w:sz w:val="20"/>
        </w:rPr>
      </w:pPr>
    </w:p>
    <w:p>
      <w:pPr>
        <w:pStyle w:val="Heading1"/>
      </w:pPr>
      <w:bookmarkStart w:name="_bookmark38" w:id="39"/>
      <w:bookmarkEnd w:id="39"/>
      <w:r>
        <w:rPr/>
      </w:r>
      <w:r>
        <w:rPr>
          <w:w w:val="105"/>
        </w:rPr>
        <w:t>附錄三：期末報告審查會議紀錄</w:t>
      </w:r>
    </w:p>
    <w:p>
      <w:pPr>
        <w:pStyle w:val="BodyText"/>
        <w:spacing w:before="8"/>
        <w:rPr>
          <w:sz w:val="22"/>
        </w:rPr>
      </w:pPr>
    </w:p>
    <w:p>
      <w:pPr>
        <w:spacing w:line="338" w:lineRule="auto" w:before="1"/>
        <w:ind w:left="312" w:right="2550" w:firstLine="3"/>
        <w:jc w:val="left"/>
        <w:rPr>
          <w:sz w:val="25"/>
        </w:rPr>
      </w:pPr>
      <w:r>
        <w:rPr>
          <w:spacing w:val="-6"/>
          <w:w w:val="95"/>
          <w:sz w:val="25"/>
        </w:rPr>
        <w:t>時間： 民國 </w:t>
      </w:r>
      <w:r>
        <w:rPr>
          <w:rFonts w:ascii="Times New Roman" w:eastAsia="Times New Roman"/>
          <w:w w:val="95"/>
          <w:sz w:val="30"/>
        </w:rPr>
        <w:t>99</w:t>
      </w:r>
      <w:r>
        <w:rPr>
          <w:rFonts w:ascii="Times New Roman" w:eastAsia="Times New Roman"/>
          <w:spacing w:val="59"/>
          <w:w w:val="95"/>
          <w:sz w:val="30"/>
        </w:rPr>
        <w:t> </w:t>
      </w:r>
      <w:r>
        <w:rPr>
          <w:spacing w:val="-19"/>
          <w:w w:val="95"/>
          <w:sz w:val="24"/>
        </w:rPr>
        <w:t>年 </w:t>
      </w:r>
      <w:r>
        <w:rPr>
          <w:rFonts w:ascii="Times New Roman" w:eastAsia="Times New Roman"/>
          <w:w w:val="95"/>
          <w:sz w:val="30"/>
        </w:rPr>
        <w:t>10</w:t>
      </w:r>
      <w:r>
        <w:rPr>
          <w:rFonts w:ascii="Times New Roman" w:eastAsia="Times New Roman"/>
          <w:spacing w:val="45"/>
          <w:w w:val="95"/>
          <w:sz w:val="30"/>
        </w:rPr>
        <w:t> </w:t>
      </w:r>
      <w:r>
        <w:rPr>
          <w:w w:val="95"/>
          <w:sz w:val="25"/>
        </w:rPr>
        <w:t>月 </w:t>
      </w:r>
      <w:r>
        <w:rPr>
          <w:rFonts w:ascii="Times New Roman" w:eastAsia="Times New Roman"/>
          <w:w w:val="95"/>
          <w:sz w:val="30"/>
        </w:rPr>
        <w:t>13</w:t>
      </w:r>
      <w:r>
        <w:rPr>
          <w:rFonts w:ascii="Times New Roman" w:eastAsia="Times New Roman"/>
          <w:spacing w:val="24"/>
          <w:w w:val="95"/>
          <w:sz w:val="30"/>
        </w:rPr>
        <w:t> </w:t>
      </w:r>
      <w:r>
        <w:rPr>
          <w:w w:val="95"/>
          <w:sz w:val="25"/>
        </w:rPr>
        <w:t>日（</w:t>
      </w:r>
      <w:r>
        <w:rPr>
          <w:spacing w:val="27"/>
          <w:w w:val="95"/>
          <w:sz w:val="25"/>
        </w:rPr>
        <w:t> 星期三</w:t>
      </w:r>
      <w:r>
        <w:rPr>
          <w:w w:val="95"/>
          <w:sz w:val="25"/>
        </w:rPr>
        <w:t>）</w:t>
      </w:r>
      <w:r>
        <w:rPr>
          <w:spacing w:val="-1"/>
          <w:w w:val="95"/>
          <w:sz w:val="25"/>
        </w:rPr>
        <w:t>上午 </w:t>
      </w:r>
      <w:r>
        <w:rPr>
          <w:rFonts w:ascii="Times New Roman" w:eastAsia="Times New Roman"/>
          <w:w w:val="95"/>
          <w:sz w:val="30"/>
        </w:rPr>
        <w:t>10</w:t>
      </w:r>
      <w:r>
        <w:rPr>
          <w:rFonts w:ascii="Times New Roman" w:eastAsia="Times New Roman"/>
          <w:spacing w:val="39"/>
          <w:w w:val="95"/>
          <w:sz w:val="30"/>
        </w:rPr>
        <w:t> </w:t>
      </w:r>
      <w:r>
        <w:rPr>
          <w:spacing w:val="-19"/>
          <w:w w:val="95"/>
          <w:sz w:val="25"/>
        </w:rPr>
        <w:t>時 </w:t>
      </w:r>
      <w:r>
        <w:rPr>
          <w:rFonts w:ascii="Times New Roman" w:eastAsia="Times New Roman"/>
          <w:w w:val="95"/>
          <w:sz w:val="30"/>
        </w:rPr>
        <w:t>30</w:t>
      </w:r>
      <w:r>
        <w:rPr>
          <w:rFonts w:ascii="Times New Roman" w:eastAsia="Times New Roman"/>
          <w:spacing w:val="39"/>
          <w:w w:val="95"/>
          <w:sz w:val="30"/>
        </w:rPr>
        <w:t> </w:t>
      </w:r>
      <w:r>
        <w:rPr>
          <w:w w:val="95"/>
          <w:sz w:val="25"/>
        </w:rPr>
        <w:t>分</w:t>
      </w:r>
      <w:r>
        <w:rPr>
          <w:spacing w:val="-10"/>
          <w:w w:val="95"/>
          <w:sz w:val="25"/>
        </w:rPr>
        <w:t>地點： 本會 </w:t>
      </w:r>
      <w:r>
        <w:rPr>
          <w:rFonts w:ascii="Times New Roman" w:eastAsia="Times New Roman"/>
          <w:w w:val="95"/>
          <w:sz w:val="30"/>
        </w:rPr>
        <w:t>7</w:t>
      </w:r>
      <w:r>
        <w:rPr>
          <w:rFonts w:ascii="Times New Roman" w:eastAsia="Times New Roman"/>
          <w:spacing w:val="5"/>
          <w:w w:val="95"/>
          <w:sz w:val="30"/>
        </w:rPr>
        <w:t> </w:t>
      </w:r>
      <w:r>
        <w:rPr>
          <w:spacing w:val="-15"/>
          <w:w w:val="95"/>
          <w:sz w:val="25"/>
        </w:rPr>
        <w:t>樓 會議 室</w:t>
      </w:r>
    </w:p>
    <w:p>
      <w:pPr>
        <w:pStyle w:val="BodyText"/>
        <w:spacing w:line="374" w:lineRule="auto" w:before="41"/>
        <w:ind w:left="312" w:right="6370" w:firstLine="12"/>
      </w:pPr>
      <w:r>
        <w:rPr>
          <w:w w:val="110"/>
        </w:rPr>
        <w:t>主席：李副主任委員暠賢記錄：徐新隆</w:t>
      </w:r>
    </w:p>
    <w:p>
      <w:pPr>
        <w:pStyle w:val="BodyText"/>
        <w:spacing w:line="381" w:lineRule="auto"/>
        <w:ind w:left="317" w:right="6100" w:firstLine="1"/>
      </w:pPr>
      <w:r>
        <w:rPr>
          <w:w w:val="105"/>
        </w:rPr>
        <w:t>出（列）席人員：如簽到單壹、研究圉隊報告：（略）</w:t>
      </w:r>
    </w:p>
    <w:p>
      <w:pPr>
        <w:pStyle w:val="BodyText"/>
        <w:spacing w:line="379" w:lineRule="auto"/>
        <w:ind w:left="880" w:right="6741" w:hanging="9"/>
      </w:pPr>
      <w:r>
        <w:rPr>
          <w:w w:val="105"/>
        </w:rPr>
        <w:t>貳丶審查意見：</w:t>
      </w:r>
      <w:r>
        <w:rPr>
          <w:spacing w:val="1"/>
          <w:w w:val="105"/>
        </w:rPr>
        <w:t> </w:t>
      </w:r>
      <w:r>
        <w:rPr>
          <w:w w:val="105"/>
        </w:rPr>
        <w:t>一、陳委員愛娥：</w:t>
      </w:r>
    </w:p>
    <w:p>
      <w:pPr>
        <w:pStyle w:val="BodyText"/>
        <w:spacing w:line="312" w:lineRule="exact"/>
        <w:ind w:left="1822"/>
      </w:pPr>
      <w:r>
        <w:rPr>
          <w:w w:val="95"/>
        </w:rPr>
        <w:t>（</w:t>
      </w:r>
      <w:r>
        <w:rPr>
          <w:spacing w:val="-17"/>
          <w:w w:val="95"/>
        </w:rPr>
        <w:t> 一</w:t>
      </w:r>
      <w:r>
        <w:rPr>
          <w:w w:val="95"/>
        </w:rPr>
        <w:t>）</w:t>
      </w:r>
      <w:r>
        <w:rPr>
          <w:spacing w:val="-6"/>
          <w:w w:val="95"/>
        </w:rPr>
        <w:t>第 </w:t>
      </w:r>
      <w:r>
        <w:rPr>
          <w:rFonts w:ascii="Times New Roman" w:eastAsia="Times New Roman"/>
          <w:w w:val="95"/>
          <w:sz w:val="30"/>
        </w:rPr>
        <w:t>13</w:t>
      </w:r>
      <w:r>
        <w:rPr>
          <w:rFonts w:ascii="Times New Roman" w:eastAsia="Times New Roman"/>
          <w:spacing w:val="42"/>
          <w:w w:val="95"/>
          <w:sz w:val="30"/>
        </w:rPr>
        <w:t> </w:t>
      </w:r>
      <w:r>
        <w:rPr>
          <w:spacing w:val="-3"/>
          <w:w w:val="95"/>
        </w:rPr>
        <w:t>頁 第三 章第四 節結 論部分 ， 係直接引述行政訴訟</w:t>
      </w:r>
    </w:p>
    <w:p>
      <w:pPr>
        <w:pStyle w:val="BodyText"/>
        <w:spacing w:line="376" w:lineRule="auto" w:before="156"/>
        <w:ind w:left="1265" w:right="525" w:firstLine="11"/>
        <w:jc w:val="both"/>
      </w:pPr>
      <w:r>
        <w:rPr>
          <w:w w:val="110"/>
        </w:rPr>
        <w:t>法上之訴訟參加制度為建構復審參加制度之基礎，惟復審主要係取代訴願制度，硏究報告體系上未類比訴願制度，宜說明訴願法參加制度有何不備之理由，而行政訴訟法制度較為周延，且與復</w:t>
      </w:r>
      <w:r>
        <w:rPr>
          <w:w w:val="115"/>
        </w:rPr>
        <w:t>審制度並無矛盾之處，爰引用行政訴訟法上之訴訟參加制度。</w:t>
      </w:r>
    </w:p>
    <w:p>
      <w:pPr>
        <w:pStyle w:val="BodyText"/>
        <w:spacing w:line="313" w:lineRule="exact"/>
        <w:ind w:left="1822"/>
      </w:pPr>
      <w:r>
        <w:rPr>
          <w:spacing w:val="15"/>
        </w:rPr>
        <w:t>（</w:t>
      </w:r>
      <w:r>
        <w:rPr>
          <w:spacing w:val="16"/>
        </w:rPr>
        <w:t>二</w:t>
      </w:r>
      <w:r>
        <w:rPr/>
        <w:t>）</w:t>
      </w:r>
      <w:r>
        <w:rPr>
          <w:spacing w:val="-15"/>
        </w:rPr>
        <w:t>第 </w:t>
      </w:r>
      <w:r>
        <w:rPr>
          <w:rFonts w:ascii="Times New Roman" w:eastAsia="Times New Roman"/>
          <w:sz w:val="30"/>
        </w:rPr>
        <w:t>16</w:t>
      </w:r>
      <w:r>
        <w:rPr>
          <w:rFonts w:ascii="Times New Roman" w:eastAsia="Times New Roman"/>
          <w:spacing w:val="15"/>
          <w:sz w:val="30"/>
        </w:rPr>
        <w:t> </w:t>
      </w:r>
      <w:r>
        <w:rPr>
          <w:spacing w:val="-1"/>
        </w:rPr>
        <w:t>頁 第四章第一 節 人事處分行政程序中之 第三人權</w:t>
      </w:r>
    </w:p>
    <w:p>
      <w:pPr>
        <w:pStyle w:val="BodyText"/>
        <w:spacing w:line="374" w:lineRule="auto" w:before="179"/>
        <w:ind w:left="1263" w:right="535" w:firstLine="4"/>
        <w:jc w:val="both"/>
      </w:pPr>
      <w:r>
        <w:rPr>
          <w:w w:val="110"/>
        </w:rPr>
        <w:t>利保護制度部分，如能補充關於德國行政程序法上的參加制度案</w:t>
      </w:r>
      <w:r>
        <w:rPr>
          <w:w w:val="105"/>
        </w:rPr>
        <w:t>例（可參閱德國行政程序法之註釋書），即可避免第一節與第二節</w:t>
      </w:r>
      <w:r>
        <w:rPr>
          <w:spacing w:val="1"/>
          <w:w w:val="105"/>
        </w:rPr>
        <w:t> </w:t>
      </w:r>
      <w:r>
        <w:rPr>
          <w:w w:val="110"/>
        </w:rPr>
        <w:t>內容及份量失衡之問題。</w:t>
      </w:r>
    </w:p>
    <w:p>
      <w:pPr>
        <w:pStyle w:val="BodyText"/>
        <w:spacing w:line="325" w:lineRule="exact"/>
        <w:ind w:left="1822"/>
      </w:pPr>
      <w:r>
        <w:rPr>
          <w:w w:val="95"/>
        </w:rPr>
        <w:t>（</w:t>
      </w:r>
      <w:r>
        <w:rPr>
          <w:spacing w:val="-26"/>
          <w:w w:val="95"/>
        </w:rPr>
        <w:t> 三</w:t>
      </w:r>
      <w:r>
        <w:rPr>
          <w:w w:val="95"/>
        </w:rPr>
        <w:t>）</w:t>
      </w:r>
      <w:r>
        <w:rPr>
          <w:spacing w:val="-15"/>
          <w:w w:val="95"/>
        </w:rPr>
        <w:t>第 </w:t>
      </w:r>
      <w:r>
        <w:rPr>
          <w:rFonts w:ascii="Times New Roman" w:eastAsia="Times New Roman"/>
          <w:w w:val="95"/>
          <w:sz w:val="30"/>
        </w:rPr>
        <w:t>17</w:t>
      </w:r>
      <w:r>
        <w:rPr>
          <w:rFonts w:ascii="Times New Roman" w:eastAsia="Times New Roman"/>
          <w:spacing w:val="59"/>
          <w:w w:val="95"/>
          <w:sz w:val="30"/>
        </w:rPr>
        <w:t> </w:t>
      </w:r>
      <w:r>
        <w:rPr>
          <w:w w:val="95"/>
        </w:rPr>
        <w:t>頁 第四 章第二節以 下部分 ， 所謂人事處分競爭者</w:t>
      </w:r>
    </w:p>
    <w:p>
      <w:pPr>
        <w:pStyle w:val="BodyText"/>
        <w:spacing w:line="372" w:lineRule="auto" w:before="179"/>
        <w:ind w:left="1275" w:right="478" w:hanging="6"/>
        <w:jc w:val="both"/>
      </w:pPr>
      <w:r>
        <w:rPr>
          <w:w w:val="115"/>
        </w:rPr>
        <w:t>爭訟最關鍵的前提問題在於：可提超爭訟之競爭者範圍如何界</w:t>
      </w:r>
      <w:r>
        <w:rPr>
          <w:w w:val="110"/>
        </w:rPr>
        <w:t>定？德國法上應有文獻可資補充，宜於第二節或第三節適噹部分</w:t>
      </w:r>
      <w:r>
        <w:rPr>
          <w:w w:val="115"/>
        </w:rPr>
        <w:t>納入。</w:t>
      </w:r>
    </w:p>
    <w:p>
      <w:pPr>
        <w:pStyle w:val="BodyText"/>
        <w:spacing w:line="355" w:lineRule="auto"/>
        <w:ind w:left="1280" w:right="538" w:firstLine="542"/>
        <w:jc w:val="both"/>
      </w:pPr>
      <w:r>
        <w:rPr>
          <w:w w:val="95"/>
        </w:rPr>
        <w:t>（</w:t>
      </w:r>
      <w:r>
        <w:rPr>
          <w:spacing w:val="-9"/>
          <w:w w:val="95"/>
        </w:rPr>
        <w:t> 四</w:t>
      </w:r>
      <w:r>
        <w:rPr>
          <w:w w:val="95"/>
        </w:rPr>
        <w:t>）</w:t>
      </w:r>
      <w:r>
        <w:rPr>
          <w:spacing w:val="3"/>
          <w:w w:val="95"/>
        </w:rPr>
        <w:t>第 </w:t>
      </w:r>
      <w:r>
        <w:rPr>
          <w:rFonts w:ascii="Times New Roman" w:eastAsia="Times New Roman"/>
          <w:w w:val="95"/>
          <w:sz w:val="30"/>
        </w:rPr>
        <w:t>33</w:t>
      </w:r>
      <w:r>
        <w:rPr>
          <w:rFonts w:ascii="Times New Roman" w:eastAsia="Times New Roman"/>
          <w:spacing w:val="52"/>
          <w:w w:val="95"/>
          <w:sz w:val="30"/>
        </w:rPr>
        <w:t> </w:t>
      </w:r>
      <w:r>
        <w:rPr>
          <w:spacing w:val="-4"/>
          <w:w w:val="95"/>
        </w:rPr>
        <w:t>頁 第四 章第四 節以 下部分 ， 建議在本章末增加德</w:t>
      </w:r>
      <w:r>
        <w:rPr>
          <w:w w:val="105"/>
        </w:rPr>
        <w:t>國法制之小結，將德國法可資參考部分納入。</w:t>
      </w:r>
    </w:p>
    <w:p>
      <w:pPr>
        <w:pStyle w:val="BodyText"/>
        <w:spacing w:line="367" w:lineRule="auto"/>
        <w:ind w:left="1260" w:right="530" w:firstLine="562"/>
        <w:jc w:val="both"/>
      </w:pPr>
      <w:r>
        <w:rPr>
          <w:spacing w:val="13"/>
        </w:rPr>
        <w:t>（</w:t>
      </w:r>
      <w:r>
        <w:rPr>
          <w:spacing w:val="23"/>
        </w:rPr>
        <w:t>五</w:t>
      </w:r>
      <w:r>
        <w:rPr/>
        <w:t>）</w:t>
      </w:r>
      <w:r>
        <w:rPr>
          <w:spacing w:val="-2"/>
        </w:rPr>
        <w:t>第 </w:t>
      </w:r>
      <w:r>
        <w:rPr>
          <w:rFonts w:ascii="Times New Roman" w:eastAsia="Times New Roman"/>
          <w:sz w:val="30"/>
        </w:rPr>
        <w:t>35</w:t>
      </w:r>
      <w:r>
        <w:rPr>
          <w:rFonts w:ascii="Times New Roman" w:eastAsia="Times New Roman"/>
          <w:spacing w:val="20"/>
          <w:sz w:val="30"/>
        </w:rPr>
        <w:t> </w:t>
      </w:r>
      <w:r>
        <w:rPr>
          <w:spacing w:val="1"/>
        </w:rPr>
        <w:t>頁 第五章第二節我國實務上關於 消極 競爭者爭訟</w:t>
      </w:r>
      <w:r>
        <w:rPr>
          <w:w w:val="110"/>
        </w:rPr>
        <w:t>合法性之見解以下部分，實務見解除引述本會決定外，建議增加行政法院之裁判。</w:t>
      </w:r>
    </w:p>
    <w:p>
      <w:pPr>
        <w:spacing w:after="0" w:line="367" w:lineRule="auto"/>
        <w:jc w:val="both"/>
        <w:sectPr>
          <w:pgSz w:w="11910" w:h="16840"/>
          <w:pgMar w:header="862" w:footer="1017" w:top="1060" w:bottom="1200" w:left="1120" w:right="1060"/>
        </w:sectPr>
      </w:pPr>
    </w:p>
    <w:p>
      <w:pPr>
        <w:pStyle w:val="BodyText"/>
        <w:rPr>
          <w:sz w:val="29"/>
        </w:rPr>
      </w:pPr>
    </w:p>
    <w:p>
      <w:pPr>
        <w:spacing w:line="369" w:lineRule="auto" w:before="87"/>
        <w:ind w:left="1263" w:right="515" w:firstLine="564"/>
        <w:jc w:val="both"/>
        <w:rPr>
          <w:sz w:val="24"/>
        </w:rPr>
      </w:pPr>
      <w:r>
        <w:rPr>
          <w:w w:val="95"/>
          <w:sz w:val="24"/>
        </w:rPr>
        <w:t>（</w:t>
      </w:r>
      <w:r>
        <w:rPr>
          <w:spacing w:val="-23"/>
          <w:w w:val="95"/>
          <w:sz w:val="24"/>
        </w:rPr>
        <w:t> 六</w:t>
      </w:r>
      <w:r>
        <w:rPr>
          <w:w w:val="95"/>
          <w:sz w:val="24"/>
        </w:rPr>
        <w:t>）</w:t>
      </w:r>
      <w:r>
        <w:rPr>
          <w:spacing w:val="-9"/>
          <w:w w:val="95"/>
          <w:sz w:val="24"/>
        </w:rPr>
        <w:t> 第 </w:t>
      </w:r>
      <w:r>
        <w:rPr>
          <w:rFonts w:ascii="Times New Roman" w:eastAsia="Times New Roman"/>
          <w:w w:val="95"/>
          <w:sz w:val="30"/>
        </w:rPr>
        <w:t>41</w:t>
      </w:r>
      <w:r>
        <w:rPr>
          <w:rFonts w:ascii="Times New Roman" w:eastAsia="Times New Roman"/>
          <w:spacing w:val="21"/>
          <w:w w:val="95"/>
          <w:sz w:val="30"/>
        </w:rPr>
        <w:t> </w:t>
      </w:r>
      <w:r>
        <w:rPr>
          <w:spacing w:val="37"/>
          <w:w w:val="95"/>
          <w:sz w:val="24"/>
        </w:rPr>
        <w:t>頁丶第 </w:t>
      </w:r>
      <w:r>
        <w:rPr>
          <w:rFonts w:ascii="Times New Roman" w:eastAsia="Times New Roman"/>
          <w:w w:val="95"/>
          <w:sz w:val="30"/>
        </w:rPr>
        <w:t>43</w:t>
      </w:r>
      <w:r>
        <w:rPr>
          <w:rFonts w:ascii="Times New Roman" w:eastAsia="Times New Roman"/>
          <w:spacing w:val="20"/>
          <w:w w:val="95"/>
          <w:sz w:val="30"/>
        </w:rPr>
        <w:t> </w:t>
      </w:r>
      <w:r>
        <w:rPr>
          <w:spacing w:val="13"/>
          <w:w w:val="95"/>
          <w:sz w:val="24"/>
        </w:rPr>
        <w:t>頁第六章第一節 一及二標題部分 ， 均</w:t>
      </w:r>
      <w:r>
        <w:rPr>
          <w:sz w:val="24"/>
        </w:rPr>
        <w:t>使用「解析對比」之文字，其涵義為何？文字可以釐清或再思考。</w:t>
      </w:r>
    </w:p>
    <w:p>
      <w:pPr>
        <w:spacing w:line="379" w:lineRule="auto" w:before="0"/>
        <w:ind w:left="1276" w:right="500" w:firstLine="551"/>
        <w:jc w:val="both"/>
        <w:rPr>
          <w:sz w:val="24"/>
        </w:rPr>
      </w:pPr>
      <w:r>
        <w:rPr>
          <w:sz w:val="24"/>
        </w:rPr>
        <w:t>（</w:t>
      </w:r>
      <w:r>
        <w:rPr>
          <w:spacing w:val="-24"/>
          <w:sz w:val="24"/>
        </w:rPr>
        <w:t> 七</w:t>
      </w:r>
      <w:r>
        <w:rPr>
          <w:sz w:val="24"/>
        </w:rPr>
        <w:t>）</w:t>
      </w:r>
      <w:r>
        <w:rPr>
          <w:spacing w:val="-33"/>
          <w:sz w:val="24"/>
        </w:rPr>
        <w:t> 第 </w:t>
      </w:r>
      <w:r>
        <w:rPr>
          <w:rFonts w:ascii="Times New Roman" w:eastAsia="Times New Roman"/>
          <w:w w:val="95"/>
          <w:sz w:val="30"/>
        </w:rPr>
        <w:t>61</w:t>
      </w:r>
      <w:r>
        <w:rPr>
          <w:rFonts w:ascii="Times New Roman" w:eastAsia="Times New Roman"/>
          <w:spacing w:val="65"/>
          <w:w w:val="95"/>
          <w:sz w:val="30"/>
        </w:rPr>
        <w:t> </w:t>
      </w:r>
      <w:r>
        <w:rPr>
          <w:spacing w:val="6"/>
          <w:sz w:val="24"/>
        </w:rPr>
        <w:t>頁第八 章修 法建議部分 </w:t>
      </w:r>
      <w:r>
        <w:rPr>
          <w:spacing w:val="-34"/>
          <w:w w:val="95"/>
          <w:sz w:val="24"/>
        </w:rPr>
        <w:t>， </w:t>
      </w:r>
      <w:r>
        <w:rPr>
          <w:spacing w:val="17"/>
          <w:sz w:val="24"/>
        </w:rPr>
        <w:t>主要參考行政訴訟法之</w:t>
      </w:r>
      <w:r>
        <w:rPr>
          <w:w w:val="110"/>
          <w:sz w:val="24"/>
        </w:rPr>
        <w:t>架構，惟人事處分可提超爭訟之競爭者範圍，如能明確界定，就 </w:t>
      </w:r>
      <w:r>
        <w:rPr>
          <w:spacing w:val="35"/>
          <w:w w:val="110"/>
          <w:sz w:val="24"/>
        </w:rPr>
        <w:t> </w:t>
      </w:r>
      <w:r>
        <w:rPr>
          <w:w w:val="110"/>
          <w:sz w:val="24"/>
        </w:rPr>
        <w:t>可以璀定何者可以提超復審參加。</w:t>
      </w:r>
    </w:p>
    <w:p>
      <w:pPr>
        <w:spacing w:before="13"/>
        <w:ind w:left="871" w:right="0" w:firstLine="0"/>
        <w:jc w:val="left"/>
        <w:rPr>
          <w:sz w:val="24"/>
        </w:rPr>
      </w:pPr>
      <w:r>
        <w:rPr>
          <w:w w:val="110"/>
          <w:sz w:val="24"/>
        </w:rPr>
        <w:t>二、呂委員海嶠：</w:t>
      </w:r>
    </w:p>
    <w:p>
      <w:pPr>
        <w:spacing w:line="386" w:lineRule="auto" w:before="157"/>
        <w:ind w:left="1269" w:right="504" w:firstLine="558"/>
        <w:jc w:val="both"/>
        <w:rPr>
          <w:sz w:val="24"/>
        </w:rPr>
      </w:pPr>
      <w:r>
        <w:rPr>
          <w:w w:val="95"/>
          <w:sz w:val="24"/>
        </w:rPr>
        <w:t>（</w:t>
      </w:r>
      <w:r>
        <w:rPr>
          <w:spacing w:val="-16"/>
          <w:w w:val="95"/>
          <w:sz w:val="24"/>
        </w:rPr>
        <w:t> 一</w:t>
      </w:r>
      <w:r>
        <w:rPr>
          <w:w w:val="95"/>
          <w:sz w:val="24"/>
        </w:rPr>
        <w:t>）</w:t>
      </w:r>
      <w:r>
        <w:rPr>
          <w:spacing w:val="15"/>
          <w:w w:val="95"/>
          <w:sz w:val="24"/>
        </w:rPr>
        <w:t> 第 </w:t>
      </w:r>
      <w:r>
        <w:rPr>
          <w:rFonts w:ascii="Times New Roman" w:eastAsia="Times New Roman"/>
          <w:w w:val="95"/>
          <w:sz w:val="30"/>
        </w:rPr>
        <w:t>l</w:t>
      </w:r>
      <w:r>
        <w:rPr>
          <w:rFonts w:ascii="Times New Roman" w:eastAsia="Times New Roman"/>
          <w:spacing w:val="94"/>
          <w:sz w:val="30"/>
        </w:rPr>
        <w:t> </w:t>
      </w:r>
      <w:r>
        <w:rPr>
          <w:spacing w:val="29"/>
          <w:w w:val="95"/>
          <w:sz w:val="24"/>
        </w:rPr>
        <w:t>頁第一章第一節公務 人員保障法</w:t>
      </w:r>
      <w:r>
        <w:rPr>
          <w:spacing w:val="19"/>
          <w:w w:val="95"/>
          <w:sz w:val="24"/>
        </w:rPr>
        <w:t>（</w:t>
      </w:r>
      <w:r>
        <w:rPr>
          <w:spacing w:val="5"/>
          <w:w w:val="95"/>
          <w:sz w:val="24"/>
        </w:rPr>
        <w:t>以下簡稱 保 障</w:t>
      </w:r>
      <w:r>
        <w:rPr>
          <w:w w:val="110"/>
          <w:sz w:val="24"/>
        </w:rPr>
        <w:t>法）立法較訴願法遲，制定時對於復審參加制度未予規定，應係 </w:t>
      </w:r>
      <w:r>
        <w:rPr>
          <w:spacing w:val="38"/>
          <w:w w:val="110"/>
          <w:sz w:val="24"/>
        </w:rPr>
        <w:t> </w:t>
      </w:r>
      <w:r>
        <w:rPr>
          <w:w w:val="110"/>
          <w:sz w:val="24"/>
        </w:rPr>
        <w:t>立法者有意省略，建議於適噹部分增加立法過程之資料，究竟係 </w:t>
      </w:r>
      <w:r>
        <w:rPr>
          <w:spacing w:val="38"/>
          <w:w w:val="110"/>
          <w:sz w:val="24"/>
        </w:rPr>
        <w:t> </w:t>
      </w:r>
      <w:r>
        <w:rPr>
          <w:w w:val="110"/>
          <w:sz w:val="24"/>
        </w:rPr>
        <w:t>考試院擬訂該法草案時或立法院審查時曾討論過此問題，俾供決 </w:t>
      </w:r>
      <w:r>
        <w:rPr>
          <w:spacing w:val="38"/>
          <w:w w:val="110"/>
          <w:sz w:val="24"/>
        </w:rPr>
        <w:t> </w:t>
      </w:r>
      <w:r>
        <w:rPr>
          <w:w w:val="110"/>
          <w:sz w:val="24"/>
        </w:rPr>
        <w:t>策之參考。</w:t>
      </w:r>
    </w:p>
    <w:p>
      <w:pPr>
        <w:spacing w:line="308" w:lineRule="exact" w:before="0"/>
        <w:ind w:left="1828" w:right="0" w:firstLine="0"/>
        <w:jc w:val="both"/>
        <w:rPr>
          <w:sz w:val="24"/>
        </w:rPr>
      </w:pPr>
      <w:r>
        <w:rPr>
          <w:w w:val="95"/>
          <w:sz w:val="24"/>
        </w:rPr>
        <w:t>（</w:t>
      </w:r>
      <w:r>
        <w:rPr>
          <w:spacing w:val="-22"/>
          <w:w w:val="95"/>
          <w:sz w:val="24"/>
        </w:rPr>
        <w:t> 二</w:t>
      </w:r>
      <w:r>
        <w:rPr>
          <w:w w:val="95"/>
          <w:sz w:val="24"/>
        </w:rPr>
        <w:t>）</w:t>
      </w:r>
      <w:r>
        <w:rPr>
          <w:spacing w:val="-28"/>
          <w:w w:val="95"/>
          <w:sz w:val="24"/>
        </w:rPr>
        <w:t> 第 </w:t>
      </w:r>
      <w:r>
        <w:rPr>
          <w:rFonts w:ascii="Times New Roman" w:eastAsia="Times New Roman"/>
          <w:w w:val="95"/>
          <w:sz w:val="30"/>
        </w:rPr>
        <w:t>61</w:t>
      </w:r>
      <w:r>
        <w:rPr>
          <w:rFonts w:ascii="Times New Roman" w:eastAsia="Times New Roman"/>
          <w:spacing w:val="60"/>
          <w:w w:val="95"/>
          <w:sz w:val="30"/>
        </w:rPr>
        <w:t> </w:t>
      </w:r>
      <w:r>
        <w:rPr>
          <w:spacing w:val="1"/>
          <w:w w:val="95"/>
          <w:sz w:val="24"/>
        </w:rPr>
        <w:t>頁第八 章 第二 段提 到 ，在 立法程序尚未完成前 ，</w:t>
      </w:r>
    </w:p>
    <w:p>
      <w:pPr>
        <w:spacing w:line="386" w:lineRule="auto" w:before="192"/>
        <w:ind w:left="1268" w:right="515" w:firstLine="0"/>
        <w:jc w:val="left"/>
        <w:rPr>
          <w:sz w:val="24"/>
        </w:rPr>
      </w:pPr>
      <w:r>
        <w:rPr>
          <w:w w:val="115"/>
          <w:sz w:val="24"/>
        </w:rPr>
        <w:t>復審程序如有涉及第三人之權利或法律上利益，應類推適用行政訴訟法規定通知其參加復審，其立論基礎應予說明。</w:t>
      </w:r>
    </w:p>
    <w:p>
      <w:pPr>
        <w:spacing w:before="9"/>
        <w:ind w:left="875" w:right="0" w:firstLine="0"/>
        <w:jc w:val="left"/>
        <w:rPr>
          <w:sz w:val="24"/>
        </w:rPr>
      </w:pPr>
      <w:r>
        <w:rPr>
          <w:w w:val="95"/>
          <w:sz w:val="24"/>
        </w:rPr>
        <w:t>三、劉委員昊汁卟：</w:t>
      </w:r>
    </w:p>
    <w:p>
      <w:pPr>
        <w:spacing w:line="372" w:lineRule="auto" w:before="175"/>
        <w:ind w:left="1260" w:right="518" w:firstLine="567"/>
        <w:jc w:val="both"/>
        <w:rPr>
          <w:sz w:val="24"/>
        </w:rPr>
      </w:pPr>
      <w:r>
        <w:rPr>
          <w:w w:val="90"/>
          <w:sz w:val="24"/>
        </w:rPr>
        <w:t>（</w:t>
      </w:r>
      <w:r>
        <w:rPr>
          <w:spacing w:val="3"/>
          <w:w w:val="90"/>
          <w:sz w:val="24"/>
        </w:rPr>
        <w:t> 一</w:t>
      </w:r>
      <w:r>
        <w:rPr>
          <w:w w:val="90"/>
          <w:sz w:val="24"/>
        </w:rPr>
        <w:t>）</w:t>
      </w:r>
      <w:r>
        <w:rPr>
          <w:spacing w:val="-5"/>
          <w:w w:val="90"/>
          <w:sz w:val="24"/>
        </w:rPr>
        <w:t> 第 </w:t>
      </w:r>
      <w:r>
        <w:rPr>
          <w:rFonts w:ascii="Arial" w:eastAsia="Arial"/>
          <w:w w:val="90"/>
          <w:sz w:val="28"/>
        </w:rPr>
        <w:t>3</w:t>
      </w:r>
      <w:r>
        <w:rPr>
          <w:rFonts w:ascii="Arial" w:eastAsia="Arial"/>
          <w:spacing w:val="15"/>
          <w:w w:val="90"/>
          <w:sz w:val="28"/>
        </w:rPr>
        <w:t> </w:t>
      </w:r>
      <w:r>
        <w:rPr>
          <w:spacing w:val="11"/>
          <w:w w:val="90"/>
          <w:sz w:val="24"/>
        </w:rPr>
        <w:t>頁第二 章 第 </w:t>
      </w:r>
      <w:r>
        <w:rPr>
          <w:rFonts w:ascii="Arial" w:eastAsia="Arial"/>
          <w:w w:val="90"/>
          <w:sz w:val="28"/>
        </w:rPr>
        <w:t>6</w:t>
      </w:r>
      <w:r>
        <w:rPr>
          <w:rFonts w:ascii="Arial" w:eastAsia="Arial"/>
          <w:spacing w:val="48"/>
          <w:w w:val="90"/>
          <w:sz w:val="28"/>
        </w:rPr>
        <w:t> </w:t>
      </w:r>
      <w:r>
        <w:rPr>
          <w:spacing w:val="10"/>
          <w:w w:val="90"/>
          <w:sz w:val="24"/>
        </w:rPr>
        <w:t>行 以 下 提 到「保障事件」之範圍 ，</w:t>
      </w:r>
      <w:r>
        <w:rPr>
          <w:spacing w:val="-106"/>
          <w:w w:val="90"/>
          <w:sz w:val="24"/>
        </w:rPr>
        <w:t> </w:t>
      </w:r>
      <w:r>
        <w:rPr>
          <w:spacing w:val="6"/>
          <w:sz w:val="24"/>
        </w:rPr>
        <w:t>因研 究主題 限於復審事件 </w:t>
      </w:r>
      <w:r>
        <w:rPr>
          <w:spacing w:val="5"/>
          <w:w w:val="95"/>
          <w:sz w:val="24"/>
        </w:rPr>
        <w:t>，故「 </w:t>
      </w:r>
      <w:r>
        <w:rPr>
          <w:spacing w:val="3"/>
          <w:sz w:val="24"/>
        </w:rPr>
        <w:t>保障事件」應限於復審事件； 第 </w:t>
      </w:r>
      <w:r>
        <w:rPr>
          <w:rFonts w:ascii="Times New Roman" w:eastAsia="Times New Roman"/>
          <w:sz w:val="28"/>
        </w:rPr>
        <w:t>8</w:t>
      </w:r>
      <w:r>
        <w:rPr>
          <w:rFonts w:ascii="Times New Roman" w:eastAsia="Times New Roman"/>
          <w:spacing w:val="-68"/>
          <w:sz w:val="28"/>
        </w:rPr>
        <w:t> </w:t>
      </w:r>
      <w:r>
        <w:rPr>
          <w:sz w:val="24"/>
        </w:rPr>
        <w:t>行文字係撫「卹」而非撫「恤」。</w:t>
      </w:r>
    </w:p>
    <w:p>
      <w:pPr>
        <w:spacing w:line="379" w:lineRule="auto" w:before="0"/>
        <w:ind w:left="1264" w:right="519" w:firstLine="563"/>
        <w:jc w:val="both"/>
        <w:rPr>
          <w:sz w:val="24"/>
        </w:rPr>
      </w:pPr>
      <w:r>
        <w:rPr>
          <w:spacing w:val="21"/>
          <w:w w:val="90"/>
          <w:sz w:val="24"/>
        </w:rPr>
        <w:t>（</w:t>
      </w:r>
      <w:r>
        <w:rPr>
          <w:spacing w:val="25"/>
          <w:w w:val="90"/>
          <w:sz w:val="24"/>
        </w:rPr>
        <w:t>二</w:t>
      </w:r>
      <w:r>
        <w:rPr>
          <w:w w:val="90"/>
          <w:sz w:val="24"/>
        </w:rPr>
        <w:t>）</w:t>
      </w:r>
      <w:r>
        <w:rPr>
          <w:spacing w:val="-5"/>
          <w:w w:val="90"/>
          <w:sz w:val="24"/>
        </w:rPr>
        <w:t> 第 </w:t>
      </w:r>
      <w:r>
        <w:rPr>
          <w:rFonts w:ascii="Times New Roman" w:eastAsia="Times New Roman"/>
          <w:w w:val="90"/>
          <w:sz w:val="30"/>
        </w:rPr>
        <w:t>9</w:t>
      </w:r>
      <w:r>
        <w:rPr>
          <w:rFonts w:ascii="Times New Roman" w:eastAsia="Times New Roman"/>
          <w:spacing w:val="38"/>
          <w:w w:val="90"/>
          <w:sz w:val="30"/>
        </w:rPr>
        <w:t> </w:t>
      </w:r>
      <w:r>
        <w:rPr>
          <w:spacing w:val="17"/>
          <w:w w:val="90"/>
          <w:sz w:val="24"/>
        </w:rPr>
        <w:t>頁第三章第二 節 第一段提到 ，訴 願 參 加 制度有提</w:t>
      </w:r>
      <w:r>
        <w:rPr>
          <w:w w:val="110"/>
          <w:sz w:val="24"/>
        </w:rPr>
        <w:t>供第三人權利保護功能，及協助受理訴願機關厝泛調查事實之功 </w:t>
      </w:r>
      <w:r>
        <w:rPr>
          <w:spacing w:val="28"/>
          <w:w w:val="110"/>
          <w:sz w:val="24"/>
        </w:rPr>
        <w:t> </w:t>
      </w:r>
      <w:r>
        <w:rPr>
          <w:w w:val="110"/>
          <w:sz w:val="24"/>
        </w:rPr>
        <w:t>能，但未提及合併訴願案件訴願經濟之主要功能。</w:t>
      </w:r>
    </w:p>
    <w:p>
      <w:pPr>
        <w:spacing w:line="328" w:lineRule="exact" w:before="0"/>
        <w:ind w:left="1828" w:right="0" w:firstLine="0"/>
        <w:jc w:val="both"/>
        <w:rPr>
          <w:sz w:val="24"/>
        </w:rPr>
      </w:pPr>
      <w:r>
        <w:rPr>
          <w:spacing w:val="15"/>
          <w:w w:val="95"/>
          <w:sz w:val="24"/>
        </w:rPr>
        <w:t>（</w:t>
      </w:r>
      <w:r>
        <w:rPr>
          <w:spacing w:val="34"/>
          <w:w w:val="95"/>
          <w:sz w:val="24"/>
        </w:rPr>
        <w:t>三</w:t>
      </w:r>
      <w:r>
        <w:rPr>
          <w:w w:val="95"/>
          <w:sz w:val="24"/>
        </w:rPr>
        <w:t>）</w:t>
      </w:r>
      <w:r>
        <w:rPr>
          <w:spacing w:val="-16"/>
          <w:w w:val="95"/>
          <w:sz w:val="24"/>
        </w:rPr>
        <w:t> 第 </w:t>
      </w:r>
      <w:r>
        <w:rPr>
          <w:rFonts w:ascii="Times New Roman" w:eastAsia="Times New Roman"/>
          <w:w w:val="95"/>
          <w:sz w:val="30"/>
        </w:rPr>
        <w:t>55  </w:t>
      </w:r>
      <w:r>
        <w:rPr>
          <w:spacing w:val="4"/>
          <w:w w:val="95"/>
          <w:sz w:val="24"/>
        </w:rPr>
        <w:t>頁第七章 結論 、第 </w:t>
      </w:r>
      <w:r>
        <w:rPr>
          <w:rFonts w:ascii="Times New Roman" w:eastAsia="Times New Roman"/>
          <w:w w:val="95"/>
          <w:sz w:val="30"/>
        </w:rPr>
        <w:t>61</w:t>
      </w:r>
      <w:r>
        <w:rPr>
          <w:rFonts w:ascii="Times New Roman" w:eastAsia="Times New Roman"/>
          <w:spacing w:val="32"/>
          <w:w w:val="95"/>
          <w:sz w:val="30"/>
        </w:rPr>
        <w:t> </w:t>
      </w:r>
      <w:r>
        <w:rPr>
          <w:spacing w:val="8"/>
          <w:w w:val="95"/>
          <w:sz w:val="24"/>
        </w:rPr>
        <w:t>頁第八 章修 法建議部分 ，</w:t>
      </w:r>
    </w:p>
    <w:p>
      <w:pPr>
        <w:spacing w:line="362" w:lineRule="auto" w:before="184"/>
        <w:ind w:left="1264" w:right="483" w:firstLine="2"/>
        <w:jc w:val="both"/>
        <w:rPr>
          <w:sz w:val="24"/>
        </w:rPr>
      </w:pPr>
      <w:r>
        <w:rPr>
          <w:w w:val="105"/>
          <w:sz w:val="24"/>
        </w:rPr>
        <w:t>建議改為第七章結論及建議，第一節結論、第二節修法建議。第   </w:t>
      </w:r>
      <w:r>
        <w:rPr>
          <w:spacing w:val="122"/>
          <w:w w:val="105"/>
          <w:sz w:val="24"/>
        </w:rPr>
        <w:t> </w:t>
      </w:r>
      <w:r>
        <w:rPr>
          <w:rFonts w:ascii="Times New Roman" w:eastAsia="Times New Roman"/>
          <w:sz w:val="30"/>
        </w:rPr>
        <w:t>55</w:t>
      </w:r>
      <w:r>
        <w:rPr>
          <w:rFonts w:ascii="Times New Roman" w:eastAsia="Times New Roman"/>
          <w:spacing w:val="68"/>
          <w:sz w:val="30"/>
        </w:rPr>
        <w:t> </w:t>
      </w:r>
      <w:r>
        <w:rPr>
          <w:spacing w:val="27"/>
          <w:sz w:val="24"/>
        </w:rPr>
        <w:t>頁第七章結論雖以列點方式說明 </w:t>
      </w:r>
      <w:r>
        <w:rPr>
          <w:spacing w:val="-25"/>
          <w:w w:val="95"/>
          <w:sz w:val="24"/>
        </w:rPr>
        <w:t>， </w:t>
      </w:r>
      <w:r>
        <w:rPr>
          <w:spacing w:val="13"/>
          <w:sz w:val="24"/>
        </w:rPr>
        <w:t>惟應箸重於「 應否復審參加</w:t>
      </w:r>
      <w:r>
        <w:rPr>
          <w:spacing w:val="14"/>
          <w:sz w:val="24"/>
        </w:rPr>
        <w:t>制度」及「如何建構復審參加制度」</w:t>
      </w:r>
      <w:r>
        <w:rPr>
          <w:rFonts w:ascii="Times New Roman" w:eastAsia="Times New Roman"/>
          <w:w w:val="95"/>
          <w:sz w:val="30"/>
        </w:rPr>
        <w:t>2</w:t>
      </w:r>
      <w:r>
        <w:rPr>
          <w:rFonts w:ascii="Times New Roman" w:eastAsia="Times New Roman"/>
          <w:spacing w:val="37"/>
          <w:w w:val="95"/>
          <w:sz w:val="30"/>
        </w:rPr>
        <w:t> </w:t>
      </w:r>
      <w:r>
        <w:rPr>
          <w:spacing w:val="-3"/>
          <w:sz w:val="24"/>
        </w:rPr>
        <w:t>點 </w:t>
      </w:r>
      <w:r>
        <w:rPr>
          <w:spacing w:val="31"/>
          <w:w w:val="95"/>
          <w:sz w:val="24"/>
        </w:rPr>
        <w:t>，後 者 </w:t>
      </w:r>
      <w:r>
        <w:rPr>
          <w:spacing w:val="5"/>
          <w:sz w:val="24"/>
        </w:rPr>
        <w:t>包括 可提超爭訟之</w:t>
      </w:r>
      <w:r>
        <w:rPr>
          <w:w w:val="105"/>
          <w:sz w:val="24"/>
        </w:rPr>
        <w:t>競爭者範圍如何界定？結論時不宜論及德國法制之內容，似可刪    </w:t>
      </w:r>
      <w:r>
        <w:rPr>
          <w:spacing w:val="58"/>
          <w:w w:val="105"/>
          <w:sz w:val="24"/>
        </w:rPr>
        <w:t> </w:t>
      </w:r>
      <w:r>
        <w:rPr>
          <w:spacing w:val="7"/>
          <w:sz w:val="24"/>
        </w:rPr>
        <w:t>除；如要保留 </w:t>
      </w:r>
      <w:r>
        <w:rPr>
          <w:spacing w:val="-20"/>
          <w:w w:val="95"/>
          <w:sz w:val="24"/>
        </w:rPr>
        <w:t>， </w:t>
      </w:r>
      <w:r>
        <w:rPr>
          <w:spacing w:val="6"/>
          <w:sz w:val="24"/>
        </w:rPr>
        <w:t>第 </w:t>
      </w:r>
      <w:r>
        <w:rPr>
          <w:rFonts w:ascii="Arial" w:eastAsia="Arial"/>
          <w:w w:val="95"/>
          <w:sz w:val="28"/>
        </w:rPr>
        <w:t>57</w:t>
      </w:r>
      <w:r>
        <w:rPr>
          <w:rFonts w:ascii="Arial" w:eastAsia="Arial"/>
          <w:spacing w:val="13"/>
          <w:w w:val="95"/>
          <w:sz w:val="28"/>
        </w:rPr>
        <w:t> </w:t>
      </w:r>
      <w:r>
        <w:rPr>
          <w:spacing w:val="26"/>
          <w:sz w:val="24"/>
        </w:rPr>
        <w:t>頁第 </w:t>
      </w:r>
      <w:r>
        <w:rPr>
          <w:rFonts w:ascii="Arial" w:eastAsia="Arial"/>
          <w:w w:val="95"/>
          <w:sz w:val="28"/>
        </w:rPr>
        <w:t>2</w:t>
      </w:r>
      <w:r>
        <w:rPr>
          <w:rFonts w:ascii="Arial" w:eastAsia="Arial"/>
          <w:spacing w:val="36"/>
          <w:w w:val="95"/>
          <w:sz w:val="28"/>
        </w:rPr>
        <w:t> </w:t>
      </w:r>
      <w:r>
        <w:rPr>
          <w:spacing w:val="-7"/>
          <w:w w:val="95"/>
          <w:sz w:val="24"/>
        </w:rPr>
        <w:t>段 </w:t>
      </w:r>
      <w:r>
        <w:rPr>
          <w:spacing w:val="20"/>
          <w:sz w:val="24"/>
        </w:rPr>
        <w:t>聯邦憲法法院前宜增加「德國」。</w:t>
      </w:r>
    </w:p>
    <w:p>
      <w:pPr>
        <w:spacing w:after="0" w:line="362" w:lineRule="auto"/>
        <w:jc w:val="both"/>
        <w:rPr>
          <w:sz w:val="24"/>
        </w:rPr>
        <w:sectPr>
          <w:pgSz w:w="11910" w:h="16840"/>
          <w:pgMar w:header="862" w:footer="1017" w:top="1060" w:bottom="1200" w:left="1120" w:right="1060"/>
        </w:sectPr>
      </w:pPr>
    </w:p>
    <w:p>
      <w:pPr>
        <w:pStyle w:val="BodyText"/>
        <w:spacing w:before="9"/>
        <w:rPr>
          <w:sz w:val="29"/>
        </w:rPr>
      </w:pPr>
    </w:p>
    <w:p>
      <w:pPr>
        <w:pStyle w:val="BodyText"/>
        <w:spacing w:line="364" w:lineRule="auto" w:before="91"/>
        <w:ind w:left="1263" w:right="530" w:firstLine="28"/>
      </w:pPr>
      <w:r>
        <w:rPr>
          <w:spacing w:val="-5"/>
          <w:w w:val="95"/>
        </w:rPr>
        <w:t>第 </w:t>
      </w:r>
      <w:r>
        <w:rPr>
          <w:rFonts w:ascii="Arial" w:eastAsia="Arial"/>
          <w:w w:val="95"/>
          <w:sz w:val="28"/>
        </w:rPr>
        <w:t>58</w:t>
      </w:r>
      <w:r>
        <w:rPr>
          <w:rFonts w:ascii="Arial" w:eastAsia="Arial"/>
          <w:spacing w:val="55"/>
          <w:w w:val="95"/>
          <w:sz w:val="28"/>
        </w:rPr>
        <w:t> </w:t>
      </w:r>
      <w:r>
        <w:rPr>
          <w:spacing w:val="-15"/>
          <w:w w:val="95"/>
        </w:rPr>
        <w:t>頁 第 </w:t>
      </w:r>
      <w:r>
        <w:rPr>
          <w:rFonts w:ascii="Arial" w:eastAsia="Arial"/>
          <w:w w:val="95"/>
          <w:sz w:val="28"/>
        </w:rPr>
        <w:t>2</w:t>
      </w:r>
      <w:r>
        <w:rPr>
          <w:rFonts w:ascii="Arial" w:eastAsia="Arial"/>
          <w:spacing w:val="2"/>
          <w:w w:val="95"/>
          <w:sz w:val="28"/>
        </w:rPr>
        <w:t> </w:t>
      </w:r>
      <w:r>
        <w:rPr>
          <w:spacing w:val="-3"/>
          <w:w w:val="95"/>
        </w:rPr>
        <w:t>段 提 及 ， 在單一職務之競爭者爭訟中 ， 無論有無「基</w:t>
      </w:r>
      <w:r>
        <w:rPr>
          <w:w w:val="105"/>
        </w:rPr>
        <w:t>於預算法上之理由」，系爭公職均只能陞任一人，故可刪除或改為</w:t>
      </w:r>
    </w:p>
    <w:p>
      <w:pPr>
        <w:pStyle w:val="BodyText"/>
        <w:spacing w:before="25"/>
        <w:ind w:left="1380"/>
      </w:pPr>
      <w:r>
        <w:rPr>
          <w:w w:val="95"/>
        </w:rPr>
        <w:t>「基於預算法等理由」。</w:t>
      </w:r>
    </w:p>
    <w:p>
      <w:pPr>
        <w:pStyle w:val="BodyText"/>
        <w:spacing w:line="364" w:lineRule="auto" w:before="172"/>
        <w:ind w:left="865" w:right="2105" w:firstLine="956"/>
      </w:pPr>
      <w:r>
        <w:rPr>
          <w:w w:val="95"/>
        </w:rPr>
        <w:t>（</w:t>
      </w:r>
      <w:r>
        <w:rPr>
          <w:spacing w:val="-10"/>
          <w:w w:val="95"/>
        </w:rPr>
        <w:t> 四</w:t>
      </w:r>
      <w:r>
        <w:rPr>
          <w:w w:val="95"/>
        </w:rPr>
        <w:t>）</w:t>
      </w:r>
      <w:r>
        <w:rPr>
          <w:spacing w:val="-21"/>
          <w:w w:val="95"/>
        </w:rPr>
        <w:t> 第 </w:t>
      </w:r>
      <w:r>
        <w:rPr>
          <w:rFonts w:ascii="Arial" w:eastAsia="Arial"/>
          <w:w w:val="95"/>
          <w:sz w:val="28"/>
        </w:rPr>
        <w:t>65</w:t>
      </w:r>
      <w:r>
        <w:rPr>
          <w:rFonts w:ascii="Arial" w:eastAsia="Arial"/>
          <w:spacing w:val="70"/>
          <w:w w:val="95"/>
          <w:sz w:val="28"/>
        </w:rPr>
        <w:t> </w:t>
      </w:r>
      <w:r>
        <w:rPr>
          <w:w w:val="95"/>
        </w:rPr>
        <w:t>頁附論部分是否保 留 ， 可再斟酌 。</w:t>
      </w:r>
      <w:r>
        <w:rPr/>
        <w:t>四、邱委員華君：</w:t>
      </w:r>
    </w:p>
    <w:p>
      <w:pPr>
        <w:pStyle w:val="BodyText"/>
        <w:spacing w:line="374" w:lineRule="auto" w:before="24"/>
        <w:ind w:left="1264" w:right="494" w:firstLine="674"/>
        <w:jc w:val="both"/>
      </w:pPr>
      <w:r>
        <w:rPr/>
        <w:t>（一）第三章第四節丶第五章第四節「本章結語」，宜改為「小</w:t>
      </w:r>
      <w:r>
        <w:rPr>
          <w:spacing w:val="1"/>
        </w:rPr>
        <w:t> </w:t>
      </w:r>
      <w:r>
        <w:rPr>
          <w:w w:val="105"/>
        </w:rPr>
        <w:t>結」，又目錄部分不宜使用「：」，故後半部亦不需要；第四章標</w:t>
      </w:r>
      <w:r>
        <w:rPr>
          <w:spacing w:val="1"/>
          <w:w w:val="105"/>
        </w:rPr>
        <w:t> </w:t>
      </w:r>
      <w:r>
        <w:rPr>
          <w:w w:val="105"/>
        </w:rPr>
        <w:t>題宜改為「德國法上有關人事『行政』處分救濟相關問題之探討」；</w:t>
      </w:r>
      <w:r>
        <w:rPr>
          <w:spacing w:val="-129"/>
          <w:w w:val="105"/>
        </w:rPr>
        <w:t> </w:t>
      </w:r>
      <w:r>
        <w:rPr>
          <w:w w:val="110"/>
        </w:rPr>
        <w:t>第五章標題後半部「：消極競爭爭訟之合法性」宜刪除；第六章標題宜改為「公務員法『制』上復審參加制度之建構」。</w:t>
      </w:r>
    </w:p>
    <w:p>
      <w:pPr>
        <w:pStyle w:val="BodyText"/>
        <w:spacing w:line="326" w:lineRule="exact"/>
        <w:ind w:left="1822"/>
      </w:pPr>
      <w:r>
        <w:rPr>
          <w:spacing w:val="20"/>
          <w:w w:val="90"/>
        </w:rPr>
        <w:t>（</w:t>
      </w:r>
      <w:r>
        <w:rPr>
          <w:spacing w:val="16"/>
          <w:w w:val="90"/>
        </w:rPr>
        <w:t>二</w:t>
      </w:r>
      <w:r>
        <w:rPr>
          <w:spacing w:val="13"/>
          <w:w w:val="90"/>
        </w:rPr>
        <w:t>）</w:t>
      </w:r>
      <w:r>
        <w:rPr>
          <w:spacing w:val="18"/>
          <w:w w:val="90"/>
        </w:rPr>
        <w:t>第 </w:t>
      </w:r>
      <w:r>
        <w:rPr>
          <w:rFonts w:ascii="Times New Roman" w:eastAsia="Times New Roman"/>
          <w:w w:val="90"/>
          <w:sz w:val="30"/>
        </w:rPr>
        <w:t>2</w:t>
      </w:r>
      <w:r>
        <w:rPr>
          <w:rFonts w:ascii="Times New Roman" w:eastAsia="Times New Roman"/>
          <w:spacing w:val="13"/>
          <w:w w:val="90"/>
          <w:sz w:val="30"/>
        </w:rPr>
        <w:t> </w:t>
      </w:r>
      <w:r>
        <w:rPr>
          <w:spacing w:val="5"/>
          <w:w w:val="90"/>
        </w:rPr>
        <w:t>頁 第一 章第二節研 究範圍與 方法第 </w:t>
      </w:r>
      <w:r>
        <w:rPr>
          <w:rFonts w:ascii="Times New Roman" w:eastAsia="Times New Roman"/>
          <w:w w:val="90"/>
          <w:sz w:val="30"/>
        </w:rPr>
        <w:t>l</w:t>
      </w:r>
      <w:r>
        <w:rPr>
          <w:rFonts w:ascii="Times New Roman" w:eastAsia="Times New Roman"/>
          <w:spacing w:val="24"/>
          <w:w w:val="90"/>
          <w:sz w:val="30"/>
        </w:rPr>
        <w:t> </w:t>
      </w:r>
      <w:r>
        <w:rPr>
          <w:spacing w:val="-12"/>
          <w:w w:val="90"/>
        </w:rPr>
        <w:t>段 提 及 ，提</w:t>
      </w:r>
    </w:p>
    <w:p>
      <w:pPr>
        <w:pStyle w:val="BodyText"/>
        <w:spacing w:before="180"/>
        <w:ind w:left="1280"/>
      </w:pPr>
      <w:r>
        <w:rPr>
          <w:w w:val="105"/>
        </w:rPr>
        <w:t>出修法建議，以供「委辦機關」參考，應改為「委託硏究機關」。</w:t>
      </w:r>
    </w:p>
    <w:p>
      <w:pPr>
        <w:pStyle w:val="BodyText"/>
        <w:spacing w:line="357" w:lineRule="auto" w:before="154"/>
        <w:ind w:left="1263" w:right="537" w:firstLine="559"/>
      </w:pPr>
      <w:r>
        <w:rPr>
          <w:w w:val="90"/>
        </w:rPr>
        <w:t>（</w:t>
      </w:r>
      <w:r>
        <w:rPr>
          <w:spacing w:val="-25"/>
          <w:w w:val="90"/>
        </w:rPr>
        <w:t> 三</w:t>
      </w:r>
      <w:r>
        <w:rPr>
          <w:w w:val="90"/>
        </w:rPr>
        <w:t>）</w:t>
      </w:r>
      <w:r>
        <w:rPr>
          <w:spacing w:val="-18"/>
          <w:w w:val="90"/>
        </w:rPr>
        <w:t> 第 </w:t>
      </w:r>
      <w:r>
        <w:rPr>
          <w:rFonts w:ascii="Times New Roman" w:eastAsia="Times New Roman"/>
          <w:w w:val="90"/>
          <w:sz w:val="30"/>
        </w:rPr>
        <w:t>3</w:t>
      </w:r>
      <w:r>
        <w:rPr>
          <w:rFonts w:ascii="Times New Roman" w:eastAsia="Times New Roman"/>
          <w:spacing w:val="61"/>
          <w:w w:val="90"/>
          <w:sz w:val="30"/>
        </w:rPr>
        <w:t> </w:t>
      </w:r>
      <w:r>
        <w:rPr>
          <w:spacing w:val="6"/>
          <w:w w:val="90"/>
        </w:rPr>
        <w:t>頁 第二章提及保障法第 </w:t>
      </w:r>
      <w:r>
        <w:rPr>
          <w:rFonts w:ascii="Times New Roman" w:eastAsia="Times New Roman"/>
          <w:w w:val="90"/>
          <w:sz w:val="30"/>
        </w:rPr>
        <w:t>25</w:t>
      </w:r>
      <w:r>
        <w:rPr>
          <w:rFonts w:ascii="Times New Roman" w:eastAsia="Times New Roman"/>
          <w:spacing w:val="60"/>
          <w:sz w:val="30"/>
        </w:rPr>
        <w:t> </w:t>
      </w:r>
      <w:r>
        <w:rPr>
          <w:spacing w:val="30"/>
          <w:w w:val="90"/>
        </w:rPr>
        <w:t>條第 </w:t>
      </w:r>
      <w:r>
        <w:rPr>
          <w:rFonts w:ascii="Times New Roman" w:eastAsia="Times New Roman"/>
          <w:w w:val="90"/>
          <w:sz w:val="30"/>
        </w:rPr>
        <w:t>l</w:t>
      </w:r>
      <w:r>
        <w:rPr>
          <w:rFonts w:ascii="Times New Roman" w:eastAsia="Times New Roman"/>
          <w:spacing w:val="37"/>
          <w:w w:val="90"/>
          <w:sz w:val="30"/>
        </w:rPr>
        <w:t> </w:t>
      </w:r>
      <w:r>
        <w:rPr>
          <w:spacing w:val="11"/>
          <w:w w:val="90"/>
        </w:rPr>
        <w:t>項規定 ，「服 務</w:t>
      </w:r>
      <w:r>
        <w:rPr/>
        <w:t>機關」或「人事主管機關」所為之行政處分，後面全以人事機關    </w:t>
      </w:r>
      <w:r>
        <w:rPr>
          <w:spacing w:val="68"/>
        </w:rPr>
        <w:t> </w:t>
      </w:r>
      <w:r>
        <w:rPr>
          <w:spacing w:val="-16"/>
          <w:w w:val="95"/>
        </w:rPr>
        <w:t>稱之 ， 應作區隔 ， 避免混 淆</w:t>
      </w:r>
      <w:r>
        <w:rPr>
          <w:w w:val="95"/>
        </w:rPr>
        <w:t>（</w:t>
      </w:r>
      <w:r>
        <w:rPr>
          <w:spacing w:val="-10"/>
          <w:w w:val="95"/>
        </w:rPr>
        <w:t> 例如第 </w:t>
      </w:r>
      <w:r>
        <w:rPr>
          <w:rFonts w:ascii="Times New Roman" w:eastAsia="Times New Roman"/>
          <w:w w:val="95"/>
          <w:sz w:val="30"/>
        </w:rPr>
        <w:t>18</w:t>
      </w:r>
      <w:r>
        <w:rPr>
          <w:rFonts w:ascii="Times New Roman" w:eastAsia="Times New Roman"/>
          <w:spacing w:val="21"/>
          <w:w w:val="95"/>
          <w:sz w:val="30"/>
        </w:rPr>
        <w:t> </w:t>
      </w:r>
      <w:r>
        <w:rPr>
          <w:spacing w:val="-4"/>
          <w:w w:val="95"/>
        </w:rPr>
        <w:t>頁 、第 </w:t>
      </w:r>
      <w:r>
        <w:rPr>
          <w:rFonts w:ascii="Times New Roman" w:eastAsia="Times New Roman"/>
          <w:w w:val="95"/>
          <w:sz w:val="30"/>
        </w:rPr>
        <w:t>30</w:t>
      </w:r>
      <w:r>
        <w:rPr>
          <w:rFonts w:ascii="Times New Roman" w:eastAsia="Times New Roman"/>
          <w:spacing w:val="41"/>
          <w:w w:val="95"/>
          <w:sz w:val="30"/>
        </w:rPr>
        <w:t> </w:t>
      </w:r>
      <w:r>
        <w:rPr>
          <w:spacing w:val="-33"/>
          <w:w w:val="95"/>
        </w:rPr>
        <w:t>頁 </w:t>
      </w:r>
      <w:r>
        <w:rPr>
          <w:w w:val="95"/>
        </w:rPr>
        <w:t>）。</w:t>
      </w:r>
    </w:p>
    <w:p>
      <w:pPr>
        <w:pStyle w:val="BodyText"/>
        <w:spacing w:line="374" w:lineRule="auto"/>
        <w:ind w:left="1273" w:right="529" w:firstLine="548"/>
        <w:jc w:val="both"/>
      </w:pPr>
      <w:r>
        <w:rPr>
          <w:w w:val="85"/>
        </w:rPr>
        <w:t>（</w:t>
      </w:r>
      <w:r>
        <w:rPr>
          <w:spacing w:val="-16"/>
          <w:w w:val="85"/>
        </w:rPr>
        <w:t> 四 </w:t>
      </w:r>
      <w:r>
        <w:rPr>
          <w:w w:val="85"/>
        </w:rPr>
        <w:t>）</w:t>
      </w:r>
      <w:r>
        <w:rPr>
          <w:spacing w:val="29"/>
          <w:w w:val="85"/>
        </w:rPr>
        <w:t>第 </w:t>
      </w:r>
      <w:r>
        <w:rPr>
          <w:rFonts w:ascii="Times New Roman" w:eastAsia="Times New Roman"/>
          <w:w w:val="85"/>
          <w:sz w:val="28"/>
        </w:rPr>
        <w:t>53</w:t>
      </w:r>
      <w:r>
        <w:rPr>
          <w:rFonts w:ascii="Times New Roman" w:eastAsia="Times New Roman"/>
          <w:spacing w:val="56"/>
          <w:w w:val="85"/>
          <w:sz w:val="28"/>
        </w:rPr>
        <w:t> </w:t>
      </w:r>
      <w:r>
        <w:rPr>
          <w:spacing w:val="1"/>
          <w:w w:val="85"/>
        </w:rPr>
        <w:t>頁 第六章 第四節 第 </w:t>
      </w:r>
      <w:r>
        <w:rPr>
          <w:rFonts w:ascii="Times New Roman" w:eastAsia="Times New Roman"/>
          <w:w w:val="85"/>
          <w:sz w:val="28"/>
        </w:rPr>
        <w:t>l</w:t>
      </w:r>
      <w:r>
        <w:rPr>
          <w:rFonts w:ascii="Times New Roman" w:eastAsia="Times New Roman"/>
          <w:spacing w:val="21"/>
          <w:w w:val="85"/>
          <w:sz w:val="28"/>
        </w:rPr>
        <w:t> </w:t>
      </w:r>
      <w:r>
        <w:rPr>
          <w:spacing w:val="4"/>
          <w:w w:val="85"/>
        </w:rPr>
        <w:t>段 提 及 ，複 數 職 缺為競爭之</w:t>
      </w:r>
      <w:r>
        <w:rPr>
          <w:w w:val="105"/>
        </w:rPr>
        <w:t>對象，例如警察陞遷及統一調動事件，其中警察陞遷為內陞、統 </w:t>
      </w:r>
      <w:r>
        <w:rPr>
          <w:spacing w:val="54"/>
          <w:w w:val="105"/>
        </w:rPr>
        <w:t> </w:t>
      </w:r>
      <w:r>
        <w:rPr>
          <w:w w:val="105"/>
        </w:rPr>
        <w:t>一調動為外補，定義上宜更加清楚。</w:t>
      </w:r>
    </w:p>
    <w:p>
      <w:pPr>
        <w:pStyle w:val="BodyText"/>
        <w:spacing w:line="324" w:lineRule="exact"/>
        <w:ind w:left="1822"/>
      </w:pPr>
      <w:r>
        <w:rPr>
          <w:spacing w:val="13"/>
        </w:rPr>
        <w:t>（</w:t>
      </w:r>
      <w:r>
        <w:rPr>
          <w:spacing w:val="23"/>
        </w:rPr>
        <w:t>五</w:t>
      </w:r>
      <w:r>
        <w:rPr/>
        <w:t>）</w:t>
      </w:r>
      <w:r>
        <w:rPr>
          <w:spacing w:val="-4"/>
        </w:rPr>
        <w:t>第 </w:t>
      </w:r>
      <w:r>
        <w:rPr>
          <w:rFonts w:ascii="Times New Roman" w:eastAsia="Times New Roman"/>
          <w:w w:val="95"/>
          <w:sz w:val="31"/>
        </w:rPr>
        <w:t>61</w:t>
      </w:r>
      <w:r>
        <w:rPr>
          <w:rFonts w:ascii="Times New Roman" w:eastAsia="Times New Roman"/>
          <w:spacing w:val="73"/>
          <w:w w:val="95"/>
          <w:sz w:val="31"/>
        </w:rPr>
        <w:t> </w:t>
      </w:r>
      <w:r>
        <w:rPr>
          <w:spacing w:val="-7"/>
        </w:rPr>
        <w:t>頁 第八 章修法建議 </w:t>
      </w:r>
      <w:r>
        <w:rPr>
          <w:spacing w:val="17"/>
          <w:w w:val="95"/>
        </w:rPr>
        <w:t>，</w:t>
      </w:r>
      <w:r>
        <w:rPr>
          <w:spacing w:val="11"/>
        </w:rPr>
        <w:t>保障法部分條文修正總說明</w:t>
      </w:r>
    </w:p>
    <w:p>
      <w:pPr>
        <w:pStyle w:val="BodyText"/>
        <w:spacing w:line="360" w:lineRule="auto" w:before="137"/>
        <w:ind w:left="1272" w:right="418" w:firstLine="6"/>
      </w:pPr>
      <w:r>
        <w:rPr>
          <w:spacing w:val="-1"/>
        </w:rPr>
        <w:t>壹 、修正緣由第 </w:t>
      </w:r>
      <w:r>
        <w:rPr>
          <w:rFonts w:ascii="Times New Roman" w:eastAsia="Times New Roman"/>
          <w:w w:val="90"/>
          <w:sz w:val="31"/>
        </w:rPr>
        <w:t>2</w:t>
      </w:r>
      <w:r>
        <w:rPr>
          <w:rFonts w:ascii="Times New Roman" w:eastAsia="Times New Roman"/>
          <w:spacing w:val="9"/>
          <w:w w:val="90"/>
          <w:sz w:val="31"/>
        </w:rPr>
        <w:t> </w:t>
      </w:r>
      <w:r>
        <w:rPr>
          <w:spacing w:val="-13"/>
          <w:w w:val="90"/>
        </w:rPr>
        <w:t>段 </w:t>
      </w:r>
      <w:r>
        <w:rPr>
          <w:spacing w:val="-3"/>
        </w:rPr>
        <w:t>部分 </w:t>
      </w:r>
      <w:r>
        <w:rPr>
          <w:spacing w:val="-32"/>
          <w:w w:val="90"/>
        </w:rPr>
        <w:t>， </w:t>
      </w:r>
      <w:r>
        <w:rPr/>
        <w:t>宜改為爰參 酌行 政訴訟法「及訴願法」有關訴訟參加之相關規定，增訂保障法復審參加相關規定之條文。</w:t>
      </w:r>
    </w:p>
    <w:p>
      <w:pPr>
        <w:pStyle w:val="BodyText"/>
        <w:spacing w:line="369" w:lineRule="auto" w:before="13"/>
        <w:ind w:left="870" w:right="1598" w:firstLine="951"/>
      </w:pPr>
      <w:r>
        <w:rPr>
          <w:w w:val="95"/>
        </w:rPr>
        <w:t>（</w:t>
      </w:r>
      <w:r>
        <w:rPr>
          <w:spacing w:val="-24"/>
          <w:w w:val="95"/>
        </w:rPr>
        <w:t> 六</w:t>
      </w:r>
      <w:r>
        <w:rPr>
          <w:w w:val="95"/>
        </w:rPr>
        <w:t>）</w:t>
      </w:r>
      <w:r>
        <w:rPr>
          <w:spacing w:val="-22"/>
          <w:w w:val="95"/>
        </w:rPr>
        <w:t> 第 </w:t>
      </w:r>
      <w:r>
        <w:rPr>
          <w:rFonts w:ascii="Arial" w:eastAsia="Arial"/>
          <w:w w:val="95"/>
          <w:sz w:val="28"/>
        </w:rPr>
        <w:t>65</w:t>
      </w:r>
      <w:r>
        <w:rPr>
          <w:rFonts w:ascii="Arial" w:eastAsia="Arial"/>
          <w:spacing w:val="67"/>
          <w:w w:val="95"/>
          <w:sz w:val="28"/>
        </w:rPr>
        <w:t> </w:t>
      </w:r>
      <w:r>
        <w:rPr>
          <w:w w:val="95"/>
        </w:rPr>
        <w:t>頁「 附論」部分 ，建 議改為「 附錄」。</w:t>
      </w:r>
      <w:r>
        <w:rPr/>
        <w:t>五、李處長俊生：</w:t>
      </w:r>
    </w:p>
    <w:p>
      <w:pPr>
        <w:spacing w:line="332" w:lineRule="exact" w:before="0"/>
        <w:ind w:left="939" w:right="0" w:firstLine="0"/>
        <w:jc w:val="both"/>
        <w:rPr>
          <w:sz w:val="25"/>
        </w:rPr>
      </w:pPr>
      <w:r>
        <w:rPr>
          <w:spacing w:val="6"/>
          <w:w w:val="95"/>
          <w:sz w:val="25"/>
        </w:rPr>
        <w:t>依本委託硏究合約書二 、三規定 ，本研 究期間自 </w:t>
      </w:r>
      <w:r>
        <w:rPr>
          <w:rFonts w:ascii="Times New Roman" w:eastAsia="Times New Roman"/>
          <w:w w:val="95"/>
          <w:sz w:val="31"/>
        </w:rPr>
        <w:t>99</w:t>
      </w:r>
      <w:r>
        <w:rPr>
          <w:rFonts w:ascii="Times New Roman" w:eastAsia="Times New Roman"/>
          <w:spacing w:val="59"/>
          <w:w w:val="95"/>
          <w:sz w:val="31"/>
        </w:rPr>
        <w:t> </w:t>
      </w:r>
      <w:r>
        <w:rPr>
          <w:spacing w:val="-7"/>
          <w:w w:val="95"/>
          <w:sz w:val="24"/>
        </w:rPr>
        <w:t>年 </w:t>
      </w:r>
      <w:r>
        <w:rPr>
          <w:rFonts w:ascii="Times New Roman" w:eastAsia="Times New Roman"/>
          <w:w w:val="95"/>
          <w:sz w:val="31"/>
        </w:rPr>
        <w:t>4</w:t>
      </w:r>
      <w:r>
        <w:rPr>
          <w:rFonts w:ascii="Times New Roman" w:eastAsia="Times New Roman"/>
          <w:spacing w:val="49"/>
          <w:w w:val="95"/>
          <w:sz w:val="31"/>
        </w:rPr>
        <w:t> </w:t>
      </w:r>
      <w:r>
        <w:rPr>
          <w:spacing w:val="8"/>
          <w:w w:val="95"/>
          <w:sz w:val="25"/>
        </w:rPr>
        <w:t>月 </w:t>
      </w:r>
      <w:r>
        <w:rPr>
          <w:rFonts w:ascii="Times New Roman" w:eastAsia="Times New Roman"/>
          <w:w w:val="95"/>
          <w:sz w:val="31"/>
        </w:rPr>
        <w:t>23</w:t>
      </w:r>
      <w:r>
        <w:rPr>
          <w:rFonts w:ascii="Times New Roman" w:eastAsia="Times New Roman"/>
          <w:spacing w:val="26"/>
          <w:w w:val="95"/>
          <w:sz w:val="31"/>
        </w:rPr>
        <w:t> </w:t>
      </w:r>
      <w:r>
        <w:rPr>
          <w:spacing w:val="-19"/>
          <w:w w:val="95"/>
          <w:sz w:val="25"/>
        </w:rPr>
        <w:t>日 至</w:t>
      </w:r>
    </w:p>
    <w:p>
      <w:pPr>
        <w:spacing w:line="340" w:lineRule="auto" w:before="145"/>
        <w:ind w:left="949" w:right="550" w:hanging="1"/>
        <w:jc w:val="both"/>
        <w:rPr>
          <w:sz w:val="26"/>
        </w:rPr>
      </w:pPr>
      <w:r>
        <w:rPr>
          <w:rFonts w:ascii="Times New Roman" w:eastAsia="Times New Roman"/>
          <w:w w:val="90"/>
          <w:sz w:val="31"/>
        </w:rPr>
        <w:t>99</w:t>
      </w:r>
      <w:r>
        <w:rPr>
          <w:rFonts w:ascii="Times New Roman" w:eastAsia="Times New Roman"/>
          <w:spacing w:val="48"/>
          <w:w w:val="90"/>
          <w:sz w:val="31"/>
        </w:rPr>
        <w:t> </w:t>
      </w:r>
      <w:r>
        <w:rPr>
          <w:spacing w:val="-19"/>
          <w:w w:val="90"/>
          <w:sz w:val="24"/>
        </w:rPr>
        <w:t>年 </w:t>
      </w:r>
      <w:r>
        <w:rPr>
          <w:rFonts w:ascii="Times New Roman" w:eastAsia="Times New Roman"/>
          <w:w w:val="90"/>
          <w:sz w:val="31"/>
        </w:rPr>
        <w:t>10</w:t>
      </w:r>
      <w:r>
        <w:rPr>
          <w:rFonts w:ascii="Times New Roman" w:eastAsia="Times New Roman"/>
          <w:spacing w:val="30"/>
          <w:w w:val="90"/>
          <w:sz w:val="31"/>
        </w:rPr>
        <w:t> </w:t>
      </w:r>
      <w:r>
        <w:rPr>
          <w:spacing w:val="4"/>
          <w:w w:val="90"/>
          <w:sz w:val="25"/>
        </w:rPr>
        <w:t>月 </w:t>
      </w:r>
      <w:r>
        <w:rPr>
          <w:rFonts w:ascii="Times New Roman" w:eastAsia="Times New Roman"/>
          <w:w w:val="90"/>
          <w:sz w:val="31"/>
        </w:rPr>
        <w:t>22</w:t>
      </w:r>
      <w:r>
        <w:rPr>
          <w:rFonts w:ascii="Times New Roman" w:eastAsia="Times New Roman"/>
          <w:spacing w:val="58"/>
          <w:w w:val="90"/>
          <w:sz w:val="31"/>
        </w:rPr>
        <w:t> </w:t>
      </w:r>
      <w:r>
        <w:rPr>
          <w:spacing w:val="-16"/>
          <w:w w:val="90"/>
          <w:sz w:val="25"/>
        </w:rPr>
        <w:t>日 止 ， 共計 </w:t>
      </w:r>
      <w:r>
        <w:rPr>
          <w:rFonts w:ascii="Times New Roman" w:eastAsia="Times New Roman"/>
          <w:w w:val="90"/>
          <w:sz w:val="31"/>
        </w:rPr>
        <w:t>6</w:t>
      </w:r>
      <w:r>
        <w:rPr>
          <w:rFonts w:ascii="Times New Roman" w:eastAsia="Times New Roman"/>
          <w:spacing w:val="14"/>
          <w:w w:val="90"/>
          <w:sz w:val="31"/>
        </w:rPr>
        <w:t> </w:t>
      </w:r>
      <w:r>
        <w:rPr>
          <w:spacing w:val="2"/>
          <w:w w:val="90"/>
          <w:sz w:val="25"/>
        </w:rPr>
        <w:t>個月 。故研 究團隊須於 </w:t>
      </w:r>
      <w:r>
        <w:rPr>
          <w:rFonts w:ascii="Times New Roman" w:eastAsia="Times New Roman"/>
          <w:w w:val="90"/>
          <w:sz w:val="31"/>
        </w:rPr>
        <w:t>99</w:t>
      </w:r>
      <w:r>
        <w:rPr>
          <w:rFonts w:ascii="Times New Roman" w:eastAsia="Times New Roman"/>
          <w:spacing w:val="49"/>
          <w:w w:val="90"/>
          <w:sz w:val="31"/>
        </w:rPr>
        <w:t> </w:t>
      </w:r>
      <w:r>
        <w:rPr>
          <w:spacing w:val="-19"/>
          <w:w w:val="90"/>
          <w:sz w:val="24"/>
        </w:rPr>
        <w:t>年 </w:t>
      </w:r>
      <w:r>
        <w:rPr>
          <w:rFonts w:ascii="Times New Roman" w:eastAsia="Times New Roman"/>
          <w:w w:val="90"/>
          <w:sz w:val="31"/>
        </w:rPr>
        <w:t>10</w:t>
      </w:r>
      <w:r>
        <w:rPr>
          <w:rFonts w:ascii="Times New Roman" w:eastAsia="Times New Roman"/>
          <w:spacing w:val="24"/>
          <w:w w:val="90"/>
          <w:sz w:val="31"/>
        </w:rPr>
        <w:t> </w:t>
      </w:r>
      <w:r>
        <w:rPr>
          <w:spacing w:val="4"/>
          <w:w w:val="90"/>
          <w:sz w:val="25"/>
        </w:rPr>
        <w:t>月 </w:t>
      </w:r>
      <w:r>
        <w:rPr>
          <w:rFonts w:ascii="Times New Roman" w:eastAsia="Times New Roman"/>
          <w:w w:val="90"/>
          <w:sz w:val="31"/>
        </w:rPr>
        <w:t>22</w:t>
      </w:r>
      <w:r>
        <w:rPr>
          <w:rFonts w:ascii="Times New Roman" w:eastAsia="Times New Roman"/>
          <w:spacing w:val="58"/>
          <w:w w:val="90"/>
          <w:sz w:val="31"/>
        </w:rPr>
        <w:t> </w:t>
      </w:r>
      <w:r>
        <w:rPr>
          <w:w w:val="90"/>
          <w:sz w:val="25"/>
        </w:rPr>
        <w:t>日</w:t>
      </w:r>
      <w:r>
        <w:rPr>
          <w:spacing w:val="16"/>
          <w:sz w:val="25"/>
        </w:rPr>
        <w:t>前提出完整之期末報告 </w:t>
      </w:r>
      <w:r>
        <w:rPr>
          <w:rFonts w:ascii="Times New Roman" w:eastAsia="Times New Roman"/>
          <w:sz w:val="31"/>
        </w:rPr>
        <w:t>120</w:t>
      </w:r>
      <w:r>
        <w:rPr>
          <w:rFonts w:ascii="Times New Roman" w:eastAsia="Times New Roman"/>
          <w:spacing w:val="54"/>
          <w:sz w:val="31"/>
        </w:rPr>
        <w:t> </w:t>
      </w:r>
      <w:r>
        <w:rPr>
          <w:spacing w:val="-4"/>
          <w:sz w:val="25"/>
        </w:rPr>
        <w:t>本 。如有展 期之必要 ， 請先向承辦單位</w:t>
      </w:r>
      <w:r>
        <w:rPr>
          <w:sz w:val="26"/>
        </w:rPr>
        <w:t>連絡。</w:t>
      </w:r>
    </w:p>
    <w:p>
      <w:pPr>
        <w:spacing w:after="0" w:line="340" w:lineRule="auto"/>
        <w:jc w:val="both"/>
        <w:rPr>
          <w:sz w:val="26"/>
        </w:rPr>
        <w:sectPr>
          <w:pgSz w:w="11910" w:h="16840"/>
          <w:pgMar w:header="862" w:footer="1017" w:top="1060" w:bottom="1200" w:left="1120" w:right="1060"/>
        </w:sectPr>
      </w:pPr>
    </w:p>
    <w:p>
      <w:pPr>
        <w:pStyle w:val="BodyText"/>
        <w:rPr>
          <w:sz w:val="20"/>
        </w:rPr>
      </w:pPr>
    </w:p>
    <w:p>
      <w:pPr>
        <w:pStyle w:val="BodyText"/>
        <w:spacing w:before="10"/>
        <w:rPr>
          <w:sz w:val="17"/>
        </w:rPr>
      </w:pPr>
    </w:p>
    <w:p>
      <w:pPr>
        <w:pStyle w:val="BodyText"/>
        <w:ind w:left="312"/>
      </w:pPr>
      <w:r>
        <w:rPr>
          <w:w w:val="105"/>
        </w:rPr>
        <w:t>參、研究團隊回愿：</w:t>
      </w:r>
    </w:p>
    <w:p>
      <w:pPr>
        <w:pStyle w:val="BodyText"/>
        <w:spacing w:line="357" w:lineRule="auto" w:before="180"/>
        <w:ind w:left="1264" w:right="518" w:firstLine="674"/>
      </w:pPr>
      <w:r>
        <w:rPr/>
        <w:t>（一）有關各位委員及處長的建議，本研究圍隊敬表接受，   </w:t>
      </w:r>
      <w:r>
        <w:rPr>
          <w:spacing w:val="25"/>
        </w:rPr>
        <w:t> </w:t>
      </w:r>
      <w:r>
        <w:rPr>
          <w:spacing w:val="7"/>
        </w:rPr>
        <w:t>並於定稿前作回應及修正。惟於</w:t>
      </w:r>
      <w:r>
        <w:rPr>
          <w:rFonts w:ascii="Times New Roman" w:eastAsia="Times New Roman"/>
          <w:sz w:val="30"/>
        </w:rPr>
        <w:t>99</w:t>
      </w:r>
      <w:r>
        <w:rPr>
          <w:rFonts w:ascii="Times New Roman" w:eastAsia="Times New Roman"/>
          <w:spacing w:val="68"/>
          <w:sz w:val="30"/>
        </w:rPr>
        <w:t> </w:t>
      </w:r>
      <w:r>
        <w:rPr>
          <w:spacing w:val="-20"/>
          <w:sz w:val="24"/>
        </w:rPr>
        <w:t>年 </w:t>
      </w:r>
      <w:r>
        <w:rPr>
          <w:rFonts w:ascii="Times New Roman" w:eastAsia="Times New Roman"/>
          <w:sz w:val="30"/>
        </w:rPr>
        <w:t>10</w:t>
      </w:r>
      <w:r>
        <w:rPr>
          <w:rFonts w:ascii="Times New Roman" w:eastAsia="Times New Roman"/>
          <w:spacing w:val="60"/>
          <w:sz w:val="30"/>
        </w:rPr>
        <w:t> </w:t>
      </w:r>
      <w:r>
        <w:rPr>
          <w:spacing w:val="8"/>
        </w:rPr>
        <w:t>月 </w:t>
      </w:r>
      <w:r>
        <w:rPr>
          <w:rFonts w:ascii="Times New Roman" w:eastAsia="Times New Roman"/>
          <w:sz w:val="30"/>
        </w:rPr>
        <w:t>22</w:t>
      </w:r>
      <w:r>
        <w:rPr>
          <w:rFonts w:ascii="Times New Roman" w:eastAsia="Times New Roman"/>
          <w:spacing w:val="73"/>
          <w:sz w:val="30"/>
        </w:rPr>
        <w:t> </w:t>
      </w:r>
      <w:r>
        <w:rPr>
          <w:spacing w:val="12"/>
        </w:rPr>
        <w:t>日 前提出完整期末</w:t>
      </w:r>
      <w:r>
        <w:rPr/>
        <w:t>報告似有困難，應有展期之必要，請主席裁示。</w:t>
      </w:r>
    </w:p>
    <w:p>
      <w:pPr>
        <w:pStyle w:val="BodyText"/>
        <w:spacing w:line="367" w:lineRule="auto" w:before="25"/>
        <w:ind w:left="1271" w:right="494" w:firstLine="667"/>
      </w:pPr>
      <w:r>
        <w:rPr>
          <w:w w:val="110"/>
        </w:rPr>
        <w:t>（二）就復審參加未類比訴願制度之理由部分，將參照陳委員意見作修正；德國行政程序法上參加制度相關案例將再作加</w:t>
      </w:r>
      <w:r>
        <w:rPr>
          <w:spacing w:val="128"/>
          <w:w w:val="110"/>
        </w:rPr>
        <w:t> </w:t>
      </w:r>
      <w:r>
        <w:rPr>
          <w:w w:val="110"/>
        </w:rPr>
        <w:t>強；可提超爭訟之競爭者範圍如何界定，將參考我國陞遷程序，</w:t>
      </w:r>
      <w:r>
        <w:rPr>
          <w:spacing w:val="1"/>
          <w:w w:val="110"/>
        </w:rPr>
        <w:t> </w:t>
      </w:r>
      <w:r>
        <w:rPr>
          <w:spacing w:val="-7"/>
        </w:rPr>
        <w:t>再作補充； 第 </w:t>
      </w:r>
      <w:r>
        <w:rPr>
          <w:rFonts w:ascii="Times New Roman" w:eastAsia="Times New Roman"/>
          <w:sz w:val="30"/>
        </w:rPr>
        <w:t>35</w:t>
      </w:r>
      <w:r>
        <w:rPr>
          <w:rFonts w:ascii="Times New Roman" w:eastAsia="Times New Roman"/>
          <w:spacing w:val="17"/>
          <w:sz w:val="30"/>
        </w:rPr>
        <w:t> </w:t>
      </w:r>
      <w:r>
        <w:rPr>
          <w:spacing w:val="1"/>
        </w:rPr>
        <w:t>頁將 增加引述行政法院之裁判 。</w:t>
      </w:r>
    </w:p>
    <w:p>
      <w:pPr>
        <w:pStyle w:val="BodyText"/>
        <w:spacing w:line="374" w:lineRule="auto"/>
        <w:ind w:left="1263" w:right="478" w:firstLine="675"/>
      </w:pPr>
      <w:r>
        <w:rPr>
          <w:w w:val="110"/>
        </w:rPr>
        <w:t>（三）就保障法立法過程之資料，將蒐集補充；在立法程序</w:t>
      </w:r>
      <w:r>
        <w:rPr>
          <w:w w:val="115"/>
        </w:rPr>
        <w:t>尚未完成前，復審程序是否類推適用行政訴訟法規定之訴訟參加，會從憲法上有效權利保護之要求加強說明。</w:t>
      </w:r>
    </w:p>
    <w:p>
      <w:pPr>
        <w:pStyle w:val="BodyText"/>
        <w:spacing w:line="379" w:lineRule="auto" w:before="5"/>
        <w:ind w:left="324" w:right="2377" w:firstLine="1614"/>
      </w:pPr>
      <w:r>
        <w:rPr>
          <w:w w:val="105"/>
        </w:rPr>
        <w:t>（四）日本法部分，將以「附錄」方式為之。</w:t>
      </w:r>
      <w:r>
        <w:rPr>
          <w:w w:val="110"/>
        </w:rPr>
        <w:t>主席：李副主任委員暠賢</w:t>
      </w:r>
    </w:p>
    <w:p>
      <w:pPr>
        <w:pStyle w:val="BodyText"/>
        <w:spacing w:line="312" w:lineRule="exact"/>
        <w:ind w:left="1939"/>
      </w:pPr>
      <w:r>
        <w:rPr>
          <w:w w:val="105"/>
        </w:rPr>
        <w:t>（一）本案期末報告審查通過。</w:t>
      </w:r>
    </w:p>
    <w:p>
      <w:pPr>
        <w:pStyle w:val="BodyText"/>
        <w:spacing w:line="355" w:lineRule="auto" w:before="175"/>
        <w:ind w:left="1269" w:right="520" w:firstLine="669"/>
      </w:pPr>
      <w:r>
        <w:rPr>
          <w:w w:val="105"/>
        </w:rPr>
        <w:t>（二）請硏究圍隊儘量依審查意見修正，如有展期之必要，</w:t>
      </w:r>
      <w:r>
        <w:rPr>
          <w:spacing w:val="53"/>
          <w:w w:val="105"/>
        </w:rPr>
        <w:t> </w:t>
      </w:r>
      <w:r>
        <w:rPr>
          <w:spacing w:val="3"/>
          <w:w w:val="95"/>
        </w:rPr>
        <w:t>須由國立中正 大學函請本會同意 ， 惟至遲不得 超過 </w:t>
      </w:r>
      <w:r>
        <w:rPr>
          <w:rFonts w:ascii="Times New Roman" w:eastAsia="Times New Roman"/>
          <w:w w:val="95"/>
          <w:sz w:val="30"/>
        </w:rPr>
        <w:t>99</w:t>
      </w:r>
      <w:r>
        <w:rPr>
          <w:rFonts w:ascii="Times New Roman" w:eastAsia="Times New Roman"/>
          <w:spacing w:val="6"/>
          <w:w w:val="95"/>
          <w:sz w:val="30"/>
        </w:rPr>
        <w:t> </w:t>
      </w:r>
      <w:r>
        <w:rPr>
          <w:spacing w:val="7"/>
          <w:w w:val="95"/>
          <w:sz w:val="24"/>
        </w:rPr>
        <w:t>年 </w:t>
      </w:r>
      <w:r>
        <w:rPr>
          <w:rFonts w:ascii="Times New Roman" w:eastAsia="Times New Roman"/>
          <w:w w:val="95"/>
          <w:sz w:val="30"/>
        </w:rPr>
        <w:t>l</w:t>
      </w:r>
      <w:r>
        <w:rPr>
          <w:rFonts w:ascii="Times New Roman" w:eastAsia="Times New Roman"/>
          <w:spacing w:val="-9"/>
          <w:w w:val="95"/>
          <w:sz w:val="30"/>
        </w:rPr>
        <w:t> </w:t>
      </w:r>
      <w:r>
        <w:rPr>
          <w:rFonts w:ascii="Times New Roman" w:eastAsia="Times New Roman"/>
          <w:w w:val="95"/>
          <w:sz w:val="30"/>
        </w:rPr>
        <w:t>l</w:t>
      </w:r>
      <w:r>
        <w:rPr>
          <w:rFonts w:ascii="Times New Roman" w:eastAsia="Times New Roman"/>
          <w:spacing w:val="21"/>
          <w:w w:val="95"/>
          <w:sz w:val="30"/>
        </w:rPr>
        <w:t> </w:t>
      </w:r>
      <w:r>
        <w:rPr>
          <w:spacing w:val="8"/>
          <w:w w:val="95"/>
        </w:rPr>
        <w:t>月 </w:t>
      </w:r>
      <w:r>
        <w:rPr>
          <w:rFonts w:ascii="Times New Roman" w:eastAsia="Times New Roman"/>
          <w:w w:val="95"/>
          <w:sz w:val="30"/>
        </w:rPr>
        <w:t>15</w:t>
      </w:r>
      <w:r>
        <w:rPr>
          <w:rFonts w:ascii="Times New Roman" w:eastAsia="Times New Roman"/>
          <w:spacing w:val="-69"/>
          <w:w w:val="95"/>
          <w:sz w:val="30"/>
        </w:rPr>
        <w:t> </w:t>
      </w:r>
      <w:r>
        <w:rPr>
          <w:w w:val="105"/>
        </w:rPr>
        <w:t>日。</w:t>
      </w:r>
    </w:p>
    <w:p>
      <w:pPr>
        <w:spacing w:after="0" w:line="355" w:lineRule="auto"/>
        <w:sectPr>
          <w:pgSz w:w="11910" w:h="16840"/>
          <w:pgMar w:header="862" w:footer="1017" w:top="1060" w:bottom="1200" w:left="1120" w:right="1060"/>
        </w:sectPr>
      </w:pPr>
    </w:p>
    <w:p>
      <w:pPr>
        <w:pStyle w:val="BodyText"/>
        <w:rPr>
          <w:sz w:val="20"/>
        </w:rPr>
      </w:pPr>
    </w:p>
    <w:p>
      <w:pPr>
        <w:spacing w:before="205"/>
        <w:ind w:left="4036" w:right="0" w:firstLine="0"/>
        <w:jc w:val="left"/>
        <w:rPr>
          <w:sz w:val="34"/>
        </w:rPr>
      </w:pPr>
      <w:bookmarkStart w:name="_bookmark39" w:id="40"/>
      <w:bookmarkEnd w:id="40"/>
      <w:r>
        <w:rPr/>
      </w:r>
      <w:r>
        <w:rPr>
          <w:sz w:val="34"/>
        </w:rPr>
        <w:t>參考書目</w:t>
      </w:r>
    </w:p>
    <w:p>
      <w:pPr>
        <w:pStyle w:val="BodyText"/>
        <w:spacing w:before="5"/>
      </w:pPr>
    </w:p>
    <w:p>
      <w:pPr>
        <w:pStyle w:val="Heading4"/>
        <w:spacing w:before="1"/>
        <w:ind w:left="4127"/>
      </w:pPr>
      <w:r>
        <w:rPr>
          <w:w w:val="120"/>
        </w:rPr>
        <w:t>一中文部份</w:t>
      </w:r>
    </w:p>
    <w:p>
      <w:pPr>
        <w:pStyle w:val="BodyText"/>
        <w:spacing w:before="11"/>
        <w:rPr>
          <w:sz w:val="23"/>
        </w:rPr>
      </w:pPr>
    </w:p>
    <w:p>
      <w:pPr>
        <w:spacing w:line="355" w:lineRule="auto" w:before="0"/>
        <w:ind w:left="1710" w:right="525" w:hanging="1384"/>
        <w:jc w:val="left"/>
        <w:rPr>
          <w:sz w:val="25"/>
        </w:rPr>
      </w:pPr>
      <w:r>
        <w:rPr>
          <w:spacing w:val="-2"/>
          <w:w w:val="95"/>
          <w:sz w:val="25"/>
        </w:rPr>
        <w:t>交通部訴願審議委員 會編印 ， 交通部 訴願實務作業手冊 ， </w:t>
      </w:r>
      <w:r>
        <w:rPr>
          <w:rFonts w:ascii="Times New Roman" w:eastAsia="Times New Roman"/>
          <w:w w:val="95"/>
          <w:sz w:val="30"/>
        </w:rPr>
        <w:t>2009</w:t>
      </w:r>
      <w:r>
        <w:rPr>
          <w:rFonts w:ascii="Times New Roman" w:eastAsia="Times New Roman"/>
          <w:spacing w:val="35"/>
          <w:w w:val="95"/>
          <w:sz w:val="30"/>
        </w:rPr>
        <w:t> </w:t>
      </w:r>
      <w:r>
        <w:rPr>
          <w:spacing w:val="-13"/>
          <w:w w:val="95"/>
          <w:sz w:val="24"/>
        </w:rPr>
        <w:t>年 </w:t>
      </w:r>
      <w:r>
        <w:rPr>
          <w:rFonts w:ascii="Times New Roman" w:eastAsia="Times New Roman"/>
          <w:w w:val="95"/>
          <w:sz w:val="30"/>
        </w:rPr>
        <w:t>12</w:t>
      </w:r>
      <w:r>
        <w:rPr>
          <w:rFonts w:ascii="Times New Roman" w:eastAsia="Times New Roman"/>
          <w:spacing w:val="36"/>
          <w:w w:val="95"/>
          <w:sz w:val="30"/>
        </w:rPr>
        <w:t> </w:t>
      </w:r>
      <w:r>
        <w:rPr>
          <w:spacing w:val="21"/>
          <w:w w:val="95"/>
          <w:sz w:val="25"/>
        </w:rPr>
        <w:t>月再</w:t>
      </w:r>
      <w:r>
        <w:rPr>
          <w:sz w:val="25"/>
        </w:rPr>
        <w:t>版。</w:t>
      </w:r>
    </w:p>
    <w:p>
      <w:pPr>
        <w:pStyle w:val="BodyText"/>
        <w:spacing w:before="22"/>
        <w:ind w:left="329"/>
        <w:rPr>
          <w:rFonts w:ascii="Arial" w:eastAsia="Arial"/>
          <w:sz w:val="28"/>
        </w:rPr>
      </w:pPr>
      <w:r>
        <w:rPr>
          <w:spacing w:val="-3"/>
          <w:w w:val="95"/>
        </w:rPr>
        <w:t>李建良 ， 公務人員 保障法復審及申訴標的之探討 ， 月 旦法學雜誌 ， 第 </w:t>
      </w:r>
      <w:r>
        <w:rPr>
          <w:rFonts w:ascii="Arial" w:eastAsia="Arial"/>
          <w:w w:val="95"/>
          <w:sz w:val="28"/>
        </w:rPr>
        <w:t>9O</w:t>
      </w:r>
    </w:p>
    <w:p>
      <w:pPr>
        <w:tabs>
          <w:tab w:pos="3887" w:val="left" w:leader="none"/>
        </w:tabs>
        <w:spacing w:before="154"/>
        <w:ind w:left="1708" w:right="0" w:firstLine="0"/>
        <w:jc w:val="left"/>
        <w:rPr>
          <w:sz w:val="25"/>
        </w:rPr>
      </w:pPr>
      <w:r>
        <w:rPr>
          <w:w w:val="85"/>
          <w:sz w:val="25"/>
        </w:rPr>
        <w:t>期 ，</w:t>
      </w:r>
      <w:r>
        <w:rPr>
          <w:spacing w:val="-41"/>
          <w:w w:val="85"/>
          <w:sz w:val="25"/>
        </w:rPr>
        <w:t> </w:t>
      </w:r>
      <w:r>
        <w:rPr>
          <w:w w:val="85"/>
          <w:sz w:val="25"/>
        </w:rPr>
        <w:t>頁</w:t>
      </w:r>
      <w:r>
        <w:rPr>
          <w:spacing w:val="-8"/>
          <w:w w:val="85"/>
          <w:sz w:val="25"/>
        </w:rPr>
        <w:t> </w:t>
      </w:r>
      <w:r>
        <w:rPr>
          <w:rFonts w:ascii="Times New Roman" w:eastAsia="Times New Roman"/>
          <w:w w:val="85"/>
          <w:sz w:val="30"/>
        </w:rPr>
        <w:t>112-</w:t>
      </w:r>
      <w:r>
        <w:rPr>
          <w:rFonts w:ascii="Times New Roman" w:eastAsia="Times New Roman"/>
          <w:spacing w:val="-13"/>
          <w:w w:val="85"/>
          <w:sz w:val="30"/>
        </w:rPr>
        <w:t> </w:t>
      </w:r>
      <w:r>
        <w:rPr>
          <w:rFonts w:ascii="Times New Roman" w:eastAsia="Times New Roman"/>
          <w:w w:val="85"/>
          <w:sz w:val="30"/>
        </w:rPr>
        <w:t>14,0</w:t>
        <w:tab/>
      </w:r>
      <w:r>
        <w:rPr>
          <w:rFonts w:ascii="Times New Roman" w:eastAsia="Times New Roman"/>
          <w:w w:val="90"/>
          <w:sz w:val="30"/>
        </w:rPr>
        <w:t>2002</w:t>
      </w:r>
      <w:r>
        <w:rPr>
          <w:rFonts w:ascii="Times New Roman" w:eastAsia="Times New Roman"/>
          <w:spacing w:val="14"/>
          <w:w w:val="90"/>
          <w:sz w:val="30"/>
        </w:rPr>
        <w:t> </w:t>
      </w:r>
      <w:r>
        <w:rPr>
          <w:w w:val="90"/>
          <w:sz w:val="24"/>
        </w:rPr>
        <w:t>年</w:t>
      </w:r>
      <w:r>
        <w:rPr>
          <w:spacing w:val="-12"/>
          <w:w w:val="90"/>
          <w:sz w:val="24"/>
        </w:rPr>
        <w:t> </w:t>
      </w:r>
      <w:r>
        <w:rPr>
          <w:rFonts w:ascii="Times New Roman" w:eastAsia="Times New Roman"/>
          <w:w w:val="90"/>
          <w:sz w:val="30"/>
        </w:rPr>
        <w:t>l</w:t>
      </w:r>
      <w:r>
        <w:rPr>
          <w:rFonts w:ascii="Times New Roman" w:eastAsia="Times New Roman"/>
          <w:spacing w:val="-18"/>
          <w:w w:val="90"/>
          <w:sz w:val="30"/>
        </w:rPr>
        <w:t> </w:t>
      </w:r>
      <w:r>
        <w:rPr>
          <w:rFonts w:ascii="Times New Roman" w:eastAsia="Times New Roman"/>
          <w:w w:val="90"/>
          <w:sz w:val="30"/>
        </w:rPr>
        <w:t>l</w:t>
      </w:r>
      <w:r>
        <w:rPr>
          <w:rFonts w:ascii="Times New Roman" w:eastAsia="Times New Roman"/>
          <w:spacing w:val="60"/>
          <w:w w:val="90"/>
          <w:sz w:val="30"/>
        </w:rPr>
        <w:t> </w:t>
      </w:r>
      <w:r>
        <w:rPr>
          <w:w w:val="90"/>
          <w:sz w:val="25"/>
        </w:rPr>
        <w:t>月 。</w:t>
      </w:r>
    </w:p>
    <w:p>
      <w:pPr>
        <w:spacing w:before="150"/>
        <w:ind w:left="315" w:right="0" w:firstLine="0"/>
        <w:jc w:val="left"/>
        <w:rPr>
          <w:sz w:val="25"/>
        </w:rPr>
      </w:pPr>
      <w:r>
        <w:rPr>
          <w:spacing w:val="6"/>
          <w:w w:val="85"/>
          <w:sz w:val="25"/>
        </w:rPr>
        <w:t>吳庚 ，行 政爭訟法論 ， 自版</w:t>
      </w:r>
      <w:r>
        <w:rPr>
          <w:spacing w:val="133"/>
          <w:sz w:val="25"/>
        </w:rPr>
        <w:t> </w:t>
      </w:r>
      <w:r>
        <w:rPr>
          <w:spacing w:val="-29"/>
          <w:w w:val="85"/>
          <w:sz w:val="25"/>
        </w:rPr>
        <w:t>， </w:t>
      </w:r>
      <w:r>
        <w:rPr>
          <w:rFonts w:ascii="Times New Roman" w:eastAsia="Times New Roman"/>
          <w:w w:val="85"/>
          <w:sz w:val="30"/>
        </w:rPr>
        <w:t>200</w:t>
      </w:r>
      <w:r>
        <w:rPr>
          <w:rFonts w:ascii="Times New Roman" w:eastAsia="Times New Roman"/>
          <w:spacing w:val="-15"/>
          <w:w w:val="85"/>
          <w:sz w:val="30"/>
        </w:rPr>
        <w:t> </w:t>
      </w:r>
      <w:r>
        <w:rPr>
          <w:rFonts w:ascii="Times New Roman" w:eastAsia="Times New Roman"/>
          <w:w w:val="85"/>
          <w:sz w:val="30"/>
        </w:rPr>
        <w:t>8</w:t>
      </w:r>
      <w:r>
        <w:rPr>
          <w:rFonts w:ascii="Times New Roman" w:eastAsia="Times New Roman"/>
          <w:spacing w:val="27"/>
          <w:w w:val="85"/>
          <w:sz w:val="30"/>
        </w:rPr>
        <w:t> </w:t>
      </w:r>
      <w:r>
        <w:rPr>
          <w:spacing w:val="-6"/>
          <w:w w:val="85"/>
          <w:sz w:val="24"/>
        </w:rPr>
        <w:t>年 </w:t>
      </w:r>
      <w:r>
        <w:rPr>
          <w:rFonts w:ascii="Times New Roman" w:eastAsia="Times New Roman"/>
          <w:w w:val="85"/>
          <w:sz w:val="30"/>
        </w:rPr>
        <w:t>3</w:t>
      </w:r>
      <w:r>
        <w:rPr>
          <w:rFonts w:ascii="Times New Roman" w:eastAsia="Times New Roman"/>
          <w:spacing w:val="34"/>
          <w:w w:val="85"/>
          <w:sz w:val="30"/>
        </w:rPr>
        <w:t> </w:t>
      </w:r>
      <w:r>
        <w:rPr>
          <w:spacing w:val="11"/>
          <w:w w:val="85"/>
          <w:sz w:val="25"/>
        </w:rPr>
        <w:t>月 </w:t>
      </w:r>
      <w:r>
        <w:rPr>
          <w:rFonts w:ascii="Times New Roman" w:eastAsia="Times New Roman"/>
          <w:w w:val="85"/>
          <w:sz w:val="30"/>
        </w:rPr>
        <w:t>4</w:t>
      </w:r>
      <w:r>
        <w:rPr>
          <w:rFonts w:ascii="Times New Roman" w:eastAsia="Times New Roman"/>
          <w:spacing w:val="31"/>
          <w:w w:val="85"/>
          <w:sz w:val="30"/>
        </w:rPr>
        <w:t> </w:t>
      </w:r>
      <w:r>
        <w:rPr>
          <w:spacing w:val="16"/>
          <w:w w:val="85"/>
          <w:sz w:val="25"/>
        </w:rPr>
        <w:t>版 。</w:t>
      </w:r>
    </w:p>
    <w:p>
      <w:pPr>
        <w:spacing w:before="149"/>
        <w:ind w:left="315" w:right="0" w:firstLine="0"/>
        <w:jc w:val="left"/>
        <w:rPr>
          <w:sz w:val="25"/>
        </w:rPr>
      </w:pPr>
      <w:r>
        <w:rPr>
          <w:spacing w:val="8"/>
          <w:w w:val="85"/>
          <w:sz w:val="25"/>
        </w:rPr>
        <w:t>吳庚 ，行 政法之理論與實用 ， 自版</w:t>
      </w:r>
      <w:r>
        <w:rPr>
          <w:spacing w:val="135"/>
          <w:sz w:val="25"/>
        </w:rPr>
        <w:t> </w:t>
      </w:r>
      <w:r>
        <w:rPr>
          <w:spacing w:val="-26"/>
          <w:w w:val="85"/>
          <w:sz w:val="25"/>
        </w:rPr>
        <w:t>， </w:t>
      </w:r>
      <w:r>
        <w:rPr>
          <w:rFonts w:ascii="Times New Roman" w:eastAsia="Times New Roman"/>
          <w:w w:val="85"/>
          <w:sz w:val="30"/>
        </w:rPr>
        <w:t>2007</w:t>
      </w:r>
      <w:r>
        <w:rPr>
          <w:rFonts w:ascii="Times New Roman" w:eastAsia="Times New Roman"/>
          <w:spacing w:val="97"/>
          <w:sz w:val="30"/>
        </w:rPr>
        <w:t> </w:t>
      </w:r>
      <w:r>
        <w:rPr>
          <w:spacing w:val="-1"/>
          <w:w w:val="85"/>
          <w:sz w:val="24"/>
        </w:rPr>
        <w:t>年 </w:t>
      </w:r>
      <w:r>
        <w:rPr>
          <w:rFonts w:ascii="Times New Roman" w:eastAsia="Times New Roman"/>
          <w:w w:val="85"/>
          <w:sz w:val="30"/>
        </w:rPr>
        <w:t>9</w:t>
      </w:r>
      <w:r>
        <w:rPr>
          <w:rFonts w:ascii="Times New Roman" w:eastAsia="Times New Roman"/>
          <w:spacing w:val="56"/>
          <w:w w:val="85"/>
          <w:sz w:val="30"/>
        </w:rPr>
        <w:t> </w:t>
      </w:r>
      <w:r>
        <w:rPr>
          <w:spacing w:val="5"/>
          <w:w w:val="85"/>
          <w:sz w:val="25"/>
        </w:rPr>
        <w:t>月 </w:t>
      </w:r>
      <w:r>
        <w:rPr>
          <w:rFonts w:ascii="Times New Roman" w:eastAsia="Times New Roman"/>
          <w:w w:val="85"/>
          <w:sz w:val="30"/>
        </w:rPr>
        <w:t>10</w:t>
      </w:r>
      <w:r>
        <w:rPr>
          <w:rFonts w:ascii="Times New Roman" w:eastAsia="Times New Roman"/>
          <w:spacing w:val="40"/>
          <w:w w:val="85"/>
          <w:sz w:val="30"/>
        </w:rPr>
        <w:t> </w:t>
      </w:r>
      <w:r>
        <w:rPr>
          <w:spacing w:val="23"/>
          <w:w w:val="85"/>
          <w:sz w:val="25"/>
        </w:rPr>
        <w:t>版 。</w:t>
      </w:r>
    </w:p>
    <w:p>
      <w:pPr>
        <w:pStyle w:val="BodyText"/>
        <w:spacing w:before="180"/>
        <w:ind w:left="301"/>
      </w:pPr>
      <w:r>
        <w:rPr>
          <w:w w:val="110"/>
        </w:rPr>
        <w:t>林明昕，論行政訴訟法第四十一條訴訟參加類型之適用範圍與功能，臺大</w:t>
      </w:r>
    </w:p>
    <w:p>
      <w:pPr>
        <w:tabs>
          <w:tab w:pos="5427" w:val="left" w:leader="none"/>
        </w:tabs>
        <w:spacing w:before="154"/>
        <w:ind w:left="452" w:right="0" w:firstLine="0"/>
        <w:jc w:val="center"/>
        <w:rPr>
          <w:sz w:val="25"/>
        </w:rPr>
      </w:pPr>
      <w:r>
        <w:rPr>
          <w:spacing w:val="28"/>
          <w:w w:val="90"/>
          <w:sz w:val="25"/>
        </w:rPr>
        <w:t>法</w:t>
      </w:r>
      <w:r>
        <w:rPr>
          <w:w w:val="90"/>
          <w:sz w:val="25"/>
        </w:rPr>
        <w:t>學論</w:t>
      </w:r>
      <w:r>
        <w:rPr>
          <w:spacing w:val="-49"/>
          <w:w w:val="90"/>
          <w:sz w:val="25"/>
        </w:rPr>
        <w:t> </w:t>
      </w:r>
      <w:r>
        <w:rPr>
          <w:w w:val="90"/>
          <w:sz w:val="25"/>
        </w:rPr>
        <w:t>叢</w:t>
      </w:r>
      <w:r>
        <w:rPr>
          <w:spacing w:val="-20"/>
          <w:w w:val="90"/>
          <w:sz w:val="25"/>
        </w:rPr>
        <w:t> </w:t>
      </w:r>
      <w:r>
        <w:rPr>
          <w:w w:val="90"/>
          <w:sz w:val="25"/>
        </w:rPr>
        <w:t>，</w:t>
      </w:r>
      <w:r>
        <w:rPr>
          <w:spacing w:val="-45"/>
          <w:w w:val="90"/>
          <w:sz w:val="25"/>
        </w:rPr>
        <w:t> </w:t>
      </w:r>
      <w:r>
        <w:rPr>
          <w:w w:val="90"/>
          <w:sz w:val="25"/>
        </w:rPr>
        <w:t>第</w:t>
      </w:r>
      <w:r>
        <w:rPr>
          <w:spacing w:val="-11"/>
          <w:w w:val="90"/>
          <w:sz w:val="25"/>
        </w:rPr>
        <w:t> </w:t>
      </w:r>
      <w:r>
        <w:rPr>
          <w:rFonts w:ascii="Times New Roman" w:eastAsia="Times New Roman"/>
          <w:w w:val="90"/>
          <w:sz w:val="30"/>
        </w:rPr>
        <w:t>38</w:t>
      </w:r>
      <w:r>
        <w:rPr>
          <w:rFonts w:ascii="Times New Roman" w:eastAsia="Times New Roman"/>
          <w:spacing w:val="-4"/>
          <w:w w:val="90"/>
          <w:sz w:val="30"/>
        </w:rPr>
        <w:t> </w:t>
      </w:r>
      <w:r>
        <w:rPr>
          <w:spacing w:val="29"/>
          <w:w w:val="90"/>
          <w:sz w:val="25"/>
        </w:rPr>
        <w:t>卷</w:t>
      </w:r>
      <w:r>
        <w:rPr>
          <w:w w:val="90"/>
          <w:sz w:val="25"/>
        </w:rPr>
        <w:t>第</w:t>
      </w:r>
      <w:r>
        <w:rPr>
          <w:spacing w:val="-6"/>
          <w:w w:val="90"/>
          <w:sz w:val="25"/>
        </w:rPr>
        <w:t> </w:t>
      </w:r>
      <w:r>
        <w:rPr>
          <w:rFonts w:ascii="Times New Roman" w:eastAsia="Times New Roman"/>
          <w:w w:val="90"/>
          <w:sz w:val="30"/>
        </w:rPr>
        <w:t>3 </w:t>
      </w:r>
      <w:r>
        <w:rPr>
          <w:w w:val="90"/>
          <w:sz w:val="25"/>
        </w:rPr>
        <w:t>期</w:t>
      </w:r>
      <w:r>
        <w:rPr>
          <w:spacing w:val="1"/>
          <w:w w:val="90"/>
          <w:sz w:val="25"/>
        </w:rPr>
        <w:t> </w:t>
      </w:r>
      <w:r>
        <w:rPr>
          <w:w w:val="90"/>
          <w:sz w:val="25"/>
        </w:rPr>
        <w:t>，</w:t>
      </w:r>
      <w:r>
        <w:rPr>
          <w:spacing w:val="-51"/>
          <w:w w:val="90"/>
          <w:sz w:val="25"/>
        </w:rPr>
        <w:t> </w:t>
      </w:r>
      <w:r>
        <w:rPr>
          <w:w w:val="90"/>
          <w:sz w:val="25"/>
        </w:rPr>
        <w:t>頁</w:t>
      </w:r>
      <w:r>
        <w:rPr>
          <w:spacing w:val="-1"/>
          <w:w w:val="90"/>
          <w:sz w:val="25"/>
        </w:rPr>
        <w:t> </w:t>
      </w:r>
      <w:r>
        <w:rPr>
          <w:rFonts w:ascii="Times New Roman" w:eastAsia="Times New Roman"/>
          <w:w w:val="90"/>
          <w:sz w:val="30"/>
        </w:rPr>
        <w:t>73-</w:t>
      </w:r>
      <w:r>
        <w:rPr>
          <w:rFonts w:ascii="Times New Roman" w:eastAsia="Times New Roman"/>
          <w:spacing w:val="-8"/>
          <w:w w:val="90"/>
          <w:sz w:val="30"/>
        </w:rPr>
        <w:t> </w:t>
      </w:r>
      <w:r>
        <w:rPr>
          <w:rFonts w:ascii="Times New Roman" w:eastAsia="Times New Roman"/>
          <w:w w:val="90"/>
          <w:sz w:val="30"/>
        </w:rPr>
        <w:t>10,8</w:t>
        <w:tab/>
      </w:r>
      <w:r>
        <w:rPr>
          <w:rFonts w:ascii="Times New Roman" w:eastAsia="Times New Roman"/>
          <w:w w:val="85"/>
          <w:sz w:val="30"/>
        </w:rPr>
        <w:t>2009</w:t>
      </w:r>
      <w:r>
        <w:rPr>
          <w:rFonts w:ascii="Times New Roman" w:eastAsia="Times New Roman"/>
          <w:spacing w:val="29"/>
          <w:w w:val="85"/>
          <w:sz w:val="30"/>
        </w:rPr>
        <w:t> </w:t>
      </w:r>
      <w:r>
        <w:rPr>
          <w:w w:val="85"/>
          <w:sz w:val="24"/>
        </w:rPr>
        <w:t>年</w:t>
      </w:r>
      <w:r>
        <w:rPr>
          <w:spacing w:val="-10"/>
          <w:w w:val="85"/>
          <w:sz w:val="24"/>
        </w:rPr>
        <w:t> </w:t>
      </w:r>
      <w:r>
        <w:rPr>
          <w:rFonts w:ascii="Times New Roman" w:eastAsia="Times New Roman"/>
          <w:w w:val="85"/>
          <w:sz w:val="30"/>
        </w:rPr>
        <w:t>9</w:t>
      </w:r>
      <w:r>
        <w:rPr>
          <w:rFonts w:ascii="Times New Roman" w:eastAsia="Times New Roman"/>
          <w:spacing w:val="45"/>
          <w:w w:val="85"/>
          <w:sz w:val="30"/>
        </w:rPr>
        <w:t> </w:t>
      </w:r>
      <w:r>
        <w:rPr>
          <w:w w:val="85"/>
          <w:sz w:val="25"/>
        </w:rPr>
        <w:t>月</w:t>
      </w:r>
      <w:r>
        <w:rPr>
          <w:spacing w:val="11"/>
          <w:w w:val="85"/>
          <w:sz w:val="25"/>
        </w:rPr>
        <w:t> </w:t>
      </w:r>
      <w:r>
        <w:rPr>
          <w:w w:val="85"/>
          <w:sz w:val="25"/>
        </w:rPr>
        <w:t>。</w:t>
      </w:r>
    </w:p>
    <w:p>
      <w:pPr>
        <w:pStyle w:val="BodyText"/>
        <w:spacing w:before="144"/>
        <w:ind w:left="301"/>
      </w:pPr>
      <w:r>
        <w:rPr>
          <w:spacing w:val="-4"/>
          <w:w w:val="95"/>
        </w:rPr>
        <w:t>林 明鏘 ， 公務人員復審與訴願程序之比較研究 ， 輔仁法學 ， 第 </w:t>
      </w:r>
      <w:r>
        <w:rPr>
          <w:rFonts w:ascii="Times New Roman" w:eastAsia="Times New Roman"/>
          <w:w w:val="95"/>
          <w:sz w:val="30"/>
        </w:rPr>
        <w:t>18</w:t>
      </w:r>
      <w:r>
        <w:rPr>
          <w:rFonts w:ascii="Times New Roman" w:eastAsia="Times New Roman"/>
          <w:spacing w:val="46"/>
          <w:w w:val="95"/>
          <w:sz w:val="30"/>
        </w:rPr>
        <w:t> </w:t>
      </w:r>
      <w:r>
        <w:rPr>
          <w:spacing w:val="-8"/>
          <w:w w:val="95"/>
        </w:rPr>
        <w:t>期 ， 頁</w:t>
      </w:r>
    </w:p>
    <w:p>
      <w:pPr>
        <w:spacing w:before="155"/>
        <w:ind w:left="1700" w:right="0" w:firstLine="0"/>
        <w:jc w:val="left"/>
        <w:rPr>
          <w:sz w:val="25"/>
        </w:rPr>
      </w:pPr>
      <w:r>
        <w:rPr>
          <w:rFonts w:ascii="Times New Roman" w:eastAsia="Times New Roman"/>
          <w:sz w:val="30"/>
        </w:rPr>
        <w:t>123-141,</w:t>
      </w:r>
      <w:r>
        <w:rPr>
          <w:rFonts w:ascii="Times New Roman" w:eastAsia="Times New Roman"/>
          <w:spacing w:val="32"/>
          <w:sz w:val="30"/>
        </w:rPr>
        <w:t> </w:t>
      </w:r>
      <w:r>
        <w:rPr>
          <w:rFonts w:ascii="Times New Roman" w:eastAsia="Times New Roman"/>
          <w:sz w:val="30"/>
        </w:rPr>
        <w:t>1999</w:t>
      </w:r>
      <w:r>
        <w:rPr>
          <w:rFonts w:ascii="Times New Roman" w:eastAsia="Times New Roman"/>
          <w:spacing w:val="2"/>
          <w:sz w:val="30"/>
        </w:rPr>
        <w:t> </w:t>
      </w:r>
      <w:r>
        <w:rPr>
          <w:spacing w:val="-21"/>
          <w:sz w:val="24"/>
        </w:rPr>
        <w:t>年 </w:t>
      </w:r>
      <w:r>
        <w:rPr>
          <w:rFonts w:ascii="Times New Roman" w:eastAsia="Times New Roman"/>
          <w:sz w:val="30"/>
        </w:rPr>
        <w:t>6</w:t>
      </w:r>
      <w:r>
        <w:rPr>
          <w:rFonts w:ascii="Times New Roman" w:eastAsia="Times New Roman"/>
          <w:spacing w:val="25"/>
          <w:sz w:val="30"/>
        </w:rPr>
        <w:t> </w:t>
      </w:r>
      <w:r>
        <w:rPr>
          <w:spacing w:val="-6"/>
          <w:sz w:val="25"/>
        </w:rPr>
        <w:t>月 。</w:t>
      </w:r>
    </w:p>
    <w:p>
      <w:pPr>
        <w:spacing w:before="149"/>
        <w:ind w:left="301" w:right="0" w:firstLine="0"/>
        <w:jc w:val="left"/>
        <w:rPr>
          <w:sz w:val="25"/>
        </w:rPr>
      </w:pPr>
      <w:r>
        <w:rPr>
          <w:spacing w:val="-2"/>
          <w:w w:val="90"/>
          <w:sz w:val="25"/>
        </w:rPr>
        <w:t>林 騰鷂 ，行 政訴訟法 ， 三民書局股份有限公 司 ， </w:t>
      </w:r>
      <w:r>
        <w:rPr>
          <w:rFonts w:ascii="Times New Roman" w:eastAsia="Times New Roman"/>
          <w:w w:val="90"/>
          <w:sz w:val="30"/>
        </w:rPr>
        <w:t>200</w:t>
      </w:r>
      <w:r>
        <w:rPr>
          <w:rFonts w:ascii="Times New Roman" w:eastAsia="Times New Roman"/>
          <w:spacing w:val="-25"/>
          <w:w w:val="90"/>
          <w:sz w:val="30"/>
        </w:rPr>
        <w:t> </w:t>
      </w:r>
      <w:r>
        <w:rPr>
          <w:rFonts w:ascii="Times New Roman" w:eastAsia="Times New Roman"/>
          <w:w w:val="90"/>
          <w:sz w:val="30"/>
        </w:rPr>
        <w:t>8</w:t>
      </w:r>
      <w:r>
        <w:rPr>
          <w:rFonts w:ascii="Times New Roman" w:eastAsia="Times New Roman"/>
          <w:spacing w:val="29"/>
          <w:w w:val="90"/>
          <w:sz w:val="30"/>
        </w:rPr>
        <w:t> </w:t>
      </w:r>
      <w:r>
        <w:rPr>
          <w:w w:val="90"/>
          <w:sz w:val="24"/>
        </w:rPr>
        <w:t>年 </w:t>
      </w:r>
      <w:r>
        <w:rPr>
          <w:rFonts w:ascii="Times New Roman" w:eastAsia="Times New Roman"/>
          <w:w w:val="90"/>
          <w:sz w:val="30"/>
        </w:rPr>
        <w:t>l</w:t>
      </w:r>
      <w:r>
        <w:rPr>
          <w:rFonts w:ascii="Times New Roman" w:eastAsia="Times New Roman"/>
          <w:spacing w:val="6"/>
          <w:w w:val="90"/>
          <w:sz w:val="30"/>
        </w:rPr>
        <w:t> </w:t>
      </w:r>
      <w:r>
        <w:rPr>
          <w:spacing w:val="8"/>
          <w:w w:val="90"/>
          <w:sz w:val="25"/>
        </w:rPr>
        <w:t>月 </w:t>
      </w:r>
      <w:r>
        <w:rPr>
          <w:rFonts w:ascii="Times New Roman" w:eastAsia="Times New Roman"/>
          <w:w w:val="90"/>
          <w:sz w:val="30"/>
        </w:rPr>
        <w:t>3</w:t>
      </w:r>
      <w:r>
        <w:rPr>
          <w:rFonts w:ascii="Times New Roman" w:eastAsia="Times New Roman"/>
          <w:spacing w:val="7"/>
          <w:w w:val="90"/>
          <w:sz w:val="30"/>
        </w:rPr>
        <w:t> </w:t>
      </w:r>
      <w:r>
        <w:rPr>
          <w:spacing w:val="6"/>
          <w:w w:val="90"/>
          <w:sz w:val="25"/>
        </w:rPr>
        <w:t>版 。</w:t>
      </w:r>
    </w:p>
    <w:p>
      <w:pPr>
        <w:pStyle w:val="BodyText"/>
        <w:spacing w:before="179"/>
        <w:ind w:left="319"/>
      </w:pPr>
      <w:r>
        <w:rPr>
          <w:w w:val="110"/>
        </w:rPr>
        <w:t>盛子龍，行政訴訟法新制下公務員職務調整之權利救濟，法令月刊，第</w:t>
      </w:r>
    </w:p>
    <w:p>
      <w:pPr>
        <w:tabs>
          <w:tab w:pos="5079" w:val="left" w:leader="none"/>
        </w:tabs>
        <w:spacing w:before="155"/>
        <w:ind w:left="1706" w:right="0" w:firstLine="0"/>
        <w:jc w:val="left"/>
        <w:rPr>
          <w:sz w:val="25"/>
        </w:rPr>
      </w:pPr>
      <w:r>
        <w:rPr>
          <w:rFonts w:ascii="Times New Roman" w:eastAsia="Times New Roman"/>
          <w:w w:val="85"/>
          <w:sz w:val="30"/>
        </w:rPr>
        <w:t>53</w:t>
      </w:r>
      <w:r>
        <w:rPr>
          <w:rFonts w:ascii="Times New Roman" w:eastAsia="Times New Roman"/>
          <w:spacing w:val="20"/>
          <w:w w:val="85"/>
          <w:sz w:val="30"/>
        </w:rPr>
        <w:t> </w:t>
      </w:r>
      <w:r>
        <w:rPr>
          <w:w w:val="85"/>
          <w:sz w:val="25"/>
        </w:rPr>
        <w:t>卷</w:t>
      </w:r>
      <w:r>
        <w:rPr>
          <w:spacing w:val="-9"/>
          <w:w w:val="85"/>
          <w:sz w:val="25"/>
        </w:rPr>
        <w:t> </w:t>
      </w:r>
      <w:r>
        <w:rPr>
          <w:w w:val="85"/>
          <w:sz w:val="25"/>
        </w:rPr>
        <w:t>，</w:t>
      </w:r>
      <w:r>
        <w:rPr>
          <w:spacing w:val="-35"/>
          <w:w w:val="85"/>
          <w:sz w:val="25"/>
        </w:rPr>
        <w:t> </w:t>
      </w:r>
      <w:r>
        <w:rPr>
          <w:w w:val="85"/>
          <w:sz w:val="25"/>
        </w:rPr>
        <w:t>第</w:t>
      </w:r>
      <w:r>
        <w:rPr>
          <w:spacing w:val="-5"/>
          <w:w w:val="85"/>
          <w:sz w:val="25"/>
        </w:rPr>
        <w:t> </w:t>
      </w:r>
      <w:r>
        <w:rPr>
          <w:rFonts w:ascii="Times New Roman" w:eastAsia="Times New Roman"/>
          <w:w w:val="85"/>
          <w:sz w:val="30"/>
        </w:rPr>
        <w:t>10</w:t>
      </w:r>
      <w:r>
        <w:rPr>
          <w:rFonts w:ascii="Times New Roman" w:eastAsia="Times New Roman"/>
          <w:spacing w:val="26"/>
          <w:w w:val="85"/>
          <w:sz w:val="30"/>
        </w:rPr>
        <w:t> </w:t>
      </w:r>
      <w:r>
        <w:rPr>
          <w:w w:val="85"/>
          <w:sz w:val="25"/>
        </w:rPr>
        <w:t>期</w:t>
      </w:r>
      <w:r>
        <w:rPr>
          <w:spacing w:val="8"/>
          <w:w w:val="85"/>
          <w:sz w:val="25"/>
        </w:rPr>
        <w:t> </w:t>
      </w:r>
      <w:r>
        <w:rPr>
          <w:w w:val="85"/>
          <w:sz w:val="25"/>
        </w:rPr>
        <w:t>，</w:t>
      </w:r>
      <w:r>
        <w:rPr>
          <w:spacing w:val="-56"/>
          <w:w w:val="85"/>
          <w:sz w:val="25"/>
        </w:rPr>
        <w:t> </w:t>
      </w:r>
      <w:r>
        <w:rPr>
          <w:w w:val="85"/>
          <w:sz w:val="25"/>
        </w:rPr>
        <w:t>頁</w:t>
      </w:r>
      <w:r>
        <w:rPr>
          <w:spacing w:val="4"/>
          <w:w w:val="85"/>
          <w:sz w:val="25"/>
        </w:rPr>
        <w:t> </w:t>
      </w:r>
      <w:r>
        <w:rPr>
          <w:rFonts w:ascii="Times New Roman" w:eastAsia="Times New Roman"/>
          <w:w w:val="85"/>
          <w:sz w:val="30"/>
        </w:rPr>
        <w:t>3-</w:t>
      </w:r>
      <w:r>
        <w:rPr>
          <w:rFonts w:ascii="Times New Roman" w:eastAsia="Times New Roman"/>
          <w:spacing w:val="-32"/>
          <w:w w:val="85"/>
          <w:sz w:val="30"/>
        </w:rPr>
        <w:t> </w:t>
      </w:r>
      <w:r>
        <w:rPr>
          <w:rFonts w:ascii="Times New Roman" w:eastAsia="Times New Roman"/>
          <w:w w:val="85"/>
          <w:sz w:val="30"/>
        </w:rPr>
        <w:t>1,3</w:t>
        <w:tab/>
        <w:t>2002</w:t>
      </w:r>
      <w:r>
        <w:rPr>
          <w:rFonts w:ascii="Times New Roman" w:eastAsia="Times New Roman"/>
          <w:spacing w:val="31"/>
          <w:w w:val="85"/>
          <w:sz w:val="30"/>
        </w:rPr>
        <w:t> </w:t>
      </w:r>
      <w:r>
        <w:rPr>
          <w:w w:val="85"/>
          <w:sz w:val="24"/>
        </w:rPr>
        <w:t>年</w:t>
      </w:r>
      <w:r>
        <w:rPr>
          <w:spacing w:val="-23"/>
          <w:w w:val="85"/>
          <w:sz w:val="24"/>
        </w:rPr>
        <w:t> </w:t>
      </w:r>
      <w:r>
        <w:rPr>
          <w:rFonts w:ascii="Times New Roman" w:eastAsia="Times New Roman"/>
          <w:w w:val="85"/>
          <w:sz w:val="30"/>
        </w:rPr>
        <w:t>10</w:t>
      </w:r>
      <w:r>
        <w:rPr>
          <w:rFonts w:ascii="Times New Roman" w:eastAsia="Times New Roman"/>
          <w:spacing w:val="54"/>
          <w:w w:val="85"/>
          <w:sz w:val="30"/>
        </w:rPr>
        <w:t> </w:t>
      </w:r>
      <w:r>
        <w:rPr>
          <w:w w:val="85"/>
          <w:sz w:val="25"/>
        </w:rPr>
        <w:t>月</w:t>
      </w:r>
      <w:r>
        <w:rPr>
          <w:spacing w:val="13"/>
          <w:w w:val="85"/>
          <w:sz w:val="25"/>
        </w:rPr>
        <w:t> </w:t>
      </w:r>
      <w:r>
        <w:rPr>
          <w:w w:val="85"/>
          <w:sz w:val="25"/>
        </w:rPr>
        <w:t>。</w:t>
      </w:r>
    </w:p>
    <w:p>
      <w:pPr>
        <w:pStyle w:val="BodyText"/>
        <w:spacing w:before="144"/>
        <w:ind w:left="302"/>
        <w:rPr>
          <w:rFonts w:ascii="Times New Roman" w:eastAsia="Times New Roman"/>
          <w:sz w:val="30"/>
        </w:rPr>
      </w:pPr>
      <w:r>
        <w:rPr>
          <w:spacing w:val="3"/>
          <w:w w:val="95"/>
        </w:rPr>
        <w:t>黃錦堂 ， 判斷餘地理論於公務員 保障法之適用與檢討 ， 法令月刊 ， 第 </w:t>
      </w:r>
      <w:r>
        <w:rPr>
          <w:rFonts w:ascii="Times New Roman" w:eastAsia="Times New Roman"/>
          <w:w w:val="95"/>
          <w:sz w:val="30"/>
        </w:rPr>
        <w:t>69</w:t>
      </w:r>
    </w:p>
    <w:p>
      <w:pPr>
        <w:tabs>
          <w:tab w:pos="4728" w:val="left" w:leader="none"/>
        </w:tabs>
        <w:spacing w:before="154"/>
        <w:ind w:left="1713" w:right="0" w:firstLine="0"/>
        <w:jc w:val="left"/>
        <w:rPr>
          <w:sz w:val="25"/>
        </w:rPr>
      </w:pPr>
      <w:r>
        <w:rPr>
          <w:spacing w:val="-2"/>
          <w:w w:val="85"/>
          <w:sz w:val="25"/>
        </w:rPr>
        <w:t>卷</w:t>
      </w:r>
      <w:r>
        <w:rPr>
          <w:spacing w:val="-16"/>
          <w:w w:val="85"/>
          <w:sz w:val="25"/>
        </w:rPr>
        <w:t> </w:t>
      </w:r>
      <w:r>
        <w:rPr>
          <w:spacing w:val="-2"/>
          <w:w w:val="85"/>
          <w:sz w:val="25"/>
        </w:rPr>
        <w:t>，</w:t>
      </w:r>
      <w:r>
        <w:rPr>
          <w:spacing w:val="-40"/>
          <w:w w:val="85"/>
          <w:sz w:val="25"/>
        </w:rPr>
        <w:t> </w:t>
      </w:r>
      <w:r>
        <w:rPr>
          <w:spacing w:val="-2"/>
          <w:w w:val="85"/>
          <w:sz w:val="25"/>
        </w:rPr>
        <w:t>第</w:t>
      </w:r>
      <w:r>
        <w:rPr>
          <w:spacing w:val="3"/>
          <w:w w:val="85"/>
          <w:sz w:val="25"/>
        </w:rPr>
        <w:t> </w:t>
      </w:r>
      <w:r>
        <w:rPr>
          <w:rFonts w:ascii="Times New Roman" w:eastAsia="Times New Roman"/>
          <w:spacing w:val="-2"/>
          <w:w w:val="85"/>
          <w:sz w:val="30"/>
        </w:rPr>
        <w:t>9</w:t>
      </w:r>
      <w:r>
        <w:rPr>
          <w:rFonts w:ascii="Times New Roman" w:eastAsia="Times New Roman"/>
          <w:spacing w:val="14"/>
          <w:w w:val="85"/>
          <w:sz w:val="30"/>
        </w:rPr>
        <w:t> </w:t>
      </w:r>
      <w:r>
        <w:rPr>
          <w:spacing w:val="-1"/>
          <w:w w:val="85"/>
          <w:sz w:val="25"/>
        </w:rPr>
        <w:t>期</w:t>
      </w:r>
      <w:r>
        <w:rPr>
          <w:spacing w:val="3"/>
          <w:w w:val="85"/>
          <w:sz w:val="25"/>
        </w:rPr>
        <w:t> </w:t>
      </w:r>
      <w:r>
        <w:rPr>
          <w:spacing w:val="-1"/>
          <w:w w:val="85"/>
          <w:sz w:val="25"/>
        </w:rPr>
        <w:t>，</w:t>
      </w:r>
      <w:r>
        <w:rPr>
          <w:spacing w:val="-46"/>
          <w:w w:val="85"/>
          <w:sz w:val="25"/>
        </w:rPr>
        <w:t> </w:t>
      </w:r>
      <w:r>
        <w:rPr>
          <w:spacing w:val="-1"/>
          <w:w w:val="85"/>
          <w:sz w:val="25"/>
        </w:rPr>
        <w:t>頁</w:t>
      </w:r>
      <w:r>
        <w:rPr>
          <w:spacing w:val="-10"/>
          <w:w w:val="85"/>
          <w:sz w:val="25"/>
        </w:rPr>
        <w:t> </w:t>
      </w:r>
      <w:r>
        <w:rPr>
          <w:rFonts w:ascii="Times New Roman" w:eastAsia="Times New Roman"/>
          <w:spacing w:val="-1"/>
          <w:w w:val="85"/>
          <w:sz w:val="30"/>
        </w:rPr>
        <w:t>54-</w:t>
      </w:r>
      <w:r>
        <w:rPr>
          <w:rFonts w:ascii="Times New Roman" w:eastAsia="Times New Roman"/>
          <w:spacing w:val="-11"/>
          <w:w w:val="85"/>
          <w:sz w:val="30"/>
        </w:rPr>
        <w:t> </w:t>
      </w:r>
      <w:r>
        <w:rPr>
          <w:rFonts w:ascii="Times New Roman" w:eastAsia="Times New Roman"/>
          <w:spacing w:val="-1"/>
          <w:w w:val="85"/>
          <w:sz w:val="30"/>
        </w:rPr>
        <w:t>7,3</w:t>
        <w:tab/>
      </w:r>
      <w:r>
        <w:rPr>
          <w:rFonts w:ascii="Times New Roman" w:eastAsia="Times New Roman"/>
          <w:w w:val="85"/>
          <w:sz w:val="30"/>
        </w:rPr>
        <w:t>2009</w:t>
      </w:r>
      <w:r>
        <w:rPr>
          <w:rFonts w:ascii="Times New Roman" w:eastAsia="Times New Roman"/>
          <w:spacing w:val="34"/>
          <w:w w:val="85"/>
          <w:sz w:val="30"/>
        </w:rPr>
        <w:t> </w:t>
      </w:r>
      <w:r>
        <w:rPr>
          <w:w w:val="85"/>
          <w:sz w:val="24"/>
        </w:rPr>
        <w:t>年</w:t>
      </w:r>
      <w:r>
        <w:rPr>
          <w:spacing w:val="-15"/>
          <w:w w:val="85"/>
          <w:sz w:val="24"/>
        </w:rPr>
        <w:t> </w:t>
      </w:r>
      <w:r>
        <w:rPr>
          <w:rFonts w:ascii="Times New Roman" w:eastAsia="Times New Roman"/>
          <w:w w:val="85"/>
          <w:sz w:val="30"/>
        </w:rPr>
        <w:t>9</w:t>
      </w:r>
      <w:r>
        <w:rPr>
          <w:rFonts w:ascii="Times New Roman" w:eastAsia="Times New Roman"/>
          <w:spacing w:val="45"/>
          <w:w w:val="85"/>
          <w:sz w:val="30"/>
        </w:rPr>
        <w:t> </w:t>
      </w:r>
      <w:r>
        <w:rPr>
          <w:w w:val="85"/>
          <w:sz w:val="25"/>
        </w:rPr>
        <w:t>月</w:t>
      </w:r>
      <w:r>
        <w:rPr>
          <w:spacing w:val="11"/>
          <w:w w:val="85"/>
          <w:sz w:val="25"/>
        </w:rPr>
        <w:t> </w:t>
      </w:r>
      <w:r>
        <w:rPr>
          <w:w w:val="85"/>
          <w:sz w:val="25"/>
        </w:rPr>
        <w:t>。</w:t>
      </w:r>
    </w:p>
    <w:p>
      <w:pPr>
        <w:pStyle w:val="BodyText"/>
        <w:spacing w:before="145"/>
        <w:ind w:left="317"/>
      </w:pPr>
      <w:r>
        <w:rPr>
          <w:spacing w:val="-14"/>
          <w:w w:val="95"/>
        </w:rPr>
        <w:t>張瓊文 ， 日本 行 政訴訟參加制度 ， 法律評論 ， 第 </w:t>
      </w:r>
      <w:r>
        <w:rPr>
          <w:rFonts w:ascii="Times New Roman" w:eastAsia="Times New Roman"/>
          <w:w w:val="95"/>
          <w:sz w:val="30"/>
        </w:rPr>
        <w:t>67</w:t>
      </w:r>
      <w:r>
        <w:rPr>
          <w:rFonts w:ascii="Times New Roman" w:eastAsia="Times New Roman"/>
          <w:spacing w:val="56"/>
          <w:w w:val="95"/>
          <w:sz w:val="30"/>
        </w:rPr>
        <w:t> </w:t>
      </w:r>
      <w:r>
        <w:rPr>
          <w:spacing w:val="9"/>
          <w:w w:val="95"/>
        </w:rPr>
        <w:t>卷第 </w:t>
      </w:r>
      <w:r>
        <w:rPr>
          <w:rFonts w:ascii="Times New Roman" w:eastAsia="Times New Roman"/>
          <w:w w:val="95"/>
          <w:sz w:val="30"/>
        </w:rPr>
        <w:t>1-</w:t>
      </w:r>
      <w:r>
        <w:rPr>
          <w:rFonts w:ascii="Times New Roman" w:eastAsia="Times New Roman"/>
          <w:spacing w:val="-22"/>
          <w:w w:val="95"/>
          <w:sz w:val="30"/>
        </w:rPr>
        <w:t> </w:t>
      </w:r>
      <w:r>
        <w:rPr>
          <w:rFonts w:ascii="Times New Roman" w:eastAsia="Times New Roman"/>
          <w:w w:val="95"/>
          <w:sz w:val="30"/>
        </w:rPr>
        <w:t>3</w:t>
      </w:r>
      <w:r>
        <w:rPr>
          <w:rFonts w:ascii="Times New Roman" w:eastAsia="Times New Roman"/>
          <w:spacing w:val="15"/>
          <w:w w:val="95"/>
          <w:sz w:val="30"/>
        </w:rPr>
        <w:t> </w:t>
      </w:r>
      <w:r>
        <w:rPr>
          <w:spacing w:val="-6"/>
          <w:w w:val="95"/>
        </w:rPr>
        <w:t>期合刊 ， 頁</w:t>
      </w:r>
    </w:p>
    <w:p>
      <w:pPr>
        <w:spacing w:before="154"/>
        <w:ind w:left="1712" w:right="0" w:firstLine="0"/>
        <w:jc w:val="left"/>
        <w:rPr>
          <w:sz w:val="25"/>
        </w:rPr>
      </w:pPr>
      <w:r>
        <w:rPr>
          <w:rFonts w:ascii="Times New Roman" w:eastAsia="Times New Roman"/>
          <w:w w:val="95"/>
          <w:sz w:val="30"/>
        </w:rPr>
        <w:t>6-23,</w:t>
      </w:r>
      <w:r>
        <w:rPr>
          <w:rFonts w:ascii="Times New Roman" w:eastAsia="Times New Roman"/>
          <w:spacing w:val="64"/>
          <w:w w:val="95"/>
          <w:sz w:val="30"/>
        </w:rPr>
        <w:t> </w:t>
      </w:r>
      <w:r>
        <w:rPr>
          <w:rFonts w:ascii="Times New Roman" w:eastAsia="Times New Roman"/>
          <w:w w:val="95"/>
          <w:sz w:val="30"/>
        </w:rPr>
        <w:t>2001</w:t>
      </w:r>
      <w:r>
        <w:rPr>
          <w:rFonts w:ascii="Times New Roman" w:eastAsia="Times New Roman"/>
          <w:spacing w:val="15"/>
          <w:w w:val="95"/>
          <w:sz w:val="30"/>
        </w:rPr>
        <w:t> </w:t>
      </w:r>
      <w:r>
        <w:rPr>
          <w:spacing w:val="-16"/>
          <w:w w:val="95"/>
          <w:sz w:val="24"/>
        </w:rPr>
        <w:t>年 </w:t>
      </w:r>
      <w:r>
        <w:rPr>
          <w:rFonts w:ascii="Times New Roman" w:eastAsia="Times New Roman"/>
          <w:w w:val="95"/>
          <w:sz w:val="30"/>
        </w:rPr>
        <w:t>3</w:t>
      </w:r>
      <w:r>
        <w:rPr>
          <w:rFonts w:ascii="Times New Roman" w:eastAsia="Times New Roman"/>
          <w:spacing w:val="24"/>
          <w:w w:val="95"/>
          <w:sz w:val="30"/>
        </w:rPr>
        <w:t> </w:t>
      </w:r>
      <w:r>
        <w:rPr>
          <w:w w:val="95"/>
          <w:sz w:val="25"/>
        </w:rPr>
        <w:t>月</w:t>
      </w:r>
    </w:p>
    <w:p>
      <w:pPr>
        <w:pStyle w:val="BodyText"/>
        <w:spacing w:before="150"/>
        <w:ind w:left="308"/>
      </w:pPr>
      <w:r>
        <w:rPr>
          <w:spacing w:val="-4"/>
          <w:w w:val="95"/>
        </w:rPr>
        <w:t>程明修 ， 對公務人員職 務調動處分的行政訴訟 ， 法學講座 ， 第 </w:t>
      </w:r>
      <w:r>
        <w:rPr>
          <w:rFonts w:ascii="Times New Roman" w:eastAsia="Times New Roman"/>
          <w:w w:val="95"/>
          <w:sz w:val="30"/>
        </w:rPr>
        <w:t>16</w:t>
      </w:r>
      <w:r>
        <w:rPr>
          <w:rFonts w:ascii="Times New Roman" w:eastAsia="Times New Roman"/>
          <w:spacing w:val="49"/>
          <w:w w:val="95"/>
          <w:sz w:val="30"/>
        </w:rPr>
        <w:t> </w:t>
      </w:r>
      <w:r>
        <w:rPr>
          <w:spacing w:val="-8"/>
          <w:w w:val="95"/>
        </w:rPr>
        <w:t>期 ， 頁</w:t>
      </w:r>
    </w:p>
    <w:p>
      <w:pPr>
        <w:spacing w:before="154"/>
        <w:ind w:left="1700" w:right="0" w:firstLine="0"/>
        <w:jc w:val="left"/>
        <w:rPr>
          <w:sz w:val="25"/>
        </w:rPr>
      </w:pPr>
      <w:r>
        <w:rPr>
          <w:rFonts w:ascii="Times New Roman" w:eastAsia="Times New Roman"/>
          <w:w w:val="95"/>
          <w:sz w:val="30"/>
        </w:rPr>
        <w:t>18-31,</w:t>
      </w:r>
      <w:r>
        <w:rPr>
          <w:rFonts w:ascii="Times New Roman" w:eastAsia="Times New Roman"/>
          <w:spacing w:val="58"/>
          <w:w w:val="95"/>
          <w:sz w:val="30"/>
        </w:rPr>
        <w:t> </w:t>
      </w:r>
      <w:r>
        <w:rPr>
          <w:rFonts w:ascii="Times New Roman" w:eastAsia="Times New Roman"/>
          <w:w w:val="95"/>
          <w:sz w:val="30"/>
        </w:rPr>
        <w:t>200</w:t>
      </w:r>
      <w:r>
        <w:rPr>
          <w:rFonts w:ascii="Times New Roman" w:eastAsia="Times New Roman"/>
          <w:spacing w:val="-19"/>
          <w:w w:val="95"/>
          <w:sz w:val="30"/>
        </w:rPr>
        <w:t> </w:t>
      </w:r>
      <w:r>
        <w:rPr>
          <w:rFonts w:ascii="Times New Roman" w:eastAsia="Times New Roman"/>
          <w:w w:val="95"/>
          <w:sz w:val="30"/>
        </w:rPr>
        <w:t>3</w:t>
      </w:r>
      <w:r>
        <w:rPr>
          <w:rFonts w:ascii="Times New Roman" w:eastAsia="Times New Roman"/>
          <w:spacing w:val="4"/>
          <w:w w:val="95"/>
          <w:sz w:val="30"/>
        </w:rPr>
        <w:t> </w:t>
      </w:r>
      <w:r>
        <w:rPr>
          <w:spacing w:val="-15"/>
          <w:w w:val="95"/>
          <w:sz w:val="24"/>
        </w:rPr>
        <w:t>年 </w:t>
      </w:r>
      <w:r>
        <w:rPr>
          <w:rFonts w:ascii="Times New Roman" w:eastAsia="Times New Roman"/>
          <w:w w:val="95"/>
          <w:sz w:val="30"/>
        </w:rPr>
        <w:t>4</w:t>
      </w:r>
      <w:r>
        <w:rPr>
          <w:rFonts w:ascii="Times New Roman" w:eastAsia="Times New Roman"/>
          <w:spacing w:val="38"/>
          <w:w w:val="95"/>
          <w:sz w:val="30"/>
        </w:rPr>
        <w:t> </w:t>
      </w:r>
      <w:r>
        <w:rPr>
          <w:spacing w:val="-2"/>
          <w:w w:val="95"/>
          <w:sz w:val="25"/>
        </w:rPr>
        <w:t>月 。</w:t>
      </w:r>
    </w:p>
    <w:p>
      <w:pPr>
        <w:pStyle w:val="BodyText"/>
        <w:spacing w:before="174"/>
        <w:ind w:left="308"/>
      </w:pPr>
      <w:r>
        <w:rPr>
          <w:w w:val="110"/>
        </w:rPr>
        <w:t>程明修，公務人員陞遷之救濟，公務人員保障暨培訓委員會委託硏究計</w:t>
      </w:r>
    </w:p>
    <w:p>
      <w:pPr>
        <w:spacing w:before="159"/>
        <w:ind w:left="1727" w:right="0" w:firstLine="0"/>
        <w:jc w:val="left"/>
        <w:rPr>
          <w:sz w:val="25"/>
        </w:rPr>
      </w:pPr>
      <w:r>
        <w:rPr>
          <w:spacing w:val="-15"/>
          <w:w w:val="85"/>
          <w:sz w:val="26"/>
        </w:rPr>
        <w:t>畫 ， </w:t>
      </w:r>
      <w:r>
        <w:rPr>
          <w:rFonts w:ascii="Times New Roman" w:eastAsia="Times New Roman"/>
          <w:w w:val="85"/>
          <w:sz w:val="30"/>
        </w:rPr>
        <w:t>2005</w:t>
      </w:r>
      <w:r>
        <w:rPr>
          <w:rFonts w:ascii="Times New Roman" w:eastAsia="Times New Roman"/>
          <w:spacing w:val="22"/>
          <w:w w:val="85"/>
          <w:sz w:val="30"/>
        </w:rPr>
        <w:t> </w:t>
      </w:r>
      <w:r>
        <w:rPr>
          <w:spacing w:val="-17"/>
          <w:w w:val="85"/>
          <w:sz w:val="24"/>
        </w:rPr>
        <w:t>年 </w:t>
      </w:r>
      <w:r>
        <w:rPr>
          <w:rFonts w:ascii="Times New Roman" w:eastAsia="Times New Roman"/>
          <w:w w:val="85"/>
          <w:sz w:val="30"/>
        </w:rPr>
        <w:t>10</w:t>
      </w:r>
      <w:r>
        <w:rPr>
          <w:rFonts w:ascii="Times New Roman" w:eastAsia="Times New Roman"/>
          <w:spacing w:val="46"/>
          <w:w w:val="85"/>
          <w:sz w:val="30"/>
        </w:rPr>
        <w:t> </w:t>
      </w:r>
      <w:r>
        <w:rPr>
          <w:spacing w:val="1"/>
          <w:w w:val="85"/>
          <w:sz w:val="25"/>
        </w:rPr>
        <w:t>月 。</w:t>
      </w:r>
    </w:p>
    <w:p>
      <w:pPr>
        <w:spacing w:after="0"/>
        <w:jc w:val="left"/>
        <w:rPr>
          <w:sz w:val="25"/>
        </w:rPr>
        <w:sectPr>
          <w:pgSz w:w="11910" w:h="16840"/>
          <w:pgMar w:header="862" w:footer="1017" w:top="1060" w:bottom="1200" w:left="1120" w:right="1060"/>
        </w:sectPr>
      </w:pPr>
    </w:p>
    <w:p>
      <w:pPr>
        <w:spacing w:before="142"/>
        <w:ind w:left="308" w:right="0" w:firstLine="0"/>
        <w:jc w:val="left"/>
        <w:rPr>
          <w:rFonts w:ascii="Times New Roman" w:eastAsia="Times New Roman"/>
          <w:sz w:val="30"/>
        </w:rPr>
      </w:pPr>
      <w:r>
        <w:rPr>
          <w:spacing w:val="-1"/>
          <w:w w:val="85"/>
          <w:sz w:val="25"/>
        </w:rPr>
        <w:t>程明修 ，職 務 安 定原則 ， 月 旦法學教 室 ， 第 </w:t>
      </w:r>
      <w:r>
        <w:rPr>
          <w:rFonts w:ascii="Times New Roman" w:eastAsia="Times New Roman"/>
          <w:w w:val="85"/>
          <w:sz w:val="30"/>
        </w:rPr>
        <w:t>39</w:t>
      </w:r>
      <w:r>
        <w:rPr>
          <w:rFonts w:ascii="Times New Roman" w:eastAsia="Times New Roman"/>
          <w:spacing w:val="33"/>
          <w:w w:val="85"/>
          <w:sz w:val="30"/>
        </w:rPr>
        <w:t> </w:t>
      </w:r>
      <w:r>
        <w:rPr>
          <w:spacing w:val="-1"/>
          <w:w w:val="85"/>
          <w:sz w:val="25"/>
        </w:rPr>
        <w:t>期 ， 頁 </w:t>
      </w:r>
      <w:r>
        <w:rPr>
          <w:rFonts w:ascii="Times New Roman" w:eastAsia="Times New Roman"/>
          <w:w w:val="85"/>
          <w:sz w:val="30"/>
        </w:rPr>
        <w:t>32-</w:t>
      </w:r>
      <w:r>
        <w:rPr>
          <w:rFonts w:ascii="Times New Roman" w:eastAsia="Times New Roman"/>
          <w:spacing w:val="-27"/>
          <w:w w:val="85"/>
          <w:sz w:val="30"/>
        </w:rPr>
        <w:t> </w:t>
      </w:r>
      <w:r>
        <w:rPr>
          <w:rFonts w:ascii="Times New Roman" w:eastAsia="Times New Roman"/>
          <w:w w:val="85"/>
          <w:sz w:val="30"/>
        </w:rPr>
        <w:t>3,3</w:t>
      </w:r>
    </w:p>
    <w:p>
      <w:pPr>
        <w:pStyle w:val="BodyText"/>
        <w:spacing w:before="180"/>
        <w:ind w:left="1729"/>
      </w:pPr>
      <w:r>
        <w:rPr>
          <w:w w:val="85"/>
        </w:rPr>
        <w:t>月。</w:t>
      </w:r>
    </w:p>
    <w:p>
      <w:pPr>
        <w:spacing w:before="142"/>
        <w:ind w:left="234" w:right="0" w:firstLine="0"/>
        <w:jc w:val="left"/>
        <w:rPr>
          <w:rFonts w:ascii="Times New Roman" w:eastAsia="Times New Roman"/>
          <w:sz w:val="30"/>
        </w:rPr>
      </w:pPr>
      <w:r>
        <w:rPr/>
        <w:br w:type="column"/>
      </w:r>
      <w:r>
        <w:rPr>
          <w:rFonts w:ascii="Times New Roman" w:eastAsia="Times New Roman"/>
          <w:sz w:val="30"/>
        </w:rPr>
        <w:t>2006</w:t>
      </w:r>
      <w:r>
        <w:rPr>
          <w:rFonts w:ascii="Times New Roman" w:eastAsia="Times New Roman"/>
          <w:spacing w:val="52"/>
          <w:sz w:val="30"/>
        </w:rPr>
        <w:t> </w:t>
      </w:r>
      <w:r>
        <w:rPr>
          <w:spacing w:val="-15"/>
          <w:sz w:val="24"/>
        </w:rPr>
        <w:t>年 </w:t>
      </w:r>
      <w:r>
        <w:rPr>
          <w:rFonts w:ascii="Times New Roman" w:eastAsia="Times New Roman"/>
          <w:sz w:val="30"/>
        </w:rPr>
        <w:t>l</w:t>
      </w:r>
    </w:p>
    <w:p>
      <w:pPr>
        <w:spacing w:after="0"/>
        <w:jc w:val="left"/>
        <w:rPr>
          <w:rFonts w:ascii="Times New Roman" w:eastAsia="Times New Roman"/>
          <w:sz w:val="30"/>
        </w:rPr>
        <w:sectPr>
          <w:type w:val="continuous"/>
          <w:pgSz w:w="11910" w:h="16840"/>
          <w:pgMar w:top="1020" w:bottom="280" w:left="1120" w:right="1060"/>
          <w:cols w:num="2" w:equalWidth="0">
            <w:col w:w="7756" w:space="40"/>
            <w:col w:w="1934"/>
          </w:cols>
        </w:sectPr>
      </w:pPr>
    </w:p>
    <w:p>
      <w:pPr>
        <w:pStyle w:val="BodyText"/>
        <w:spacing w:before="10"/>
        <w:rPr>
          <w:rFonts w:ascii="Times New Roman"/>
          <w:sz w:val="9"/>
        </w:rPr>
      </w:pPr>
    </w:p>
    <w:p>
      <w:pPr>
        <w:tabs>
          <w:tab w:pos="4458" w:val="left" w:leader="none"/>
        </w:tabs>
        <w:spacing w:line="352" w:lineRule="auto" w:before="66"/>
        <w:ind w:left="1716" w:right="531" w:hanging="1417"/>
        <w:jc w:val="left"/>
        <w:rPr>
          <w:sz w:val="25"/>
        </w:rPr>
      </w:pPr>
      <w:r>
        <w:rPr>
          <w:sz w:val="25"/>
        </w:rPr>
        <w:t>劉建宏，公務員法上之競爭訴訟與訴訟參加，載：基本人權保障與行政救    </w:t>
      </w:r>
      <w:r>
        <w:rPr>
          <w:spacing w:val="3"/>
          <w:sz w:val="25"/>
        </w:rPr>
        <w:t> </w:t>
      </w:r>
      <w:r>
        <w:rPr>
          <w:spacing w:val="5"/>
          <w:w w:val="107"/>
          <w:sz w:val="25"/>
        </w:rPr>
        <w:t>濟</w:t>
      </w:r>
      <w:r>
        <w:rPr>
          <w:spacing w:val="2"/>
          <w:w w:val="109"/>
          <w:sz w:val="25"/>
        </w:rPr>
        <w:t>途</w:t>
      </w:r>
      <w:r>
        <w:rPr>
          <w:w w:val="108"/>
          <w:sz w:val="25"/>
        </w:rPr>
        <w:t>徑</w:t>
      </w:r>
      <w:r>
        <w:rPr>
          <w:spacing w:val="-24"/>
          <w:sz w:val="25"/>
        </w:rPr>
        <w:t> </w:t>
      </w:r>
      <w:r>
        <w:rPr>
          <w:w w:val="62"/>
          <w:sz w:val="25"/>
        </w:rPr>
        <w:t>，</w:t>
      </w:r>
      <w:r>
        <w:rPr>
          <w:spacing w:val="-61"/>
          <w:sz w:val="25"/>
        </w:rPr>
        <w:t> </w:t>
      </w:r>
      <w:r>
        <w:rPr>
          <w:w w:val="89"/>
          <w:sz w:val="25"/>
        </w:rPr>
        <w:t>頁</w:t>
      </w:r>
      <w:r>
        <w:rPr>
          <w:spacing w:val="-16"/>
          <w:sz w:val="25"/>
        </w:rPr>
        <w:t> </w:t>
      </w:r>
      <w:r>
        <w:rPr>
          <w:rFonts w:ascii="Times New Roman" w:eastAsia="Times New Roman"/>
          <w:spacing w:val="2"/>
          <w:w w:val="82"/>
          <w:sz w:val="30"/>
        </w:rPr>
        <w:t>2</w:t>
      </w:r>
      <w:r>
        <w:rPr>
          <w:rFonts w:ascii="Times New Roman" w:eastAsia="Times New Roman"/>
          <w:w w:val="92"/>
          <w:sz w:val="30"/>
        </w:rPr>
        <w:t>11-</w:t>
      </w:r>
      <w:r>
        <w:rPr>
          <w:rFonts w:ascii="Times New Roman" w:eastAsia="Times New Roman"/>
          <w:spacing w:val="-12"/>
          <w:sz w:val="30"/>
        </w:rPr>
        <w:t> </w:t>
      </w:r>
      <w:r>
        <w:rPr>
          <w:rFonts w:ascii="Times New Roman" w:eastAsia="Times New Roman"/>
          <w:w w:val="82"/>
          <w:sz w:val="30"/>
        </w:rPr>
        <w:t>23</w:t>
      </w:r>
      <w:r>
        <w:rPr>
          <w:rFonts w:ascii="Times New Roman" w:eastAsia="Times New Roman"/>
          <w:spacing w:val="-123"/>
          <w:w w:val="82"/>
          <w:sz w:val="30"/>
        </w:rPr>
        <w:t>1</w:t>
      </w:r>
      <w:r>
        <w:rPr>
          <w:rFonts w:ascii="Times New Roman" w:eastAsia="Times New Roman"/>
          <w:w w:val="53"/>
          <w:sz w:val="30"/>
        </w:rPr>
        <w:t>,</w:t>
      </w:r>
      <w:r>
        <w:rPr>
          <w:rFonts w:ascii="Times New Roman" w:eastAsia="Times New Roman"/>
          <w:sz w:val="30"/>
        </w:rPr>
        <w:tab/>
      </w:r>
      <w:r>
        <w:rPr>
          <w:spacing w:val="20"/>
          <w:w w:val="101"/>
          <w:sz w:val="25"/>
        </w:rPr>
        <w:t>元</w:t>
      </w:r>
      <w:r>
        <w:rPr>
          <w:spacing w:val="21"/>
          <w:w w:val="107"/>
          <w:sz w:val="25"/>
        </w:rPr>
        <w:t>照</w:t>
      </w:r>
      <w:r>
        <w:rPr>
          <w:w w:val="92"/>
          <w:sz w:val="25"/>
        </w:rPr>
        <w:t>出版</w:t>
      </w:r>
      <w:r>
        <w:rPr>
          <w:spacing w:val="-29"/>
          <w:sz w:val="25"/>
        </w:rPr>
        <w:t> </w:t>
      </w:r>
      <w:r>
        <w:rPr>
          <w:spacing w:val="30"/>
          <w:w w:val="110"/>
          <w:sz w:val="25"/>
        </w:rPr>
        <w:t>公</w:t>
      </w:r>
      <w:r>
        <w:rPr>
          <w:w w:val="86"/>
          <w:sz w:val="25"/>
        </w:rPr>
        <w:t>司</w:t>
      </w:r>
      <w:r>
        <w:rPr>
          <w:spacing w:val="-5"/>
          <w:sz w:val="25"/>
        </w:rPr>
        <w:t> </w:t>
      </w:r>
      <w:r>
        <w:rPr>
          <w:w w:val="62"/>
          <w:sz w:val="25"/>
        </w:rPr>
        <w:t>，</w:t>
      </w:r>
      <w:r>
        <w:rPr>
          <w:spacing w:val="-84"/>
          <w:sz w:val="25"/>
        </w:rPr>
        <w:t> </w:t>
      </w:r>
      <w:r>
        <w:rPr>
          <w:rFonts w:ascii="Times New Roman" w:eastAsia="Times New Roman"/>
          <w:w w:val="82"/>
          <w:sz w:val="30"/>
        </w:rPr>
        <w:t>2007</w:t>
      </w:r>
      <w:r>
        <w:rPr>
          <w:rFonts w:ascii="Times New Roman" w:eastAsia="Times New Roman"/>
          <w:sz w:val="30"/>
        </w:rPr>
        <w:t> </w:t>
      </w:r>
      <w:r>
        <w:rPr>
          <w:rFonts w:ascii="Times New Roman" w:eastAsia="Times New Roman"/>
          <w:spacing w:val="-8"/>
          <w:sz w:val="30"/>
        </w:rPr>
        <w:t> </w:t>
      </w:r>
      <w:r>
        <w:rPr>
          <w:w w:val="110"/>
          <w:sz w:val="24"/>
        </w:rPr>
        <w:t>年</w:t>
      </w:r>
      <w:r>
        <w:rPr>
          <w:spacing w:val="-40"/>
          <w:sz w:val="24"/>
        </w:rPr>
        <w:t> </w:t>
      </w:r>
      <w:r>
        <w:rPr>
          <w:rFonts w:ascii="Times New Roman" w:eastAsia="Times New Roman"/>
          <w:w w:val="82"/>
          <w:sz w:val="30"/>
        </w:rPr>
        <w:t>9</w:t>
      </w:r>
      <w:r>
        <w:rPr>
          <w:rFonts w:ascii="Times New Roman" w:eastAsia="Times New Roman"/>
          <w:spacing w:val="28"/>
          <w:sz w:val="30"/>
        </w:rPr>
        <w:t> </w:t>
      </w:r>
      <w:r>
        <w:rPr>
          <w:w w:val="90"/>
          <w:sz w:val="25"/>
        </w:rPr>
        <w:t>月</w:t>
      </w:r>
      <w:r>
        <w:rPr>
          <w:spacing w:val="-22"/>
          <w:sz w:val="25"/>
        </w:rPr>
        <w:t> </w:t>
      </w:r>
      <w:r>
        <w:rPr>
          <w:w w:val="90"/>
          <w:sz w:val="25"/>
        </w:rPr>
        <w:t>。</w:t>
      </w:r>
    </w:p>
    <w:p>
      <w:pPr>
        <w:spacing w:after="0" w:line="352" w:lineRule="auto"/>
        <w:jc w:val="left"/>
        <w:rPr>
          <w:sz w:val="25"/>
        </w:rPr>
        <w:sectPr>
          <w:type w:val="continuous"/>
          <w:pgSz w:w="11910" w:h="16840"/>
          <w:pgMar w:top="1020" w:bottom="280" w:left="1120" w:right="1060"/>
        </w:sectPr>
      </w:pPr>
    </w:p>
    <w:p>
      <w:pPr>
        <w:pStyle w:val="BodyText"/>
        <w:rPr>
          <w:sz w:val="20"/>
        </w:rPr>
      </w:pPr>
    </w:p>
    <w:p>
      <w:pPr>
        <w:pStyle w:val="BodyText"/>
        <w:rPr>
          <w:sz w:val="18"/>
        </w:rPr>
      </w:pPr>
    </w:p>
    <w:p>
      <w:pPr>
        <w:pStyle w:val="BodyText"/>
        <w:ind w:left="298"/>
        <w:rPr>
          <w:sz w:val="20"/>
        </w:rPr>
      </w:pPr>
      <w:r>
        <w:rPr>
          <w:sz w:val="20"/>
        </w:rPr>
        <w:drawing>
          <wp:inline distT="0" distB="0" distL="0" distR="0">
            <wp:extent cx="5816219" cy="178307"/>
            <wp:effectExtent l="0" t="0" r="0" b="0"/>
            <wp:docPr id="377" name="image478.png"/>
            <wp:cNvGraphicFramePr>
              <a:graphicFrameLocks noChangeAspect="1"/>
            </wp:cNvGraphicFramePr>
            <a:graphic>
              <a:graphicData uri="http://schemas.openxmlformats.org/drawingml/2006/picture">
                <pic:pic>
                  <pic:nvPicPr>
                    <pic:cNvPr id="378" name="image478.png"/>
                    <pic:cNvPicPr/>
                  </pic:nvPicPr>
                  <pic:blipFill>
                    <a:blip r:embed="rId530" cstate="print"/>
                    <a:stretch>
                      <a:fillRect/>
                    </a:stretch>
                  </pic:blipFill>
                  <pic:spPr>
                    <a:xfrm>
                      <a:off x="0" y="0"/>
                      <a:ext cx="5816219" cy="178307"/>
                    </a:xfrm>
                    <a:prstGeom prst="rect">
                      <a:avLst/>
                    </a:prstGeom>
                  </pic:spPr>
                </pic:pic>
              </a:graphicData>
            </a:graphic>
          </wp:inline>
        </w:drawing>
      </w:r>
      <w:r>
        <w:rPr>
          <w:sz w:val="20"/>
        </w:rPr>
      </w:r>
    </w:p>
    <w:p>
      <w:pPr>
        <w:pStyle w:val="BodyText"/>
        <w:spacing w:before="12"/>
        <w:rPr>
          <w:sz w:val="13"/>
        </w:rPr>
      </w:pPr>
      <w:r>
        <w:rPr/>
        <w:pict>
          <v:group style="position:absolute;margin-left:140.899994pt;margin-top:10.91pt;width:386.5pt;height:14.05pt;mso-position-horizontal-relative:page;mso-position-vertical-relative:paragraph;z-index:-15575552;mso-wrap-distance-left:0;mso-wrap-distance-right:0" coordorigin="2818,218" coordsize="7730,281">
            <v:shape style="position:absolute;left:2818;top:218;width:2857;height:281" type="#_x0000_t75" stroked="false">
              <v:imagedata r:id="rId531" o:title=""/>
            </v:shape>
            <v:shape style="position:absolute;left:5389;top:218;width:564;height:281" type="#_x0000_t75" stroked="false">
              <v:imagedata r:id="rId532" o:title=""/>
            </v:shape>
            <v:shape style="position:absolute;left:5811;top:218;width:288;height:281" type="#_x0000_t75" stroked="false">
              <v:imagedata r:id="rId533" o:title=""/>
            </v:shape>
            <v:shape style="position:absolute;left:5955;top:218;width:567;height:281" type="#_x0000_t75" stroked="false">
              <v:imagedata r:id="rId534" o:title=""/>
            </v:shape>
            <v:shape style="position:absolute;left:6371;top:218;width:2512;height:281" type="#_x0000_t75" stroked="false">
              <v:imagedata r:id="rId535" o:title=""/>
            </v:shape>
            <v:shape style="position:absolute;left:8603;top:218;width:798;height:281" type="#_x0000_t75" stroked="false">
              <v:imagedata r:id="rId536" o:title=""/>
            </v:shape>
            <v:shape style="position:absolute;left:9242;top:218;width:706;height:281" type="#_x0000_t75" stroked="false">
              <v:imagedata r:id="rId537" o:title=""/>
            </v:shape>
            <v:shape style="position:absolute;left:9594;top:218;width:423;height:281" type="#_x0000_t75" stroked="false">
              <v:imagedata r:id="rId538" o:title=""/>
            </v:shape>
            <v:shape style="position:absolute;left:9806;top:218;width:742;height:281" type="#_x0000_t75" stroked="false">
              <v:imagedata r:id="rId539" o:title=""/>
            </v:shape>
            <w10:wrap type="topAndBottom"/>
          </v:group>
        </w:pict>
      </w:r>
      <w:r>
        <w:rPr/>
        <w:pict>
          <v:group style="position:absolute;margin-left:70.944pt;margin-top:35.990002pt;width:451.1pt;height:14.05pt;mso-position-horizontal-relative:page;mso-position-vertical-relative:paragraph;z-index:-15575040;mso-wrap-distance-left:0;mso-wrap-distance-right:0" coordorigin="1419,720" coordsize="9022,281">
            <v:shape style="position:absolute;left:1418;top:719;width:6334;height:281" type="#_x0000_t75" stroked="false">
              <v:imagedata r:id="rId540" o:title=""/>
            </v:shape>
            <v:shape style="position:absolute;left:7477;top:719;width:418;height:281" type="#_x0000_t75" stroked="false">
              <v:imagedata r:id="rId541" o:title=""/>
            </v:shape>
            <v:shape style="position:absolute;left:7686;top:719;width:1136;height:281" type="#_x0000_t75" stroked="false">
              <v:imagedata r:id="rId542" o:title=""/>
            </v:shape>
            <v:shape style="position:absolute;left:8538;top:719;width:560;height:281" type="#_x0000_t75" stroked="false">
              <v:imagedata r:id="rId543" o:title=""/>
            </v:shape>
            <v:shape style="position:absolute;left:8958;top:719;width:284;height:281" type="#_x0000_t75" stroked="false">
              <v:imagedata r:id="rId544" o:title=""/>
            </v:shape>
            <v:shape style="position:absolute;left:9100;top:719;width:557;height:281" type="#_x0000_t75" stroked="false">
              <v:imagedata r:id="rId545" o:title=""/>
            </v:shape>
            <v:shape style="position:absolute;left:9489;top:719;width:504;height:281" type="#_x0000_t75" stroked="false">
              <v:imagedata r:id="rId546" o:title=""/>
            </v:shape>
            <v:shape style="position:absolute;left:9741;top:719;width:699;height:281" type="#_x0000_t75" stroked="false">
              <v:imagedata r:id="rId547" o:title=""/>
            </v:shape>
            <w10:wrap type="topAndBottom"/>
          </v:group>
        </w:pict>
      </w:r>
      <w:r>
        <w:rPr/>
        <w:pict>
          <v:group style="position:absolute;margin-left:140.899994pt;margin-top:60.950001pt;width:70.1pt;height:14.05pt;mso-position-horizontal-relative:page;mso-position-vertical-relative:paragraph;z-index:-15574528;mso-wrap-distance-left:0;mso-wrap-distance-right:0" coordorigin="2818,1219" coordsize="1402,281">
            <v:shape style="position:absolute;left:2818;top:1219;width:701;height:281" type="#_x0000_t75" stroked="false">
              <v:imagedata r:id="rId548" o:title=""/>
            </v:shape>
            <v:shape style="position:absolute;left:3168;top:1219;width:418;height:281" type="#_x0000_t75" stroked="false">
              <v:imagedata r:id="rId541" o:title=""/>
            </v:shape>
            <v:shape style="position:absolute;left:3377;top:1219;width:562;height:281" type="#_x0000_t75" stroked="false">
              <v:imagedata r:id="rId549" o:title=""/>
            </v:shape>
            <v:shape style="position:absolute;left:3658;top:1219;width:562;height:281" type="#_x0000_t75" stroked="false">
              <v:imagedata r:id="rId550" o:title=""/>
            </v:shape>
            <w10:wrap type="topAndBottom"/>
          </v:group>
        </w:pict>
      </w:r>
      <w:r>
        <w:rPr/>
        <w:pict>
          <v:group style="position:absolute;margin-left:70.944pt;margin-top:85.910004pt;width:458.15pt;height:14.05pt;mso-position-horizontal-relative:page;mso-position-vertical-relative:paragraph;z-index:-15574016;mso-wrap-distance-left:0;mso-wrap-distance-right:0" coordorigin="1419,1718" coordsize="9163,281">
            <v:shape style="position:absolute;left:1418;top:1718;width:5440;height:281" type="#_x0000_t75" stroked="false">
              <v:imagedata r:id="rId551" o:title=""/>
            </v:shape>
            <v:shape style="position:absolute;left:6572;top:1718;width:591;height:281" type="#_x0000_t75" stroked="false">
              <v:imagedata r:id="rId552" o:title=""/>
            </v:shape>
            <v:shape style="position:absolute;left:6966;top:1718;width:1274;height:281" type="#_x0000_t75" stroked="false">
              <v:imagedata r:id="rId553" o:title=""/>
            </v:shape>
            <v:shape style="position:absolute;left:7921;top:1718;width:557;height:281" type="#_x0000_t75" stroked="false">
              <v:imagedata r:id="rId554" o:title=""/>
            </v:shape>
            <v:shape style="position:absolute;left:8339;top:1718;width:284;height:281" type="#_x0000_t75" stroked="false">
              <v:imagedata r:id="rId544" o:title=""/>
            </v:shape>
            <v:shape style="position:absolute;left:8480;top:1718;width:557;height:281" type="#_x0000_t75" stroked="false">
              <v:imagedata r:id="rId555" o:title=""/>
            </v:shape>
            <v:shape style="position:absolute;left:8898;top:1718;width:1683;height:281" type="#_x0000_t75" stroked="false">
              <v:imagedata r:id="rId556" o:title=""/>
            </v:shape>
            <w10:wrap type="topAndBottom"/>
          </v:group>
        </w:pict>
      </w:r>
      <w:r>
        <w:rPr/>
        <w:pict>
          <v:group style="position:absolute;margin-left:140.899994pt;margin-top:110.989998pt;width:108.65pt;height:14.05pt;mso-position-horizontal-relative:page;mso-position-vertical-relative:paragraph;z-index:-15573504;mso-wrap-distance-left:0;mso-wrap-distance-right:0" coordorigin="2818,2220" coordsize="2173,281">
            <v:shape style="position:absolute;left:2818;top:2219;width:789;height:281" type="#_x0000_t75" stroked="false">
              <v:imagedata r:id="rId557" o:title=""/>
            </v:shape>
            <v:shape style="position:absolute;left:3449;top:2219;width:701;height:281" type="#_x0000_t75" stroked="false">
              <v:imagedata r:id="rId548" o:title=""/>
            </v:shape>
            <v:shape style="position:absolute;left:3799;top:2219;width:522;height:281" type="#_x0000_t75" stroked="false">
              <v:imagedata r:id="rId558" o:title=""/>
            </v:shape>
            <v:shape style="position:absolute;left:4148;top:2219;width:843;height:281" type="#_x0000_t75" stroked="false">
              <v:imagedata r:id="rId559" o:title=""/>
            </v:shape>
            <w10:wrap type="topAndBottom"/>
          </v:group>
        </w:pict>
      </w:r>
      <w:r>
        <w:rPr/>
        <w:pict>
          <v:group style="position:absolute;margin-left:70.944pt;margin-top:135.949997pt;width:457.65pt;height:14.05pt;mso-position-horizontal-relative:page;mso-position-vertical-relative:paragraph;z-index:-15572992;mso-wrap-distance-left:0;mso-wrap-distance-right:0" coordorigin="1419,2719" coordsize="9153,281">
            <v:shape style="position:absolute;left:1418;top:2719;width:7914;height:281" type="#_x0000_t75" stroked="false">
              <v:imagedata r:id="rId560" o:title=""/>
            </v:shape>
            <v:shape style="position:absolute;left:9050;top:2719;width:560;height:281" type="#_x0000_t75" stroked="false">
              <v:imagedata r:id="rId561" o:title=""/>
            </v:shape>
            <v:shape style="position:absolute;left:9470;top:2719;width:279;height:281" type="#_x0000_t75" stroked="false">
              <v:imagedata r:id="rId562" o:title=""/>
            </v:shape>
            <v:shape style="position:absolute;left:9609;top:2719;width:560;height:281" type="#_x0000_t75" stroked="false">
              <v:imagedata r:id="rId563" o:title=""/>
            </v:shape>
            <v:shape style="position:absolute;left:10029;top:2719;width:543;height:281" type="#_x0000_t75" stroked="false">
              <v:imagedata r:id="rId564" o:title=""/>
            </v:shape>
            <w10:wrap type="topAndBottom"/>
          </v:group>
        </w:pict>
      </w:r>
      <w:r>
        <w:rPr/>
        <w:pict>
          <v:group style="position:absolute;margin-left:140.899994pt;margin-top:160.940002pt;width:227.55pt;height:14.05pt;mso-position-horizontal-relative:page;mso-position-vertical-relative:paragraph;z-index:-15572480;mso-wrap-distance-left:0;mso-wrap-distance-right:0" coordorigin="2818,3219" coordsize="4551,281">
            <v:shape style="position:absolute;left:2818;top:3218;width:2801;height:281" type="#_x0000_t75" stroked="false">
              <v:imagedata r:id="rId565" o:title=""/>
            </v:shape>
            <v:shape style="position:absolute;left:5338;top:3218;width:786;height:281" type="#_x0000_t75" stroked="false">
              <v:imagedata r:id="rId566" o:title=""/>
            </v:shape>
            <v:shape style="position:absolute;left:5967;top:3218;width:706;height:281" type="#_x0000_t75" stroked="false">
              <v:imagedata r:id="rId537" o:title=""/>
            </v:shape>
            <v:shape style="position:absolute;left:6320;top:3218;width:418;height:281" type="#_x0000_t75" stroked="false">
              <v:imagedata r:id="rId567" o:title=""/>
            </v:shape>
            <v:shape style="position:absolute;left:6529;top:3218;width:839;height:281" type="#_x0000_t75" stroked="false">
              <v:imagedata r:id="rId568" o:title=""/>
            </v:shape>
            <w10:wrap type="topAndBottom"/>
          </v:group>
        </w:pict>
      </w:r>
      <w:r>
        <w:rPr/>
        <w:pict>
          <v:group style="position:absolute;margin-left:260.929993pt;margin-top:187.339996pt;width:104.15pt;height:16pt;mso-position-horizontal-relative:page;mso-position-vertical-relative:paragraph;z-index:-15571968;mso-wrap-distance-left:0;mso-wrap-distance-right:0" coordorigin="5219,3747" coordsize="2083,320">
            <v:shape style="position:absolute;left:5218;top:3746;width:639;height:320" type="#_x0000_t75" stroked="false">
              <v:imagedata r:id="rId569" o:title=""/>
            </v:shape>
            <v:shape style="position:absolute;left:5698;top:3746;width:1603;height:320" type="#_x0000_t75" stroked="false">
              <v:imagedata r:id="rId570" o:title=""/>
            </v:shape>
            <w10:wrap type="topAndBottom"/>
          </v:group>
        </w:pict>
      </w:r>
    </w:p>
    <w:p>
      <w:pPr>
        <w:pStyle w:val="BodyText"/>
        <w:spacing w:before="11"/>
        <w:rPr>
          <w:sz w:val="11"/>
        </w:rPr>
      </w:pPr>
    </w:p>
    <w:p>
      <w:pPr>
        <w:pStyle w:val="BodyText"/>
        <w:spacing w:before="9"/>
        <w:rPr>
          <w:sz w:val="11"/>
        </w:rPr>
      </w:pPr>
    </w:p>
    <w:p>
      <w:pPr>
        <w:pStyle w:val="BodyText"/>
        <w:spacing w:before="9"/>
        <w:rPr>
          <w:sz w:val="11"/>
        </w:rPr>
      </w:pPr>
    </w:p>
    <w:p>
      <w:pPr>
        <w:pStyle w:val="BodyText"/>
        <w:spacing w:before="11"/>
        <w:rPr>
          <w:sz w:val="11"/>
        </w:rPr>
      </w:pPr>
    </w:p>
    <w:p>
      <w:pPr>
        <w:pStyle w:val="BodyText"/>
        <w:spacing w:before="9"/>
        <w:rPr>
          <w:sz w:val="11"/>
        </w:rPr>
      </w:pPr>
    </w:p>
    <w:p>
      <w:pPr>
        <w:pStyle w:val="BodyText"/>
        <w:spacing w:before="10"/>
        <w:rPr>
          <w:sz w:val="11"/>
        </w:rPr>
      </w:pPr>
    </w:p>
    <w:p>
      <w:pPr>
        <w:pStyle w:val="BodyText"/>
        <w:spacing w:before="12"/>
        <w:rPr>
          <w:sz w:val="13"/>
        </w:rPr>
      </w:pPr>
    </w:p>
    <w:p>
      <w:pPr>
        <w:pStyle w:val="BodyText"/>
        <w:spacing w:before="2"/>
        <w:rPr>
          <w:sz w:val="17"/>
        </w:rPr>
      </w:pPr>
    </w:p>
    <w:p>
      <w:pPr>
        <w:spacing w:line="372" w:lineRule="auto" w:before="89"/>
        <w:ind w:left="858" w:right="620" w:hanging="560"/>
        <w:jc w:val="left"/>
        <w:rPr>
          <w:rFonts w:ascii="Times New Roman"/>
          <w:i/>
          <w:sz w:val="28"/>
        </w:rPr>
      </w:pPr>
      <w:r>
        <w:rPr>
          <w:rFonts w:ascii="Times New Roman"/>
          <w:i/>
          <w:sz w:val="28"/>
        </w:rPr>
        <w:t>Battis,</w:t>
      </w:r>
      <w:r>
        <w:rPr>
          <w:rFonts w:ascii="Times New Roman"/>
          <w:i/>
          <w:spacing w:val="-6"/>
          <w:sz w:val="28"/>
        </w:rPr>
        <w:t> </w:t>
      </w:r>
      <w:r>
        <w:rPr>
          <w:rFonts w:ascii="Times New Roman"/>
          <w:i/>
          <w:sz w:val="28"/>
        </w:rPr>
        <w:t>Ulrich:</w:t>
      </w:r>
      <w:r>
        <w:rPr>
          <w:rFonts w:ascii="Times New Roman"/>
          <w:i/>
          <w:spacing w:val="-5"/>
          <w:sz w:val="28"/>
        </w:rPr>
        <w:t> </w:t>
      </w:r>
      <w:r>
        <w:rPr>
          <w:rFonts w:ascii="Times New Roman"/>
          <w:i/>
          <w:sz w:val="28"/>
        </w:rPr>
        <w:t>Entwicklung</w:t>
      </w:r>
      <w:r>
        <w:rPr>
          <w:rFonts w:ascii="Times New Roman"/>
          <w:i/>
          <w:spacing w:val="-4"/>
          <w:sz w:val="28"/>
        </w:rPr>
        <w:t> </w:t>
      </w:r>
      <w:r>
        <w:rPr>
          <w:rFonts w:ascii="Times New Roman"/>
          <w:i/>
          <w:sz w:val="28"/>
        </w:rPr>
        <w:t>des</w:t>
      </w:r>
      <w:r>
        <w:rPr>
          <w:rFonts w:ascii="Times New Roman"/>
          <w:i/>
          <w:spacing w:val="-3"/>
          <w:sz w:val="28"/>
        </w:rPr>
        <w:t> </w:t>
      </w:r>
      <w:r>
        <w:rPr>
          <w:rFonts w:ascii="Times New Roman"/>
          <w:i/>
          <w:sz w:val="28"/>
        </w:rPr>
        <w:t>Beamtenrechts</w:t>
      </w:r>
      <w:r>
        <w:rPr>
          <w:rFonts w:ascii="Times New Roman"/>
          <w:i/>
          <w:spacing w:val="-8"/>
          <w:sz w:val="28"/>
        </w:rPr>
        <w:t> </w:t>
      </w:r>
      <w:r>
        <w:rPr>
          <w:rFonts w:ascii="Times New Roman"/>
          <w:i/>
          <w:sz w:val="28"/>
        </w:rPr>
        <w:t>im</w:t>
      </w:r>
      <w:r>
        <w:rPr>
          <w:rFonts w:ascii="Times New Roman"/>
          <w:i/>
          <w:spacing w:val="-5"/>
          <w:sz w:val="28"/>
        </w:rPr>
        <w:t> </w:t>
      </w:r>
      <w:r>
        <w:rPr>
          <w:rFonts w:ascii="Times New Roman"/>
          <w:i/>
          <w:sz w:val="28"/>
        </w:rPr>
        <w:t>Jahre</w:t>
      </w:r>
      <w:r>
        <w:rPr>
          <w:rFonts w:ascii="Times New Roman"/>
          <w:i/>
          <w:spacing w:val="-2"/>
          <w:sz w:val="28"/>
        </w:rPr>
        <w:t> </w:t>
      </w:r>
      <w:r>
        <w:rPr>
          <w:rFonts w:ascii="Times New Roman"/>
          <w:i/>
          <w:sz w:val="28"/>
        </w:rPr>
        <w:t>1990,</w:t>
      </w:r>
      <w:r>
        <w:rPr>
          <w:rFonts w:ascii="Times New Roman"/>
          <w:i/>
          <w:spacing w:val="-9"/>
          <w:sz w:val="28"/>
        </w:rPr>
        <w:t> </w:t>
      </w:r>
      <w:r>
        <w:rPr>
          <w:rFonts w:ascii="Times New Roman"/>
          <w:i/>
          <w:sz w:val="28"/>
        </w:rPr>
        <w:t>NJW</w:t>
      </w:r>
      <w:r>
        <w:rPr>
          <w:rFonts w:ascii="Times New Roman"/>
          <w:i/>
          <w:spacing w:val="-12"/>
          <w:sz w:val="28"/>
        </w:rPr>
        <w:t> </w:t>
      </w:r>
      <w:r>
        <w:rPr>
          <w:rFonts w:ascii="Times New Roman"/>
          <w:i/>
          <w:sz w:val="28"/>
        </w:rPr>
        <w:t>1991,</w:t>
      </w:r>
      <w:r>
        <w:rPr>
          <w:rFonts w:ascii="Times New Roman"/>
          <w:i/>
          <w:spacing w:val="-67"/>
          <w:sz w:val="28"/>
        </w:rPr>
        <w:t> </w:t>
      </w:r>
      <w:r>
        <w:rPr>
          <w:rFonts w:ascii="Times New Roman"/>
          <w:i/>
          <w:sz w:val="28"/>
        </w:rPr>
        <w:t>1586 ff.</w:t>
      </w:r>
    </w:p>
    <w:p>
      <w:pPr>
        <w:spacing w:line="374" w:lineRule="auto" w:before="1"/>
        <w:ind w:left="858" w:right="620" w:hanging="560"/>
        <w:jc w:val="left"/>
        <w:rPr>
          <w:rFonts w:ascii="Times New Roman"/>
          <w:i/>
          <w:sz w:val="28"/>
        </w:rPr>
      </w:pPr>
      <w:r>
        <w:rPr>
          <w:rFonts w:ascii="Times New Roman"/>
          <w:i/>
          <w:sz w:val="28"/>
        </w:rPr>
        <w:t>Battis,</w:t>
      </w:r>
      <w:r>
        <w:rPr>
          <w:rFonts w:ascii="Times New Roman"/>
          <w:i/>
          <w:spacing w:val="-6"/>
          <w:sz w:val="28"/>
        </w:rPr>
        <w:t> </w:t>
      </w:r>
      <w:r>
        <w:rPr>
          <w:rFonts w:ascii="Times New Roman"/>
          <w:i/>
          <w:sz w:val="28"/>
        </w:rPr>
        <w:t>Ulrich:</w:t>
      </w:r>
      <w:r>
        <w:rPr>
          <w:rFonts w:ascii="Times New Roman"/>
          <w:i/>
          <w:spacing w:val="-4"/>
          <w:sz w:val="28"/>
        </w:rPr>
        <w:t> </w:t>
      </w:r>
      <w:r>
        <w:rPr>
          <w:rFonts w:ascii="Times New Roman"/>
          <w:i/>
          <w:sz w:val="28"/>
        </w:rPr>
        <w:t>Entwicklung</w:t>
      </w:r>
      <w:r>
        <w:rPr>
          <w:rFonts w:ascii="Times New Roman"/>
          <w:i/>
          <w:spacing w:val="-3"/>
          <w:sz w:val="28"/>
        </w:rPr>
        <w:t> </w:t>
      </w:r>
      <w:r>
        <w:rPr>
          <w:rFonts w:ascii="Times New Roman"/>
          <w:i/>
          <w:sz w:val="28"/>
        </w:rPr>
        <w:t>des</w:t>
      </w:r>
      <w:r>
        <w:rPr>
          <w:rFonts w:ascii="Times New Roman"/>
          <w:i/>
          <w:spacing w:val="-3"/>
          <w:sz w:val="28"/>
        </w:rPr>
        <w:t> </w:t>
      </w:r>
      <w:r>
        <w:rPr>
          <w:rFonts w:ascii="Times New Roman"/>
          <w:i/>
          <w:sz w:val="28"/>
        </w:rPr>
        <w:t>Beamtenrechts</w:t>
      </w:r>
      <w:r>
        <w:rPr>
          <w:rFonts w:ascii="Times New Roman"/>
          <w:i/>
          <w:spacing w:val="-7"/>
          <w:sz w:val="28"/>
        </w:rPr>
        <w:t> </w:t>
      </w:r>
      <w:r>
        <w:rPr>
          <w:rFonts w:ascii="Times New Roman"/>
          <w:i/>
          <w:sz w:val="28"/>
        </w:rPr>
        <w:t>im</w:t>
      </w:r>
      <w:r>
        <w:rPr>
          <w:rFonts w:ascii="Times New Roman"/>
          <w:i/>
          <w:spacing w:val="-6"/>
          <w:sz w:val="28"/>
        </w:rPr>
        <w:t> </w:t>
      </w:r>
      <w:r>
        <w:rPr>
          <w:rFonts w:ascii="Times New Roman"/>
          <w:i/>
          <w:sz w:val="28"/>
        </w:rPr>
        <w:t>Jahre</w:t>
      </w:r>
      <w:r>
        <w:rPr>
          <w:rFonts w:ascii="Times New Roman"/>
          <w:i/>
          <w:spacing w:val="-4"/>
          <w:sz w:val="28"/>
        </w:rPr>
        <w:t> </w:t>
      </w:r>
      <w:r>
        <w:rPr>
          <w:rFonts w:ascii="Times New Roman"/>
          <w:i/>
          <w:sz w:val="28"/>
        </w:rPr>
        <w:t>2001,</w:t>
      </w:r>
      <w:r>
        <w:rPr>
          <w:rFonts w:ascii="Times New Roman"/>
          <w:i/>
          <w:spacing w:val="-8"/>
          <w:sz w:val="28"/>
        </w:rPr>
        <w:t> </w:t>
      </w:r>
      <w:r>
        <w:rPr>
          <w:rFonts w:ascii="Times New Roman"/>
          <w:i/>
          <w:sz w:val="28"/>
        </w:rPr>
        <w:t>NJW</w:t>
      </w:r>
      <w:r>
        <w:rPr>
          <w:rFonts w:ascii="Times New Roman"/>
          <w:i/>
          <w:spacing w:val="-11"/>
          <w:sz w:val="28"/>
        </w:rPr>
        <w:t> </w:t>
      </w:r>
      <w:r>
        <w:rPr>
          <w:rFonts w:ascii="Times New Roman"/>
          <w:i/>
          <w:sz w:val="28"/>
        </w:rPr>
        <w:t>2002,</w:t>
      </w:r>
      <w:r>
        <w:rPr>
          <w:rFonts w:ascii="Times New Roman"/>
          <w:i/>
          <w:spacing w:val="-67"/>
          <w:sz w:val="28"/>
        </w:rPr>
        <w:t> </w:t>
      </w:r>
      <w:r>
        <w:rPr>
          <w:rFonts w:ascii="Times New Roman"/>
          <w:i/>
          <w:sz w:val="28"/>
        </w:rPr>
        <w:t>1085 ff.</w:t>
      </w:r>
    </w:p>
    <w:p>
      <w:pPr>
        <w:spacing w:line="372" w:lineRule="auto" w:before="0"/>
        <w:ind w:left="858" w:right="497" w:hanging="560"/>
        <w:jc w:val="left"/>
        <w:rPr>
          <w:rFonts w:ascii="Times New Roman"/>
          <w:i/>
          <w:sz w:val="28"/>
        </w:rPr>
      </w:pPr>
      <w:r>
        <w:rPr>
          <w:rFonts w:ascii="Times New Roman"/>
          <w:i/>
          <w:sz w:val="28"/>
        </w:rPr>
        <w:t>Battis,</w:t>
      </w:r>
      <w:r>
        <w:rPr>
          <w:rFonts w:ascii="Times New Roman"/>
          <w:i/>
          <w:spacing w:val="-6"/>
          <w:sz w:val="28"/>
        </w:rPr>
        <w:t> </w:t>
      </w:r>
      <w:r>
        <w:rPr>
          <w:rFonts w:ascii="Times New Roman"/>
          <w:i/>
          <w:sz w:val="28"/>
        </w:rPr>
        <w:t>Ulrich:</w:t>
      </w:r>
      <w:r>
        <w:rPr>
          <w:rFonts w:ascii="Times New Roman"/>
          <w:i/>
          <w:spacing w:val="-4"/>
          <w:sz w:val="28"/>
        </w:rPr>
        <w:t> </w:t>
      </w:r>
      <w:r>
        <w:rPr>
          <w:rFonts w:ascii="Times New Roman"/>
          <w:i/>
          <w:sz w:val="28"/>
        </w:rPr>
        <w:t>Die</w:t>
      </w:r>
      <w:r>
        <w:rPr>
          <w:rFonts w:ascii="Times New Roman"/>
          <w:i/>
          <w:spacing w:val="-4"/>
          <w:sz w:val="28"/>
        </w:rPr>
        <w:t> </w:t>
      </w:r>
      <w:r>
        <w:rPr>
          <w:rFonts w:ascii="Times New Roman"/>
          <w:i/>
          <w:sz w:val="28"/>
        </w:rPr>
        <w:t>Entwicklung</w:t>
      </w:r>
      <w:r>
        <w:rPr>
          <w:rFonts w:ascii="Times New Roman"/>
          <w:i/>
          <w:spacing w:val="-3"/>
          <w:sz w:val="28"/>
        </w:rPr>
        <w:t> </w:t>
      </w:r>
      <w:r>
        <w:rPr>
          <w:rFonts w:ascii="Times New Roman"/>
          <w:i/>
          <w:sz w:val="28"/>
        </w:rPr>
        <w:t>des</w:t>
      </w:r>
      <w:r>
        <w:rPr>
          <w:rFonts w:ascii="Times New Roman"/>
          <w:i/>
          <w:spacing w:val="-3"/>
          <w:sz w:val="28"/>
        </w:rPr>
        <w:t> </w:t>
      </w:r>
      <w:r>
        <w:rPr>
          <w:rFonts w:ascii="Times New Roman"/>
          <w:i/>
          <w:sz w:val="28"/>
        </w:rPr>
        <w:t>Beamtenrechts</w:t>
      </w:r>
      <w:r>
        <w:rPr>
          <w:rFonts w:ascii="Times New Roman"/>
          <w:i/>
          <w:spacing w:val="-4"/>
          <w:sz w:val="28"/>
        </w:rPr>
        <w:t> </w:t>
      </w:r>
      <w:r>
        <w:rPr>
          <w:rFonts w:ascii="Times New Roman"/>
          <w:i/>
          <w:sz w:val="28"/>
        </w:rPr>
        <w:t>im</w:t>
      </w:r>
      <w:r>
        <w:rPr>
          <w:rFonts w:ascii="Times New Roman"/>
          <w:i/>
          <w:spacing w:val="-5"/>
          <w:sz w:val="28"/>
        </w:rPr>
        <w:t> </w:t>
      </w:r>
      <w:r>
        <w:rPr>
          <w:rFonts w:ascii="Times New Roman"/>
          <w:i/>
          <w:sz w:val="28"/>
        </w:rPr>
        <w:t>Jahre</w:t>
      </w:r>
      <w:r>
        <w:rPr>
          <w:rFonts w:ascii="Times New Roman"/>
          <w:i/>
          <w:spacing w:val="-7"/>
          <w:sz w:val="28"/>
        </w:rPr>
        <w:t> </w:t>
      </w:r>
      <w:r>
        <w:rPr>
          <w:rFonts w:ascii="Times New Roman"/>
          <w:i/>
          <w:sz w:val="28"/>
        </w:rPr>
        <w:t>2007,</w:t>
      </w:r>
      <w:r>
        <w:rPr>
          <w:rFonts w:ascii="Times New Roman"/>
          <w:i/>
          <w:spacing w:val="-5"/>
          <w:sz w:val="28"/>
        </w:rPr>
        <w:t> </w:t>
      </w:r>
      <w:r>
        <w:rPr>
          <w:rFonts w:ascii="Times New Roman"/>
          <w:i/>
          <w:sz w:val="28"/>
        </w:rPr>
        <w:t>NJW</w:t>
      </w:r>
      <w:r>
        <w:rPr>
          <w:rFonts w:ascii="Times New Roman"/>
          <w:i/>
          <w:spacing w:val="-11"/>
          <w:sz w:val="28"/>
        </w:rPr>
        <w:t> </w:t>
      </w:r>
      <w:r>
        <w:rPr>
          <w:rFonts w:ascii="Times New Roman"/>
          <w:i/>
          <w:sz w:val="28"/>
        </w:rPr>
        <w:t>2008,</w:t>
      </w:r>
      <w:r>
        <w:rPr>
          <w:rFonts w:ascii="Times New Roman"/>
          <w:i/>
          <w:spacing w:val="-67"/>
          <w:sz w:val="28"/>
        </w:rPr>
        <w:t> </w:t>
      </w:r>
      <w:r>
        <w:rPr>
          <w:rFonts w:ascii="Times New Roman"/>
          <w:i/>
          <w:sz w:val="28"/>
        </w:rPr>
        <w:t>379</w:t>
      </w:r>
      <w:r>
        <w:rPr>
          <w:rFonts w:ascii="Times New Roman"/>
          <w:i/>
          <w:spacing w:val="-4"/>
          <w:sz w:val="28"/>
        </w:rPr>
        <w:t> </w:t>
      </w:r>
      <w:r>
        <w:rPr>
          <w:rFonts w:ascii="Times New Roman"/>
          <w:i/>
          <w:sz w:val="28"/>
        </w:rPr>
        <w:t>ff.</w:t>
      </w:r>
    </w:p>
    <w:p>
      <w:pPr>
        <w:spacing w:line="372" w:lineRule="auto" w:before="0"/>
        <w:ind w:left="858" w:right="1400" w:hanging="560"/>
        <w:jc w:val="left"/>
        <w:rPr>
          <w:rFonts w:ascii="Times New Roman" w:hAnsi="Times New Roman"/>
          <w:i/>
          <w:sz w:val="28"/>
        </w:rPr>
      </w:pPr>
      <w:r>
        <w:rPr>
          <w:rFonts w:ascii="Times New Roman" w:hAnsi="Times New Roman"/>
          <w:i/>
          <w:sz w:val="28"/>
        </w:rPr>
        <w:t>Bier, Wolfgang: Kommentierung zu § 65 VwGO, in: Schoch,</w:t>
      </w:r>
      <w:r>
        <w:rPr>
          <w:rFonts w:ascii="Times New Roman" w:hAnsi="Times New Roman"/>
          <w:i/>
          <w:spacing w:val="1"/>
          <w:sz w:val="28"/>
        </w:rPr>
        <w:t> </w:t>
      </w:r>
      <w:r>
        <w:rPr>
          <w:rFonts w:ascii="Times New Roman" w:hAnsi="Times New Roman"/>
          <w:i/>
          <w:sz w:val="28"/>
        </w:rPr>
        <w:t>Friedrich/Schmidt-Aßmann, Eberhard/Pietzner, Rainer (Hrsg.),</w:t>
      </w:r>
      <w:r>
        <w:rPr>
          <w:rFonts w:ascii="Times New Roman" w:hAnsi="Times New Roman"/>
          <w:i/>
          <w:spacing w:val="1"/>
          <w:sz w:val="28"/>
        </w:rPr>
        <w:t> </w:t>
      </w:r>
      <w:r>
        <w:rPr>
          <w:rFonts w:ascii="Times New Roman" w:hAnsi="Times New Roman"/>
          <w:i/>
          <w:spacing w:val="-2"/>
          <w:sz w:val="28"/>
        </w:rPr>
        <w:t>Verwaltungsgerichtsordnung,</w:t>
      </w:r>
      <w:r>
        <w:rPr>
          <w:rFonts w:ascii="Times New Roman" w:hAnsi="Times New Roman"/>
          <w:i/>
          <w:spacing w:val="-9"/>
          <w:sz w:val="28"/>
        </w:rPr>
        <w:t> </w:t>
      </w:r>
      <w:r>
        <w:rPr>
          <w:rFonts w:ascii="Times New Roman" w:hAnsi="Times New Roman"/>
          <w:i/>
          <w:spacing w:val="-1"/>
          <w:sz w:val="28"/>
        </w:rPr>
        <w:t>Kommentar,</w:t>
      </w:r>
      <w:r>
        <w:rPr>
          <w:rFonts w:ascii="Times New Roman" w:hAnsi="Times New Roman"/>
          <w:i/>
          <w:spacing w:val="-11"/>
          <w:sz w:val="28"/>
        </w:rPr>
        <w:t> </w:t>
      </w:r>
      <w:r>
        <w:rPr>
          <w:rFonts w:ascii="Times New Roman" w:hAnsi="Times New Roman"/>
          <w:i/>
          <w:spacing w:val="-1"/>
          <w:sz w:val="28"/>
        </w:rPr>
        <w:t>Stand:</w:t>
      </w:r>
      <w:r>
        <w:rPr>
          <w:rFonts w:ascii="Times New Roman" w:hAnsi="Times New Roman"/>
          <w:i/>
          <w:spacing w:val="-10"/>
          <w:sz w:val="28"/>
        </w:rPr>
        <w:t> </w:t>
      </w:r>
      <w:r>
        <w:rPr>
          <w:rFonts w:ascii="Times New Roman" w:hAnsi="Times New Roman"/>
          <w:i/>
          <w:spacing w:val="-1"/>
          <w:sz w:val="28"/>
        </w:rPr>
        <w:t>September</w:t>
      </w:r>
      <w:r>
        <w:rPr>
          <w:rFonts w:ascii="Times New Roman" w:hAnsi="Times New Roman"/>
          <w:i/>
          <w:spacing w:val="-6"/>
          <w:sz w:val="28"/>
        </w:rPr>
        <w:t> </w:t>
      </w:r>
      <w:r>
        <w:rPr>
          <w:rFonts w:ascii="Times New Roman" w:hAnsi="Times New Roman"/>
          <w:i/>
          <w:spacing w:val="-1"/>
          <w:sz w:val="28"/>
        </w:rPr>
        <w:t>2003.</w:t>
      </w:r>
    </w:p>
    <w:p>
      <w:pPr>
        <w:spacing w:line="372" w:lineRule="auto" w:before="2"/>
        <w:ind w:left="858" w:right="497" w:hanging="560"/>
        <w:jc w:val="left"/>
        <w:rPr>
          <w:rFonts w:ascii="Times New Roman" w:hAnsi="Times New Roman"/>
          <w:i/>
          <w:sz w:val="28"/>
        </w:rPr>
      </w:pPr>
      <w:r>
        <w:rPr>
          <w:rFonts w:ascii="Times New Roman" w:hAnsi="Times New Roman"/>
          <w:i/>
          <w:spacing w:val="-2"/>
          <w:sz w:val="28"/>
        </w:rPr>
        <w:t>Bettermann,</w:t>
      </w:r>
      <w:r>
        <w:rPr>
          <w:rFonts w:ascii="Times New Roman" w:hAnsi="Times New Roman"/>
          <w:i/>
          <w:spacing w:val="-7"/>
          <w:sz w:val="28"/>
        </w:rPr>
        <w:t> </w:t>
      </w:r>
      <w:r>
        <w:rPr>
          <w:rFonts w:ascii="Times New Roman" w:hAnsi="Times New Roman"/>
          <w:i/>
          <w:spacing w:val="-2"/>
          <w:sz w:val="28"/>
        </w:rPr>
        <w:t>Karl</w:t>
      </w:r>
      <w:r>
        <w:rPr>
          <w:rFonts w:ascii="Times New Roman" w:hAnsi="Times New Roman"/>
          <w:i/>
          <w:spacing w:val="-11"/>
          <w:sz w:val="28"/>
        </w:rPr>
        <w:t> </w:t>
      </w:r>
      <w:r>
        <w:rPr>
          <w:rFonts w:ascii="Times New Roman" w:hAnsi="Times New Roman"/>
          <w:i/>
          <w:spacing w:val="-2"/>
          <w:sz w:val="28"/>
        </w:rPr>
        <w:t>August:</w:t>
      </w:r>
      <w:r>
        <w:rPr>
          <w:rFonts w:ascii="Times New Roman" w:hAnsi="Times New Roman"/>
          <w:i/>
          <w:spacing w:val="-6"/>
          <w:sz w:val="28"/>
        </w:rPr>
        <w:t> </w:t>
      </w:r>
      <w:r>
        <w:rPr>
          <w:rFonts w:ascii="Times New Roman" w:hAnsi="Times New Roman"/>
          <w:i/>
          <w:spacing w:val="-2"/>
          <w:sz w:val="28"/>
        </w:rPr>
        <w:t>Ü</w:t>
      </w:r>
      <w:r>
        <w:rPr>
          <w:rFonts w:ascii="Times New Roman" w:hAnsi="Times New Roman"/>
          <w:i/>
          <w:spacing w:val="-15"/>
          <w:sz w:val="28"/>
        </w:rPr>
        <w:t> </w:t>
      </w:r>
      <w:r>
        <w:rPr>
          <w:rFonts w:ascii="Times New Roman" w:hAnsi="Times New Roman"/>
          <w:i/>
          <w:spacing w:val="-2"/>
          <w:sz w:val="28"/>
        </w:rPr>
        <w:t>ber</w:t>
      </w:r>
      <w:r>
        <w:rPr>
          <w:rFonts w:ascii="Times New Roman" w:hAnsi="Times New Roman"/>
          <w:i/>
          <w:spacing w:val="-5"/>
          <w:sz w:val="28"/>
        </w:rPr>
        <w:t> </w:t>
      </w:r>
      <w:r>
        <w:rPr>
          <w:rFonts w:ascii="Times New Roman" w:hAnsi="Times New Roman"/>
          <w:i/>
          <w:spacing w:val="-2"/>
          <w:sz w:val="28"/>
        </w:rPr>
        <w:t>die</w:t>
      </w:r>
      <w:r>
        <w:rPr>
          <w:rFonts w:ascii="Times New Roman" w:hAnsi="Times New Roman"/>
          <w:i/>
          <w:spacing w:val="-6"/>
          <w:sz w:val="28"/>
        </w:rPr>
        <w:t> </w:t>
      </w:r>
      <w:r>
        <w:rPr>
          <w:rFonts w:ascii="Times New Roman" w:hAnsi="Times New Roman"/>
          <w:i/>
          <w:spacing w:val="-2"/>
          <w:sz w:val="28"/>
        </w:rPr>
        <w:t>Beiladung</w:t>
      </w:r>
      <w:r>
        <w:rPr>
          <w:rFonts w:ascii="Times New Roman" w:hAnsi="Times New Roman"/>
          <w:i/>
          <w:spacing w:val="-5"/>
          <w:sz w:val="28"/>
        </w:rPr>
        <w:t> </w:t>
      </w:r>
      <w:r>
        <w:rPr>
          <w:rFonts w:ascii="Times New Roman" w:hAnsi="Times New Roman"/>
          <w:i/>
          <w:spacing w:val="-1"/>
          <w:sz w:val="28"/>
        </w:rPr>
        <w:t>im</w:t>
      </w:r>
      <w:r>
        <w:rPr>
          <w:rFonts w:ascii="Times New Roman" w:hAnsi="Times New Roman"/>
          <w:i/>
          <w:spacing w:val="-12"/>
          <w:sz w:val="28"/>
        </w:rPr>
        <w:t> </w:t>
      </w:r>
      <w:r>
        <w:rPr>
          <w:rFonts w:ascii="Times New Roman" w:hAnsi="Times New Roman"/>
          <w:i/>
          <w:spacing w:val="-1"/>
          <w:sz w:val="28"/>
        </w:rPr>
        <w:t>Verwaltungsstreitverfahren</w:t>
      </w:r>
      <w:r>
        <w:rPr>
          <w:rFonts w:ascii="Times New Roman" w:hAnsi="Times New Roman"/>
          <w:i/>
          <w:spacing w:val="-67"/>
          <w:sz w:val="28"/>
        </w:rPr>
        <w:t> </w:t>
      </w:r>
      <w:r>
        <w:rPr>
          <w:rFonts w:ascii="Times New Roman" w:hAnsi="Times New Roman"/>
          <w:i/>
          <w:sz w:val="28"/>
        </w:rPr>
        <w:t>oder vom Nutzen der Prozessvergleichung und einer allgemeinen</w:t>
      </w:r>
      <w:r>
        <w:rPr>
          <w:rFonts w:ascii="Times New Roman" w:hAnsi="Times New Roman"/>
          <w:i/>
          <w:spacing w:val="1"/>
          <w:sz w:val="28"/>
        </w:rPr>
        <w:t> </w:t>
      </w:r>
      <w:r>
        <w:rPr>
          <w:rFonts w:ascii="Times New Roman" w:hAnsi="Times New Roman"/>
          <w:i/>
          <w:sz w:val="28"/>
        </w:rPr>
        <w:t>Prozessrechtslehre,</w:t>
      </w:r>
      <w:r>
        <w:rPr>
          <w:rFonts w:ascii="Times New Roman" w:hAnsi="Times New Roman"/>
          <w:i/>
          <w:spacing w:val="-3"/>
          <w:sz w:val="28"/>
        </w:rPr>
        <w:t> </w:t>
      </w:r>
      <w:r>
        <w:rPr>
          <w:rFonts w:ascii="Times New Roman" w:hAnsi="Times New Roman"/>
          <w:i/>
          <w:sz w:val="28"/>
        </w:rPr>
        <w:t>DVBl.</w:t>
      </w:r>
      <w:r>
        <w:rPr>
          <w:rFonts w:ascii="Times New Roman" w:hAnsi="Times New Roman"/>
          <w:i/>
          <w:spacing w:val="-2"/>
          <w:sz w:val="28"/>
        </w:rPr>
        <w:t> </w:t>
      </w:r>
      <w:r>
        <w:rPr>
          <w:rFonts w:ascii="Times New Roman" w:hAnsi="Times New Roman"/>
          <w:i/>
          <w:sz w:val="28"/>
        </w:rPr>
        <w:t>1951,</w:t>
      </w:r>
      <w:r>
        <w:rPr>
          <w:rFonts w:ascii="Times New Roman" w:hAnsi="Times New Roman"/>
          <w:i/>
          <w:spacing w:val="-5"/>
          <w:sz w:val="28"/>
        </w:rPr>
        <w:t> </w:t>
      </w:r>
      <w:r>
        <w:rPr>
          <w:rFonts w:ascii="Times New Roman" w:hAnsi="Times New Roman"/>
          <w:i/>
          <w:sz w:val="28"/>
        </w:rPr>
        <w:t>39</w:t>
      </w:r>
      <w:r>
        <w:rPr>
          <w:rFonts w:ascii="Times New Roman" w:hAnsi="Times New Roman"/>
          <w:i/>
          <w:spacing w:val="-4"/>
          <w:sz w:val="28"/>
        </w:rPr>
        <w:t> </w:t>
      </w:r>
      <w:r>
        <w:rPr>
          <w:rFonts w:ascii="Times New Roman" w:hAnsi="Times New Roman"/>
          <w:i/>
          <w:sz w:val="28"/>
        </w:rPr>
        <w:t>ff.</w:t>
      </w:r>
      <w:r>
        <w:rPr>
          <w:rFonts w:ascii="Times New Roman" w:hAnsi="Times New Roman"/>
          <w:i/>
          <w:spacing w:val="-5"/>
          <w:sz w:val="28"/>
        </w:rPr>
        <w:t> </w:t>
      </w:r>
      <w:r>
        <w:rPr>
          <w:rFonts w:ascii="Times New Roman" w:hAnsi="Times New Roman"/>
          <w:i/>
          <w:sz w:val="28"/>
        </w:rPr>
        <w:t>u.</w:t>
      </w:r>
      <w:r>
        <w:rPr>
          <w:rFonts w:ascii="Times New Roman" w:hAnsi="Times New Roman"/>
          <w:i/>
          <w:spacing w:val="-2"/>
          <w:sz w:val="28"/>
        </w:rPr>
        <w:t> </w:t>
      </w:r>
      <w:r>
        <w:rPr>
          <w:rFonts w:ascii="Times New Roman" w:hAnsi="Times New Roman"/>
          <w:i/>
          <w:sz w:val="28"/>
        </w:rPr>
        <w:t>72</w:t>
      </w:r>
      <w:r>
        <w:rPr>
          <w:rFonts w:ascii="Times New Roman" w:hAnsi="Times New Roman"/>
          <w:i/>
          <w:spacing w:val="-1"/>
          <w:sz w:val="28"/>
        </w:rPr>
        <w:t> </w:t>
      </w:r>
      <w:r>
        <w:rPr>
          <w:rFonts w:ascii="Times New Roman" w:hAnsi="Times New Roman"/>
          <w:i/>
          <w:sz w:val="28"/>
        </w:rPr>
        <w:t>ff.</w:t>
      </w:r>
    </w:p>
    <w:p>
      <w:pPr>
        <w:spacing w:line="372" w:lineRule="auto" w:before="3"/>
        <w:ind w:left="858" w:right="497" w:hanging="560"/>
        <w:jc w:val="left"/>
        <w:rPr>
          <w:rFonts w:ascii="Times New Roman" w:hAnsi="Times New Roman"/>
          <w:i/>
          <w:sz w:val="28"/>
        </w:rPr>
      </w:pPr>
      <w:r>
        <w:rPr>
          <w:rFonts w:ascii="Times New Roman" w:hAnsi="Times New Roman"/>
          <w:i/>
          <w:spacing w:val="-1"/>
          <w:sz w:val="28"/>
        </w:rPr>
        <w:t>Brühl,</w:t>
      </w:r>
      <w:r>
        <w:rPr>
          <w:rFonts w:ascii="Times New Roman" w:hAnsi="Times New Roman"/>
          <w:i/>
          <w:spacing w:val="-11"/>
          <w:sz w:val="28"/>
        </w:rPr>
        <w:t> </w:t>
      </w:r>
      <w:r>
        <w:rPr>
          <w:rFonts w:ascii="Times New Roman" w:hAnsi="Times New Roman"/>
          <w:i/>
          <w:spacing w:val="-1"/>
          <w:sz w:val="28"/>
        </w:rPr>
        <w:t>Raimund:</w:t>
      </w:r>
      <w:r>
        <w:rPr>
          <w:rFonts w:ascii="Times New Roman" w:hAnsi="Times New Roman"/>
          <w:i/>
          <w:spacing w:val="-13"/>
          <w:sz w:val="28"/>
        </w:rPr>
        <w:t> </w:t>
      </w:r>
      <w:r>
        <w:rPr>
          <w:rFonts w:ascii="Times New Roman" w:hAnsi="Times New Roman"/>
          <w:i/>
          <w:spacing w:val="-1"/>
          <w:sz w:val="28"/>
        </w:rPr>
        <w:t>Vorläufiger</w:t>
      </w:r>
      <w:r>
        <w:rPr>
          <w:rFonts w:ascii="Times New Roman" w:hAnsi="Times New Roman"/>
          <w:i/>
          <w:spacing w:val="-9"/>
          <w:sz w:val="28"/>
        </w:rPr>
        <w:t> </w:t>
      </w:r>
      <w:r>
        <w:rPr>
          <w:rFonts w:ascii="Times New Roman" w:hAnsi="Times New Roman"/>
          <w:i/>
          <w:spacing w:val="-1"/>
          <w:sz w:val="28"/>
        </w:rPr>
        <w:t>Rechtsschutz</w:t>
      </w:r>
      <w:r>
        <w:rPr>
          <w:rFonts w:ascii="Times New Roman" w:hAnsi="Times New Roman"/>
          <w:i/>
          <w:spacing w:val="-12"/>
          <w:sz w:val="28"/>
        </w:rPr>
        <w:t> </w:t>
      </w:r>
      <w:r>
        <w:rPr>
          <w:rFonts w:ascii="Times New Roman" w:hAnsi="Times New Roman"/>
          <w:i/>
          <w:spacing w:val="-1"/>
          <w:sz w:val="28"/>
        </w:rPr>
        <w:t>im</w:t>
      </w:r>
      <w:r>
        <w:rPr>
          <w:rFonts w:ascii="Times New Roman" w:hAnsi="Times New Roman"/>
          <w:i/>
          <w:spacing w:val="-16"/>
          <w:sz w:val="28"/>
        </w:rPr>
        <w:t> </w:t>
      </w:r>
      <w:r>
        <w:rPr>
          <w:rFonts w:ascii="Times New Roman" w:hAnsi="Times New Roman"/>
          <w:i/>
          <w:spacing w:val="-1"/>
          <w:sz w:val="28"/>
        </w:rPr>
        <w:t>Verwaltungsstreitverfahren,</w:t>
      </w:r>
      <w:r>
        <w:rPr>
          <w:rFonts w:ascii="Times New Roman" w:hAnsi="Times New Roman"/>
          <w:i/>
          <w:spacing w:val="-10"/>
          <w:sz w:val="28"/>
        </w:rPr>
        <w:t> </w:t>
      </w:r>
      <w:r>
        <w:rPr>
          <w:rFonts w:ascii="Times New Roman" w:hAnsi="Times New Roman"/>
          <w:i/>
          <w:sz w:val="28"/>
        </w:rPr>
        <w:t>JuS</w:t>
      </w:r>
      <w:r>
        <w:rPr>
          <w:rFonts w:ascii="Times New Roman" w:hAnsi="Times New Roman"/>
          <w:i/>
          <w:spacing w:val="-67"/>
          <w:sz w:val="28"/>
        </w:rPr>
        <w:t> </w:t>
      </w:r>
      <w:r>
        <w:rPr>
          <w:rFonts w:ascii="Times New Roman" w:hAnsi="Times New Roman"/>
          <w:i/>
          <w:sz w:val="28"/>
        </w:rPr>
        <w:t>1995,</w:t>
      </w:r>
      <w:r>
        <w:rPr>
          <w:rFonts w:ascii="Times New Roman" w:hAnsi="Times New Roman"/>
          <w:i/>
          <w:spacing w:val="-2"/>
          <w:sz w:val="28"/>
        </w:rPr>
        <w:t> </w:t>
      </w:r>
      <w:r>
        <w:rPr>
          <w:rFonts w:ascii="Times New Roman" w:hAnsi="Times New Roman"/>
          <w:i/>
          <w:sz w:val="28"/>
        </w:rPr>
        <w:t>627</w:t>
      </w:r>
      <w:r>
        <w:rPr>
          <w:rFonts w:ascii="Times New Roman" w:hAnsi="Times New Roman"/>
          <w:i/>
          <w:spacing w:val="-2"/>
          <w:sz w:val="28"/>
        </w:rPr>
        <w:t> </w:t>
      </w:r>
      <w:r>
        <w:rPr>
          <w:rFonts w:ascii="Times New Roman" w:hAnsi="Times New Roman"/>
          <w:i/>
          <w:sz w:val="28"/>
        </w:rPr>
        <w:t>ff.</w:t>
      </w:r>
    </w:p>
    <w:p>
      <w:pPr>
        <w:spacing w:line="374" w:lineRule="auto" w:before="1"/>
        <w:ind w:left="298" w:right="663" w:firstLine="0"/>
        <w:jc w:val="left"/>
        <w:rPr>
          <w:rFonts w:ascii="Times New Roman"/>
          <w:i/>
          <w:sz w:val="28"/>
        </w:rPr>
      </w:pPr>
      <w:r>
        <w:rPr>
          <w:rFonts w:ascii="Times New Roman"/>
          <w:i/>
          <w:sz w:val="28"/>
        </w:rPr>
        <w:t>Grunsky, Wolfgang: Grundlagen des Verfahrensrechts, 2. Aufl., 1974.</w:t>
      </w:r>
      <w:r>
        <w:rPr>
          <w:rFonts w:ascii="Times New Roman"/>
          <w:i/>
          <w:spacing w:val="1"/>
          <w:sz w:val="28"/>
        </w:rPr>
        <w:t> </w:t>
      </w:r>
      <w:r>
        <w:rPr>
          <w:rFonts w:ascii="Times New Roman"/>
          <w:i/>
          <w:sz w:val="28"/>
        </w:rPr>
        <w:t>Konrad,</w:t>
      </w:r>
      <w:r>
        <w:rPr>
          <w:rFonts w:ascii="Times New Roman"/>
          <w:i/>
          <w:spacing w:val="-12"/>
          <w:sz w:val="28"/>
        </w:rPr>
        <w:t> </w:t>
      </w:r>
      <w:r>
        <w:rPr>
          <w:rFonts w:ascii="Times New Roman"/>
          <w:i/>
          <w:sz w:val="28"/>
        </w:rPr>
        <w:t>Horst:</w:t>
      </w:r>
      <w:r>
        <w:rPr>
          <w:rFonts w:ascii="Times New Roman"/>
          <w:i/>
          <w:spacing w:val="-10"/>
          <w:sz w:val="28"/>
        </w:rPr>
        <w:t> </w:t>
      </w:r>
      <w:r>
        <w:rPr>
          <w:rFonts w:ascii="Times New Roman"/>
          <w:i/>
          <w:sz w:val="28"/>
        </w:rPr>
        <w:t>Die</w:t>
      </w:r>
      <w:r>
        <w:rPr>
          <w:rFonts w:ascii="Times New Roman"/>
          <w:i/>
          <w:spacing w:val="-12"/>
          <w:sz w:val="28"/>
        </w:rPr>
        <w:t> </w:t>
      </w:r>
      <w:r>
        <w:rPr>
          <w:rFonts w:ascii="Times New Roman"/>
          <w:i/>
          <w:sz w:val="28"/>
        </w:rPr>
        <w:t>Notwendigkeit</w:t>
      </w:r>
      <w:r>
        <w:rPr>
          <w:rFonts w:ascii="Times New Roman"/>
          <w:i/>
          <w:spacing w:val="-10"/>
          <w:sz w:val="28"/>
        </w:rPr>
        <w:t> </w:t>
      </w:r>
      <w:r>
        <w:rPr>
          <w:rFonts w:ascii="Times New Roman"/>
          <w:i/>
          <w:sz w:val="28"/>
        </w:rPr>
        <w:t>der</w:t>
      </w:r>
      <w:r>
        <w:rPr>
          <w:rFonts w:ascii="Times New Roman"/>
          <w:i/>
          <w:spacing w:val="-9"/>
          <w:sz w:val="28"/>
        </w:rPr>
        <w:t> </w:t>
      </w:r>
      <w:r>
        <w:rPr>
          <w:rFonts w:ascii="Times New Roman"/>
          <w:i/>
          <w:sz w:val="28"/>
        </w:rPr>
        <w:t>Beiladung</w:t>
      </w:r>
      <w:r>
        <w:rPr>
          <w:rFonts w:ascii="Times New Roman"/>
          <w:i/>
          <w:spacing w:val="-13"/>
          <w:sz w:val="28"/>
        </w:rPr>
        <w:t> </w:t>
      </w:r>
      <w:r>
        <w:rPr>
          <w:rFonts w:ascii="Times New Roman"/>
          <w:i/>
          <w:sz w:val="28"/>
        </w:rPr>
        <w:t>im</w:t>
      </w:r>
      <w:r>
        <w:rPr>
          <w:rFonts w:ascii="Times New Roman"/>
          <w:i/>
          <w:spacing w:val="-16"/>
          <w:sz w:val="28"/>
        </w:rPr>
        <w:t> </w:t>
      </w:r>
      <w:r>
        <w:rPr>
          <w:rFonts w:ascii="Times New Roman"/>
          <w:i/>
          <w:sz w:val="28"/>
        </w:rPr>
        <w:t>Verwaltungsprozess,</w:t>
      </w:r>
    </w:p>
    <w:p>
      <w:pPr>
        <w:spacing w:line="318" w:lineRule="exact" w:before="0"/>
        <w:ind w:left="858" w:right="0" w:firstLine="0"/>
        <w:jc w:val="left"/>
        <w:rPr>
          <w:rFonts w:ascii="Times New Roman"/>
          <w:i/>
          <w:sz w:val="28"/>
        </w:rPr>
      </w:pPr>
      <w:r>
        <w:rPr>
          <w:rFonts w:ascii="Times New Roman"/>
          <w:i/>
          <w:sz w:val="28"/>
        </w:rPr>
        <w:t>BayVBl,</w:t>
      </w:r>
      <w:r>
        <w:rPr>
          <w:rFonts w:ascii="Times New Roman"/>
          <w:i/>
          <w:spacing w:val="-3"/>
          <w:sz w:val="28"/>
        </w:rPr>
        <w:t> </w:t>
      </w:r>
      <w:r>
        <w:rPr>
          <w:rFonts w:ascii="Times New Roman"/>
          <w:i/>
          <w:sz w:val="28"/>
        </w:rPr>
        <w:t>1982,</w:t>
      </w:r>
      <w:r>
        <w:rPr>
          <w:rFonts w:ascii="Times New Roman"/>
          <w:i/>
          <w:spacing w:val="-3"/>
          <w:sz w:val="28"/>
        </w:rPr>
        <w:t> </w:t>
      </w:r>
      <w:r>
        <w:rPr>
          <w:rFonts w:ascii="Times New Roman"/>
          <w:i/>
          <w:sz w:val="28"/>
        </w:rPr>
        <w:t>481 ff.</w:t>
      </w:r>
      <w:r>
        <w:rPr>
          <w:rFonts w:ascii="Times New Roman"/>
          <w:i/>
          <w:spacing w:val="-5"/>
          <w:sz w:val="28"/>
        </w:rPr>
        <w:t> </w:t>
      </w:r>
      <w:r>
        <w:rPr>
          <w:rFonts w:ascii="Times New Roman"/>
          <w:i/>
          <w:sz w:val="28"/>
        </w:rPr>
        <w:t>u.</w:t>
      </w:r>
      <w:r>
        <w:rPr>
          <w:rFonts w:ascii="Times New Roman"/>
          <w:i/>
          <w:spacing w:val="-2"/>
          <w:sz w:val="28"/>
        </w:rPr>
        <w:t> </w:t>
      </w:r>
      <w:r>
        <w:rPr>
          <w:rFonts w:ascii="Times New Roman"/>
          <w:i/>
          <w:sz w:val="28"/>
        </w:rPr>
        <w:t>517</w:t>
      </w:r>
      <w:r>
        <w:rPr>
          <w:rFonts w:ascii="Times New Roman"/>
          <w:i/>
          <w:spacing w:val="-4"/>
          <w:sz w:val="28"/>
        </w:rPr>
        <w:t> </w:t>
      </w:r>
      <w:r>
        <w:rPr>
          <w:rFonts w:ascii="Times New Roman"/>
          <w:i/>
          <w:sz w:val="28"/>
        </w:rPr>
        <w:t>ff.</w:t>
      </w:r>
    </w:p>
    <w:p>
      <w:pPr>
        <w:spacing w:before="177"/>
        <w:ind w:left="298" w:right="0" w:firstLine="0"/>
        <w:jc w:val="left"/>
        <w:rPr>
          <w:rFonts w:ascii="Times New Roman" w:hAnsi="Times New Roman"/>
          <w:i/>
          <w:sz w:val="28"/>
        </w:rPr>
      </w:pPr>
      <w:r>
        <w:rPr>
          <w:rFonts w:ascii="Times New Roman" w:hAnsi="Times New Roman"/>
          <w:i/>
          <w:spacing w:val="-1"/>
          <w:sz w:val="28"/>
        </w:rPr>
        <w:t>Kopp,</w:t>
      </w:r>
      <w:r>
        <w:rPr>
          <w:rFonts w:ascii="Times New Roman" w:hAnsi="Times New Roman"/>
          <w:i/>
          <w:spacing w:val="-11"/>
          <w:sz w:val="28"/>
        </w:rPr>
        <w:t> </w:t>
      </w:r>
      <w:r>
        <w:rPr>
          <w:rFonts w:ascii="Times New Roman" w:hAnsi="Times New Roman"/>
          <w:i/>
          <w:spacing w:val="-1"/>
          <w:sz w:val="28"/>
        </w:rPr>
        <w:t>Ferdinand</w:t>
      </w:r>
      <w:r>
        <w:rPr>
          <w:rFonts w:ascii="Times New Roman" w:hAnsi="Times New Roman"/>
          <w:i/>
          <w:spacing w:val="-10"/>
          <w:sz w:val="28"/>
        </w:rPr>
        <w:t> </w:t>
      </w:r>
      <w:r>
        <w:rPr>
          <w:rFonts w:ascii="Times New Roman" w:hAnsi="Times New Roman"/>
          <w:i/>
          <w:spacing w:val="-1"/>
          <w:sz w:val="28"/>
        </w:rPr>
        <w:t>O./Schenke,</w:t>
      </w:r>
      <w:r>
        <w:rPr>
          <w:rFonts w:ascii="Times New Roman" w:hAnsi="Times New Roman"/>
          <w:i/>
          <w:spacing w:val="-15"/>
          <w:sz w:val="28"/>
        </w:rPr>
        <w:t> </w:t>
      </w:r>
      <w:r>
        <w:rPr>
          <w:rFonts w:ascii="Times New Roman" w:hAnsi="Times New Roman"/>
          <w:i/>
          <w:spacing w:val="-1"/>
          <w:sz w:val="28"/>
        </w:rPr>
        <w:t>Wolf-Rüdiger:</w:t>
      </w:r>
      <w:r>
        <w:rPr>
          <w:rFonts w:ascii="Times New Roman" w:hAnsi="Times New Roman"/>
          <w:i/>
          <w:spacing w:val="-15"/>
          <w:sz w:val="28"/>
        </w:rPr>
        <w:t> </w:t>
      </w:r>
      <w:r>
        <w:rPr>
          <w:rFonts w:ascii="Times New Roman" w:hAnsi="Times New Roman"/>
          <w:i/>
          <w:sz w:val="28"/>
        </w:rPr>
        <w:t>Verwaltungsgerichtsordnung</w:t>
      </w:r>
    </w:p>
    <w:p>
      <w:pPr>
        <w:spacing w:after="0"/>
        <w:jc w:val="left"/>
        <w:rPr>
          <w:rFonts w:ascii="Times New Roman" w:hAnsi="Times New Roman"/>
          <w:sz w:val="28"/>
        </w:rPr>
        <w:sectPr>
          <w:headerReference w:type="default" r:id="rId528"/>
          <w:footerReference w:type="default" r:id="rId529"/>
          <w:pgSz w:w="11910" w:h="16840"/>
          <w:pgMar w:header="888" w:footer="1017" w:top="1120" w:bottom="1200" w:left="1120" w:right="1060"/>
        </w:sectPr>
      </w:pPr>
    </w:p>
    <w:p>
      <w:pPr>
        <w:pStyle w:val="BodyText"/>
        <w:rPr>
          <w:rFonts w:ascii="Times New Roman"/>
          <w:i/>
          <w:sz w:val="20"/>
        </w:rPr>
      </w:pPr>
    </w:p>
    <w:p>
      <w:pPr>
        <w:spacing w:before="222"/>
        <w:ind w:left="858" w:right="0" w:firstLine="0"/>
        <w:jc w:val="left"/>
        <w:rPr>
          <w:rFonts w:ascii="Times New Roman"/>
          <w:i/>
          <w:sz w:val="28"/>
        </w:rPr>
      </w:pPr>
      <w:r>
        <w:rPr>
          <w:rFonts w:ascii="Times New Roman"/>
          <w:i/>
          <w:sz w:val="28"/>
        </w:rPr>
        <w:t>Kommentar,</w:t>
      </w:r>
      <w:r>
        <w:rPr>
          <w:rFonts w:ascii="Times New Roman"/>
          <w:i/>
          <w:spacing w:val="-6"/>
          <w:sz w:val="28"/>
        </w:rPr>
        <w:t> </w:t>
      </w:r>
      <w:r>
        <w:rPr>
          <w:rFonts w:ascii="Times New Roman"/>
          <w:i/>
          <w:sz w:val="28"/>
        </w:rPr>
        <w:t>13.</w:t>
      </w:r>
      <w:r>
        <w:rPr>
          <w:rFonts w:ascii="Times New Roman"/>
          <w:i/>
          <w:spacing w:val="-11"/>
          <w:sz w:val="28"/>
        </w:rPr>
        <w:t> </w:t>
      </w:r>
      <w:r>
        <w:rPr>
          <w:rFonts w:ascii="Times New Roman"/>
          <w:i/>
          <w:sz w:val="28"/>
        </w:rPr>
        <w:t>Aufl.,</w:t>
      </w:r>
      <w:r>
        <w:rPr>
          <w:rFonts w:ascii="Times New Roman"/>
          <w:i/>
          <w:spacing w:val="-9"/>
          <w:sz w:val="28"/>
        </w:rPr>
        <w:t> </w:t>
      </w:r>
      <w:r>
        <w:rPr>
          <w:rFonts w:ascii="Times New Roman"/>
          <w:i/>
          <w:sz w:val="28"/>
        </w:rPr>
        <w:t>2003.</w:t>
      </w:r>
    </w:p>
    <w:p>
      <w:pPr>
        <w:spacing w:before="177"/>
        <w:ind w:left="298" w:right="0" w:firstLine="0"/>
        <w:jc w:val="left"/>
        <w:rPr>
          <w:rFonts w:ascii="Times New Roman" w:hAnsi="Times New Roman"/>
          <w:i/>
          <w:sz w:val="28"/>
        </w:rPr>
      </w:pPr>
      <w:r>
        <w:rPr>
          <w:rFonts w:ascii="Times New Roman" w:hAnsi="Times New Roman"/>
          <w:i/>
          <w:sz w:val="28"/>
        </w:rPr>
        <w:t>Kunig,</w:t>
      </w:r>
      <w:r>
        <w:rPr>
          <w:rFonts w:ascii="Times New Roman" w:hAnsi="Times New Roman"/>
          <w:i/>
          <w:spacing w:val="-11"/>
          <w:sz w:val="28"/>
        </w:rPr>
        <w:t> </w:t>
      </w:r>
      <w:r>
        <w:rPr>
          <w:rFonts w:ascii="Times New Roman" w:hAnsi="Times New Roman"/>
          <w:i/>
          <w:sz w:val="28"/>
        </w:rPr>
        <w:t>Philip:</w:t>
      </w:r>
      <w:r>
        <w:rPr>
          <w:rFonts w:ascii="Times New Roman" w:hAnsi="Times New Roman"/>
          <w:i/>
          <w:spacing w:val="-11"/>
          <w:sz w:val="28"/>
        </w:rPr>
        <w:t> </w:t>
      </w:r>
      <w:r>
        <w:rPr>
          <w:rFonts w:ascii="Times New Roman" w:hAnsi="Times New Roman"/>
          <w:i/>
          <w:sz w:val="28"/>
        </w:rPr>
        <w:t>in:</w:t>
      </w:r>
      <w:r>
        <w:rPr>
          <w:rFonts w:ascii="Times New Roman" w:hAnsi="Times New Roman"/>
          <w:i/>
          <w:spacing w:val="-9"/>
          <w:sz w:val="28"/>
        </w:rPr>
        <w:t> </w:t>
      </w:r>
      <w:r>
        <w:rPr>
          <w:rFonts w:ascii="Times New Roman" w:hAnsi="Times New Roman"/>
          <w:i/>
          <w:sz w:val="28"/>
        </w:rPr>
        <w:t>Schmidt-Aβmann/Schoch,</w:t>
      </w:r>
      <w:r>
        <w:rPr>
          <w:rFonts w:ascii="Times New Roman" w:hAnsi="Times New Roman"/>
          <w:i/>
          <w:spacing w:val="-11"/>
          <w:sz w:val="28"/>
        </w:rPr>
        <w:t> </w:t>
      </w:r>
      <w:r>
        <w:rPr>
          <w:rFonts w:ascii="Times New Roman" w:hAnsi="Times New Roman"/>
          <w:i/>
          <w:sz w:val="28"/>
        </w:rPr>
        <w:t>Besonderes</w:t>
      </w:r>
      <w:r>
        <w:rPr>
          <w:rFonts w:ascii="Times New Roman" w:hAnsi="Times New Roman"/>
          <w:i/>
          <w:spacing w:val="-13"/>
          <w:sz w:val="28"/>
        </w:rPr>
        <w:t> </w:t>
      </w:r>
      <w:r>
        <w:rPr>
          <w:rFonts w:ascii="Times New Roman" w:hAnsi="Times New Roman"/>
          <w:i/>
          <w:sz w:val="28"/>
        </w:rPr>
        <w:t>Verwaltungsrecht,</w:t>
      </w:r>
      <w:r>
        <w:rPr>
          <w:rFonts w:ascii="Times New Roman" w:hAnsi="Times New Roman"/>
          <w:i/>
          <w:spacing w:val="-11"/>
          <w:sz w:val="28"/>
        </w:rPr>
        <w:t> </w:t>
      </w:r>
      <w:r>
        <w:rPr>
          <w:rFonts w:ascii="Times New Roman" w:hAnsi="Times New Roman"/>
          <w:i/>
          <w:sz w:val="28"/>
        </w:rPr>
        <w:t>14.</w:t>
      </w:r>
    </w:p>
    <w:p>
      <w:pPr>
        <w:spacing w:before="179"/>
        <w:ind w:left="858" w:right="0" w:firstLine="0"/>
        <w:jc w:val="left"/>
        <w:rPr>
          <w:rFonts w:ascii="Times New Roman"/>
          <w:i/>
          <w:sz w:val="28"/>
        </w:rPr>
      </w:pPr>
      <w:r>
        <w:rPr>
          <w:rFonts w:ascii="Times New Roman"/>
          <w:i/>
          <w:sz w:val="28"/>
        </w:rPr>
        <w:t>Aufl.,</w:t>
      </w:r>
      <w:r>
        <w:rPr>
          <w:rFonts w:ascii="Times New Roman"/>
          <w:i/>
          <w:spacing w:val="-2"/>
          <w:sz w:val="28"/>
        </w:rPr>
        <w:t> </w:t>
      </w:r>
      <w:r>
        <w:rPr>
          <w:rFonts w:ascii="Times New Roman"/>
          <w:i/>
          <w:sz w:val="28"/>
        </w:rPr>
        <w:t>2008.</w:t>
      </w:r>
    </w:p>
    <w:p>
      <w:pPr>
        <w:spacing w:line="372" w:lineRule="auto" w:before="178"/>
        <w:ind w:left="858" w:right="465" w:hanging="560"/>
        <w:jc w:val="left"/>
        <w:rPr>
          <w:rFonts w:ascii="Times New Roman"/>
          <w:i/>
          <w:sz w:val="28"/>
        </w:rPr>
      </w:pPr>
      <w:r>
        <w:rPr>
          <w:rFonts w:ascii="Times New Roman"/>
          <w:i/>
          <w:sz w:val="28"/>
        </w:rPr>
        <w:t>Von</w:t>
      </w:r>
      <w:r>
        <w:rPr>
          <w:rFonts w:ascii="Times New Roman"/>
          <w:i/>
          <w:spacing w:val="-12"/>
          <w:sz w:val="28"/>
        </w:rPr>
        <w:t> </w:t>
      </w:r>
      <w:r>
        <w:rPr>
          <w:rFonts w:ascii="Times New Roman"/>
          <w:i/>
          <w:sz w:val="28"/>
        </w:rPr>
        <w:t>Mutius,</w:t>
      </w:r>
      <w:r>
        <w:rPr>
          <w:rFonts w:ascii="Times New Roman"/>
          <w:i/>
          <w:spacing w:val="-12"/>
          <w:sz w:val="28"/>
        </w:rPr>
        <w:t> </w:t>
      </w:r>
      <w:r>
        <w:rPr>
          <w:rFonts w:ascii="Times New Roman"/>
          <w:i/>
          <w:sz w:val="28"/>
        </w:rPr>
        <w:t>Albert:</w:t>
      </w:r>
      <w:r>
        <w:rPr>
          <w:rFonts w:ascii="Times New Roman"/>
          <w:i/>
          <w:spacing w:val="-12"/>
          <w:sz w:val="28"/>
        </w:rPr>
        <w:t> </w:t>
      </w:r>
      <w:r>
        <w:rPr>
          <w:rFonts w:ascii="Times New Roman"/>
          <w:i/>
          <w:sz w:val="28"/>
        </w:rPr>
        <w:t>Konkur</w:t>
      </w:r>
      <w:r>
        <w:rPr>
          <w:rFonts w:ascii="Times New Roman"/>
          <w:i/>
          <w:spacing w:val="-12"/>
          <w:sz w:val="28"/>
        </w:rPr>
        <w:t> </w:t>
      </w:r>
      <w:r>
        <w:rPr>
          <w:rFonts w:ascii="Times New Roman"/>
          <w:i/>
          <w:sz w:val="28"/>
        </w:rPr>
        <w:t>rentenklage</w:t>
      </w:r>
      <w:r>
        <w:rPr>
          <w:rFonts w:ascii="Times New Roman"/>
          <w:i/>
          <w:spacing w:val="-13"/>
          <w:sz w:val="28"/>
        </w:rPr>
        <w:t> </w:t>
      </w:r>
      <w:r>
        <w:rPr>
          <w:rFonts w:ascii="Times New Roman"/>
          <w:i/>
          <w:sz w:val="28"/>
        </w:rPr>
        <w:t>im</w:t>
      </w:r>
      <w:r>
        <w:rPr>
          <w:rFonts w:ascii="Times New Roman"/>
          <w:i/>
          <w:spacing w:val="-13"/>
          <w:sz w:val="28"/>
        </w:rPr>
        <w:t> </w:t>
      </w:r>
      <w:r>
        <w:rPr>
          <w:rFonts w:ascii="Times New Roman"/>
          <w:i/>
          <w:sz w:val="28"/>
        </w:rPr>
        <w:t>Beamtenrecht,</w:t>
      </w:r>
      <w:r>
        <w:rPr>
          <w:rFonts w:ascii="Times New Roman"/>
          <w:i/>
          <w:spacing w:val="-12"/>
          <w:sz w:val="28"/>
        </w:rPr>
        <w:t> </w:t>
      </w:r>
      <w:r>
        <w:rPr>
          <w:rFonts w:ascii="Times New Roman"/>
          <w:i/>
          <w:sz w:val="28"/>
        </w:rPr>
        <w:t>VerwArch</w:t>
      </w:r>
      <w:r>
        <w:rPr>
          <w:rFonts w:ascii="Times New Roman"/>
          <w:i/>
          <w:spacing w:val="-11"/>
          <w:sz w:val="28"/>
        </w:rPr>
        <w:t> </w:t>
      </w:r>
      <w:r>
        <w:rPr>
          <w:rFonts w:ascii="Times New Roman"/>
          <w:i/>
          <w:sz w:val="28"/>
        </w:rPr>
        <w:t>69</w:t>
      </w:r>
      <w:r>
        <w:rPr>
          <w:rFonts w:ascii="Times New Roman"/>
          <w:i/>
          <w:spacing w:val="-11"/>
          <w:sz w:val="28"/>
        </w:rPr>
        <w:t> </w:t>
      </w:r>
      <w:r>
        <w:rPr>
          <w:rFonts w:ascii="Times New Roman"/>
          <w:i/>
          <w:sz w:val="28"/>
        </w:rPr>
        <w:t>(1978),</w:t>
      </w:r>
      <w:r>
        <w:rPr>
          <w:rFonts w:ascii="Times New Roman"/>
          <w:i/>
          <w:spacing w:val="-67"/>
          <w:sz w:val="28"/>
        </w:rPr>
        <w:t> </w:t>
      </w:r>
      <w:r>
        <w:rPr>
          <w:rFonts w:ascii="Times New Roman"/>
          <w:i/>
          <w:sz w:val="28"/>
        </w:rPr>
        <w:t>103</w:t>
      </w:r>
      <w:r>
        <w:rPr>
          <w:rFonts w:ascii="Times New Roman"/>
          <w:i/>
          <w:spacing w:val="-4"/>
          <w:sz w:val="28"/>
        </w:rPr>
        <w:t> </w:t>
      </w:r>
      <w:r>
        <w:rPr>
          <w:rFonts w:ascii="Times New Roman"/>
          <w:i/>
          <w:sz w:val="28"/>
        </w:rPr>
        <w:t>ff.</w:t>
      </w:r>
    </w:p>
    <w:p>
      <w:pPr>
        <w:spacing w:before="2"/>
        <w:ind w:left="298" w:right="0" w:firstLine="0"/>
        <w:jc w:val="left"/>
        <w:rPr>
          <w:rFonts w:ascii="Times New Roman"/>
          <w:i/>
          <w:sz w:val="28"/>
        </w:rPr>
      </w:pPr>
      <w:r>
        <w:rPr>
          <w:rFonts w:ascii="Times New Roman"/>
          <w:i/>
          <w:sz w:val="28"/>
        </w:rPr>
        <w:t>Nottbusch,</w:t>
      </w:r>
      <w:r>
        <w:rPr>
          <w:rFonts w:ascii="Times New Roman"/>
          <w:i/>
          <w:spacing w:val="-9"/>
          <w:sz w:val="28"/>
        </w:rPr>
        <w:t> </w:t>
      </w:r>
      <w:r>
        <w:rPr>
          <w:rFonts w:ascii="Times New Roman"/>
          <w:i/>
          <w:sz w:val="28"/>
        </w:rPr>
        <w:t>Claudia:</w:t>
      </w:r>
      <w:r>
        <w:rPr>
          <w:rFonts w:ascii="Times New Roman"/>
          <w:i/>
          <w:spacing w:val="-7"/>
          <w:sz w:val="28"/>
        </w:rPr>
        <w:t> </w:t>
      </w:r>
      <w:r>
        <w:rPr>
          <w:rFonts w:ascii="Times New Roman"/>
          <w:i/>
          <w:sz w:val="28"/>
        </w:rPr>
        <w:t>Die</w:t>
      </w:r>
      <w:r>
        <w:rPr>
          <w:rFonts w:ascii="Times New Roman"/>
          <w:i/>
          <w:spacing w:val="-8"/>
          <w:sz w:val="28"/>
        </w:rPr>
        <w:t> </w:t>
      </w:r>
      <w:r>
        <w:rPr>
          <w:rFonts w:ascii="Times New Roman"/>
          <w:i/>
          <w:sz w:val="28"/>
        </w:rPr>
        <w:t>Beiladung</w:t>
      </w:r>
      <w:r>
        <w:rPr>
          <w:rFonts w:ascii="Times New Roman"/>
          <w:i/>
          <w:spacing w:val="-6"/>
          <w:sz w:val="28"/>
        </w:rPr>
        <w:t> </w:t>
      </w:r>
      <w:r>
        <w:rPr>
          <w:rFonts w:ascii="Times New Roman"/>
          <w:i/>
          <w:sz w:val="28"/>
        </w:rPr>
        <w:t>im</w:t>
      </w:r>
      <w:r>
        <w:rPr>
          <w:rFonts w:ascii="Times New Roman"/>
          <w:i/>
          <w:spacing w:val="-13"/>
          <w:sz w:val="28"/>
        </w:rPr>
        <w:t> </w:t>
      </w:r>
      <w:r>
        <w:rPr>
          <w:rFonts w:ascii="Times New Roman"/>
          <w:i/>
          <w:sz w:val="28"/>
        </w:rPr>
        <w:t>Verwaltungsprozess,</w:t>
      </w:r>
      <w:r>
        <w:rPr>
          <w:rFonts w:ascii="Times New Roman"/>
          <w:i/>
          <w:spacing w:val="-8"/>
          <w:sz w:val="28"/>
        </w:rPr>
        <w:t> </w:t>
      </w:r>
      <w:r>
        <w:rPr>
          <w:rFonts w:ascii="Times New Roman"/>
          <w:i/>
          <w:sz w:val="28"/>
        </w:rPr>
        <w:t>1995.</w:t>
      </w:r>
    </w:p>
    <w:p>
      <w:pPr>
        <w:spacing w:line="372" w:lineRule="auto" w:before="178"/>
        <w:ind w:left="858" w:right="620" w:hanging="560"/>
        <w:jc w:val="left"/>
        <w:rPr>
          <w:rFonts w:ascii="Times New Roman"/>
          <w:i/>
          <w:sz w:val="28"/>
        </w:rPr>
      </w:pPr>
      <w:r>
        <w:rPr>
          <w:rFonts w:ascii="Times New Roman"/>
          <w:i/>
          <w:spacing w:val="-1"/>
          <w:sz w:val="28"/>
        </w:rPr>
        <w:t>Redeker,</w:t>
      </w:r>
      <w:r>
        <w:rPr>
          <w:rFonts w:ascii="Times New Roman"/>
          <w:i/>
          <w:spacing w:val="-11"/>
          <w:sz w:val="28"/>
        </w:rPr>
        <w:t> </w:t>
      </w:r>
      <w:r>
        <w:rPr>
          <w:rFonts w:ascii="Times New Roman"/>
          <w:i/>
          <w:spacing w:val="-1"/>
          <w:sz w:val="28"/>
        </w:rPr>
        <w:t>Konrad/von</w:t>
      </w:r>
      <w:r>
        <w:rPr>
          <w:rFonts w:ascii="Times New Roman"/>
          <w:i/>
          <w:spacing w:val="-12"/>
          <w:sz w:val="28"/>
        </w:rPr>
        <w:t> </w:t>
      </w:r>
      <w:r>
        <w:rPr>
          <w:rFonts w:ascii="Times New Roman"/>
          <w:i/>
          <w:spacing w:val="-1"/>
          <w:sz w:val="28"/>
        </w:rPr>
        <w:t>Oertzen,</w:t>
      </w:r>
      <w:r>
        <w:rPr>
          <w:rFonts w:ascii="Times New Roman"/>
          <w:i/>
          <w:spacing w:val="-10"/>
          <w:sz w:val="28"/>
        </w:rPr>
        <w:t> </w:t>
      </w:r>
      <w:r>
        <w:rPr>
          <w:rFonts w:ascii="Times New Roman"/>
          <w:i/>
          <w:spacing w:val="-1"/>
          <w:sz w:val="28"/>
        </w:rPr>
        <w:t>Hans-Joachim:</w:t>
      </w:r>
      <w:r>
        <w:rPr>
          <w:rFonts w:ascii="Times New Roman"/>
          <w:i/>
          <w:spacing w:val="-15"/>
          <w:sz w:val="28"/>
        </w:rPr>
        <w:t> </w:t>
      </w:r>
      <w:r>
        <w:rPr>
          <w:rFonts w:ascii="Times New Roman"/>
          <w:i/>
          <w:spacing w:val="-1"/>
          <w:sz w:val="28"/>
        </w:rPr>
        <w:t>Verwaltungsgerichtsordnung,</w:t>
      </w:r>
      <w:r>
        <w:rPr>
          <w:rFonts w:ascii="Times New Roman"/>
          <w:i/>
          <w:spacing w:val="-67"/>
          <w:sz w:val="28"/>
        </w:rPr>
        <w:t> </w:t>
      </w:r>
      <w:r>
        <w:rPr>
          <w:rFonts w:ascii="Times New Roman"/>
          <w:i/>
          <w:sz w:val="28"/>
        </w:rPr>
        <w:t>13.</w:t>
      </w:r>
      <w:r>
        <w:rPr>
          <w:rFonts w:ascii="Times New Roman"/>
          <w:i/>
          <w:spacing w:val="-7"/>
          <w:sz w:val="28"/>
        </w:rPr>
        <w:t> </w:t>
      </w:r>
      <w:r>
        <w:rPr>
          <w:rFonts w:ascii="Times New Roman"/>
          <w:i/>
          <w:sz w:val="28"/>
        </w:rPr>
        <w:t>Aufl.,</w:t>
      </w:r>
      <w:r>
        <w:rPr>
          <w:rFonts w:ascii="Times New Roman"/>
          <w:i/>
          <w:spacing w:val="-1"/>
          <w:sz w:val="28"/>
        </w:rPr>
        <w:t> </w:t>
      </w:r>
      <w:r>
        <w:rPr>
          <w:rFonts w:ascii="Times New Roman"/>
          <w:i/>
          <w:sz w:val="28"/>
        </w:rPr>
        <w:t>2000.</w:t>
      </w:r>
    </w:p>
    <w:p>
      <w:pPr>
        <w:spacing w:before="3"/>
        <w:ind w:left="298" w:right="0" w:firstLine="0"/>
        <w:jc w:val="left"/>
        <w:rPr>
          <w:rFonts w:ascii="Times New Roman" w:hAnsi="Times New Roman"/>
          <w:i/>
          <w:sz w:val="28"/>
        </w:rPr>
      </w:pPr>
      <w:r>
        <w:rPr>
          <w:rFonts w:ascii="Times New Roman" w:hAnsi="Times New Roman"/>
          <w:i/>
          <w:sz w:val="28"/>
        </w:rPr>
        <w:t>Schäfer,</w:t>
      </w:r>
      <w:r>
        <w:rPr>
          <w:rFonts w:ascii="Times New Roman" w:hAnsi="Times New Roman"/>
          <w:i/>
          <w:spacing w:val="-11"/>
          <w:sz w:val="28"/>
        </w:rPr>
        <w:t> </w:t>
      </w:r>
      <w:r>
        <w:rPr>
          <w:rFonts w:ascii="Times New Roman" w:hAnsi="Times New Roman"/>
          <w:i/>
          <w:sz w:val="28"/>
        </w:rPr>
        <w:t>Birgit:</w:t>
      </w:r>
      <w:r>
        <w:rPr>
          <w:rFonts w:ascii="Times New Roman" w:hAnsi="Times New Roman"/>
          <w:i/>
          <w:spacing w:val="-9"/>
          <w:sz w:val="28"/>
        </w:rPr>
        <w:t> </w:t>
      </w:r>
      <w:r>
        <w:rPr>
          <w:rFonts w:ascii="Times New Roman" w:hAnsi="Times New Roman"/>
          <w:i/>
          <w:sz w:val="28"/>
        </w:rPr>
        <w:t>Die</w:t>
      </w:r>
      <w:r>
        <w:rPr>
          <w:rFonts w:ascii="Times New Roman" w:hAnsi="Times New Roman"/>
          <w:i/>
          <w:spacing w:val="-9"/>
          <w:sz w:val="28"/>
        </w:rPr>
        <w:t> </w:t>
      </w:r>
      <w:r>
        <w:rPr>
          <w:rFonts w:ascii="Times New Roman" w:hAnsi="Times New Roman"/>
          <w:i/>
          <w:sz w:val="28"/>
        </w:rPr>
        <w:t>Beiladung</w:t>
      </w:r>
      <w:r>
        <w:rPr>
          <w:rFonts w:ascii="Times New Roman" w:hAnsi="Times New Roman"/>
          <w:i/>
          <w:spacing w:val="-8"/>
          <w:sz w:val="28"/>
        </w:rPr>
        <w:t> </w:t>
      </w:r>
      <w:r>
        <w:rPr>
          <w:rFonts w:ascii="Times New Roman" w:hAnsi="Times New Roman"/>
          <w:i/>
          <w:sz w:val="28"/>
        </w:rPr>
        <w:t>im</w:t>
      </w:r>
      <w:r>
        <w:rPr>
          <w:rFonts w:ascii="Times New Roman" w:hAnsi="Times New Roman"/>
          <w:i/>
          <w:spacing w:val="-10"/>
          <w:sz w:val="28"/>
        </w:rPr>
        <w:t> </w:t>
      </w:r>
      <w:r>
        <w:rPr>
          <w:rFonts w:ascii="Times New Roman" w:hAnsi="Times New Roman"/>
          <w:i/>
          <w:sz w:val="28"/>
        </w:rPr>
        <w:t>Sozialgerichtsverfahren,</w:t>
      </w:r>
      <w:r>
        <w:rPr>
          <w:rFonts w:ascii="Times New Roman" w:hAnsi="Times New Roman"/>
          <w:i/>
          <w:spacing w:val="-10"/>
          <w:sz w:val="28"/>
        </w:rPr>
        <w:t> </w:t>
      </w:r>
      <w:r>
        <w:rPr>
          <w:rFonts w:ascii="Times New Roman" w:hAnsi="Times New Roman"/>
          <w:i/>
          <w:sz w:val="28"/>
        </w:rPr>
        <w:t>1983.</w:t>
      </w:r>
    </w:p>
    <w:p>
      <w:pPr>
        <w:spacing w:line="372" w:lineRule="auto" w:before="177"/>
        <w:ind w:left="858" w:right="0" w:hanging="560"/>
        <w:jc w:val="left"/>
        <w:rPr>
          <w:rFonts w:ascii="Times New Roman" w:hAnsi="Times New Roman"/>
          <w:i/>
          <w:sz w:val="28"/>
        </w:rPr>
      </w:pPr>
      <w:r>
        <w:rPr>
          <w:rFonts w:ascii="Times New Roman" w:hAnsi="Times New Roman"/>
          <w:i/>
          <w:spacing w:val="-1"/>
          <w:sz w:val="28"/>
        </w:rPr>
        <w:t>Schenke, Wolf-Rüdiger, in: Damrau, Jürgen/Kraft, </w:t>
      </w:r>
      <w:r>
        <w:rPr>
          <w:rFonts w:ascii="Times New Roman" w:hAnsi="Times New Roman"/>
          <w:i/>
          <w:sz w:val="28"/>
        </w:rPr>
        <w:t>Alfons/Fürst, Walther, Die</w:t>
      </w:r>
      <w:r>
        <w:rPr>
          <w:rFonts w:ascii="Times New Roman" w:hAnsi="Times New Roman"/>
          <w:i/>
          <w:spacing w:val="1"/>
          <w:sz w:val="28"/>
        </w:rPr>
        <w:t> </w:t>
      </w:r>
      <w:r>
        <w:rPr>
          <w:rFonts w:ascii="Times New Roman" w:hAnsi="Times New Roman"/>
          <w:i/>
          <w:sz w:val="28"/>
        </w:rPr>
        <w:t>Konkurrentenklage</w:t>
      </w:r>
      <w:r>
        <w:rPr>
          <w:rFonts w:ascii="Times New Roman" w:hAnsi="Times New Roman"/>
          <w:i/>
          <w:spacing w:val="-6"/>
          <w:sz w:val="28"/>
        </w:rPr>
        <w:t> </w:t>
      </w:r>
      <w:r>
        <w:rPr>
          <w:rFonts w:ascii="Times New Roman" w:hAnsi="Times New Roman"/>
          <w:i/>
          <w:sz w:val="28"/>
        </w:rPr>
        <w:t>im</w:t>
      </w:r>
      <w:r>
        <w:rPr>
          <w:rFonts w:ascii="Times New Roman" w:hAnsi="Times New Roman"/>
          <w:i/>
          <w:spacing w:val="-5"/>
          <w:sz w:val="28"/>
        </w:rPr>
        <w:t> </w:t>
      </w:r>
      <w:r>
        <w:rPr>
          <w:rFonts w:ascii="Times New Roman" w:hAnsi="Times New Roman"/>
          <w:i/>
          <w:sz w:val="28"/>
        </w:rPr>
        <w:t>Beamtenrecht,</w:t>
      </w:r>
      <w:r>
        <w:rPr>
          <w:rFonts w:ascii="Times New Roman" w:hAnsi="Times New Roman"/>
          <w:i/>
          <w:spacing w:val="-6"/>
          <w:sz w:val="28"/>
        </w:rPr>
        <w:t> </w:t>
      </w:r>
      <w:r>
        <w:rPr>
          <w:rFonts w:ascii="Times New Roman" w:hAnsi="Times New Roman"/>
          <w:i/>
          <w:sz w:val="28"/>
        </w:rPr>
        <w:t>Festschrift</w:t>
      </w:r>
      <w:r>
        <w:rPr>
          <w:rFonts w:ascii="Times New Roman" w:hAnsi="Times New Roman"/>
          <w:i/>
          <w:spacing w:val="-5"/>
          <w:sz w:val="28"/>
        </w:rPr>
        <w:t> </w:t>
      </w:r>
      <w:r>
        <w:rPr>
          <w:rFonts w:ascii="Times New Roman" w:hAnsi="Times New Roman"/>
          <w:i/>
          <w:sz w:val="28"/>
        </w:rPr>
        <w:t>fur</w:t>
      </w:r>
      <w:r>
        <w:rPr>
          <w:rFonts w:ascii="Times New Roman" w:hAnsi="Times New Roman"/>
          <w:i/>
          <w:spacing w:val="-4"/>
          <w:sz w:val="28"/>
        </w:rPr>
        <w:t> </w:t>
      </w:r>
      <w:r>
        <w:rPr>
          <w:rFonts w:ascii="Times New Roman" w:hAnsi="Times New Roman"/>
          <w:i/>
          <w:sz w:val="28"/>
        </w:rPr>
        <w:t>Otto</w:t>
      </w:r>
      <w:r>
        <w:rPr>
          <w:rFonts w:ascii="Times New Roman" w:hAnsi="Times New Roman"/>
          <w:i/>
          <w:spacing w:val="-4"/>
          <w:sz w:val="28"/>
        </w:rPr>
        <w:t> </w:t>
      </w:r>
      <w:r>
        <w:rPr>
          <w:rFonts w:ascii="Times New Roman" w:hAnsi="Times New Roman"/>
          <w:i/>
          <w:sz w:val="28"/>
        </w:rPr>
        <w:t>Mühl,</w:t>
      </w:r>
      <w:r>
        <w:rPr>
          <w:rFonts w:ascii="Times New Roman" w:hAnsi="Times New Roman"/>
          <w:i/>
          <w:spacing w:val="-8"/>
          <w:sz w:val="28"/>
        </w:rPr>
        <w:t> </w:t>
      </w:r>
      <w:r>
        <w:rPr>
          <w:rFonts w:ascii="Times New Roman" w:hAnsi="Times New Roman"/>
          <w:i/>
          <w:sz w:val="28"/>
        </w:rPr>
        <w:t>S.</w:t>
      </w:r>
      <w:r>
        <w:rPr>
          <w:rFonts w:ascii="Times New Roman" w:hAnsi="Times New Roman"/>
          <w:i/>
          <w:spacing w:val="-5"/>
          <w:sz w:val="28"/>
        </w:rPr>
        <w:t> </w:t>
      </w:r>
      <w:r>
        <w:rPr>
          <w:rFonts w:ascii="Times New Roman" w:hAnsi="Times New Roman"/>
          <w:i/>
          <w:sz w:val="28"/>
        </w:rPr>
        <w:t>571</w:t>
      </w:r>
      <w:r>
        <w:rPr>
          <w:rFonts w:ascii="Times New Roman" w:hAnsi="Times New Roman"/>
          <w:i/>
          <w:spacing w:val="-8"/>
          <w:sz w:val="28"/>
        </w:rPr>
        <w:t> </w:t>
      </w:r>
      <w:r>
        <w:rPr>
          <w:rFonts w:ascii="Times New Roman" w:hAnsi="Times New Roman"/>
          <w:i/>
          <w:sz w:val="28"/>
        </w:rPr>
        <w:t>ff.,</w:t>
      </w:r>
      <w:r>
        <w:rPr>
          <w:rFonts w:ascii="Times New Roman" w:hAnsi="Times New Roman"/>
          <w:i/>
          <w:spacing w:val="-67"/>
          <w:sz w:val="28"/>
        </w:rPr>
        <w:t> </w:t>
      </w:r>
      <w:r>
        <w:rPr>
          <w:rFonts w:ascii="Times New Roman" w:hAnsi="Times New Roman"/>
          <w:i/>
          <w:sz w:val="28"/>
        </w:rPr>
        <w:t>Stuttgart/Berlin/Köln/Mainz</w:t>
      </w:r>
      <w:r>
        <w:rPr>
          <w:rFonts w:ascii="Times New Roman" w:hAnsi="Times New Roman"/>
          <w:i/>
          <w:spacing w:val="-5"/>
          <w:sz w:val="28"/>
        </w:rPr>
        <w:t> </w:t>
      </w:r>
      <w:r>
        <w:rPr>
          <w:rFonts w:ascii="Times New Roman" w:hAnsi="Times New Roman"/>
          <w:i/>
          <w:sz w:val="28"/>
        </w:rPr>
        <w:t>1981</w:t>
      </w:r>
      <w:r>
        <w:rPr>
          <w:rFonts w:ascii="Times New Roman" w:hAnsi="Times New Roman"/>
          <w:i/>
          <w:spacing w:val="-1"/>
          <w:sz w:val="28"/>
        </w:rPr>
        <w:t> </w:t>
      </w:r>
      <w:r>
        <w:rPr>
          <w:rFonts w:ascii="Times New Roman" w:hAnsi="Times New Roman"/>
          <w:i/>
          <w:sz w:val="28"/>
        </w:rPr>
        <w:t>(zit.:</w:t>
      </w:r>
      <w:r>
        <w:rPr>
          <w:rFonts w:ascii="Times New Roman" w:hAnsi="Times New Roman"/>
          <w:i/>
          <w:spacing w:val="-2"/>
          <w:sz w:val="28"/>
        </w:rPr>
        <w:t> </w:t>
      </w:r>
      <w:r>
        <w:rPr>
          <w:rFonts w:ascii="Times New Roman" w:hAnsi="Times New Roman"/>
          <w:i/>
          <w:sz w:val="28"/>
        </w:rPr>
        <w:t>Schenke,</w:t>
      </w:r>
      <w:r>
        <w:rPr>
          <w:rFonts w:ascii="Times New Roman" w:hAnsi="Times New Roman"/>
          <w:i/>
          <w:spacing w:val="-6"/>
          <w:sz w:val="28"/>
        </w:rPr>
        <w:t> </w:t>
      </w:r>
      <w:r>
        <w:rPr>
          <w:rFonts w:ascii="Times New Roman" w:hAnsi="Times New Roman"/>
          <w:i/>
          <w:sz w:val="28"/>
        </w:rPr>
        <w:t>in:</w:t>
      </w:r>
      <w:r>
        <w:rPr>
          <w:rFonts w:ascii="Times New Roman" w:hAnsi="Times New Roman"/>
          <w:i/>
          <w:spacing w:val="-2"/>
          <w:sz w:val="28"/>
        </w:rPr>
        <w:t> </w:t>
      </w:r>
      <w:r>
        <w:rPr>
          <w:rFonts w:ascii="Times New Roman" w:hAnsi="Times New Roman"/>
          <w:i/>
          <w:sz w:val="28"/>
        </w:rPr>
        <w:t>FS Mühl)</w:t>
      </w:r>
    </w:p>
    <w:p>
      <w:pPr>
        <w:spacing w:before="3"/>
        <w:ind w:left="298" w:right="0" w:firstLine="0"/>
        <w:jc w:val="left"/>
        <w:rPr>
          <w:rFonts w:ascii="Times New Roman" w:hAnsi="Times New Roman"/>
          <w:i/>
          <w:sz w:val="28"/>
        </w:rPr>
      </w:pPr>
      <w:r>
        <w:rPr>
          <w:rFonts w:ascii="Times New Roman" w:hAnsi="Times New Roman"/>
          <w:i/>
          <w:sz w:val="28"/>
        </w:rPr>
        <w:t>Schenke,</w:t>
      </w:r>
      <w:r>
        <w:rPr>
          <w:rFonts w:ascii="Times New Roman" w:hAnsi="Times New Roman"/>
          <w:i/>
          <w:spacing w:val="-15"/>
          <w:sz w:val="28"/>
        </w:rPr>
        <w:t> </w:t>
      </w:r>
      <w:r>
        <w:rPr>
          <w:rFonts w:ascii="Times New Roman" w:hAnsi="Times New Roman"/>
          <w:i/>
          <w:sz w:val="28"/>
        </w:rPr>
        <w:t>Wölf-Rüdiger:</w:t>
      </w:r>
      <w:r>
        <w:rPr>
          <w:rFonts w:ascii="Times New Roman" w:hAnsi="Times New Roman"/>
          <w:i/>
          <w:spacing w:val="-15"/>
          <w:sz w:val="28"/>
        </w:rPr>
        <w:t> </w:t>
      </w:r>
      <w:r>
        <w:rPr>
          <w:rFonts w:ascii="Times New Roman" w:hAnsi="Times New Roman"/>
          <w:i/>
          <w:sz w:val="28"/>
        </w:rPr>
        <w:t>Verwaltungsprozessrecht,</w:t>
      </w:r>
      <w:r>
        <w:rPr>
          <w:rFonts w:ascii="Times New Roman" w:hAnsi="Times New Roman"/>
          <w:i/>
          <w:spacing w:val="-11"/>
          <w:sz w:val="28"/>
        </w:rPr>
        <w:t> </w:t>
      </w:r>
      <w:r>
        <w:rPr>
          <w:rFonts w:ascii="Times New Roman" w:hAnsi="Times New Roman"/>
          <w:i/>
          <w:sz w:val="28"/>
        </w:rPr>
        <w:t>9.</w:t>
      </w:r>
      <w:r>
        <w:rPr>
          <w:rFonts w:ascii="Times New Roman" w:hAnsi="Times New Roman"/>
          <w:i/>
          <w:spacing w:val="-14"/>
          <w:sz w:val="28"/>
        </w:rPr>
        <w:t> </w:t>
      </w:r>
      <w:r>
        <w:rPr>
          <w:rFonts w:ascii="Times New Roman" w:hAnsi="Times New Roman"/>
          <w:i/>
          <w:sz w:val="28"/>
        </w:rPr>
        <w:t>Aufl.,</w:t>
      </w:r>
      <w:r>
        <w:rPr>
          <w:rFonts w:ascii="Times New Roman" w:hAnsi="Times New Roman"/>
          <w:i/>
          <w:spacing w:val="-14"/>
          <w:sz w:val="28"/>
        </w:rPr>
        <w:t> </w:t>
      </w:r>
      <w:r>
        <w:rPr>
          <w:rFonts w:ascii="Times New Roman" w:hAnsi="Times New Roman"/>
          <w:i/>
          <w:sz w:val="28"/>
        </w:rPr>
        <w:t>2004.</w:t>
      </w:r>
    </w:p>
    <w:p>
      <w:pPr>
        <w:spacing w:line="374" w:lineRule="auto" w:before="177"/>
        <w:ind w:left="858" w:right="497" w:hanging="560"/>
        <w:jc w:val="left"/>
        <w:rPr>
          <w:rFonts w:ascii="Times New Roman" w:hAnsi="Times New Roman"/>
          <w:i/>
          <w:sz w:val="28"/>
        </w:rPr>
      </w:pPr>
      <w:r>
        <w:rPr>
          <w:rFonts w:ascii="Times New Roman" w:hAnsi="Times New Roman"/>
          <w:i/>
          <w:spacing w:val="-1"/>
          <w:sz w:val="28"/>
        </w:rPr>
        <w:t>Schmidt-Preuß,</w:t>
      </w:r>
      <w:r>
        <w:rPr>
          <w:rFonts w:ascii="Times New Roman" w:hAnsi="Times New Roman"/>
          <w:i/>
          <w:spacing w:val="-13"/>
          <w:sz w:val="28"/>
        </w:rPr>
        <w:t> </w:t>
      </w:r>
      <w:r>
        <w:rPr>
          <w:rFonts w:ascii="Times New Roman" w:hAnsi="Times New Roman"/>
          <w:i/>
          <w:spacing w:val="-1"/>
          <w:sz w:val="28"/>
        </w:rPr>
        <w:t>Matthias:</w:t>
      </w:r>
      <w:r>
        <w:rPr>
          <w:rFonts w:ascii="Times New Roman" w:hAnsi="Times New Roman"/>
          <w:i/>
          <w:spacing w:val="-11"/>
          <w:sz w:val="28"/>
        </w:rPr>
        <w:t> </w:t>
      </w:r>
      <w:r>
        <w:rPr>
          <w:rFonts w:ascii="Times New Roman" w:hAnsi="Times New Roman"/>
          <w:i/>
          <w:spacing w:val="-1"/>
          <w:sz w:val="28"/>
        </w:rPr>
        <w:t>Kollidierende</w:t>
      </w:r>
      <w:r>
        <w:rPr>
          <w:rFonts w:ascii="Times New Roman" w:hAnsi="Times New Roman"/>
          <w:i/>
          <w:spacing w:val="-12"/>
          <w:sz w:val="28"/>
        </w:rPr>
        <w:t> </w:t>
      </w:r>
      <w:r>
        <w:rPr>
          <w:rFonts w:ascii="Times New Roman" w:hAnsi="Times New Roman"/>
          <w:i/>
          <w:spacing w:val="-1"/>
          <w:sz w:val="28"/>
        </w:rPr>
        <w:t>Privatinteressen</w:t>
      </w:r>
      <w:r>
        <w:rPr>
          <w:rFonts w:ascii="Times New Roman" w:hAnsi="Times New Roman"/>
          <w:i/>
          <w:spacing w:val="-11"/>
          <w:sz w:val="28"/>
        </w:rPr>
        <w:t> </w:t>
      </w:r>
      <w:r>
        <w:rPr>
          <w:rFonts w:ascii="Times New Roman" w:hAnsi="Times New Roman"/>
          <w:i/>
          <w:sz w:val="28"/>
        </w:rPr>
        <w:t>im</w:t>
      </w:r>
      <w:r>
        <w:rPr>
          <w:rFonts w:ascii="Times New Roman" w:hAnsi="Times New Roman"/>
          <w:i/>
          <w:spacing w:val="-16"/>
          <w:sz w:val="28"/>
        </w:rPr>
        <w:t> </w:t>
      </w:r>
      <w:r>
        <w:rPr>
          <w:rFonts w:ascii="Times New Roman" w:hAnsi="Times New Roman"/>
          <w:i/>
          <w:sz w:val="28"/>
        </w:rPr>
        <w:t>Verwaltungsrecht,</w:t>
      </w:r>
      <w:r>
        <w:rPr>
          <w:rFonts w:ascii="Times New Roman" w:hAnsi="Times New Roman"/>
          <w:i/>
          <w:spacing w:val="-67"/>
          <w:sz w:val="28"/>
        </w:rPr>
        <w:t> </w:t>
      </w:r>
      <w:r>
        <w:rPr>
          <w:rFonts w:ascii="Times New Roman" w:hAnsi="Times New Roman"/>
          <w:i/>
          <w:sz w:val="28"/>
        </w:rPr>
        <w:t>1992.</w:t>
      </w:r>
    </w:p>
    <w:p>
      <w:pPr>
        <w:spacing w:line="372" w:lineRule="auto" w:before="0"/>
        <w:ind w:left="298" w:right="1709" w:firstLine="0"/>
        <w:jc w:val="left"/>
        <w:rPr>
          <w:rFonts w:ascii="Times New Roman" w:hAnsi="Times New Roman"/>
          <w:i/>
          <w:sz w:val="28"/>
        </w:rPr>
      </w:pPr>
      <w:r>
        <w:rPr>
          <w:rFonts w:ascii="Times New Roman" w:hAnsi="Times New Roman"/>
          <w:i/>
          <w:sz w:val="28"/>
        </w:rPr>
        <w:t>Schnellenbach, Helmut: Beamtenrecht in der Praxis, 5. Aufl., 2001.</w:t>
      </w:r>
      <w:r>
        <w:rPr>
          <w:rFonts w:ascii="Times New Roman" w:hAnsi="Times New Roman"/>
          <w:i/>
          <w:spacing w:val="1"/>
          <w:sz w:val="28"/>
        </w:rPr>
        <w:t> </w:t>
      </w:r>
      <w:r>
        <w:rPr>
          <w:rFonts w:ascii="Times New Roman" w:hAnsi="Times New Roman"/>
          <w:i/>
          <w:sz w:val="28"/>
        </w:rPr>
        <w:t>Schoch,</w:t>
      </w:r>
      <w:r>
        <w:rPr>
          <w:rFonts w:ascii="Times New Roman" w:hAnsi="Times New Roman"/>
          <w:i/>
          <w:spacing w:val="-13"/>
          <w:sz w:val="28"/>
        </w:rPr>
        <w:t> </w:t>
      </w:r>
      <w:r>
        <w:rPr>
          <w:rFonts w:ascii="Times New Roman" w:hAnsi="Times New Roman"/>
          <w:i/>
          <w:sz w:val="28"/>
        </w:rPr>
        <w:t>Friedrich:</w:t>
      </w:r>
      <w:r>
        <w:rPr>
          <w:rFonts w:ascii="Times New Roman" w:hAnsi="Times New Roman"/>
          <w:i/>
          <w:spacing w:val="-16"/>
          <w:sz w:val="28"/>
        </w:rPr>
        <w:t> </w:t>
      </w:r>
      <w:r>
        <w:rPr>
          <w:rFonts w:ascii="Times New Roman" w:hAnsi="Times New Roman"/>
          <w:i/>
          <w:sz w:val="28"/>
        </w:rPr>
        <w:t>Vorläufiger</w:t>
      </w:r>
      <w:r>
        <w:rPr>
          <w:rFonts w:ascii="Times New Roman" w:hAnsi="Times New Roman"/>
          <w:i/>
          <w:spacing w:val="-11"/>
          <w:sz w:val="28"/>
        </w:rPr>
        <w:t> </w:t>
      </w:r>
      <w:r>
        <w:rPr>
          <w:rFonts w:ascii="Times New Roman" w:hAnsi="Times New Roman"/>
          <w:i/>
          <w:sz w:val="28"/>
        </w:rPr>
        <w:t>Rechtsschutz</w:t>
      </w:r>
      <w:r>
        <w:rPr>
          <w:rFonts w:ascii="Times New Roman" w:hAnsi="Times New Roman"/>
          <w:i/>
          <w:spacing w:val="-10"/>
          <w:sz w:val="28"/>
        </w:rPr>
        <w:t> </w:t>
      </w:r>
      <w:r>
        <w:rPr>
          <w:rFonts w:ascii="Times New Roman" w:hAnsi="Times New Roman"/>
          <w:i/>
          <w:sz w:val="28"/>
        </w:rPr>
        <w:t>und</w:t>
      </w:r>
      <w:r>
        <w:rPr>
          <w:rFonts w:ascii="Times New Roman" w:hAnsi="Times New Roman"/>
          <w:i/>
          <w:spacing w:val="-11"/>
          <w:sz w:val="28"/>
        </w:rPr>
        <w:t> </w:t>
      </w:r>
      <w:r>
        <w:rPr>
          <w:rFonts w:ascii="Times New Roman" w:hAnsi="Times New Roman"/>
          <w:i/>
          <w:sz w:val="28"/>
        </w:rPr>
        <w:t>Risikoverteilung</w:t>
      </w:r>
      <w:r>
        <w:rPr>
          <w:rFonts w:ascii="Times New Roman" w:hAnsi="Times New Roman"/>
          <w:i/>
          <w:spacing w:val="-14"/>
          <w:sz w:val="28"/>
        </w:rPr>
        <w:t> </w:t>
      </w:r>
      <w:r>
        <w:rPr>
          <w:rFonts w:ascii="Times New Roman" w:hAnsi="Times New Roman"/>
          <w:i/>
          <w:sz w:val="28"/>
        </w:rPr>
        <w:t>im</w:t>
      </w:r>
    </w:p>
    <w:p>
      <w:pPr>
        <w:spacing w:before="0"/>
        <w:ind w:left="858" w:right="0" w:firstLine="0"/>
        <w:jc w:val="left"/>
        <w:rPr>
          <w:rFonts w:ascii="Times New Roman"/>
          <w:i/>
          <w:sz w:val="28"/>
        </w:rPr>
      </w:pPr>
      <w:r>
        <w:rPr>
          <w:rFonts w:ascii="Times New Roman"/>
          <w:i/>
          <w:sz w:val="28"/>
        </w:rPr>
        <w:t>Verwaltungsrecht,</w:t>
      </w:r>
      <w:r>
        <w:rPr>
          <w:rFonts w:ascii="Times New Roman"/>
          <w:i/>
          <w:spacing w:val="-13"/>
          <w:sz w:val="28"/>
        </w:rPr>
        <w:t> </w:t>
      </w:r>
      <w:r>
        <w:rPr>
          <w:rFonts w:ascii="Times New Roman"/>
          <w:i/>
          <w:sz w:val="28"/>
        </w:rPr>
        <w:t>Heidelberg</w:t>
      </w:r>
      <w:r>
        <w:rPr>
          <w:rFonts w:ascii="Times New Roman"/>
          <w:i/>
          <w:spacing w:val="-11"/>
          <w:sz w:val="28"/>
        </w:rPr>
        <w:t> </w:t>
      </w:r>
      <w:r>
        <w:rPr>
          <w:rFonts w:ascii="Times New Roman"/>
          <w:i/>
          <w:sz w:val="28"/>
        </w:rPr>
        <w:t>1988</w:t>
      </w:r>
    </w:p>
    <w:p>
      <w:pPr>
        <w:spacing w:line="372" w:lineRule="auto" w:before="177"/>
        <w:ind w:left="298" w:right="2797" w:firstLine="0"/>
        <w:jc w:val="left"/>
        <w:rPr>
          <w:rFonts w:ascii="Times New Roman"/>
          <w:i/>
          <w:sz w:val="28"/>
        </w:rPr>
      </w:pPr>
      <w:r>
        <w:rPr>
          <w:rFonts w:ascii="Times New Roman"/>
          <w:i/>
          <w:sz w:val="28"/>
        </w:rPr>
        <w:t>Stahl,</w:t>
      </w:r>
      <w:r>
        <w:rPr>
          <w:rFonts w:ascii="Times New Roman"/>
          <w:i/>
          <w:spacing w:val="-16"/>
          <w:sz w:val="28"/>
        </w:rPr>
        <w:t> </w:t>
      </w:r>
      <w:r>
        <w:rPr>
          <w:rFonts w:ascii="Times New Roman"/>
          <w:i/>
          <w:sz w:val="28"/>
        </w:rPr>
        <w:t>Walter</w:t>
      </w:r>
      <w:r>
        <w:rPr>
          <w:rFonts w:ascii="Times New Roman"/>
          <w:i/>
          <w:spacing w:val="-10"/>
          <w:sz w:val="28"/>
        </w:rPr>
        <w:t> </w:t>
      </w:r>
      <w:r>
        <w:rPr>
          <w:rFonts w:ascii="Times New Roman"/>
          <w:i/>
          <w:sz w:val="28"/>
        </w:rPr>
        <w:t>E.:</w:t>
      </w:r>
      <w:r>
        <w:rPr>
          <w:rFonts w:ascii="Times New Roman"/>
          <w:i/>
          <w:spacing w:val="-11"/>
          <w:sz w:val="28"/>
        </w:rPr>
        <w:t> </w:t>
      </w:r>
      <w:r>
        <w:rPr>
          <w:rFonts w:ascii="Times New Roman"/>
          <w:i/>
          <w:sz w:val="28"/>
        </w:rPr>
        <w:t>Beiladung</w:t>
      </w:r>
      <w:r>
        <w:rPr>
          <w:rFonts w:ascii="Times New Roman"/>
          <w:i/>
          <w:spacing w:val="-14"/>
          <w:sz w:val="28"/>
        </w:rPr>
        <w:t> </w:t>
      </w:r>
      <w:r>
        <w:rPr>
          <w:rFonts w:ascii="Times New Roman"/>
          <w:i/>
          <w:sz w:val="28"/>
        </w:rPr>
        <w:t>und</w:t>
      </w:r>
      <w:r>
        <w:rPr>
          <w:rFonts w:ascii="Times New Roman"/>
          <w:i/>
          <w:spacing w:val="-9"/>
          <w:sz w:val="28"/>
        </w:rPr>
        <w:t> </w:t>
      </w:r>
      <w:r>
        <w:rPr>
          <w:rFonts w:ascii="Times New Roman"/>
          <w:i/>
          <w:sz w:val="28"/>
        </w:rPr>
        <w:t>Nebenintervention,</w:t>
      </w:r>
      <w:r>
        <w:rPr>
          <w:rFonts w:ascii="Times New Roman"/>
          <w:i/>
          <w:spacing w:val="-12"/>
          <w:sz w:val="28"/>
        </w:rPr>
        <w:t> </w:t>
      </w:r>
      <w:r>
        <w:rPr>
          <w:rFonts w:ascii="Times New Roman"/>
          <w:i/>
          <w:sz w:val="28"/>
        </w:rPr>
        <w:t>1972.</w:t>
      </w:r>
      <w:r>
        <w:rPr>
          <w:rFonts w:ascii="Times New Roman"/>
          <w:i/>
          <w:spacing w:val="-67"/>
          <w:sz w:val="28"/>
        </w:rPr>
        <w:t> </w:t>
      </w:r>
      <w:r>
        <w:rPr>
          <w:rFonts w:ascii="Times New Roman"/>
          <w:i/>
          <w:sz w:val="28"/>
        </w:rPr>
        <w:t>Stelkens,</w:t>
      </w:r>
      <w:r>
        <w:rPr>
          <w:rFonts w:ascii="Times New Roman"/>
          <w:i/>
          <w:spacing w:val="-3"/>
          <w:sz w:val="28"/>
        </w:rPr>
        <w:t> </w:t>
      </w:r>
      <w:r>
        <w:rPr>
          <w:rFonts w:ascii="Times New Roman"/>
          <w:i/>
          <w:sz w:val="28"/>
        </w:rPr>
        <w:t>Paul/Bonk,</w:t>
      </w:r>
      <w:r>
        <w:rPr>
          <w:rFonts w:ascii="Times New Roman"/>
          <w:i/>
          <w:spacing w:val="-5"/>
          <w:sz w:val="28"/>
        </w:rPr>
        <w:t> </w:t>
      </w:r>
      <w:r>
        <w:rPr>
          <w:rFonts w:ascii="Times New Roman"/>
          <w:i/>
          <w:sz w:val="28"/>
        </w:rPr>
        <w:t>Heinz</w:t>
      </w:r>
      <w:r>
        <w:rPr>
          <w:rFonts w:ascii="Times New Roman"/>
          <w:i/>
          <w:spacing w:val="-1"/>
          <w:sz w:val="28"/>
        </w:rPr>
        <w:t> </w:t>
      </w:r>
      <w:r>
        <w:rPr>
          <w:rFonts w:ascii="Times New Roman"/>
          <w:i/>
          <w:sz w:val="28"/>
        </w:rPr>
        <w:t>Joachim/Sachs,</w:t>
      </w:r>
    </w:p>
    <w:p>
      <w:pPr>
        <w:spacing w:before="3"/>
        <w:ind w:left="858" w:right="0" w:firstLine="0"/>
        <w:jc w:val="left"/>
        <w:rPr>
          <w:rFonts w:ascii="Times New Roman"/>
          <w:i/>
          <w:sz w:val="28"/>
        </w:rPr>
      </w:pPr>
      <w:r>
        <w:rPr>
          <w:rFonts w:ascii="Times New Roman"/>
          <w:i/>
          <w:sz w:val="28"/>
        </w:rPr>
        <w:t>Michael:Verwaltungsverfahrensgesetz,</w:t>
      </w:r>
      <w:r>
        <w:rPr>
          <w:rFonts w:ascii="Times New Roman"/>
          <w:i/>
          <w:spacing w:val="-13"/>
          <w:sz w:val="28"/>
        </w:rPr>
        <w:t> </w:t>
      </w:r>
      <w:r>
        <w:rPr>
          <w:rFonts w:ascii="Times New Roman"/>
          <w:i/>
          <w:sz w:val="28"/>
        </w:rPr>
        <w:t>7.</w:t>
      </w:r>
      <w:r>
        <w:rPr>
          <w:rFonts w:ascii="Times New Roman"/>
          <w:i/>
          <w:spacing w:val="-15"/>
          <w:sz w:val="28"/>
        </w:rPr>
        <w:t> </w:t>
      </w:r>
      <w:r>
        <w:rPr>
          <w:rFonts w:ascii="Times New Roman"/>
          <w:i/>
          <w:sz w:val="28"/>
        </w:rPr>
        <w:t>Aufl.,</w:t>
      </w:r>
      <w:r>
        <w:rPr>
          <w:rFonts w:ascii="Times New Roman"/>
          <w:i/>
          <w:spacing w:val="-10"/>
          <w:sz w:val="28"/>
        </w:rPr>
        <w:t> </w:t>
      </w:r>
      <w:r>
        <w:rPr>
          <w:rFonts w:ascii="Times New Roman"/>
          <w:i/>
          <w:sz w:val="28"/>
        </w:rPr>
        <w:t>2008.</w:t>
      </w:r>
    </w:p>
    <w:p>
      <w:pPr>
        <w:spacing w:line="372" w:lineRule="auto" w:before="177"/>
        <w:ind w:left="858" w:right="620" w:hanging="560"/>
        <w:jc w:val="left"/>
        <w:rPr>
          <w:rFonts w:ascii="Times New Roman"/>
          <w:i/>
          <w:sz w:val="28"/>
        </w:rPr>
      </w:pPr>
      <w:r>
        <w:rPr>
          <w:rFonts w:ascii="Times New Roman"/>
          <w:i/>
          <w:sz w:val="28"/>
        </w:rPr>
        <w:t>Wittkowski,</w:t>
      </w:r>
      <w:r>
        <w:rPr>
          <w:rFonts w:ascii="Times New Roman"/>
          <w:i/>
          <w:spacing w:val="-9"/>
          <w:sz w:val="28"/>
        </w:rPr>
        <w:t> </w:t>
      </w:r>
      <w:r>
        <w:rPr>
          <w:rFonts w:ascii="Times New Roman"/>
          <w:i/>
          <w:sz w:val="28"/>
        </w:rPr>
        <w:t>Bernd:</w:t>
      </w:r>
      <w:r>
        <w:rPr>
          <w:rFonts w:ascii="Times New Roman"/>
          <w:i/>
          <w:spacing w:val="-8"/>
          <w:sz w:val="28"/>
        </w:rPr>
        <w:t> </w:t>
      </w:r>
      <w:r>
        <w:rPr>
          <w:rFonts w:ascii="Times New Roman"/>
          <w:i/>
          <w:sz w:val="28"/>
        </w:rPr>
        <w:t>Die</w:t>
      </w:r>
      <w:r>
        <w:rPr>
          <w:rFonts w:ascii="Times New Roman"/>
          <w:i/>
          <w:spacing w:val="-7"/>
          <w:sz w:val="28"/>
        </w:rPr>
        <w:t> </w:t>
      </w:r>
      <w:r>
        <w:rPr>
          <w:rFonts w:ascii="Times New Roman"/>
          <w:i/>
          <w:sz w:val="28"/>
        </w:rPr>
        <w:t>Konkurrentenklage</w:t>
      </w:r>
      <w:r>
        <w:rPr>
          <w:rFonts w:ascii="Times New Roman"/>
          <w:i/>
          <w:spacing w:val="-11"/>
          <w:sz w:val="28"/>
        </w:rPr>
        <w:t> </w:t>
      </w:r>
      <w:r>
        <w:rPr>
          <w:rFonts w:ascii="Times New Roman"/>
          <w:i/>
          <w:sz w:val="28"/>
        </w:rPr>
        <w:t>im</w:t>
      </w:r>
      <w:r>
        <w:rPr>
          <w:rFonts w:ascii="Times New Roman"/>
          <w:i/>
          <w:spacing w:val="-8"/>
          <w:sz w:val="28"/>
        </w:rPr>
        <w:t> </w:t>
      </w:r>
      <w:r>
        <w:rPr>
          <w:rFonts w:ascii="Times New Roman"/>
          <w:i/>
          <w:sz w:val="28"/>
        </w:rPr>
        <w:t>Beamtenrecht,</w:t>
      </w:r>
      <w:r>
        <w:rPr>
          <w:rFonts w:ascii="Times New Roman"/>
          <w:i/>
          <w:spacing w:val="-9"/>
          <w:sz w:val="28"/>
        </w:rPr>
        <w:t> </w:t>
      </w:r>
      <w:r>
        <w:rPr>
          <w:rFonts w:ascii="Times New Roman"/>
          <w:i/>
          <w:sz w:val="28"/>
        </w:rPr>
        <w:t>NJW</w:t>
      </w:r>
      <w:r>
        <w:rPr>
          <w:rFonts w:ascii="Times New Roman"/>
          <w:i/>
          <w:spacing w:val="-15"/>
          <w:sz w:val="28"/>
        </w:rPr>
        <w:t> </w:t>
      </w:r>
      <w:r>
        <w:rPr>
          <w:rFonts w:ascii="Times New Roman"/>
          <w:i/>
          <w:sz w:val="28"/>
        </w:rPr>
        <w:t>1993,</w:t>
      </w:r>
      <w:r>
        <w:rPr>
          <w:rFonts w:ascii="Times New Roman"/>
          <w:i/>
          <w:spacing w:val="-12"/>
          <w:sz w:val="28"/>
        </w:rPr>
        <w:t> </w:t>
      </w:r>
      <w:r>
        <w:rPr>
          <w:rFonts w:ascii="Times New Roman"/>
          <w:i/>
          <w:sz w:val="28"/>
        </w:rPr>
        <w:t>817</w:t>
      </w:r>
      <w:r>
        <w:rPr>
          <w:rFonts w:ascii="Times New Roman"/>
          <w:i/>
          <w:spacing w:val="-67"/>
          <w:sz w:val="28"/>
        </w:rPr>
        <w:t> </w:t>
      </w:r>
      <w:r>
        <w:rPr>
          <w:rFonts w:ascii="Times New Roman"/>
          <w:i/>
          <w:sz w:val="28"/>
        </w:rPr>
        <w:t>ff.</w:t>
      </w:r>
    </w:p>
    <w:p>
      <w:pPr>
        <w:spacing w:before="3"/>
        <w:ind w:left="298" w:right="0" w:firstLine="0"/>
        <w:jc w:val="left"/>
        <w:rPr>
          <w:rFonts w:ascii="Times New Roman" w:hAnsi="Times New Roman"/>
          <w:i/>
          <w:sz w:val="28"/>
        </w:rPr>
      </w:pPr>
      <w:r>
        <w:rPr>
          <w:rFonts w:ascii="Times New Roman" w:hAnsi="Times New Roman"/>
          <w:i/>
          <w:spacing w:val="-1"/>
          <w:sz w:val="28"/>
        </w:rPr>
        <w:t>Würtenberger,</w:t>
      </w:r>
      <w:r>
        <w:rPr>
          <w:rFonts w:ascii="Times New Roman" w:hAnsi="Times New Roman"/>
          <w:i/>
          <w:spacing w:val="-15"/>
          <w:sz w:val="28"/>
        </w:rPr>
        <w:t> </w:t>
      </w:r>
      <w:r>
        <w:rPr>
          <w:rFonts w:ascii="Times New Roman" w:hAnsi="Times New Roman"/>
          <w:i/>
          <w:spacing w:val="-1"/>
          <w:sz w:val="28"/>
        </w:rPr>
        <w:t>Thomas:</w:t>
      </w:r>
      <w:r>
        <w:rPr>
          <w:rFonts w:ascii="Times New Roman" w:hAnsi="Times New Roman"/>
          <w:i/>
          <w:spacing w:val="-14"/>
          <w:sz w:val="28"/>
        </w:rPr>
        <w:t> </w:t>
      </w:r>
      <w:r>
        <w:rPr>
          <w:rFonts w:ascii="Times New Roman" w:hAnsi="Times New Roman"/>
          <w:i/>
          <w:spacing w:val="-1"/>
          <w:sz w:val="28"/>
        </w:rPr>
        <w:t>Verwaltungsprozessrecht,</w:t>
      </w:r>
      <w:r>
        <w:rPr>
          <w:rFonts w:ascii="Times New Roman" w:hAnsi="Times New Roman"/>
          <w:i/>
          <w:spacing w:val="-13"/>
          <w:sz w:val="28"/>
        </w:rPr>
        <w:t> </w:t>
      </w:r>
      <w:r>
        <w:rPr>
          <w:rFonts w:ascii="Times New Roman" w:hAnsi="Times New Roman"/>
          <w:i/>
          <w:sz w:val="28"/>
        </w:rPr>
        <w:t>2.</w:t>
      </w:r>
      <w:r>
        <w:rPr>
          <w:rFonts w:ascii="Times New Roman" w:hAnsi="Times New Roman"/>
          <w:i/>
          <w:spacing w:val="-14"/>
          <w:sz w:val="28"/>
        </w:rPr>
        <w:t> </w:t>
      </w:r>
      <w:r>
        <w:rPr>
          <w:rFonts w:ascii="Times New Roman" w:hAnsi="Times New Roman"/>
          <w:i/>
          <w:sz w:val="28"/>
        </w:rPr>
        <w:t>Aufl.,</w:t>
      </w:r>
      <w:r>
        <w:rPr>
          <w:rFonts w:ascii="Times New Roman" w:hAnsi="Times New Roman"/>
          <w:i/>
          <w:spacing w:val="-10"/>
          <w:sz w:val="28"/>
        </w:rPr>
        <w:t> </w:t>
      </w:r>
      <w:r>
        <w:rPr>
          <w:rFonts w:ascii="Times New Roman" w:hAnsi="Times New Roman"/>
          <w:i/>
          <w:sz w:val="28"/>
        </w:rPr>
        <w:t>2006.</w:t>
      </w:r>
    </w:p>
    <w:p>
      <w:pPr>
        <w:pStyle w:val="BodyText"/>
        <w:spacing w:before="5"/>
        <w:rPr>
          <w:rFonts w:ascii="Times New Roman"/>
          <w:i/>
          <w:sz w:val="17"/>
        </w:rPr>
      </w:pPr>
      <w:r>
        <w:rPr/>
        <w:pict>
          <v:group style="position:absolute;margin-left:260.929993pt;margin-top:11.978096pt;width:104.15pt;height:16pt;mso-position-horizontal-relative:page;mso-position-vertical-relative:paragraph;z-index:-15571456;mso-wrap-distance-left:0;mso-wrap-distance-right:0" coordorigin="5219,240" coordsize="2083,320">
            <v:shape style="position:absolute;left:5218;top:239;width:639;height:320" type="#_x0000_t75" stroked="false">
              <v:imagedata r:id="rId571" o:title=""/>
            </v:shape>
            <v:shape style="position:absolute;left:5698;top:239;width:1603;height:320" type="#_x0000_t75" stroked="false">
              <v:imagedata r:id="rId572" o:title=""/>
            </v:shape>
            <w10:wrap type="topAndBottom"/>
          </v:group>
        </w:pict>
      </w:r>
      <w:r>
        <w:rPr/>
        <w:pict>
          <v:group style="position:absolute;margin-left:70.944pt;margin-top:46.658096pt;width:457.15pt;height:14.05pt;mso-position-horizontal-relative:page;mso-position-vertical-relative:paragraph;z-index:-15570944;mso-wrap-distance-left:0;mso-wrap-distance-right:0" coordorigin="1419,933" coordsize="9143,281">
            <v:shape style="position:absolute;left:1418;top:933;width:5700;height:281" type="#_x0000_t75" stroked="false">
              <v:imagedata r:id="rId573" o:title=""/>
            </v:shape>
            <v:shape style="position:absolute;left:6848;top:933;width:783;height:281" type="#_x0000_t75" stroked="false">
              <v:imagedata r:id="rId574" o:title=""/>
            </v:shape>
            <v:shape style="position:absolute;left:7475;top:933;width:701;height:281" type="#_x0000_t75" stroked="false">
              <v:imagedata r:id="rId548" o:title=""/>
            </v:shape>
            <v:shape style="position:absolute;left:7825;top:933;width:418;height:281" type="#_x0000_t75" stroked="false">
              <v:imagedata r:id="rId575" o:title=""/>
            </v:shape>
            <v:shape style="position:absolute;left:8034;top:933;width:701;height:281" type="#_x0000_t75" stroked="false">
              <v:imagedata r:id="rId576" o:title=""/>
            </v:shape>
            <v:shape style="position:absolute;left:8384;top:933;width:526;height:281" type="#_x0000_t75" stroked="false">
              <v:imagedata r:id="rId577" o:title=""/>
            </v:shape>
            <v:shape style="position:absolute;left:8735;top:933;width:1827;height:281" type="#_x0000_t75" stroked="false">
              <v:imagedata r:id="rId578" o:title=""/>
            </v:shape>
            <w10:wrap type="topAndBottom"/>
          </v:group>
        </w:pict>
      </w:r>
      <w:r>
        <w:rPr/>
        <w:drawing>
          <wp:anchor distT="0" distB="0" distL="0" distR="0" allowOverlap="1" layoutInCell="1" locked="0" behindDoc="0" simplePos="0" relativeHeight="309">
            <wp:simplePos x="0" y="0"/>
            <wp:positionH relativeFrom="page">
              <wp:posOffset>900988</wp:posOffset>
            </wp:positionH>
            <wp:positionV relativeFrom="paragraph">
              <wp:posOffset>909605</wp:posOffset>
            </wp:positionV>
            <wp:extent cx="5816218" cy="178307"/>
            <wp:effectExtent l="0" t="0" r="0" b="0"/>
            <wp:wrapTopAndBottom/>
            <wp:docPr id="379" name="image527.png"/>
            <wp:cNvGraphicFramePr>
              <a:graphicFrameLocks noChangeAspect="1"/>
            </wp:cNvGraphicFramePr>
            <a:graphic>
              <a:graphicData uri="http://schemas.openxmlformats.org/drawingml/2006/picture">
                <pic:pic>
                  <pic:nvPicPr>
                    <pic:cNvPr id="380" name="image527.png"/>
                    <pic:cNvPicPr/>
                  </pic:nvPicPr>
                  <pic:blipFill>
                    <a:blip r:embed="rId579" cstate="print"/>
                    <a:stretch>
                      <a:fillRect/>
                    </a:stretch>
                  </pic:blipFill>
                  <pic:spPr>
                    <a:xfrm>
                      <a:off x="0" y="0"/>
                      <a:ext cx="5816218" cy="178307"/>
                    </a:xfrm>
                    <a:prstGeom prst="rect">
                      <a:avLst/>
                    </a:prstGeom>
                  </pic:spPr>
                </pic:pic>
              </a:graphicData>
            </a:graphic>
          </wp:anchor>
        </w:drawing>
      </w:r>
    </w:p>
    <w:p>
      <w:pPr>
        <w:pStyle w:val="BodyText"/>
        <w:spacing w:before="7"/>
        <w:rPr>
          <w:rFonts w:ascii="Times New Roman"/>
          <w:i/>
          <w:sz w:val="26"/>
        </w:rPr>
      </w:pPr>
    </w:p>
    <w:p>
      <w:pPr>
        <w:pStyle w:val="BodyText"/>
        <w:spacing w:before="1"/>
        <w:rPr>
          <w:rFonts w:ascii="Times New Roman"/>
          <w:i/>
          <w:sz w:val="13"/>
        </w:rPr>
      </w:pPr>
    </w:p>
    <w:p>
      <w:pPr>
        <w:spacing w:after="0"/>
        <w:rPr>
          <w:rFonts w:ascii="Times New Roman"/>
          <w:sz w:val="13"/>
        </w:rPr>
        <w:sectPr>
          <w:pgSz w:w="11910" w:h="16840"/>
          <w:pgMar w:header="888" w:footer="1017" w:top="1120" w:bottom="1200" w:left="1120" w:right="1060"/>
        </w:sectPr>
      </w:pPr>
    </w:p>
    <w:p>
      <w:pPr>
        <w:pStyle w:val="BodyText"/>
        <w:rPr>
          <w:rFonts w:ascii="Times New Roman"/>
          <w:i/>
          <w:sz w:val="20"/>
        </w:rPr>
      </w:pPr>
    </w:p>
    <w:p>
      <w:pPr>
        <w:spacing w:line="355" w:lineRule="auto" w:before="215"/>
        <w:ind w:left="318" w:right="3478" w:firstLine="1398"/>
        <w:jc w:val="left"/>
        <w:rPr>
          <w:sz w:val="24"/>
        </w:rPr>
      </w:pPr>
      <w:r>
        <w:rPr>
          <w:spacing w:val="-69"/>
          <w:w w:val="90"/>
          <w:sz w:val="24"/>
        </w:rPr>
        <w:t>雜誌 ．、</w:t>
      </w:r>
      <w:r>
        <w:rPr>
          <w:spacing w:val="-80"/>
          <w:w w:val="85"/>
          <w:sz w:val="24"/>
        </w:rPr>
        <w:t>丶</w:t>
      </w:r>
      <w:r>
        <w:rPr>
          <w:rFonts w:ascii="Times New Roman" w:eastAsia="Times New Roman"/>
          <w:spacing w:val="21"/>
          <w:w w:val="90"/>
          <w:sz w:val="23"/>
        </w:rPr>
        <w:t>) </w:t>
      </w:r>
      <w:r>
        <w:rPr>
          <w:rFonts w:ascii="Times New Roman" w:eastAsia="Times New Roman"/>
          <w:w w:val="85"/>
          <w:sz w:val="23"/>
        </w:rPr>
        <w:t>.::z.</w:t>
      </w:r>
      <w:r>
        <w:rPr>
          <w:rFonts w:ascii="Times New Roman" w:eastAsia="Times New Roman"/>
          <w:spacing w:val="88"/>
          <w:sz w:val="23"/>
        </w:rPr>
        <w:t> </w:t>
      </w:r>
      <w:r>
        <w:rPr>
          <w:rFonts w:ascii="Arial" w:eastAsia="Arial"/>
          <w:w w:val="85"/>
          <w:sz w:val="22"/>
        </w:rPr>
        <w:t>l)</w:t>
      </w:r>
      <w:r>
        <w:rPr>
          <w:rFonts w:ascii="Arial" w:eastAsia="Arial"/>
          <w:spacing w:val="53"/>
          <w:sz w:val="22"/>
        </w:rPr>
        <w:t> </w:t>
      </w:r>
      <w:r>
        <w:rPr>
          <w:rFonts w:ascii="Times New Roman" w:eastAsia="Times New Roman"/>
          <w:w w:val="90"/>
          <w:sz w:val="24"/>
        </w:rPr>
        <w:t>A</w:t>
      </w:r>
      <w:r>
        <w:rPr>
          <w:rFonts w:ascii="Times New Roman" w:eastAsia="Times New Roman"/>
          <w:spacing w:val="20"/>
          <w:w w:val="90"/>
          <w:sz w:val="24"/>
        </w:rPr>
        <w:t> </w:t>
      </w:r>
      <w:r>
        <w:rPr>
          <w:spacing w:val="13"/>
          <w:w w:val="90"/>
          <w:sz w:val="22"/>
        </w:rPr>
        <w:t>卜 </w:t>
      </w:r>
      <w:r>
        <w:rPr>
          <w:rFonts w:ascii="Times New Roman" w:eastAsia="Times New Roman"/>
          <w:w w:val="90"/>
          <w:sz w:val="30"/>
        </w:rPr>
        <w:t>737</w:t>
      </w:r>
      <w:r>
        <w:rPr>
          <w:rFonts w:ascii="Times New Roman" w:eastAsia="Times New Roman"/>
          <w:spacing w:val="42"/>
          <w:w w:val="90"/>
          <w:sz w:val="30"/>
        </w:rPr>
        <w:t> </w:t>
      </w:r>
      <w:r>
        <w:rPr>
          <w:spacing w:val="27"/>
          <w:w w:val="90"/>
          <w:sz w:val="24"/>
        </w:rPr>
        <w:t>芳 </w:t>
      </w:r>
      <w:r>
        <w:rPr>
          <w:spacing w:val="-24"/>
          <w:w w:val="85"/>
          <w:sz w:val="24"/>
        </w:rPr>
        <w:t>， </w:t>
      </w:r>
      <w:r>
        <w:rPr>
          <w:spacing w:val="10"/>
          <w:w w:val="90"/>
          <w:sz w:val="24"/>
        </w:rPr>
        <w:t>有斐閣 。</w:t>
      </w:r>
      <w:r>
        <w:rPr>
          <w:spacing w:val="24"/>
          <w:w w:val="90"/>
          <w:sz w:val="24"/>
        </w:rPr>
        <w:t>吉野夏己 </w:t>
      </w:r>
      <w:r>
        <w:rPr>
          <w:spacing w:val="18"/>
          <w:w w:val="85"/>
          <w:sz w:val="24"/>
        </w:rPr>
        <w:t>，行 政 救 </w:t>
      </w:r>
      <w:r>
        <w:rPr>
          <w:spacing w:val="5"/>
          <w:w w:val="90"/>
          <w:sz w:val="24"/>
        </w:rPr>
        <w:t>济法 </w:t>
      </w:r>
      <w:r>
        <w:rPr>
          <w:spacing w:val="-28"/>
          <w:w w:val="85"/>
          <w:sz w:val="24"/>
        </w:rPr>
        <w:t>， </w:t>
      </w:r>
      <w:r>
        <w:rPr>
          <w:spacing w:val="10"/>
          <w:w w:val="90"/>
          <w:sz w:val="24"/>
        </w:rPr>
        <w:t>成文堂 </w:t>
      </w:r>
      <w:r>
        <w:rPr>
          <w:spacing w:val="-28"/>
          <w:w w:val="85"/>
          <w:sz w:val="24"/>
        </w:rPr>
        <w:t>， </w:t>
      </w:r>
      <w:r>
        <w:rPr>
          <w:rFonts w:ascii="Times New Roman" w:eastAsia="Times New Roman"/>
          <w:w w:val="90"/>
          <w:sz w:val="30"/>
        </w:rPr>
        <w:t>2009</w:t>
      </w:r>
      <w:r>
        <w:rPr>
          <w:rFonts w:ascii="Times New Roman" w:eastAsia="Times New Roman"/>
          <w:spacing w:val="10"/>
          <w:w w:val="90"/>
          <w:sz w:val="30"/>
        </w:rPr>
        <w:t> </w:t>
      </w:r>
      <w:r>
        <w:rPr>
          <w:spacing w:val="-9"/>
          <w:w w:val="90"/>
          <w:sz w:val="24"/>
        </w:rPr>
        <w:t>年 。</w:t>
      </w:r>
    </w:p>
    <w:p>
      <w:pPr>
        <w:spacing w:before="27"/>
        <w:ind w:left="303" w:right="0" w:firstLine="0"/>
        <w:jc w:val="left"/>
        <w:rPr>
          <w:rFonts w:ascii="Times New Roman" w:eastAsia="Times New Roman"/>
          <w:sz w:val="17"/>
        </w:rPr>
      </w:pPr>
      <w:r>
        <w:rPr>
          <w:spacing w:val="13"/>
          <w:w w:val="90"/>
          <w:sz w:val="24"/>
        </w:rPr>
        <w:t>佐藤英世 </w:t>
      </w:r>
      <w:r>
        <w:rPr>
          <w:spacing w:val="-3"/>
          <w:w w:val="85"/>
          <w:sz w:val="24"/>
        </w:rPr>
        <w:t>，競 争 者 </w:t>
      </w:r>
      <w:r>
        <w:rPr>
          <w:spacing w:val="37"/>
          <w:w w:val="90"/>
          <w:sz w:val="24"/>
        </w:rPr>
        <w:t>訴訟</w:t>
      </w:r>
      <w:r>
        <w:rPr>
          <w:rFonts w:ascii="Times New Roman" w:eastAsia="Times New Roman"/>
          <w:w w:val="90"/>
          <w:sz w:val="17"/>
        </w:rPr>
        <w:t>(J) </w:t>
      </w:r>
      <w:r>
        <w:rPr>
          <w:spacing w:val="6"/>
          <w:w w:val="90"/>
          <w:sz w:val="24"/>
        </w:rPr>
        <w:t>構造 </w:t>
      </w:r>
      <w:r>
        <w:rPr>
          <w:spacing w:val="27"/>
          <w:w w:val="85"/>
          <w:sz w:val="24"/>
        </w:rPr>
        <w:t>＇收 錄 於 阪 本 </w:t>
      </w:r>
      <w:r>
        <w:rPr>
          <w:spacing w:val="24"/>
          <w:w w:val="90"/>
          <w:sz w:val="24"/>
        </w:rPr>
        <w:t>昌成</w:t>
      </w:r>
      <w:r>
        <w:rPr>
          <w:spacing w:val="15"/>
          <w:w w:val="90"/>
          <w:sz w:val="24"/>
        </w:rPr>
        <w:t>＝村上武則 編 </w:t>
      </w:r>
      <w:r>
        <w:rPr>
          <w:spacing w:val="34"/>
          <w:w w:val="85"/>
          <w:sz w:val="24"/>
        </w:rPr>
        <w:t>＇人 権 </w:t>
      </w:r>
      <w:r>
        <w:rPr>
          <w:rFonts w:ascii="Times New Roman" w:eastAsia="Times New Roman"/>
          <w:w w:val="90"/>
          <w:sz w:val="17"/>
        </w:rPr>
        <w:t>(J)</w:t>
      </w:r>
    </w:p>
    <w:p>
      <w:pPr>
        <w:spacing w:before="152"/>
        <w:ind w:left="1745" w:right="0" w:firstLine="0"/>
        <w:jc w:val="left"/>
        <w:rPr>
          <w:sz w:val="24"/>
        </w:rPr>
      </w:pPr>
      <w:r>
        <w:rPr>
          <w:spacing w:val="-14"/>
          <w:w w:val="95"/>
          <w:sz w:val="24"/>
        </w:rPr>
        <w:t>司 法的救清 ， 初版 ， </w:t>
      </w:r>
      <w:r>
        <w:rPr>
          <w:rFonts w:ascii="Times New Roman" w:eastAsia="Times New Roman"/>
          <w:w w:val="95"/>
          <w:sz w:val="30"/>
        </w:rPr>
        <w:t>1990</w:t>
      </w:r>
      <w:r>
        <w:rPr>
          <w:rFonts w:ascii="Times New Roman" w:eastAsia="Times New Roman"/>
          <w:spacing w:val="33"/>
          <w:w w:val="95"/>
          <w:sz w:val="30"/>
        </w:rPr>
        <w:t> </w:t>
      </w:r>
      <w:r>
        <w:rPr>
          <w:spacing w:val="-19"/>
          <w:w w:val="95"/>
          <w:sz w:val="24"/>
        </w:rPr>
        <w:t>年 </w:t>
      </w:r>
      <w:r>
        <w:rPr>
          <w:rFonts w:ascii="Times New Roman" w:eastAsia="Times New Roman"/>
          <w:w w:val="95"/>
          <w:sz w:val="30"/>
        </w:rPr>
        <w:t>12</w:t>
      </w:r>
      <w:r>
        <w:rPr>
          <w:rFonts w:ascii="Times New Roman" w:eastAsia="Times New Roman"/>
          <w:spacing w:val="33"/>
          <w:w w:val="95"/>
          <w:sz w:val="30"/>
        </w:rPr>
        <w:t> </w:t>
      </w:r>
      <w:r>
        <w:rPr>
          <w:spacing w:val="6"/>
          <w:w w:val="95"/>
          <w:sz w:val="24"/>
        </w:rPr>
        <w:t>月 ， 有信堂高文社 。</w:t>
      </w:r>
    </w:p>
    <w:p>
      <w:pPr>
        <w:spacing w:line="364" w:lineRule="auto" w:before="148"/>
        <w:ind w:left="1714" w:right="527" w:hanging="1407"/>
        <w:jc w:val="left"/>
        <w:rPr>
          <w:sz w:val="26"/>
        </w:rPr>
      </w:pPr>
      <w:r>
        <w:rPr>
          <w:spacing w:val="10"/>
          <w:w w:val="95"/>
          <w:sz w:val="24"/>
        </w:rPr>
        <w:t>尾崎正利 </w:t>
      </w:r>
      <w:r>
        <w:rPr>
          <w:spacing w:val="-22"/>
          <w:w w:val="85"/>
          <w:sz w:val="24"/>
        </w:rPr>
        <w:t>， </w:t>
      </w:r>
      <w:r>
        <w:rPr>
          <w:spacing w:val="-10"/>
          <w:w w:val="95"/>
          <w:sz w:val="24"/>
        </w:rPr>
        <w:t>昇格 匕 関寸 </w:t>
      </w:r>
      <w:r>
        <w:rPr>
          <w:spacing w:val="-2"/>
          <w:w w:val="85"/>
          <w:sz w:val="24"/>
        </w:rPr>
        <w:t>石 </w:t>
      </w:r>
      <w:r>
        <w:rPr>
          <w:spacing w:val="14"/>
          <w:w w:val="95"/>
          <w:sz w:val="24"/>
        </w:rPr>
        <w:t>男女 差別匕任 命権者 </w:t>
      </w:r>
      <w:r>
        <w:rPr>
          <w:rFonts w:ascii="Times New Roman" w:eastAsia="Times New Roman"/>
          <w:w w:val="95"/>
          <w:sz w:val="17"/>
        </w:rPr>
        <w:t>(J</w:t>
      </w:r>
      <w:r>
        <w:rPr>
          <w:rFonts w:ascii="Times New Roman" w:eastAsia="Times New Roman"/>
          <w:spacing w:val="8"/>
          <w:w w:val="95"/>
          <w:sz w:val="17"/>
        </w:rPr>
        <w:t>) </w:t>
      </w:r>
      <w:r>
        <w:rPr>
          <w:spacing w:val="22"/>
          <w:w w:val="95"/>
          <w:sz w:val="24"/>
        </w:rPr>
        <w:t>裁量権 </w:t>
      </w:r>
      <w:r>
        <w:rPr>
          <w:spacing w:val="-3"/>
          <w:w w:val="85"/>
          <w:sz w:val="24"/>
        </w:rPr>
        <w:t>＇ </w:t>
      </w:r>
      <w:r>
        <w:rPr>
          <w:spacing w:val="3"/>
          <w:w w:val="95"/>
          <w:sz w:val="24"/>
        </w:rPr>
        <w:t>季刊旁働 法 厄</w:t>
      </w:r>
      <w:r>
        <w:rPr>
          <w:rFonts w:ascii="Times New Roman" w:eastAsia="Times New Roman"/>
          <w:w w:val="95"/>
          <w:sz w:val="30"/>
        </w:rPr>
        <w:t>9</w:t>
      </w:r>
      <w:r>
        <w:rPr>
          <w:rFonts w:ascii="Times New Roman" w:eastAsia="Times New Roman"/>
          <w:spacing w:val="-69"/>
          <w:w w:val="95"/>
          <w:sz w:val="30"/>
        </w:rPr>
        <w:t> </w:t>
      </w:r>
      <w:r>
        <w:rPr>
          <w:spacing w:val="6"/>
          <w:sz w:val="24"/>
        </w:rPr>
        <w:t>芳 </w:t>
      </w:r>
      <w:r>
        <w:rPr>
          <w:sz w:val="26"/>
        </w:rPr>
        <w:t>。</w:t>
      </w:r>
    </w:p>
    <w:p>
      <w:pPr>
        <w:spacing w:line="314" w:lineRule="exact" w:before="0"/>
        <w:ind w:left="307" w:right="0" w:firstLine="0"/>
        <w:jc w:val="left"/>
        <w:rPr>
          <w:rFonts w:ascii="Arial" w:eastAsia="Arial"/>
          <w:sz w:val="8"/>
        </w:rPr>
      </w:pPr>
      <w:r>
        <w:rPr>
          <w:spacing w:val="-8"/>
          <w:w w:val="90"/>
          <w:sz w:val="24"/>
        </w:rPr>
        <w:t>坂 本 福子 ，地 方公務 員 </w:t>
      </w:r>
      <w:r>
        <w:rPr>
          <w:rFonts w:ascii="Times New Roman" w:eastAsia="Times New Roman"/>
          <w:w w:val="90"/>
          <w:sz w:val="17"/>
        </w:rPr>
        <w:t>(J</w:t>
      </w:r>
      <w:r>
        <w:rPr>
          <w:rFonts w:ascii="Times New Roman" w:eastAsia="Times New Roman"/>
          <w:spacing w:val="3"/>
          <w:w w:val="90"/>
          <w:sz w:val="17"/>
        </w:rPr>
        <w:t>) </w:t>
      </w:r>
      <w:r>
        <w:rPr>
          <w:spacing w:val="-3"/>
          <w:w w:val="90"/>
          <w:sz w:val="24"/>
        </w:rPr>
        <w:t>男女 昇級 差別匕 男女 平等 淳打動法律 句報 厄 </w:t>
      </w:r>
      <w:r>
        <w:rPr>
          <w:rFonts w:ascii="Times New Roman" w:eastAsia="Times New Roman"/>
          <w:w w:val="90"/>
          <w:sz w:val="30"/>
        </w:rPr>
        <w:t>0</w:t>
      </w:r>
      <w:r>
        <w:rPr>
          <w:rFonts w:ascii="Times New Roman" w:eastAsia="Times New Roman"/>
          <w:spacing w:val="34"/>
          <w:w w:val="90"/>
          <w:sz w:val="30"/>
        </w:rPr>
        <w:t> </w:t>
      </w:r>
      <w:r>
        <w:rPr>
          <w:spacing w:val="36"/>
          <w:w w:val="90"/>
          <w:sz w:val="24"/>
        </w:rPr>
        <w:t>芳 </w:t>
      </w:r>
      <w:r>
        <w:rPr>
          <w:rFonts w:ascii="Arial" w:eastAsia="Arial"/>
          <w:w w:val="90"/>
          <w:sz w:val="8"/>
        </w:rPr>
        <w:t>0</w:t>
      </w:r>
    </w:p>
    <w:p>
      <w:pPr>
        <w:spacing w:before="157"/>
        <w:ind w:left="311" w:right="0" w:firstLine="0"/>
        <w:jc w:val="left"/>
        <w:rPr>
          <w:sz w:val="24"/>
        </w:rPr>
      </w:pPr>
      <w:r>
        <w:rPr>
          <w:w w:val="90"/>
          <w:sz w:val="24"/>
        </w:rPr>
        <w:t>阿部泰隆 ，行 政 裁量匕行 政救 济 ， 初版 ， </w:t>
      </w:r>
      <w:r>
        <w:rPr>
          <w:rFonts w:ascii="Times New Roman" w:eastAsia="Times New Roman"/>
          <w:w w:val="90"/>
          <w:sz w:val="30"/>
        </w:rPr>
        <w:t>1987</w:t>
      </w:r>
      <w:r>
        <w:rPr>
          <w:rFonts w:ascii="Times New Roman" w:eastAsia="Times New Roman"/>
          <w:spacing w:val="20"/>
          <w:w w:val="90"/>
          <w:sz w:val="30"/>
        </w:rPr>
        <w:t> </w:t>
      </w:r>
      <w:r>
        <w:rPr>
          <w:spacing w:val="-1"/>
          <w:w w:val="90"/>
          <w:sz w:val="24"/>
        </w:rPr>
        <w:t>年 ， 三省堂 。</w:t>
      </w:r>
    </w:p>
    <w:p>
      <w:pPr>
        <w:spacing w:line="369" w:lineRule="auto" w:before="157"/>
        <w:ind w:left="1719" w:right="531" w:hanging="1386"/>
        <w:jc w:val="left"/>
        <w:rPr>
          <w:sz w:val="24"/>
        </w:rPr>
      </w:pPr>
      <w:r>
        <w:rPr>
          <w:spacing w:val="12"/>
          <w:w w:val="90"/>
          <w:sz w:val="24"/>
        </w:rPr>
        <w:t>南博 方</w:t>
      </w:r>
      <w:r>
        <w:rPr>
          <w:w w:val="90"/>
          <w:sz w:val="24"/>
        </w:rPr>
        <w:t>＝</w:t>
      </w:r>
      <w:r>
        <w:rPr>
          <w:spacing w:val="1"/>
          <w:w w:val="90"/>
          <w:sz w:val="24"/>
        </w:rPr>
        <w:t> 高橋 滋 編 ， 茶解行政事件訴訟法 ， </w:t>
      </w:r>
      <w:r>
        <w:rPr>
          <w:rFonts w:ascii="Times New Roman" w:eastAsia="Times New Roman"/>
          <w:w w:val="90"/>
          <w:sz w:val="30"/>
        </w:rPr>
        <w:t>3</w:t>
      </w:r>
      <w:r>
        <w:rPr>
          <w:rFonts w:ascii="Times New Roman" w:eastAsia="Times New Roman"/>
          <w:spacing w:val="10"/>
          <w:w w:val="90"/>
          <w:sz w:val="30"/>
        </w:rPr>
        <w:t> </w:t>
      </w:r>
      <w:r>
        <w:rPr>
          <w:spacing w:val="-6"/>
          <w:w w:val="90"/>
          <w:sz w:val="24"/>
        </w:rPr>
        <w:t>版 ， </w:t>
      </w:r>
      <w:r>
        <w:rPr>
          <w:rFonts w:ascii="Times New Roman" w:eastAsia="Times New Roman"/>
          <w:w w:val="90"/>
          <w:sz w:val="30"/>
        </w:rPr>
        <w:t>2006</w:t>
      </w:r>
      <w:r>
        <w:rPr>
          <w:rFonts w:ascii="Times New Roman" w:eastAsia="Times New Roman"/>
          <w:spacing w:val="38"/>
          <w:w w:val="90"/>
          <w:sz w:val="30"/>
        </w:rPr>
        <w:t> </w:t>
      </w:r>
      <w:r>
        <w:rPr>
          <w:spacing w:val="-11"/>
          <w:w w:val="90"/>
          <w:sz w:val="24"/>
        </w:rPr>
        <w:t>年 </w:t>
      </w:r>
      <w:r>
        <w:rPr>
          <w:rFonts w:ascii="Times New Roman" w:eastAsia="Times New Roman"/>
          <w:w w:val="90"/>
          <w:sz w:val="30"/>
        </w:rPr>
        <w:t>5</w:t>
      </w:r>
      <w:r>
        <w:rPr>
          <w:rFonts w:ascii="Times New Roman" w:eastAsia="Times New Roman"/>
          <w:spacing w:val="41"/>
          <w:w w:val="90"/>
          <w:sz w:val="30"/>
        </w:rPr>
        <w:t> </w:t>
      </w:r>
      <w:r>
        <w:rPr>
          <w:spacing w:val="13"/>
          <w:w w:val="90"/>
          <w:sz w:val="24"/>
        </w:rPr>
        <w:t>月 </w:t>
      </w:r>
      <w:r>
        <w:rPr>
          <w:rFonts w:ascii="Times New Roman" w:eastAsia="Times New Roman"/>
          <w:w w:val="90"/>
          <w:sz w:val="30"/>
        </w:rPr>
        <w:t>30</w:t>
      </w:r>
      <w:r>
        <w:rPr>
          <w:rFonts w:ascii="Times New Roman" w:eastAsia="Times New Roman"/>
          <w:spacing w:val="53"/>
          <w:w w:val="90"/>
          <w:sz w:val="30"/>
        </w:rPr>
        <w:t> </w:t>
      </w:r>
      <w:r>
        <w:rPr>
          <w:spacing w:val="-5"/>
          <w:w w:val="90"/>
          <w:sz w:val="24"/>
        </w:rPr>
        <w:t>日 ， 弘</w:t>
      </w:r>
      <w:r>
        <w:rPr>
          <w:sz w:val="24"/>
        </w:rPr>
        <w:t>文堂。</w:t>
      </w:r>
    </w:p>
    <w:p>
      <w:pPr>
        <w:tabs>
          <w:tab w:pos="5306" w:val="left" w:leader="none"/>
        </w:tabs>
        <w:spacing w:line="352" w:lineRule="exact" w:before="0"/>
        <w:ind w:left="332" w:right="0" w:firstLine="0"/>
        <w:jc w:val="left"/>
        <w:rPr>
          <w:sz w:val="24"/>
        </w:rPr>
      </w:pPr>
      <w:r>
        <w:rPr>
          <w:spacing w:val="54"/>
          <w:w w:val="91"/>
          <w:sz w:val="24"/>
        </w:rPr>
        <w:t>室</w:t>
      </w:r>
      <w:r>
        <w:rPr>
          <w:spacing w:val="32"/>
          <w:w w:val="103"/>
          <w:sz w:val="24"/>
        </w:rPr>
        <w:t>井</w:t>
      </w:r>
      <w:r>
        <w:rPr>
          <w:spacing w:val="42"/>
          <w:w w:val="96"/>
          <w:sz w:val="24"/>
        </w:rPr>
        <w:t>力</w:t>
      </w:r>
      <w:r>
        <w:rPr>
          <w:w w:val="96"/>
          <w:sz w:val="24"/>
        </w:rPr>
        <w:t>＝</w:t>
      </w:r>
      <w:r>
        <w:rPr>
          <w:spacing w:val="-55"/>
          <w:sz w:val="24"/>
        </w:rPr>
        <w:t> </w:t>
      </w:r>
      <w:r>
        <w:rPr>
          <w:spacing w:val="15"/>
          <w:w w:val="108"/>
          <w:sz w:val="24"/>
        </w:rPr>
        <w:t>芝</w:t>
      </w:r>
      <w:r>
        <w:rPr>
          <w:spacing w:val="30"/>
          <w:w w:val="108"/>
          <w:sz w:val="24"/>
        </w:rPr>
        <w:t>池</w:t>
      </w:r>
      <w:r>
        <w:rPr>
          <w:spacing w:val="42"/>
          <w:w w:val="98"/>
          <w:sz w:val="24"/>
        </w:rPr>
        <w:t>義</w:t>
      </w:r>
      <w:r>
        <w:rPr>
          <w:spacing w:val="35"/>
          <w:w w:val="101"/>
          <w:sz w:val="24"/>
        </w:rPr>
        <w:t>一</w:t>
      </w:r>
      <w:r>
        <w:rPr>
          <w:w w:val="101"/>
          <w:sz w:val="24"/>
        </w:rPr>
        <w:t>＝</w:t>
      </w:r>
      <w:r>
        <w:rPr>
          <w:spacing w:val="-72"/>
          <w:sz w:val="24"/>
        </w:rPr>
        <w:t> </w:t>
      </w:r>
      <w:r>
        <w:rPr>
          <w:spacing w:val="23"/>
          <w:w w:val="108"/>
          <w:sz w:val="24"/>
        </w:rPr>
        <w:t>浜</w:t>
      </w:r>
      <w:r>
        <w:rPr>
          <w:spacing w:val="54"/>
          <w:w w:val="96"/>
          <w:sz w:val="24"/>
        </w:rPr>
        <w:t>川</w:t>
      </w:r>
      <w:r>
        <w:rPr>
          <w:w w:val="106"/>
          <w:sz w:val="24"/>
        </w:rPr>
        <w:t>清</w:t>
      </w:r>
      <w:r>
        <w:rPr>
          <w:spacing w:val="35"/>
          <w:sz w:val="24"/>
        </w:rPr>
        <w:t> </w:t>
      </w:r>
      <w:r>
        <w:rPr>
          <w:w w:val="106"/>
          <w:sz w:val="24"/>
        </w:rPr>
        <w:t>編</w:t>
      </w:r>
      <w:r>
        <w:rPr>
          <w:spacing w:val="-17"/>
          <w:sz w:val="24"/>
        </w:rPr>
        <w:t> </w:t>
      </w:r>
      <w:r>
        <w:rPr>
          <w:w w:val="65"/>
          <w:sz w:val="24"/>
        </w:rPr>
        <w:t>，</w:t>
      </w:r>
      <w:r>
        <w:rPr>
          <w:spacing w:val="-75"/>
          <w:sz w:val="24"/>
        </w:rPr>
        <w:t> </w:t>
      </w:r>
      <w:r>
        <w:rPr>
          <w:rFonts w:ascii="Arial" w:hAnsi="Arial" w:eastAsia="Arial"/>
          <w:w w:val="65"/>
          <w:sz w:val="18"/>
        </w:rPr>
        <w:t>3</w:t>
      </w:r>
      <w:r>
        <w:rPr>
          <w:rFonts w:ascii="Arial" w:hAnsi="Arial" w:eastAsia="Arial"/>
          <w:sz w:val="18"/>
        </w:rPr>
        <w:t> </w:t>
      </w:r>
      <w:r>
        <w:rPr>
          <w:rFonts w:ascii="Arial" w:hAnsi="Arial" w:eastAsia="Arial"/>
          <w:spacing w:val="-2"/>
          <w:sz w:val="18"/>
        </w:rPr>
        <w:t> </w:t>
      </w:r>
      <w:r>
        <w:rPr>
          <w:spacing w:val="-96"/>
          <w:w w:val="96"/>
          <w:sz w:val="30"/>
        </w:rPr>
        <w:t>、</w:t>
      </w:r>
      <w:r>
        <w:rPr>
          <w:rFonts w:ascii="Arial" w:hAnsi="Arial" w:eastAsia="Arial"/>
          <w:w w:val="96"/>
          <w:sz w:val="24"/>
        </w:rPr>
        <w:t>/</w:t>
      </w:r>
      <w:r>
        <w:rPr>
          <w:rFonts w:ascii="Arial" w:hAnsi="Arial" w:eastAsia="Arial"/>
          <w:sz w:val="24"/>
        </w:rPr>
        <w:t>  </w:t>
      </w:r>
      <w:r>
        <w:rPr>
          <w:rFonts w:ascii="Arial" w:hAnsi="Arial" w:eastAsia="Arial"/>
          <w:spacing w:val="-25"/>
          <w:sz w:val="24"/>
        </w:rPr>
        <w:t> </w:t>
      </w:r>
      <w:r>
        <w:rPr>
          <w:rFonts w:ascii="Arial" w:hAnsi="Arial" w:eastAsia="Arial"/>
          <w:w w:val="96"/>
          <w:sz w:val="24"/>
        </w:rPr>
        <w:t>l</w:t>
      </w:r>
      <w:r>
        <w:rPr>
          <w:rFonts w:ascii="Arial" w:hAnsi="Arial" w:eastAsia="Arial"/>
          <w:sz w:val="24"/>
        </w:rPr>
        <w:tab/>
      </w:r>
      <w:r>
        <w:rPr>
          <w:w w:val="96"/>
          <w:sz w:val="18"/>
        </w:rPr>
        <w:t>〉</w:t>
      </w:r>
      <w:r>
        <w:rPr>
          <w:spacing w:val="8"/>
          <w:sz w:val="18"/>
        </w:rPr>
        <w:t> </w:t>
      </w:r>
      <w:r>
        <w:rPr>
          <w:w w:val="96"/>
          <w:sz w:val="18"/>
        </w:rPr>
        <w:t>夕</w:t>
      </w:r>
      <w:r>
        <w:rPr>
          <w:spacing w:val="-16"/>
          <w:sz w:val="18"/>
        </w:rPr>
        <w:t> </w:t>
      </w:r>
      <w:r>
        <w:rPr>
          <w:w w:val="96"/>
          <w:sz w:val="18"/>
        </w:rPr>
        <w:t>一</w:t>
      </w:r>
      <w:r>
        <w:rPr>
          <w:spacing w:val="15"/>
          <w:sz w:val="18"/>
        </w:rPr>
        <w:t> </w:t>
      </w:r>
      <w:r>
        <w:rPr>
          <w:spacing w:val="-70"/>
          <w:w w:val="96"/>
          <w:sz w:val="18"/>
        </w:rPr>
        <w:t>）</w:t>
      </w:r>
      <w:r>
        <w:rPr>
          <w:rFonts w:ascii="Arial" w:hAnsi="Arial" w:eastAsia="Arial"/>
          <w:spacing w:val="20"/>
          <w:w w:val="110"/>
          <w:sz w:val="24"/>
        </w:rPr>
        <w:t>L</w:t>
      </w:r>
      <w:r>
        <w:rPr>
          <w:spacing w:val="33"/>
          <w:w w:val="110"/>
          <w:sz w:val="24"/>
        </w:rPr>
        <w:t>行</w:t>
      </w:r>
      <w:r>
        <w:rPr>
          <w:spacing w:val="26"/>
          <w:w w:val="110"/>
          <w:sz w:val="24"/>
        </w:rPr>
        <w:t>政</w:t>
      </w:r>
      <w:r>
        <w:rPr>
          <w:w w:val="106"/>
          <w:sz w:val="24"/>
        </w:rPr>
        <w:t>法</w:t>
      </w:r>
      <w:r>
        <w:rPr>
          <w:spacing w:val="-69"/>
          <w:sz w:val="24"/>
        </w:rPr>
        <w:t> </w:t>
      </w:r>
      <w:r>
        <w:rPr>
          <w:w w:val="75"/>
          <w:sz w:val="24"/>
        </w:rPr>
        <w:t>丑—</w:t>
      </w:r>
      <w:r>
        <w:rPr>
          <w:spacing w:val="36"/>
          <w:sz w:val="24"/>
        </w:rPr>
        <w:t> </w:t>
      </w:r>
      <w:r>
        <w:rPr>
          <w:w w:val="75"/>
          <w:sz w:val="24"/>
        </w:rPr>
        <w:t>行</w:t>
      </w:r>
      <w:r>
        <w:rPr>
          <w:spacing w:val="-8"/>
          <w:sz w:val="24"/>
        </w:rPr>
        <w:t> </w:t>
      </w:r>
      <w:r>
        <w:rPr>
          <w:w w:val="75"/>
          <w:sz w:val="24"/>
        </w:rPr>
        <w:t>政</w:t>
      </w:r>
      <w:r>
        <w:rPr>
          <w:spacing w:val="-8"/>
          <w:sz w:val="24"/>
        </w:rPr>
        <w:t> </w:t>
      </w:r>
      <w:r>
        <w:rPr>
          <w:spacing w:val="12"/>
          <w:w w:val="107"/>
          <w:sz w:val="24"/>
        </w:rPr>
        <w:t>事</w:t>
      </w:r>
      <w:r>
        <w:rPr>
          <w:spacing w:val="29"/>
          <w:w w:val="107"/>
          <w:sz w:val="24"/>
        </w:rPr>
        <w:t>件</w:t>
      </w:r>
      <w:r>
        <w:rPr>
          <w:w w:val="107"/>
          <w:sz w:val="24"/>
        </w:rPr>
        <w:t>訴</w:t>
      </w:r>
    </w:p>
    <w:p>
      <w:pPr>
        <w:spacing w:line="369" w:lineRule="auto" w:before="145"/>
        <w:ind w:left="330" w:right="373" w:firstLine="1375"/>
        <w:jc w:val="left"/>
        <w:rPr>
          <w:sz w:val="24"/>
        </w:rPr>
      </w:pPr>
      <w:r>
        <w:rPr>
          <w:spacing w:val="34"/>
          <w:w w:val="90"/>
          <w:sz w:val="24"/>
        </w:rPr>
        <w:t>訟法</w:t>
      </w:r>
      <w:r>
        <w:rPr>
          <w:w w:val="90"/>
          <w:sz w:val="24"/>
        </w:rPr>
        <w:t>·</w:t>
      </w:r>
      <w:r>
        <w:rPr>
          <w:spacing w:val="-7"/>
          <w:w w:val="90"/>
          <w:sz w:val="24"/>
        </w:rPr>
        <w:t> 囯家賠償法 ， </w:t>
      </w:r>
      <w:r>
        <w:rPr>
          <w:rFonts w:ascii="Times New Roman" w:hAnsi="Times New Roman" w:eastAsia="Times New Roman"/>
          <w:w w:val="90"/>
          <w:sz w:val="30"/>
        </w:rPr>
        <w:t>2</w:t>
      </w:r>
      <w:r>
        <w:rPr>
          <w:rFonts w:ascii="Times New Roman" w:hAnsi="Times New Roman" w:eastAsia="Times New Roman"/>
          <w:spacing w:val="24"/>
          <w:w w:val="90"/>
          <w:sz w:val="30"/>
        </w:rPr>
        <w:t> </w:t>
      </w:r>
      <w:r>
        <w:rPr>
          <w:spacing w:val="4"/>
          <w:w w:val="90"/>
          <w:sz w:val="24"/>
        </w:rPr>
        <w:t>版 ， </w:t>
      </w:r>
      <w:r>
        <w:rPr>
          <w:rFonts w:ascii="Times New Roman" w:hAnsi="Times New Roman" w:eastAsia="Times New Roman"/>
          <w:w w:val="90"/>
          <w:sz w:val="30"/>
        </w:rPr>
        <w:t>2006</w:t>
      </w:r>
      <w:r>
        <w:rPr>
          <w:rFonts w:ascii="Times New Roman" w:hAnsi="Times New Roman" w:eastAsia="Times New Roman"/>
          <w:spacing w:val="32"/>
          <w:w w:val="90"/>
          <w:sz w:val="30"/>
        </w:rPr>
        <w:t> </w:t>
      </w:r>
      <w:r>
        <w:rPr>
          <w:spacing w:val="-15"/>
          <w:w w:val="90"/>
          <w:sz w:val="24"/>
        </w:rPr>
        <w:t>年 </w:t>
      </w:r>
      <w:r>
        <w:rPr>
          <w:rFonts w:ascii="Times New Roman" w:hAnsi="Times New Roman" w:eastAsia="Times New Roman"/>
          <w:w w:val="90"/>
          <w:sz w:val="30"/>
        </w:rPr>
        <w:t>11</w:t>
      </w:r>
      <w:r>
        <w:rPr>
          <w:rFonts w:ascii="Times New Roman" w:hAnsi="Times New Roman" w:eastAsia="Times New Roman"/>
          <w:spacing w:val="37"/>
          <w:w w:val="90"/>
          <w:sz w:val="30"/>
        </w:rPr>
        <w:t> </w:t>
      </w:r>
      <w:r>
        <w:rPr>
          <w:spacing w:val="-2"/>
          <w:w w:val="90"/>
          <w:sz w:val="24"/>
        </w:rPr>
        <w:t>月 </w:t>
      </w:r>
      <w:r>
        <w:rPr>
          <w:rFonts w:ascii="Times New Roman" w:hAnsi="Times New Roman" w:eastAsia="Times New Roman"/>
          <w:w w:val="90"/>
          <w:sz w:val="30"/>
        </w:rPr>
        <w:t>10</w:t>
      </w:r>
      <w:r>
        <w:rPr>
          <w:rFonts w:ascii="Times New Roman" w:hAnsi="Times New Roman" w:eastAsia="Times New Roman"/>
          <w:spacing w:val="50"/>
          <w:w w:val="90"/>
          <w:sz w:val="30"/>
        </w:rPr>
        <w:t> </w:t>
      </w:r>
      <w:r>
        <w:rPr>
          <w:spacing w:val="-11"/>
          <w:w w:val="90"/>
          <w:sz w:val="24"/>
        </w:rPr>
        <w:t>日 ， 日 本 評 論 社 。</w:t>
      </w:r>
      <w:r>
        <w:rPr>
          <w:sz w:val="24"/>
        </w:rPr>
        <w:t>高木光＝常岡孝好＝橋本博之＝櫻井敬子，行政救济法，初版，弘文堂，</w:t>
      </w:r>
    </w:p>
    <w:p>
      <w:pPr>
        <w:pStyle w:val="Heading3"/>
        <w:ind w:left="1714"/>
        <w:rPr>
          <w:rFonts w:ascii="SimSun" w:eastAsia="SimSun" w:hint="eastAsia"/>
          <w:sz w:val="26"/>
        </w:rPr>
      </w:pPr>
      <w:r>
        <w:rPr/>
        <w:t>2007</w:t>
      </w:r>
      <w:r>
        <w:rPr>
          <w:spacing w:val="27"/>
        </w:rPr>
        <w:t> </w:t>
      </w:r>
      <w:r>
        <w:rPr>
          <w:rFonts w:ascii="SimSun" w:eastAsia="SimSun" w:hint="eastAsia"/>
          <w:sz w:val="26"/>
        </w:rPr>
        <w:t>。</w:t>
      </w:r>
    </w:p>
    <w:p>
      <w:pPr>
        <w:spacing w:line="357" w:lineRule="auto" w:before="173"/>
        <w:ind w:left="1723" w:right="538" w:hanging="1417"/>
        <w:jc w:val="left"/>
        <w:rPr>
          <w:rFonts w:ascii="Times New Roman" w:eastAsia="Times New Roman"/>
          <w:sz w:val="13"/>
        </w:rPr>
      </w:pPr>
      <w:r>
        <w:rPr>
          <w:spacing w:val="19"/>
          <w:w w:val="90"/>
          <w:sz w:val="24"/>
        </w:rPr>
        <w:t>晴山一穗 ，公 務 員</w:t>
      </w:r>
      <w:r>
        <w:rPr>
          <w:rFonts w:ascii="Arial" w:eastAsia="Arial"/>
          <w:w w:val="90"/>
          <w:sz w:val="22"/>
        </w:rPr>
        <w:t>0</w:t>
      </w:r>
      <w:r>
        <w:rPr>
          <w:rFonts w:ascii="Arial" w:eastAsia="Arial"/>
          <w:spacing w:val="19"/>
          <w:w w:val="90"/>
          <w:sz w:val="22"/>
        </w:rPr>
        <w:t> </w:t>
      </w:r>
      <w:r>
        <w:rPr>
          <w:spacing w:val="6"/>
          <w:w w:val="90"/>
          <w:sz w:val="24"/>
        </w:rPr>
        <w:t>種 類匕 公務 員 法制 ，收 於 芝池義一</w:t>
      </w:r>
      <w:r>
        <w:rPr>
          <w:w w:val="90"/>
          <w:sz w:val="24"/>
        </w:rPr>
        <w:t>＝</w:t>
      </w:r>
      <w:r>
        <w:rPr>
          <w:spacing w:val="14"/>
          <w:w w:val="90"/>
          <w:sz w:val="24"/>
        </w:rPr>
        <w:t> 小早川光郎</w:t>
      </w:r>
      <w:r>
        <w:rPr>
          <w:w w:val="90"/>
          <w:sz w:val="24"/>
        </w:rPr>
        <w:t>＝</w:t>
      </w:r>
      <w:r>
        <w:rPr>
          <w:spacing w:val="-23"/>
          <w:w w:val="90"/>
          <w:sz w:val="24"/>
        </w:rPr>
        <w:t> 宇</w:t>
      </w:r>
      <w:r>
        <w:rPr>
          <w:spacing w:val="23"/>
          <w:w w:val="85"/>
          <w:sz w:val="24"/>
        </w:rPr>
        <w:t>賀克也編 ，行 政 法</w:t>
      </w:r>
      <w:r>
        <w:rPr>
          <w:rFonts w:ascii="Times New Roman" w:eastAsia="Times New Roman"/>
          <w:w w:val="85"/>
          <w:sz w:val="17"/>
        </w:rPr>
        <w:t>(J</w:t>
      </w:r>
      <w:r>
        <w:rPr>
          <w:rFonts w:ascii="Times New Roman" w:eastAsia="Times New Roman"/>
          <w:spacing w:val="13"/>
          <w:w w:val="85"/>
          <w:sz w:val="17"/>
        </w:rPr>
        <w:t>) </w:t>
      </w:r>
      <w:r>
        <w:rPr>
          <w:spacing w:val="-1"/>
          <w:w w:val="85"/>
          <w:sz w:val="24"/>
        </w:rPr>
        <w:t>争志 ， 第 </w:t>
      </w:r>
      <w:r>
        <w:rPr>
          <w:rFonts w:ascii="Times New Roman" w:eastAsia="Times New Roman"/>
          <w:w w:val="85"/>
          <w:sz w:val="30"/>
        </w:rPr>
        <w:t>3</w:t>
      </w:r>
      <w:r>
        <w:rPr>
          <w:rFonts w:ascii="Times New Roman" w:eastAsia="Times New Roman"/>
          <w:spacing w:val="2"/>
          <w:w w:val="85"/>
          <w:sz w:val="30"/>
        </w:rPr>
        <w:t> </w:t>
      </w:r>
      <w:r>
        <w:rPr>
          <w:spacing w:val="-6"/>
          <w:w w:val="85"/>
          <w:sz w:val="24"/>
        </w:rPr>
        <w:t>片反 ， 有斐閣 ， </w:t>
      </w:r>
      <w:r>
        <w:rPr>
          <w:rFonts w:ascii="Times New Roman" w:eastAsia="Times New Roman"/>
          <w:w w:val="85"/>
          <w:sz w:val="30"/>
        </w:rPr>
        <w:t>2004</w:t>
      </w:r>
      <w:r>
        <w:rPr>
          <w:rFonts w:ascii="Times New Roman" w:eastAsia="Times New Roman"/>
          <w:spacing w:val="31"/>
          <w:w w:val="85"/>
          <w:sz w:val="30"/>
        </w:rPr>
        <w:t> </w:t>
      </w:r>
      <w:r>
        <w:rPr>
          <w:spacing w:val="31"/>
          <w:w w:val="85"/>
          <w:sz w:val="24"/>
        </w:rPr>
        <w:t>年</w:t>
      </w:r>
      <w:r>
        <w:rPr>
          <w:rFonts w:ascii="Times New Roman" w:eastAsia="Times New Roman"/>
          <w:w w:val="85"/>
          <w:sz w:val="13"/>
        </w:rPr>
        <w:t>o</w:t>
      </w:r>
    </w:p>
    <w:p>
      <w:pPr>
        <w:spacing w:line="348" w:lineRule="auto" w:before="0"/>
        <w:ind w:left="308" w:right="1998" w:firstLine="0"/>
        <w:jc w:val="left"/>
        <w:rPr>
          <w:sz w:val="24"/>
        </w:rPr>
      </w:pPr>
      <w:r>
        <w:rPr>
          <w:spacing w:val="11"/>
          <w:w w:val="85"/>
          <w:sz w:val="24"/>
        </w:rPr>
        <w:t>塩野宏 ，行 政 法且行 政 救 清法 ， 第 </w:t>
      </w:r>
      <w:r>
        <w:rPr>
          <w:rFonts w:ascii="Times New Roman" w:eastAsia="Times New Roman"/>
          <w:w w:val="85"/>
          <w:sz w:val="30"/>
        </w:rPr>
        <w:t>4</w:t>
      </w:r>
      <w:r>
        <w:rPr>
          <w:rFonts w:ascii="Times New Roman" w:eastAsia="Times New Roman"/>
          <w:spacing w:val="20"/>
          <w:w w:val="85"/>
          <w:sz w:val="30"/>
        </w:rPr>
        <w:t> </w:t>
      </w:r>
      <w:r>
        <w:rPr>
          <w:spacing w:val="3"/>
          <w:w w:val="85"/>
          <w:sz w:val="24"/>
        </w:rPr>
        <w:t>版 ， 有斐閣 ， </w:t>
      </w:r>
      <w:r>
        <w:rPr>
          <w:rFonts w:ascii="Times New Roman" w:eastAsia="Times New Roman"/>
          <w:w w:val="85"/>
          <w:sz w:val="30"/>
        </w:rPr>
        <w:t>2006</w:t>
      </w:r>
      <w:r>
        <w:rPr>
          <w:rFonts w:ascii="Times New Roman" w:eastAsia="Times New Roman"/>
          <w:spacing w:val="33"/>
          <w:w w:val="85"/>
          <w:sz w:val="30"/>
        </w:rPr>
        <w:t> </w:t>
      </w:r>
      <w:r>
        <w:rPr>
          <w:spacing w:val="-5"/>
          <w:w w:val="85"/>
          <w:sz w:val="24"/>
        </w:rPr>
        <w:t>年 。</w:t>
      </w:r>
      <w:r>
        <w:rPr>
          <w:spacing w:val="1"/>
          <w:w w:val="90"/>
          <w:sz w:val="24"/>
        </w:rPr>
        <w:t>塩野宏 ，行 政 法毌行 政 紐織法 ， 第 </w:t>
      </w:r>
      <w:r>
        <w:rPr>
          <w:rFonts w:ascii="Times New Roman" w:eastAsia="Times New Roman"/>
          <w:w w:val="90"/>
          <w:sz w:val="30"/>
        </w:rPr>
        <w:t>3</w:t>
      </w:r>
      <w:r>
        <w:rPr>
          <w:rFonts w:ascii="Times New Roman" w:eastAsia="Times New Roman"/>
          <w:spacing w:val="4"/>
          <w:w w:val="90"/>
          <w:sz w:val="30"/>
        </w:rPr>
        <w:t> </w:t>
      </w:r>
      <w:r>
        <w:rPr>
          <w:spacing w:val="-2"/>
          <w:w w:val="90"/>
          <w:sz w:val="24"/>
        </w:rPr>
        <w:t>版 ， 有斐閣 ， </w:t>
      </w:r>
      <w:r>
        <w:rPr>
          <w:rFonts w:ascii="Times New Roman" w:eastAsia="Times New Roman"/>
          <w:w w:val="90"/>
          <w:sz w:val="30"/>
        </w:rPr>
        <w:t>2007</w:t>
      </w:r>
      <w:r>
        <w:rPr>
          <w:rFonts w:ascii="Times New Roman" w:eastAsia="Times New Roman"/>
          <w:spacing w:val="24"/>
          <w:w w:val="90"/>
          <w:sz w:val="30"/>
        </w:rPr>
        <w:t> </w:t>
      </w:r>
      <w:r>
        <w:rPr>
          <w:spacing w:val="-7"/>
          <w:w w:val="90"/>
          <w:sz w:val="24"/>
        </w:rPr>
        <w:t>年 。</w:t>
      </w:r>
    </w:p>
    <w:p>
      <w:pPr>
        <w:tabs>
          <w:tab w:pos="8403" w:val="left" w:leader="none"/>
        </w:tabs>
        <w:spacing w:before="18"/>
        <w:ind w:left="308" w:right="0" w:firstLine="0"/>
        <w:jc w:val="left"/>
        <w:rPr>
          <w:sz w:val="21"/>
        </w:rPr>
      </w:pPr>
      <w:r>
        <w:rPr>
          <w:w w:val="113"/>
          <w:sz w:val="24"/>
        </w:rPr>
        <w:t>塩野宏＝管野和夫＝田中舘照橘編，公務員判例百選［別冊、、</w:t>
      </w:r>
      <w:r>
        <w:rPr>
          <w:spacing w:val="18"/>
          <w:w w:val="113"/>
          <w:sz w:val="24"/>
        </w:rPr>
        <w:t>)</w:t>
      </w:r>
      <w:r>
        <w:rPr>
          <w:rFonts w:ascii="Times New Roman" w:eastAsia="Times New Roman"/>
          <w:w w:val="113"/>
          <w:sz w:val="14"/>
        </w:rPr>
        <w:t>1</w:t>
      </w:r>
      <w:r>
        <w:rPr>
          <w:rFonts w:ascii="Times New Roman" w:eastAsia="Times New Roman"/>
          <w:sz w:val="14"/>
        </w:rPr>
        <w:tab/>
      </w:r>
      <w:r>
        <w:rPr>
          <w:rFonts w:ascii="Times New Roman" w:eastAsia="Times New Roman"/>
          <w:spacing w:val="-1"/>
          <w:w w:val="51"/>
          <w:sz w:val="24"/>
        </w:rPr>
        <w:t>1</w:t>
      </w:r>
      <w:r>
        <w:rPr>
          <w:rFonts w:ascii="Times New Roman" w:eastAsia="Times New Roman"/>
          <w:w w:val="109"/>
          <w:sz w:val="24"/>
        </w:rPr>
        <w:t>)</w:t>
      </w:r>
      <w:r>
        <w:rPr>
          <w:rFonts w:ascii="Times New Roman" w:eastAsia="Times New Roman"/>
          <w:sz w:val="24"/>
        </w:rPr>
        <w:t> </w:t>
      </w:r>
      <w:r>
        <w:rPr>
          <w:rFonts w:ascii="Times New Roman" w:eastAsia="Times New Roman"/>
          <w:spacing w:val="-6"/>
          <w:sz w:val="24"/>
        </w:rPr>
        <w:t> </w:t>
      </w:r>
      <w:r>
        <w:rPr>
          <w:w w:val="97"/>
          <w:sz w:val="21"/>
        </w:rPr>
        <w:t>大</w:t>
      </w:r>
      <w:r>
        <w:rPr>
          <w:spacing w:val="-37"/>
          <w:sz w:val="21"/>
        </w:rPr>
        <w:t> </w:t>
      </w:r>
      <w:r>
        <w:rPr>
          <w:w w:val="97"/>
          <w:sz w:val="21"/>
        </w:rPr>
        <w:t>卜</w:t>
      </w:r>
    </w:p>
    <w:p>
      <w:pPr>
        <w:spacing w:before="157"/>
        <w:ind w:left="1720" w:right="0" w:firstLine="0"/>
        <w:jc w:val="left"/>
        <w:rPr>
          <w:sz w:val="24"/>
        </w:rPr>
      </w:pPr>
      <w:r>
        <w:rPr>
          <w:rFonts w:ascii="Times New Roman" w:eastAsia="Times New Roman"/>
          <w:w w:val="95"/>
          <w:sz w:val="30"/>
        </w:rPr>
        <w:t>No</w:t>
      </w:r>
      <w:r>
        <w:rPr>
          <w:rFonts w:ascii="Times New Roman" w:eastAsia="Times New Roman"/>
          <w:spacing w:val="-1"/>
          <w:w w:val="95"/>
          <w:sz w:val="30"/>
        </w:rPr>
        <w:t>. </w:t>
      </w:r>
      <w:r>
        <w:rPr>
          <w:rFonts w:ascii="Times New Roman" w:eastAsia="Times New Roman"/>
          <w:w w:val="95"/>
          <w:sz w:val="30"/>
        </w:rPr>
        <w:t>88],</w:t>
      </w:r>
      <w:r>
        <w:rPr>
          <w:rFonts w:ascii="Times New Roman" w:eastAsia="Times New Roman"/>
          <w:spacing w:val="25"/>
          <w:w w:val="95"/>
          <w:sz w:val="30"/>
        </w:rPr>
        <w:t> </w:t>
      </w:r>
      <w:r>
        <w:rPr>
          <w:rFonts w:ascii="Times New Roman" w:eastAsia="Times New Roman"/>
          <w:w w:val="95"/>
          <w:sz w:val="30"/>
        </w:rPr>
        <w:t>1</w:t>
      </w:r>
      <w:r>
        <w:rPr>
          <w:rFonts w:ascii="Times New Roman" w:eastAsia="Times New Roman"/>
          <w:spacing w:val="7"/>
          <w:w w:val="95"/>
          <w:sz w:val="30"/>
        </w:rPr>
        <w:t> </w:t>
      </w:r>
      <w:r>
        <w:rPr>
          <w:spacing w:val="17"/>
          <w:w w:val="95"/>
          <w:sz w:val="23"/>
        </w:rPr>
        <w:t>版,. </w:t>
      </w:r>
      <w:r>
        <w:rPr>
          <w:rFonts w:ascii="Times New Roman" w:eastAsia="Times New Roman"/>
          <w:w w:val="95"/>
          <w:sz w:val="30"/>
        </w:rPr>
        <w:t>1986</w:t>
      </w:r>
      <w:r>
        <w:rPr>
          <w:rFonts w:ascii="Times New Roman" w:eastAsia="Times New Roman"/>
          <w:spacing w:val="1"/>
          <w:w w:val="95"/>
          <w:sz w:val="30"/>
        </w:rPr>
        <w:t> </w:t>
      </w:r>
      <w:r>
        <w:rPr>
          <w:spacing w:val="-18"/>
          <w:w w:val="95"/>
          <w:sz w:val="24"/>
        </w:rPr>
        <w:t>年 </w:t>
      </w:r>
      <w:r>
        <w:rPr>
          <w:rFonts w:ascii="Times New Roman" w:eastAsia="Times New Roman"/>
          <w:w w:val="95"/>
          <w:sz w:val="30"/>
        </w:rPr>
        <w:t>4</w:t>
      </w:r>
      <w:r>
        <w:rPr>
          <w:rFonts w:ascii="Times New Roman" w:eastAsia="Times New Roman"/>
          <w:spacing w:val="29"/>
          <w:w w:val="95"/>
          <w:sz w:val="30"/>
        </w:rPr>
        <w:t> </w:t>
      </w:r>
      <w:r>
        <w:rPr>
          <w:spacing w:val="-4"/>
          <w:w w:val="95"/>
          <w:sz w:val="24"/>
        </w:rPr>
        <w:t>月 </w:t>
      </w:r>
      <w:r>
        <w:rPr>
          <w:rFonts w:ascii="Times New Roman" w:eastAsia="Times New Roman"/>
          <w:w w:val="95"/>
          <w:sz w:val="30"/>
        </w:rPr>
        <w:t>30</w:t>
      </w:r>
      <w:r>
        <w:rPr>
          <w:rFonts w:ascii="Times New Roman" w:eastAsia="Times New Roman"/>
          <w:spacing w:val="34"/>
          <w:w w:val="95"/>
          <w:sz w:val="30"/>
        </w:rPr>
        <w:t> </w:t>
      </w:r>
      <w:r>
        <w:rPr>
          <w:spacing w:val="-2"/>
          <w:w w:val="95"/>
          <w:sz w:val="24"/>
        </w:rPr>
        <w:t>日 ， 有斐閣 。</w:t>
      </w:r>
    </w:p>
    <w:p>
      <w:pPr>
        <w:spacing w:line="340" w:lineRule="auto" w:before="157"/>
        <w:ind w:left="315" w:right="407" w:firstLine="0"/>
        <w:jc w:val="left"/>
        <w:rPr>
          <w:sz w:val="24"/>
        </w:rPr>
      </w:pPr>
      <w:r>
        <w:rPr>
          <w:spacing w:val="8"/>
          <w:w w:val="90"/>
          <w:sz w:val="24"/>
        </w:rPr>
        <w:t>藤田宙靖 ，行 政 法 </w:t>
      </w:r>
      <w:r>
        <w:rPr>
          <w:rFonts w:ascii="Times New Roman" w:eastAsia="Times New Roman"/>
          <w:spacing w:val="15"/>
          <w:w w:val="90"/>
          <w:sz w:val="28"/>
        </w:rPr>
        <w:t>I</w:t>
      </w:r>
      <w:r>
        <w:rPr>
          <w:spacing w:val="15"/>
          <w:w w:val="90"/>
          <w:sz w:val="24"/>
        </w:rPr>
        <w:t>（</w:t>
      </w:r>
      <w:r>
        <w:rPr>
          <w:spacing w:val="-12"/>
          <w:w w:val="90"/>
          <w:sz w:val="24"/>
        </w:rPr>
        <w:t> 総論</w:t>
      </w:r>
      <w:r>
        <w:rPr>
          <w:w w:val="90"/>
          <w:sz w:val="24"/>
        </w:rPr>
        <w:t>），</w:t>
      </w:r>
      <w:r>
        <w:rPr>
          <w:rFonts w:ascii="Times New Roman" w:eastAsia="Times New Roman"/>
          <w:w w:val="90"/>
          <w:sz w:val="30"/>
        </w:rPr>
        <w:t>3</w:t>
      </w:r>
      <w:r>
        <w:rPr>
          <w:rFonts w:ascii="Times New Roman" w:eastAsia="Times New Roman"/>
          <w:spacing w:val="6"/>
          <w:w w:val="90"/>
          <w:sz w:val="30"/>
        </w:rPr>
        <w:t> </w:t>
      </w:r>
      <w:r>
        <w:rPr>
          <w:spacing w:val="26"/>
          <w:w w:val="90"/>
          <w:sz w:val="24"/>
        </w:rPr>
        <w:t>版再訂版 ，</w:t>
      </w:r>
      <w:r>
        <w:rPr>
          <w:rFonts w:ascii="Times New Roman" w:eastAsia="Times New Roman"/>
          <w:w w:val="90"/>
          <w:sz w:val="30"/>
        </w:rPr>
        <w:t>2000</w:t>
      </w:r>
      <w:r>
        <w:rPr>
          <w:rFonts w:ascii="Times New Roman" w:eastAsia="Times New Roman"/>
          <w:spacing w:val="29"/>
          <w:w w:val="90"/>
          <w:sz w:val="30"/>
        </w:rPr>
        <w:t> </w:t>
      </w:r>
      <w:r>
        <w:rPr>
          <w:spacing w:val="-11"/>
          <w:w w:val="90"/>
          <w:sz w:val="24"/>
        </w:rPr>
        <w:t>年 </w:t>
      </w:r>
      <w:r>
        <w:rPr>
          <w:rFonts w:ascii="Times New Roman" w:eastAsia="Times New Roman"/>
          <w:w w:val="90"/>
          <w:sz w:val="30"/>
        </w:rPr>
        <w:t>3</w:t>
      </w:r>
      <w:r>
        <w:rPr>
          <w:rFonts w:ascii="Times New Roman" w:eastAsia="Times New Roman"/>
          <w:spacing w:val="34"/>
          <w:w w:val="90"/>
          <w:sz w:val="30"/>
        </w:rPr>
        <w:t> </w:t>
      </w:r>
      <w:r>
        <w:rPr>
          <w:spacing w:val="7"/>
          <w:w w:val="90"/>
          <w:sz w:val="24"/>
        </w:rPr>
        <w:t>月 </w:t>
      </w:r>
      <w:r>
        <w:rPr>
          <w:rFonts w:ascii="Times New Roman" w:eastAsia="Times New Roman"/>
          <w:w w:val="90"/>
          <w:sz w:val="30"/>
        </w:rPr>
        <w:t>31</w:t>
      </w:r>
      <w:r>
        <w:rPr>
          <w:rFonts w:ascii="Times New Roman" w:eastAsia="Times New Roman"/>
          <w:spacing w:val="26"/>
          <w:w w:val="90"/>
          <w:sz w:val="30"/>
        </w:rPr>
        <w:t> </w:t>
      </w:r>
      <w:r>
        <w:rPr>
          <w:spacing w:val="-6"/>
          <w:w w:val="90"/>
          <w:sz w:val="24"/>
        </w:rPr>
        <w:t>日 ， 青林 書浣 。</w:t>
      </w:r>
      <w:r>
        <w:rPr>
          <w:spacing w:val="-3"/>
          <w:w w:val="90"/>
          <w:sz w:val="24"/>
        </w:rPr>
        <w:t>藤田宙靖 ，行 政 維織法 ， 新版 ， </w:t>
      </w:r>
      <w:r>
        <w:rPr>
          <w:rFonts w:ascii="Times New Roman" w:eastAsia="Times New Roman"/>
          <w:w w:val="90"/>
          <w:sz w:val="30"/>
        </w:rPr>
        <w:t>2001</w:t>
      </w:r>
      <w:r>
        <w:rPr>
          <w:rFonts w:ascii="Times New Roman" w:eastAsia="Times New Roman"/>
          <w:spacing w:val="13"/>
          <w:w w:val="90"/>
          <w:sz w:val="30"/>
        </w:rPr>
        <w:t> </w:t>
      </w:r>
      <w:r>
        <w:rPr>
          <w:spacing w:val="11"/>
          <w:w w:val="90"/>
          <w:sz w:val="24"/>
        </w:rPr>
        <w:t>年 ，良 書普及令 。</w:t>
      </w:r>
    </w:p>
    <w:p>
      <w:pPr>
        <w:spacing w:after="0" w:line="340" w:lineRule="auto"/>
        <w:jc w:val="left"/>
        <w:rPr>
          <w:sz w:val="24"/>
        </w:rPr>
        <w:sectPr>
          <w:headerReference w:type="default" r:id="rId580"/>
          <w:footerReference w:type="default" r:id="rId581"/>
          <w:pgSz w:w="11910" w:h="16840"/>
          <w:pgMar w:header="862" w:footer="1017" w:top="1060" w:bottom="1200" w:left="1120" w:right="1060"/>
        </w:sectPr>
      </w:pPr>
    </w:p>
    <w:p>
      <w:pPr>
        <w:pStyle w:val="BodyText"/>
        <w:spacing w:before="4"/>
        <w:rPr>
          <w:sz w:val="23"/>
        </w:rPr>
      </w:pPr>
    </w:p>
    <w:p>
      <w:pPr>
        <w:spacing w:before="70"/>
        <w:ind w:left="0" w:right="2845" w:firstLine="0"/>
        <w:jc w:val="center"/>
        <w:rPr>
          <w:sz w:val="22"/>
        </w:rPr>
      </w:pPr>
      <w:r>
        <w:rPr>
          <w:w w:val="115"/>
          <w:sz w:val="22"/>
        </w:rPr>
        <w:t>國家圖書館出版品預行編目資料</w:t>
      </w:r>
    </w:p>
    <w:p>
      <w:pPr>
        <w:spacing w:before="88"/>
        <w:ind w:left="693" w:right="549" w:firstLine="0"/>
        <w:jc w:val="center"/>
        <w:rPr>
          <w:sz w:val="22"/>
        </w:rPr>
      </w:pPr>
      <w:r>
        <w:rPr>
          <w:w w:val="115"/>
          <w:sz w:val="22"/>
        </w:rPr>
        <w:t>復審參加制度之研究／劉建宏硏究計畫主持</w:t>
      </w:r>
    </w:p>
    <w:p>
      <w:pPr>
        <w:spacing w:before="79"/>
        <w:ind w:left="719" w:right="549" w:firstLine="0"/>
        <w:jc w:val="center"/>
        <w:rPr>
          <w:sz w:val="22"/>
        </w:rPr>
      </w:pPr>
      <w:r>
        <w:rPr>
          <w:spacing w:val="-4"/>
          <w:w w:val="120"/>
          <w:sz w:val="22"/>
        </w:rPr>
        <w:t>－初版－ 臺北市：公務人員保庫暨培訓委員</w:t>
      </w:r>
    </w:p>
    <w:p>
      <w:pPr>
        <w:spacing w:before="46"/>
        <w:ind w:left="2484" w:right="0" w:firstLine="0"/>
        <w:jc w:val="left"/>
        <w:rPr>
          <w:sz w:val="23"/>
        </w:rPr>
      </w:pPr>
      <w:r>
        <w:rPr>
          <w:spacing w:val="33"/>
          <w:w w:val="90"/>
          <w:sz w:val="24"/>
        </w:rPr>
        <w:t>會 </w:t>
      </w:r>
      <w:r>
        <w:rPr>
          <w:rFonts w:ascii="Times New Roman" w:eastAsia="Times New Roman"/>
          <w:w w:val="90"/>
          <w:sz w:val="28"/>
        </w:rPr>
        <w:t>2010</w:t>
      </w:r>
      <w:r>
        <w:rPr>
          <w:spacing w:val="-14"/>
          <w:w w:val="90"/>
          <w:sz w:val="23"/>
        </w:rPr>
        <w:t>〔 民 </w:t>
      </w:r>
      <w:r>
        <w:rPr>
          <w:rFonts w:ascii="Times New Roman" w:eastAsia="Times New Roman"/>
          <w:w w:val="90"/>
          <w:sz w:val="28"/>
        </w:rPr>
        <w:t>99</w:t>
      </w:r>
      <w:r>
        <w:rPr>
          <w:rFonts w:ascii="Times New Roman" w:eastAsia="Times New Roman"/>
          <w:spacing w:val="-16"/>
          <w:w w:val="90"/>
          <w:sz w:val="28"/>
        </w:rPr>
        <w:t> </w:t>
      </w:r>
      <w:r>
        <w:rPr>
          <w:w w:val="90"/>
          <w:sz w:val="23"/>
        </w:rPr>
        <w:t>〕</w:t>
      </w:r>
    </w:p>
    <w:p>
      <w:pPr>
        <w:spacing w:before="13"/>
        <w:ind w:left="3031" w:right="0" w:firstLine="0"/>
        <w:jc w:val="left"/>
        <w:rPr>
          <w:sz w:val="22"/>
        </w:rPr>
      </w:pPr>
      <w:r>
        <w:rPr>
          <w:rFonts w:ascii="Times New Roman" w:eastAsia="Times New Roman"/>
          <w:w w:val="105"/>
          <w:sz w:val="31"/>
        </w:rPr>
        <w:t>0</w:t>
      </w:r>
      <w:r>
        <w:rPr>
          <w:rFonts w:ascii="Times New Roman" w:eastAsia="Times New Roman"/>
          <w:spacing w:val="13"/>
          <w:w w:val="105"/>
          <w:sz w:val="31"/>
        </w:rPr>
        <w:t> </w:t>
      </w:r>
      <w:r>
        <w:rPr>
          <w:rFonts w:ascii="Times New Roman" w:eastAsia="Times New Roman"/>
          <w:w w:val="105"/>
          <w:sz w:val="31"/>
        </w:rPr>
        <w:t>0</w:t>
      </w:r>
      <w:r>
        <w:rPr>
          <w:rFonts w:ascii="Times New Roman" w:eastAsia="Times New Roman"/>
          <w:spacing w:val="13"/>
          <w:w w:val="105"/>
          <w:sz w:val="31"/>
        </w:rPr>
        <w:t> </w:t>
      </w:r>
      <w:r>
        <w:rPr>
          <w:rFonts w:ascii="Times New Roman" w:eastAsia="Times New Roman"/>
          <w:w w:val="105"/>
          <w:sz w:val="31"/>
        </w:rPr>
        <w:t>0</w:t>
      </w:r>
      <w:r>
        <w:rPr>
          <w:rFonts w:ascii="Times New Roman" w:eastAsia="Times New Roman"/>
          <w:spacing w:val="-8"/>
          <w:w w:val="105"/>
          <w:sz w:val="31"/>
        </w:rPr>
        <w:t> </w:t>
      </w:r>
      <w:r>
        <w:rPr>
          <w:spacing w:val="1"/>
          <w:w w:val="105"/>
          <w:sz w:val="21"/>
        </w:rPr>
        <w:t>面； </w:t>
      </w:r>
      <w:r>
        <w:rPr>
          <w:rFonts w:ascii="Times New Roman" w:eastAsia="Times New Roman"/>
          <w:w w:val="105"/>
          <w:sz w:val="31"/>
        </w:rPr>
        <w:t>0</w:t>
      </w:r>
      <w:r>
        <w:rPr>
          <w:rFonts w:ascii="Times New Roman" w:eastAsia="Times New Roman"/>
          <w:spacing w:val="13"/>
          <w:w w:val="105"/>
          <w:sz w:val="31"/>
        </w:rPr>
        <w:t> </w:t>
      </w:r>
      <w:r>
        <w:rPr>
          <w:rFonts w:ascii="Times New Roman" w:eastAsia="Times New Roman"/>
          <w:w w:val="105"/>
          <w:sz w:val="31"/>
        </w:rPr>
        <w:t>0</w:t>
      </w:r>
      <w:r>
        <w:rPr>
          <w:rFonts w:ascii="Times New Roman" w:eastAsia="Times New Roman"/>
          <w:spacing w:val="-16"/>
          <w:w w:val="105"/>
          <w:sz w:val="31"/>
        </w:rPr>
        <w:t> </w:t>
      </w:r>
      <w:r>
        <w:rPr>
          <w:spacing w:val="11"/>
          <w:w w:val="105"/>
          <w:sz w:val="22"/>
        </w:rPr>
        <w:t>公分</w:t>
      </w:r>
    </w:p>
    <w:p>
      <w:pPr>
        <w:spacing w:before="49"/>
        <w:ind w:left="3090" w:right="0" w:firstLine="0"/>
        <w:jc w:val="left"/>
        <w:rPr>
          <w:sz w:val="23"/>
        </w:rPr>
      </w:pPr>
      <w:r>
        <w:rPr>
          <w:w w:val="85"/>
          <w:sz w:val="23"/>
        </w:rPr>
        <w:t>（平裝）</w:t>
      </w:r>
    </w:p>
    <w:p>
      <w:pPr>
        <w:spacing w:before="61"/>
        <w:ind w:left="3090" w:right="0" w:firstLine="0"/>
        <w:jc w:val="left"/>
        <w:rPr>
          <w:sz w:val="23"/>
        </w:rPr>
      </w:pPr>
      <w:r>
        <w:rPr>
          <w:w w:val="85"/>
          <w:sz w:val="23"/>
        </w:rPr>
        <w:t>（類別）</w:t>
      </w:r>
    </w:p>
    <w:p>
      <w:pPr>
        <w:pStyle w:val="Heading5"/>
        <w:spacing w:before="54"/>
        <w:ind w:left="2989"/>
      </w:pPr>
      <w:r>
        <w:rPr/>
        <w:t>000.000</w:t>
      </w:r>
    </w:p>
    <w:p>
      <w:pPr>
        <w:spacing w:before="38"/>
        <w:ind w:left="2470" w:right="0" w:firstLine="0"/>
        <w:jc w:val="left"/>
        <w:rPr>
          <w:rFonts w:ascii="Times New Roman"/>
          <w:sz w:val="28"/>
        </w:rPr>
      </w:pPr>
      <w:r>
        <w:rPr>
          <w:rFonts w:ascii="Times New Roman"/>
          <w:sz w:val="28"/>
        </w:rPr>
        <w:t>00000000</w:t>
      </w:r>
    </w:p>
    <w:p>
      <w:pPr>
        <w:tabs>
          <w:tab w:pos="2518" w:val="left" w:leader="none"/>
        </w:tabs>
        <w:spacing w:before="44"/>
        <w:ind w:left="1856" w:right="0" w:firstLine="0"/>
        <w:jc w:val="left"/>
        <w:rPr>
          <w:rFonts w:ascii="Times New Roman"/>
          <w:sz w:val="28"/>
        </w:rPr>
      </w:pPr>
      <w:r>
        <w:rPr>
          <w:rFonts w:ascii="Arial"/>
          <w:w w:val="85"/>
          <w:sz w:val="26"/>
        </w:rPr>
        <w:t>GPN</w:t>
        <w:tab/>
      </w:r>
      <w:r>
        <w:rPr>
          <w:rFonts w:ascii="Times New Roman"/>
          <w:w w:val="95"/>
          <w:sz w:val="28"/>
        </w:rPr>
        <w:t>0000000000</w: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tabs>
          <w:tab w:pos="1608" w:val="left" w:leader="none"/>
        </w:tabs>
        <w:spacing w:before="205"/>
        <w:ind w:left="838" w:right="0" w:firstLine="0"/>
        <w:jc w:val="left"/>
        <w:rPr>
          <w:sz w:val="22"/>
        </w:rPr>
      </w:pPr>
      <w:r>
        <w:rPr>
          <w:w w:val="115"/>
          <w:sz w:val="25"/>
        </w:rPr>
        <w:t>書</w:t>
        <w:tab/>
      </w:r>
      <w:r>
        <w:rPr>
          <w:w w:val="115"/>
          <w:sz w:val="22"/>
        </w:rPr>
        <w:t>名：復審參加制度之研究</w:t>
      </w:r>
    </w:p>
    <w:p>
      <w:pPr>
        <w:tabs>
          <w:tab w:pos="1614" w:val="left" w:leader="none"/>
        </w:tabs>
        <w:spacing w:line="302" w:lineRule="auto" w:before="75"/>
        <w:ind w:left="847" w:right="4210" w:hanging="9"/>
        <w:jc w:val="left"/>
        <w:rPr>
          <w:sz w:val="22"/>
        </w:rPr>
      </w:pPr>
      <w:r>
        <w:rPr>
          <w:w w:val="120"/>
          <w:sz w:val="22"/>
        </w:rPr>
        <w:t>箸</w:t>
        <w:tab/>
      </w:r>
      <w:r>
        <w:rPr>
          <w:w w:val="115"/>
          <w:sz w:val="22"/>
        </w:rPr>
        <w:t>者：劉建宏丶李仁淼、古曉婷等箸</w:t>
      </w:r>
      <w:r>
        <w:rPr>
          <w:w w:val="120"/>
          <w:sz w:val="22"/>
        </w:rPr>
        <w:t>出版機關：公務人員保庫暨培訓委員會</w:t>
      </w:r>
    </w:p>
    <w:p>
      <w:pPr>
        <w:spacing w:line="295" w:lineRule="exact" w:before="0"/>
        <w:ind w:left="2150" w:right="0" w:firstLine="0"/>
        <w:jc w:val="left"/>
        <w:rPr>
          <w:sz w:val="23"/>
        </w:rPr>
      </w:pPr>
      <w:r>
        <w:rPr>
          <w:spacing w:val="7"/>
          <w:w w:val="95"/>
          <w:sz w:val="22"/>
        </w:rPr>
        <w:t>臺北市文山區 </w:t>
      </w:r>
      <w:r>
        <w:rPr>
          <w:rFonts w:ascii="Times New Roman" w:eastAsia="Times New Roman"/>
          <w:w w:val="95"/>
          <w:sz w:val="28"/>
        </w:rPr>
        <w:t>116</w:t>
      </w:r>
      <w:r>
        <w:rPr>
          <w:rFonts w:ascii="Times New Roman" w:eastAsia="Times New Roman"/>
          <w:spacing w:val="18"/>
          <w:w w:val="95"/>
          <w:sz w:val="28"/>
        </w:rPr>
        <w:t> </w:t>
      </w:r>
      <w:r>
        <w:rPr>
          <w:spacing w:val="1"/>
          <w:w w:val="95"/>
          <w:sz w:val="22"/>
        </w:rPr>
        <w:t>試 皖 路 </w:t>
      </w:r>
      <w:r>
        <w:rPr>
          <w:rFonts w:ascii="Times New Roman" w:eastAsia="Times New Roman"/>
          <w:w w:val="95"/>
          <w:sz w:val="28"/>
        </w:rPr>
        <w:t>1-</w:t>
      </w:r>
      <w:r>
        <w:rPr>
          <w:rFonts w:ascii="Times New Roman" w:eastAsia="Times New Roman"/>
          <w:spacing w:val="-6"/>
          <w:w w:val="95"/>
          <w:sz w:val="28"/>
        </w:rPr>
        <w:t> </w:t>
      </w:r>
      <w:r>
        <w:rPr>
          <w:rFonts w:ascii="Times New Roman" w:eastAsia="Times New Roman"/>
          <w:w w:val="95"/>
          <w:sz w:val="28"/>
        </w:rPr>
        <w:t>3</w:t>
      </w:r>
      <w:r>
        <w:rPr>
          <w:rFonts w:ascii="Times New Roman" w:eastAsia="Times New Roman"/>
          <w:spacing w:val="11"/>
          <w:w w:val="95"/>
          <w:sz w:val="28"/>
        </w:rPr>
        <w:t> </w:t>
      </w:r>
      <w:r>
        <w:rPr>
          <w:w w:val="95"/>
          <w:sz w:val="23"/>
        </w:rPr>
        <w:t>號</w:t>
      </w:r>
    </w:p>
    <w:p>
      <w:pPr>
        <w:pStyle w:val="Heading6"/>
        <w:spacing w:before="58"/>
        <w:ind w:left="2141"/>
      </w:pPr>
      <w:r>
        <w:rPr>
          <w:rFonts w:ascii="SimSun" w:eastAsia="SimSun" w:hint="eastAsia"/>
          <w:spacing w:val="-15"/>
          <w:sz w:val="21"/>
        </w:rPr>
        <w:t>綱址： </w:t>
      </w:r>
      <w:r>
        <w:rPr>
          <w:spacing w:val="-2"/>
        </w:rPr>
        <w:t>ht</w:t>
      </w:r>
      <w:r>
        <w:rPr>
          <w:spacing w:val="16"/>
        </w:rPr>
        <w:t> </w:t>
      </w:r>
      <w:r>
        <w:rPr>
          <w:spacing w:val="-2"/>
        </w:rPr>
        <w:t>t</w:t>
      </w:r>
      <w:r>
        <w:rPr>
          <w:spacing w:val="-12"/>
        </w:rPr>
        <w:t> </w:t>
      </w:r>
      <w:r>
        <w:rPr>
          <w:spacing w:val="-2"/>
        </w:rPr>
        <w:t>p: /</w:t>
      </w:r>
      <w:r>
        <w:rPr>
          <w:spacing w:val="-5"/>
        </w:rPr>
        <w:t> </w:t>
      </w:r>
      <w:hyperlink r:id="rId582">
        <w:r>
          <w:rPr>
            <w:spacing w:val="-2"/>
          </w:rPr>
          <w:t>/ww</w:t>
        </w:r>
      </w:hyperlink>
      <w:r>
        <w:rPr>
          <w:spacing w:val="-2"/>
        </w:rPr>
        <w:t>w</w:t>
      </w:r>
      <w:hyperlink r:id="rId582">
        <w:r>
          <w:rPr>
            <w:spacing w:val="-4"/>
          </w:rPr>
          <w:t>. </w:t>
        </w:r>
      </w:hyperlink>
      <w:r>
        <w:rPr>
          <w:spacing w:val="-2"/>
        </w:rPr>
        <w:t>cs</w:t>
      </w:r>
      <w:r>
        <w:rPr>
          <w:spacing w:val="-25"/>
        </w:rPr>
        <w:t> </w:t>
      </w:r>
      <w:r>
        <w:rPr>
          <w:spacing w:val="-1"/>
        </w:rPr>
        <w:t>pt</w:t>
      </w:r>
      <w:r>
        <w:rPr>
          <w:spacing w:val="-6"/>
        </w:rPr>
        <w:t> </w:t>
      </w:r>
      <w:r>
        <w:rPr>
          <w:spacing w:val="-1"/>
        </w:rPr>
        <w:t>c</w:t>
      </w:r>
      <w:r>
        <w:rPr>
          <w:spacing w:val="8"/>
        </w:rPr>
        <w:t>. </w:t>
      </w:r>
      <w:r>
        <w:rPr>
          <w:spacing w:val="-1"/>
        </w:rPr>
        <w:t>gov.</w:t>
      </w:r>
      <w:r>
        <w:rPr>
          <w:spacing w:val="-23"/>
        </w:rPr>
        <w:t> </w:t>
      </w:r>
      <w:r>
        <w:rPr>
          <w:spacing w:val="-1"/>
        </w:rPr>
        <w:t>tw</w:t>
      </w:r>
    </w:p>
    <w:p>
      <w:pPr>
        <w:spacing w:before="39"/>
        <w:ind w:left="2138" w:right="0" w:firstLine="0"/>
        <w:jc w:val="left"/>
        <w:rPr>
          <w:rFonts w:ascii="Times New Roman" w:eastAsia="Times New Roman"/>
          <w:sz w:val="28"/>
        </w:rPr>
      </w:pPr>
      <w:r>
        <w:rPr>
          <w:w w:val="90"/>
          <w:sz w:val="22"/>
        </w:rPr>
        <w:t>電語：</w:t>
      </w:r>
      <w:r>
        <w:rPr>
          <w:w w:val="90"/>
          <w:sz w:val="25"/>
        </w:rPr>
        <w:t>（</w:t>
      </w:r>
      <w:r>
        <w:rPr>
          <w:rFonts w:ascii="Times New Roman" w:eastAsia="Times New Roman"/>
          <w:w w:val="90"/>
          <w:sz w:val="28"/>
        </w:rPr>
        <w:t>02</w:t>
      </w:r>
      <w:r>
        <w:rPr>
          <w:rFonts w:ascii="Times New Roman" w:eastAsia="Times New Roman"/>
          <w:spacing w:val="8"/>
          <w:w w:val="90"/>
          <w:sz w:val="28"/>
        </w:rPr>
        <w:t> )</w:t>
      </w:r>
      <w:r>
        <w:rPr>
          <w:rFonts w:ascii="Times New Roman" w:eastAsia="Times New Roman"/>
          <w:w w:val="90"/>
          <w:sz w:val="28"/>
        </w:rPr>
        <w:t>8236-</w:t>
      </w:r>
      <w:r>
        <w:rPr>
          <w:rFonts w:ascii="Times New Roman" w:eastAsia="Times New Roman"/>
          <w:spacing w:val="40"/>
          <w:w w:val="90"/>
          <w:sz w:val="28"/>
        </w:rPr>
        <w:t> </w:t>
      </w:r>
      <w:r>
        <w:rPr>
          <w:rFonts w:ascii="Times New Roman" w:eastAsia="Times New Roman"/>
          <w:w w:val="90"/>
          <w:sz w:val="28"/>
        </w:rPr>
        <w:t>7000</w:t>
      </w:r>
    </w:p>
    <w:p>
      <w:pPr>
        <w:tabs>
          <w:tab w:pos="1609" w:val="left" w:leader="none"/>
        </w:tabs>
        <w:spacing w:line="288" w:lineRule="auto" w:before="29"/>
        <w:ind w:left="826" w:right="6128" w:firstLine="20"/>
        <w:jc w:val="left"/>
        <w:rPr>
          <w:sz w:val="22"/>
        </w:rPr>
      </w:pPr>
      <w:r>
        <w:rPr>
          <w:w w:val="95"/>
          <w:sz w:val="22"/>
        </w:rPr>
        <w:t>出版</w:t>
      </w:r>
      <w:r>
        <w:rPr>
          <w:spacing w:val="-4"/>
          <w:w w:val="95"/>
          <w:sz w:val="22"/>
        </w:rPr>
        <w:t> </w:t>
      </w:r>
      <w:r>
        <w:rPr>
          <w:spacing w:val="22"/>
          <w:w w:val="95"/>
          <w:sz w:val="22"/>
        </w:rPr>
        <w:t>年</w:t>
      </w:r>
      <w:r>
        <w:rPr>
          <w:w w:val="95"/>
          <w:sz w:val="22"/>
        </w:rPr>
        <w:t>月：</w:t>
      </w:r>
      <w:r>
        <w:rPr>
          <w:spacing w:val="-9"/>
          <w:w w:val="95"/>
          <w:sz w:val="22"/>
        </w:rPr>
        <w:t> </w:t>
      </w:r>
      <w:r>
        <w:rPr>
          <w:rFonts w:ascii="Times New Roman" w:eastAsia="Times New Roman"/>
          <w:w w:val="95"/>
          <w:sz w:val="28"/>
        </w:rPr>
        <w:t>2010</w:t>
      </w:r>
      <w:r>
        <w:rPr>
          <w:rFonts w:ascii="Times New Roman" w:eastAsia="Times New Roman"/>
          <w:spacing w:val="18"/>
          <w:w w:val="95"/>
          <w:sz w:val="28"/>
        </w:rPr>
        <w:t> </w:t>
      </w:r>
      <w:r>
        <w:rPr>
          <w:w w:val="95"/>
          <w:sz w:val="22"/>
        </w:rPr>
        <w:t>年</w:t>
      </w:r>
      <w:r>
        <w:rPr>
          <w:spacing w:val="-36"/>
          <w:w w:val="95"/>
          <w:sz w:val="22"/>
        </w:rPr>
        <w:t> </w:t>
      </w:r>
      <w:r>
        <w:rPr>
          <w:rFonts w:ascii="Times New Roman" w:eastAsia="Times New Roman"/>
          <w:w w:val="95"/>
          <w:sz w:val="28"/>
        </w:rPr>
        <w:t>11</w:t>
      </w:r>
      <w:r>
        <w:rPr>
          <w:rFonts w:ascii="Times New Roman" w:eastAsia="Times New Roman"/>
          <w:spacing w:val="30"/>
          <w:w w:val="95"/>
          <w:sz w:val="28"/>
        </w:rPr>
        <w:t> </w:t>
      </w:r>
      <w:r>
        <w:rPr>
          <w:w w:val="95"/>
          <w:sz w:val="22"/>
        </w:rPr>
        <w:t>月</w:t>
      </w:r>
      <w:r>
        <w:rPr>
          <w:sz w:val="22"/>
        </w:rPr>
        <w:t>版</w:t>
        <w:tab/>
        <w:t>次：初版一刷</w:t>
      </w:r>
    </w:p>
    <w:p>
      <w:pPr>
        <w:spacing w:line="313" w:lineRule="exact" w:before="0"/>
        <w:ind w:left="834" w:right="0" w:firstLine="0"/>
        <w:jc w:val="left"/>
        <w:rPr>
          <w:sz w:val="21"/>
        </w:rPr>
      </w:pPr>
      <w:r>
        <w:rPr>
          <w:spacing w:val="8"/>
          <w:w w:val="95"/>
          <w:sz w:val="22"/>
        </w:rPr>
        <w:t>工 本 費： 平裝／ 新臺幣 </w:t>
      </w:r>
      <w:r>
        <w:rPr>
          <w:rFonts w:ascii="Times New Roman" w:eastAsia="Times New Roman"/>
          <w:w w:val="95"/>
          <w:sz w:val="28"/>
        </w:rPr>
        <w:t>000</w:t>
      </w:r>
      <w:r>
        <w:rPr>
          <w:rFonts w:ascii="Times New Roman" w:eastAsia="Times New Roman"/>
          <w:spacing w:val="12"/>
          <w:w w:val="95"/>
          <w:sz w:val="28"/>
        </w:rPr>
        <w:t> </w:t>
      </w:r>
      <w:r>
        <w:rPr>
          <w:w w:val="95"/>
          <w:sz w:val="21"/>
        </w:rPr>
        <w:t>元</w:t>
      </w:r>
    </w:p>
    <w:p>
      <w:pPr>
        <w:spacing w:before="74"/>
        <w:ind w:left="826" w:right="0" w:firstLine="0"/>
        <w:jc w:val="left"/>
        <w:rPr>
          <w:sz w:val="22"/>
        </w:rPr>
      </w:pPr>
      <w:r>
        <w:rPr>
          <w:w w:val="115"/>
          <w:sz w:val="22"/>
        </w:rPr>
        <w:t>版權所有．翻印必究</w:t>
      </w:r>
    </w:p>
    <w:sectPr>
      <w:pgSz w:w="11910" w:h="16840"/>
      <w:pgMar w:header="862" w:footer="1017" w:top="1060" w:bottom="1200" w:left="112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imSun">
    <w:altName w:val="SimSun"/>
    <w:charset w:val="0"/>
    <w:family w:val="auto"/>
    <w:pitch w:val="variable"/>
  </w:font>
  <w:font w:name="新細明體">
    <w:altName w:val="新細明體"/>
    <w:charset w:val="88"/>
    <w:family w:val="roman"/>
    <w:pitch w:val="variable"/>
  </w:font>
  <w:font w:name="MS UI Gothic">
    <w:altName w:val="MS UI Gothic"/>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9.450012pt;margin-top:780.084473pt;width:16.6pt;height:13.05pt;mso-position-horizontal-relative:page;mso-position-vertical-relative:page;z-index:-17868288"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 ROMAN </w:instrText>
                </w:r>
                <w:r>
                  <w:rPr/>
                  <w:fldChar w:fldCharType="separate"/>
                </w:r>
                <w:r>
                  <w:rPr/>
                  <w:t>IV</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9584"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32</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9072"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34</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8048"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35</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57024" from="95.174004pt,632.401245pt" to="239.377045pt,632.401245pt" stroked="true" strokeweight=".720821pt" strokecolor="#000000">
          <v:stroke dashstyle="solid"/>
          <w10:wrap type="none"/>
        </v:line>
      </w:pict>
    </w:r>
    <w:r>
      <w:rPr/>
      <w:pict>
        <v:shape style="position:absolute;margin-left:301.690002pt;margin-top:780.084473pt;width:12.1pt;height:13.05pt;mso-position-horizontal-relative:page;mso-position-vertical-relative:page;z-index:-17856512" type="#_x0000_t202" filled="false" stroked="false">
          <v:textbox inset="0,0,0,0">
            <w:txbxContent>
              <w:p>
                <w:pPr>
                  <w:spacing w:before="10"/>
                  <w:ind w:left="20" w:right="0" w:firstLine="0"/>
                  <w:jc w:val="left"/>
                  <w:rPr>
                    <w:rFonts w:ascii="Times New Roman"/>
                    <w:sz w:val="20"/>
                  </w:rPr>
                </w:pPr>
                <w:r>
                  <w:rPr>
                    <w:rFonts w:ascii="Times New Roman"/>
                    <w:sz w:val="20"/>
                  </w:rPr>
                  <w:t>38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5488"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39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4976"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42</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3952"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43</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3440"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63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52416"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64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51392" from="95.174004pt,710.490173pt" to="239.377045pt,710.490173pt" stroked="true" strokeweight=".480547pt" strokecolor="#000000">
          <v:stroke dashstyle="solid"/>
          <w10:wrap type="none"/>
        </v:line>
      </w:pict>
    </w:r>
    <w:r>
      <w:rPr/>
      <w:pict>
        <v:shape style="position:absolute;margin-left:301.690002pt;margin-top:780.084473pt;width:12.1pt;height:13.05pt;mso-position-horizontal-relative:page;mso-position-vertical-relative:page;z-index:-17850880" type="#_x0000_t202" filled="false" stroked="false">
          <v:textbox inset="0,0,0,0">
            <w:txbxContent>
              <w:p>
                <w:pPr>
                  <w:spacing w:before="10"/>
                  <w:ind w:left="20" w:right="0" w:firstLine="0"/>
                  <w:jc w:val="left"/>
                  <w:rPr>
                    <w:rFonts w:ascii="Times New Roman"/>
                    <w:sz w:val="20"/>
                  </w:rPr>
                </w:pPr>
                <w:r>
                  <w:rPr>
                    <w:rFonts w:ascii="Times New Roman"/>
                    <w:sz w:val="20"/>
                  </w:rPr>
                  <w:t>80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09991pt;margin-top:780.084473pt;width:11pt;height:13.05pt;mso-position-horizontal-relative:page;mso-position-vertical-relative:page;z-index:-17867776"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w w:val="99"/>
                    <w:sz w:val="20"/>
                  </w:rPr>
                  <w:instrText> PAGE </w:instrText>
                </w:r>
                <w:r>
                  <w:rPr/>
                  <w:fldChar w:fldCharType="separate"/>
                </w:r>
                <w:r>
                  <w:rPr/>
                  <w:t>1</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49856"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81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48832" from="95.174004pt,710.490173pt" to="239.377045pt,710.490173pt" stroked="true" strokeweight=".480547pt" strokecolor="#000000">
          <v:stroke dashstyle="solid"/>
          <w10:wrap type="none"/>
        </v:line>
      </w:pict>
    </w:r>
    <w:r>
      <w:rPr/>
      <w:pict>
        <v:shape style="position:absolute;margin-left:301.690002pt;margin-top:780.084473pt;width:12.1pt;height:13.05pt;mso-position-horizontal-relative:page;mso-position-vertical-relative:page;z-index:-17848320" type="#_x0000_t202" filled="false" stroked="false">
          <v:textbox inset="0,0,0,0">
            <w:txbxContent>
              <w:p>
                <w:pPr>
                  <w:spacing w:before="10"/>
                  <w:ind w:left="20" w:right="0" w:firstLine="0"/>
                  <w:jc w:val="left"/>
                  <w:rPr>
                    <w:rFonts w:ascii="Times New Roman"/>
                    <w:sz w:val="20"/>
                  </w:rPr>
                </w:pPr>
                <w:r>
                  <w:rPr>
                    <w:rFonts w:ascii="Times New Roman"/>
                    <w:sz w:val="20"/>
                  </w:rPr>
                  <w:t>85</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47296"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86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70013pt;margin-top:780.084473pt;width:21.15pt;height:13.05pt;mso-position-horizontal-relative:page;mso-position-vertical-relative:page;z-index:-17846272"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100</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170013pt;margin-top:780.084473pt;width:21.15pt;height:13.05pt;mso-position-horizontal-relative:page;mso-position-vertical-relative:page;z-index:-17845248"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102</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09991pt;margin-top:780.084473pt;width:11pt;height:13.05pt;mso-position-horizontal-relative:page;mso-position-vertical-relative:page;z-index:-17866752"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w w:val="99"/>
                    <w:sz w:val="20"/>
                  </w:rPr>
                  <w:instrText> PAGE </w:instrText>
                </w:r>
                <w:r>
                  <w:rPr/>
                  <w:fldChar w:fldCharType="separate"/>
                </w:r>
                <w:r>
                  <w:rPr/>
                  <w:t>4</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209991pt;margin-top:780.084473pt;width:11pt;height:13.05pt;mso-position-horizontal-relative:page;mso-position-vertical-relative:page;z-index:-17866240"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w w:val="99"/>
                    <w:sz w:val="20"/>
                  </w:rPr>
                  <w:instrText> PAGE </w:instrText>
                </w:r>
                <w:r>
                  <w:rPr/>
                  <w:fldChar w:fldCharType="separate"/>
                </w:r>
                <w:r>
                  <w:rPr/>
                  <w:t>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65216"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10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64192" from="95.174004pt,710.490173pt" to="239.377045pt,710.490173pt" stroked="true" strokeweight=".480547pt" strokecolor="#000000">
          <v:stroke dashstyle="solid"/>
          <w10:wrap type="none"/>
        </v:line>
      </w:pict>
    </w:r>
    <w:r>
      <w:rPr/>
      <w:pict>
        <v:shape style="position:absolute;margin-left:301.690002pt;margin-top:780.084473pt;width:12.1pt;height:13.05pt;mso-position-horizontal-relative:page;mso-position-vertical-relative:page;z-index:-17863680" type="#_x0000_t202" filled="false" stroked="false">
          <v:textbox inset="0,0,0,0">
            <w:txbxContent>
              <w:p>
                <w:pPr>
                  <w:spacing w:before="10"/>
                  <w:ind w:left="20" w:right="0" w:firstLine="0"/>
                  <w:jc w:val="left"/>
                  <w:rPr>
                    <w:rFonts w:ascii="Times New Roman"/>
                    <w:sz w:val="20"/>
                  </w:rPr>
                </w:pPr>
                <w:r>
                  <w:rPr>
                    <w:rFonts w:ascii="Times New Roman"/>
                    <w:sz w:val="20"/>
                  </w:rPr>
                  <w:t>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63168"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15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690002pt;margin-top:780.084473pt;width:16.1pt;height:13.05pt;mso-position-horizontal-relative:page;mso-position-vertical-relative:page;z-index:-17862144"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16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861120" from="95.174004pt,726.107971pt" to="239.377045pt,726.107971pt" stroked="true" strokeweight=".480547pt" strokecolor="#000000">
          <v:stroke dashstyle="solid"/>
          <w10:wrap type="none"/>
        </v:line>
      </w:pict>
    </w:r>
    <w:r>
      <w:rPr/>
      <w:pict>
        <v:shape style="position:absolute;margin-left:301.690002pt;margin-top:780.084473pt;width:12.1pt;height:13.05pt;mso-position-horizontal-relative:page;mso-position-vertical-relative:page;z-index:-17860608" type="#_x0000_t202" filled="false" stroked="false">
          <v:textbox inset="0,0,0,0">
            <w:txbxContent>
              <w:p>
                <w:pPr>
                  <w:spacing w:before="10"/>
                  <w:ind w:left="20" w:right="0" w:firstLine="0"/>
                  <w:jc w:val="left"/>
                  <w:rPr>
                    <w:rFonts w:ascii="Times New Roman"/>
                    <w:sz w:val="20"/>
                  </w:rPr>
                </w:pPr>
                <w:r>
                  <w:rPr>
                    <w:rFonts w:ascii="Times New Roman"/>
                    <w:sz w:val="20"/>
                  </w:rPr>
                  <w:t>31</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67264"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58560"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57536"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56000"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54464"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78015pt;margin-top:42.536938pt;width:108.35pt;height:12.05pt;mso-position-horizontal-relative:page;mso-position-vertical-relative:page;z-index:-17852928" type="#_x0000_t202" filled="false" stroked="false">
          <v:textbox inset="0,0,0,0">
            <w:txbxContent>
              <w:p>
                <w:pPr>
                  <w:spacing w:line="240" w:lineRule="exact" w:before="0"/>
                  <w:ind w:left="20" w:right="0" w:firstLine="0"/>
                  <w:jc w:val="left"/>
                  <w:rPr>
                    <w:sz w:val="20"/>
                  </w:rPr>
                </w:pPr>
                <w:r>
                  <w:rPr>
                    <w:w w:val="115"/>
                    <w:sz w:val="20"/>
                  </w:rPr>
                  <w:t>復審參加制度之研究</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51904"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78015pt;margin-top:42.536938pt;width:108.35pt;height:12.05pt;mso-position-horizontal-relative:page;mso-position-vertical-relative:page;z-index:-17850368" type="#_x0000_t202" filled="false" stroked="false">
          <v:textbox inset="0,0,0,0">
            <w:txbxContent>
              <w:p>
                <w:pPr>
                  <w:spacing w:line="240" w:lineRule="exact" w:before="0"/>
                  <w:ind w:left="20" w:right="0" w:firstLine="0"/>
                  <w:jc w:val="left"/>
                  <w:rPr>
                    <w:sz w:val="20"/>
                  </w:rPr>
                </w:pPr>
                <w:r>
                  <w:rPr>
                    <w:w w:val="115"/>
                    <w:sz w:val="20"/>
                  </w:rPr>
                  <w:t>復審參加制度之研究</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49344"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47808"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5469696">
          <wp:simplePos x="0" y="0"/>
          <wp:positionH relativeFrom="page">
            <wp:posOffset>5289169</wp:posOffset>
          </wp:positionH>
          <wp:positionV relativeFrom="page">
            <wp:posOffset>563879</wp:posOffset>
          </wp:positionV>
          <wp:extent cx="1524380" cy="152400"/>
          <wp:effectExtent l="0" t="0" r="0" b="0"/>
          <wp:wrapNone/>
          <wp:docPr id="375" name="image140.png"/>
          <wp:cNvGraphicFramePr>
            <a:graphicFrameLocks noChangeAspect="1"/>
          </wp:cNvGraphicFramePr>
          <a:graphic>
            <a:graphicData uri="http://schemas.openxmlformats.org/drawingml/2006/picture">
              <pic:pic>
                <pic:nvPicPr>
                  <pic:cNvPr id="376" name="image140.png"/>
                  <pic:cNvPicPr/>
                </pic:nvPicPr>
                <pic:blipFill>
                  <a:blip r:embed="rId1" cstate="print"/>
                  <a:stretch>
                    <a:fillRect/>
                  </a:stretch>
                </pic:blipFill>
                <pic:spPr>
                  <a:xfrm>
                    <a:off x="0" y="0"/>
                    <a:ext cx="1524380" cy="152400"/>
                  </a:xfrm>
                  <a:prstGeom prst="rect">
                    <a:avLst/>
                  </a:prstGeom>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45760"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78015pt;margin-top:42.536938pt;width:108.35pt;height:12.05pt;mso-position-horizontal-relative:page;mso-position-vertical-relative:page;z-index:-17865728" type="#_x0000_t202" filled="false" stroked="false">
          <v:textbox inset="0,0,0,0">
            <w:txbxContent>
              <w:p>
                <w:pPr>
                  <w:spacing w:line="240" w:lineRule="exact" w:before="0"/>
                  <w:ind w:left="20" w:right="0" w:firstLine="0"/>
                  <w:jc w:val="left"/>
                  <w:rPr>
                    <w:sz w:val="20"/>
                  </w:rPr>
                </w:pPr>
                <w:r>
                  <w:rPr>
                    <w:w w:val="115"/>
                    <w:sz w:val="20"/>
                  </w:rPr>
                  <w:t>復審參加制度之研究</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64704"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62656"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61632"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6.2565pt;margin-top:42.106758pt;width:108pt;height:12.55pt;mso-position-horizontal-relative:page;mso-position-vertical-relative:page;z-index:-17860096" type="#_x0000_t202" filled="false" stroked="false">
          <v:textbox inset="0,0,0,0">
            <w:txbxContent>
              <w:p>
                <w:pPr>
                  <w:spacing w:line="250" w:lineRule="exact" w:before="0"/>
                  <w:ind w:left="20" w:right="0" w:firstLine="0"/>
                  <w:jc w:val="left"/>
                  <w:rPr>
                    <w:sz w:val="21"/>
                  </w:rPr>
                </w:pPr>
                <w:r>
                  <w:rPr>
                    <w:w w:val="110"/>
                    <w:sz w:val="21"/>
                  </w:rPr>
                  <w:t>復審參加制度之研究</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1277" w:hanging="499"/>
        <w:jc w:val="left"/>
      </w:pPr>
      <w:rPr>
        <w:rFonts w:hint="default" w:ascii="Times New Roman" w:hAnsi="Times New Roman" w:eastAsia="Times New Roman" w:cs="Times New Roman"/>
        <w:b/>
        <w:bCs/>
        <w:spacing w:val="0"/>
        <w:w w:val="100"/>
        <w:position w:val="-1"/>
        <w:sz w:val="28"/>
        <w:szCs w:val="28"/>
        <w:lang w:val="en-US" w:eastAsia="zh-tw" w:bidi="ar-SA"/>
      </w:rPr>
    </w:lvl>
    <w:lvl w:ilvl="1">
      <w:start w:val="0"/>
      <w:numFmt w:val="bullet"/>
      <w:lvlText w:val="•"/>
      <w:lvlJc w:val="left"/>
      <w:pPr>
        <w:ind w:left="2124" w:hanging="499"/>
      </w:pPr>
      <w:rPr>
        <w:rFonts w:hint="default"/>
        <w:lang w:val="en-US" w:eastAsia="zh-tw" w:bidi="ar-SA"/>
      </w:rPr>
    </w:lvl>
    <w:lvl w:ilvl="2">
      <w:start w:val="0"/>
      <w:numFmt w:val="bullet"/>
      <w:lvlText w:val="•"/>
      <w:lvlJc w:val="left"/>
      <w:pPr>
        <w:ind w:left="2969" w:hanging="499"/>
      </w:pPr>
      <w:rPr>
        <w:rFonts w:hint="default"/>
        <w:lang w:val="en-US" w:eastAsia="zh-tw" w:bidi="ar-SA"/>
      </w:rPr>
    </w:lvl>
    <w:lvl w:ilvl="3">
      <w:start w:val="0"/>
      <w:numFmt w:val="bullet"/>
      <w:lvlText w:val="•"/>
      <w:lvlJc w:val="left"/>
      <w:pPr>
        <w:ind w:left="3813" w:hanging="499"/>
      </w:pPr>
      <w:rPr>
        <w:rFonts w:hint="default"/>
        <w:lang w:val="en-US" w:eastAsia="zh-tw" w:bidi="ar-SA"/>
      </w:rPr>
    </w:lvl>
    <w:lvl w:ilvl="4">
      <w:start w:val="0"/>
      <w:numFmt w:val="bullet"/>
      <w:lvlText w:val="•"/>
      <w:lvlJc w:val="left"/>
      <w:pPr>
        <w:ind w:left="4658" w:hanging="499"/>
      </w:pPr>
      <w:rPr>
        <w:rFonts w:hint="default"/>
        <w:lang w:val="en-US" w:eastAsia="zh-tw" w:bidi="ar-SA"/>
      </w:rPr>
    </w:lvl>
    <w:lvl w:ilvl="5">
      <w:start w:val="0"/>
      <w:numFmt w:val="bullet"/>
      <w:lvlText w:val="•"/>
      <w:lvlJc w:val="left"/>
      <w:pPr>
        <w:ind w:left="5503" w:hanging="499"/>
      </w:pPr>
      <w:rPr>
        <w:rFonts w:hint="default"/>
        <w:lang w:val="en-US" w:eastAsia="zh-tw" w:bidi="ar-SA"/>
      </w:rPr>
    </w:lvl>
    <w:lvl w:ilvl="6">
      <w:start w:val="0"/>
      <w:numFmt w:val="bullet"/>
      <w:lvlText w:val="•"/>
      <w:lvlJc w:val="left"/>
      <w:pPr>
        <w:ind w:left="6347" w:hanging="499"/>
      </w:pPr>
      <w:rPr>
        <w:rFonts w:hint="default"/>
        <w:lang w:val="en-US" w:eastAsia="zh-tw" w:bidi="ar-SA"/>
      </w:rPr>
    </w:lvl>
    <w:lvl w:ilvl="7">
      <w:start w:val="0"/>
      <w:numFmt w:val="bullet"/>
      <w:lvlText w:val="•"/>
      <w:lvlJc w:val="left"/>
      <w:pPr>
        <w:ind w:left="7192" w:hanging="499"/>
      </w:pPr>
      <w:rPr>
        <w:rFonts w:hint="default"/>
        <w:lang w:val="en-US" w:eastAsia="zh-tw" w:bidi="ar-SA"/>
      </w:rPr>
    </w:lvl>
    <w:lvl w:ilvl="8">
      <w:start w:val="0"/>
      <w:numFmt w:val="bullet"/>
      <w:lvlText w:val="•"/>
      <w:lvlJc w:val="left"/>
      <w:pPr>
        <w:ind w:left="8037" w:hanging="499"/>
      </w:pPr>
      <w:rPr>
        <w:rFonts w:hint="default"/>
        <w:lang w:val="en-US" w:eastAsia="zh-tw" w:bidi="ar-SA"/>
      </w:rPr>
    </w:lvl>
  </w:abstractNum>
  <w:abstractNum w:abstractNumId="4">
    <w:multiLevelType w:val="hybridMultilevel"/>
    <w:lvl w:ilvl="0">
      <w:start w:val="1"/>
      <w:numFmt w:val="decimal"/>
      <w:lvlText w:val="%1."/>
      <w:lvlJc w:val="left"/>
      <w:pPr>
        <w:ind w:left="1147" w:hanging="369"/>
        <w:jc w:val="left"/>
      </w:pPr>
      <w:rPr>
        <w:rFonts w:hint="default" w:ascii="Times New Roman" w:hAnsi="Times New Roman" w:eastAsia="Times New Roman" w:cs="Times New Roman"/>
        <w:b/>
        <w:bCs/>
        <w:spacing w:val="0"/>
        <w:w w:val="100"/>
        <w:position w:val="-2"/>
        <w:sz w:val="28"/>
        <w:szCs w:val="28"/>
        <w:lang w:val="en-US" w:eastAsia="zh-tw" w:bidi="ar-SA"/>
      </w:rPr>
    </w:lvl>
    <w:lvl w:ilvl="1">
      <w:start w:val="0"/>
      <w:numFmt w:val="bullet"/>
      <w:lvlText w:val="•"/>
      <w:lvlJc w:val="left"/>
      <w:pPr>
        <w:ind w:left="1998" w:hanging="369"/>
      </w:pPr>
      <w:rPr>
        <w:rFonts w:hint="default"/>
        <w:lang w:val="en-US" w:eastAsia="zh-tw" w:bidi="ar-SA"/>
      </w:rPr>
    </w:lvl>
    <w:lvl w:ilvl="2">
      <w:start w:val="0"/>
      <w:numFmt w:val="bullet"/>
      <w:lvlText w:val="•"/>
      <w:lvlJc w:val="left"/>
      <w:pPr>
        <w:ind w:left="2857" w:hanging="369"/>
      </w:pPr>
      <w:rPr>
        <w:rFonts w:hint="default"/>
        <w:lang w:val="en-US" w:eastAsia="zh-tw" w:bidi="ar-SA"/>
      </w:rPr>
    </w:lvl>
    <w:lvl w:ilvl="3">
      <w:start w:val="0"/>
      <w:numFmt w:val="bullet"/>
      <w:lvlText w:val="•"/>
      <w:lvlJc w:val="left"/>
      <w:pPr>
        <w:ind w:left="3715" w:hanging="369"/>
      </w:pPr>
      <w:rPr>
        <w:rFonts w:hint="default"/>
        <w:lang w:val="en-US" w:eastAsia="zh-tw" w:bidi="ar-SA"/>
      </w:rPr>
    </w:lvl>
    <w:lvl w:ilvl="4">
      <w:start w:val="0"/>
      <w:numFmt w:val="bullet"/>
      <w:lvlText w:val="•"/>
      <w:lvlJc w:val="left"/>
      <w:pPr>
        <w:ind w:left="4574" w:hanging="369"/>
      </w:pPr>
      <w:rPr>
        <w:rFonts w:hint="default"/>
        <w:lang w:val="en-US" w:eastAsia="zh-tw" w:bidi="ar-SA"/>
      </w:rPr>
    </w:lvl>
    <w:lvl w:ilvl="5">
      <w:start w:val="0"/>
      <w:numFmt w:val="bullet"/>
      <w:lvlText w:val="•"/>
      <w:lvlJc w:val="left"/>
      <w:pPr>
        <w:ind w:left="5433" w:hanging="369"/>
      </w:pPr>
      <w:rPr>
        <w:rFonts w:hint="default"/>
        <w:lang w:val="en-US" w:eastAsia="zh-tw" w:bidi="ar-SA"/>
      </w:rPr>
    </w:lvl>
    <w:lvl w:ilvl="6">
      <w:start w:val="0"/>
      <w:numFmt w:val="bullet"/>
      <w:lvlText w:val="•"/>
      <w:lvlJc w:val="left"/>
      <w:pPr>
        <w:ind w:left="6291" w:hanging="369"/>
      </w:pPr>
      <w:rPr>
        <w:rFonts w:hint="default"/>
        <w:lang w:val="en-US" w:eastAsia="zh-tw" w:bidi="ar-SA"/>
      </w:rPr>
    </w:lvl>
    <w:lvl w:ilvl="7">
      <w:start w:val="0"/>
      <w:numFmt w:val="bullet"/>
      <w:lvlText w:val="•"/>
      <w:lvlJc w:val="left"/>
      <w:pPr>
        <w:ind w:left="7150" w:hanging="369"/>
      </w:pPr>
      <w:rPr>
        <w:rFonts w:hint="default"/>
        <w:lang w:val="en-US" w:eastAsia="zh-tw" w:bidi="ar-SA"/>
      </w:rPr>
    </w:lvl>
    <w:lvl w:ilvl="8">
      <w:start w:val="0"/>
      <w:numFmt w:val="bullet"/>
      <w:lvlText w:val="•"/>
      <w:lvlJc w:val="left"/>
      <w:pPr>
        <w:ind w:left="8009" w:hanging="369"/>
      </w:pPr>
      <w:rPr>
        <w:rFonts w:hint="default"/>
        <w:lang w:val="en-US" w:eastAsia="zh-tw" w:bidi="ar-SA"/>
      </w:rPr>
    </w:lvl>
  </w:abstractNum>
  <w:abstractNum w:abstractNumId="2">
    <w:multiLevelType w:val="hybridMultilevel"/>
    <w:lvl w:ilvl="0">
      <w:start w:val="1"/>
      <w:numFmt w:val="decimal"/>
      <w:lvlText w:val="%1."/>
      <w:lvlJc w:val="left"/>
      <w:pPr>
        <w:ind w:left="1153" w:hanging="375"/>
        <w:jc w:val="left"/>
      </w:pPr>
      <w:rPr>
        <w:rFonts w:hint="default" w:ascii="Times New Roman" w:hAnsi="Times New Roman" w:eastAsia="Times New Roman" w:cs="Times New Roman"/>
        <w:b/>
        <w:bCs/>
        <w:spacing w:val="0"/>
        <w:w w:val="100"/>
        <w:position w:val="-2"/>
        <w:sz w:val="28"/>
        <w:szCs w:val="28"/>
        <w:lang w:val="en-US" w:eastAsia="zh-tw" w:bidi="ar-SA"/>
      </w:rPr>
    </w:lvl>
    <w:lvl w:ilvl="1">
      <w:start w:val="0"/>
      <w:numFmt w:val="bullet"/>
      <w:lvlText w:val="•"/>
      <w:lvlJc w:val="left"/>
      <w:pPr>
        <w:ind w:left="2016" w:hanging="375"/>
      </w:pPr>
      <w:rPr>
        <w:rFonts w:hint="default"/>
        <w:lang w:val="en-US" w:eastAsia="zh-tw" w:bidi="ar-SA"/>
      </w:rPr>
    </w:lvl>
    <w:lvl w:ilvl="2">
      <w:start w:val="0"/>
      <w:numFmt w:val="bullet"/>
      <w:lvlText w:val="•"/>
      <w:lvlJc w:val="left"/>
      <w:pPr>
        <w:ind w:left="2873" w:hanging="375"/>
      </w:pPr>
      <w:rPr>
        <w:rFonts w:hint="default"/>
        <w:lang w:val="en-US" w:eastAsia="zh-tw" w:bidi="ar-SA"/>
      </w:rPr>
    </w:lvl>
    <w:lvl w:ilvl="3">
      <w:start w:val="0"/>
      <w:numFmt w:val="bullet"/>
      <w:lvlText w:val="•"/>
      <w:lvlJc w:val="left"/>
      <w:pPr>
        <w:ind w:left="3729" w:hanging="375"/>
      </w:pPr>
      <w:rPr>
        <w:rFonts w:hint="default"/>
        <w:lang w:val="en-US" w:eastAsia="zh-tw" w:bidi="ar-SA"/>
      </w:rPr>
    </w:lvl>
    <w:lvl w:ilvl="4">
      <w:start w:val="0"/>
      <w:numFmt w:val="bullet"/>
      <w:lvlText w:val="•"/>
      <w:lvlJc w:val="left"/>
      <w:pPr>
        <w:ind w:left="4586" w:hanging="375"/>
      </w:pPr>
      <w:rPr>
        <w:rFonts w:hint="default"/>
        <w:lang w:val="en-US" w:eastAsia="zh-tw" w:bidi="ar-SA"/>
      </w:rPr>
    </w:lvl>
    <w:lvl w:ilvl="5">
      <w:start w:val="0"/>
      <w:numFmt w:val="bullet"/>
      <w:lvlText w:val="•"/>
      <w:lvlJc w:val="left"/>
      <w:pPr>
        <w:ind w:left="5443" w:hanging="375"/>
      </w:pPr>
      <w:rPr>
        <w:rFonts w:hint="default"/>
        <w:lang w:val="en-US" w:eastAsia="zh-tw" w:bidi="ar-SA"/>
      </w:rPr>
    </w:lvl>
    <w:lvl w:ilvl="6">
      <w:start w:val="0"/>
      <w:numFmt w:val="bullet"/>
      <w:lvlText w:val="•"/>
      <w:lvlJc w:val="left"/>
      <w:pPr>
        <w:ind w:left="6299" w:hanging="375"/>
      </w:pPr>
      <w:rPr>
        <w:rFonts w:hint="default"/>
        <w:lang w:val="en-US" w:eastAsia="zh-tw" w:bidi="ar-SA"/>
      </w:rPr>
    </w:lvl>
    <w:lvl w:ilvl="7">
      <w:start w:val="0"/>
      <w:numFmt w:val="bullet"/>
      <w:lvlText w:val="•"/>
      <w:lvlJc w:val="left"/>
      <w:pPr>
        <w:ind w:left="7156" w:hanging="375"/>
      </w:pPr>
      <w:rPr>
        <w:rFonts w:hint="default"/>
        <w:lang w:val="en-US" w:eastAsia="zh-tw" w:bidi="ar-SA"/>
      </w:rPr>
    </w:lvl>
    <w:lvl w:ilvl="8">
      <w:start w:val="0"/>
      <w:numFmt w:val="bullet"/>
      <w:lvlText w:val="•"/>
      <w:lvlJc w:val="left"/>
      <w:pPr>
        <w:ind w:left="8013" w:hanging="375"/>
      </w:pPr>
      <w:rPr>
        <w:rFonts w:hint="default"/>
        <w:lang w:val="en-US" w:eastAsia="zh-tw" w:bidi="ar-SA"/>
      </w:rPr>
    </w:lvl>
  </w:abstractNum>
  <w:abstractNum w:abstractNumId="13">
    <w:multiLevelType w:val="hybridMultilevel"/>
    <w:lvl w:ilvl="0">
      <w:start w:val="1"/>
      <w:numFmt w:val="upperLetter"/>
      <w:lvlText w:val="%1."/>
      <w:lvlJc w:val="left"/>
      <w:pPr>
        <w:ind w:left="790" w:hanging="486"/>
        <w:jc w:val="left"/>
      </w:pPr>
      <w:rPr>
        <w:rFonts w:hint="default"/>
        <w:spacing w:val="-1"/>
        <w:w w:val="73"/>
        <w:lang w:val="en-US" w:eastAsia="zh-tw" w:bidi="ar-SA"/>
      </w:rPr>
    </w:lvl>
    <w:lvl w:ilvl="1">
      <w:start w:val="0"/>
      <w:numFmt w:val="bullet"/>
      <w:lvlText w:val="•"/>
      <w:lvlJc w:val="left"/>
      <w:pPr>
        <w:ind w:left="800" w:hanging="486"/>
      </w:pPr>
      <w:rPr>
        <w:rFonts w:hint="default"/>
        <w:lang w:val="en-US" w:eastAsia="zh-tw" w:bidi="ar-SA"/>
      </w:rPr>
    </w:lvl>
    <w:lvl w:ilvl="2">
      <w:start w:val="0"/>
      <w:numFmt w:val="bullet"/>
      <w:lvlText w:val="•"/>
      <w:lvlJc w:val="left"/>
      <w:pPr>
        <w:ind w:left="1791" w:hanging="486"/>
      </w:pPr>
      <w:rPr>
        <w:rFonts w:hint="default"/>
        <w:lang w:val="en-US" w:eastAsia="zh-tw" w:bidi="ar-SA"/>
      </w:rPr>
    </w:lvl>
    <w:lvl w:ilvl="3">
      <w:start w:val="0"/>
      <w:numFmt w:val="bullet"/>
      <w:lvlText w:val="•"/>
      <w:lvlJc w:val="left"/>
      <w:pPr>
        <w:ind w:left="2783" w:hanging="486"/>
      </w:pPr>
      <w:rPr>
        <w:rFonts w:hint="default"/>
        <w:lang w:val="en-US" w:eastAsia="zh-tw" w:bidi="ar-SA"/>
      </w:rPr>
    </w:lvl>
    <w:lvl w:ilvl="4">
      <w:start w:val="0"/>
      <w:numFmt w:val="bullet"/>
      <w:lvlText w:val="•"/>
      <w:lvlJc w:val="left"/>
      <w:pPr>
        <w:ind w:left="3775" w:hanging="486"/>
      </w:pPr>
      <w:rPr>
        <w:rFonts w:hint="default"/>
        <w:lang w:val="en-US" w:eastAsia="zh-tw" w:bidi="ar-SA"/>
      </w:rPr>
    </w:lvl>
    <w:lvl w:ilvl="5">
      <w:start w:val="0"/>
      <w:numFmt w:val="bullet"/>
      <w:lvlText w:val="•"/>
      <w:lvlJc w:val="left"/>
      <w:pPr>
        <w:ind w:left="4767" w:hanging="486"/>
      </w:pPr>
      <w:rPr>
        <w:rFonts w:hint="default"/>
        <w:lang w:val="en-US" w:eastAsia="zh-tw" w:bidi="ar-SA"/>
      </w:rPr>
    </w:lvl>
    <w:lvl w:ilvl="6">
      <w:start w:val="0"/>
      <w:numFmt w:val="bullet"/>
      <w:lvlText w:val="•"/>
      <w:lvlJc w:val="left"/>
      <w:pPr>
        <w:ind w:left="5759" w:hanging="486"/>
      </w:pPr>
      <w:rPr>
        <w:rFonts w:hint="default"/>
        <w:lang w:val="en-US" w:eastAsia="zh-tw" w:bidi="ar-SA"/>
      </w:rPr>
    </w:lvl>
    <w:lvl w:ilvl="7">
      <w:start w:val="0"/>
      <w:numFmt w:val="bullet"/>
      <w:lvlText w:val="•"/>
      <w:lvlJc w:val="left"/>
      <w:pPr>
        <w:ind w:left="6750" w:hanging="486"/>
      </w:pPr>
      <w:rPr>
        <w:rFonts w:hint="default"/>
        <w:lang w:val="en-US" w:eastAsia="zh-tw" w:bidi="ar-SA"/>
      </w:rPr>
    </w:lvl>
    <w:lvl w:ilvl="8">
      <w:start w:val="0"/>
      <w:numFmt w:val="bullet"/>
      <w:lvlText w:val="•"/>
      <w:lvlJc w:val="left"/>
      <w:pPr>
        <w:ind w:left="7742" w:hanging="486"/>
      </w:pPr>
      <w:rPr>
        <w:rFonts w:hint="default"/>
        <w:lang w:val="en-US" w:eastAsia="zh-tw" w:bidi="ar-SA"/>
      </w:rPr>
    </w:lvl>
  </w:abstractNum>
  <w:abstractNum w:abstractNumId="12">
    <w:multiLevelType w:val="hybridMultilevel"/>
    <w:lvl w:ilvl="0">
      <w:start w:val="2"/>
      <w:numFmt w:val="decimal"/>
      <w:lvlText w:val="（%1）"/>
      <w:lvlJc w:val="left"/>
      <w:pPr>
        <w:ind w:left="1017" w:hanging="719"/>
        <w:jc w:val="left"/>
      </w:pPr>
      <w:rPr>
        <w:rFonts w:hint="default" w:ascii="新細明體" w:hAnsi="新細明體" w:eastAsia="新細明體" w:cs="新細明體"/>
        <w:b/>
        <w:bCs/>
        <w:spacing w:val="-3"/>
        <w:w w:val="86"/>
        <w:position w:val="-2"/>
        <w:sz w:val="26"/>
        <w:szCs w:val="26"/>
        <w:lang w:val="en-US" w:eastAsia="zh-tw" w:bidi="ar-SA"/>
      </w:rPr>
    </w:lvl>
    <w:lvl w:ilvl="1">
      <w:start w:val="0"/>
      <w:numFmt w:val="bullet"/>
      <w:lvlText w:val="•"/>
      <w:lvlJc w:val="left"/>
      <w:pPr>
        <w:ind w:left="1890" w:hanging="719"/>
      </w:pPr>
      <w:rPr>
        <w:rFonts w:hint="default"/>
        <w:lang w:val="en-US" w:eastAsia="zh-tw" w:bidi="ar-SA"/>
      </w:rPr>
    </w:lvl>
    <w:lvl w:ilvl="2">
      <w:start w:val="0"/>
      <w:numFmt w:val="bullet"/>
      <w:lvlText w:val="•"/>
      <w:lvlJc w:val="left"/>
      <w:pPr>
        <w:ind w:left="2761" w:hanging="719"/>
      </w:pPr>
      <w:rPr>
        <w:rFonts w:hint="default"/>
        <w:lang w:val="en-US" w:eastAsia="zh-tw" w:bidi="ar-SA"/>
      </w:rPr>
    </w:lvl>
    <w:lvl w:ilvl="3">
      <w:start w:val="0"/>
      <w:numFmt w:val="bullet"/>
      <w:lvlText w:val="•"/>
      <w:lvlJc w:val="left"/>
      <w:pPr>
        <w:ind w:left="3631" w:hanging="719"/>
      </w:pPr>
      <w:rPr>
        <w:rFonts w:hint="default"/>
        <w:lang w:val="en-US" w:eastAsia="zh-tw" w:bidi="ar-SA"/>
      </w:rPr>
    </w:lvl>
    <w:lvl w:ilvl="4">
      <w:start w:val="0"/>
      <w:numFmt w:val="bullet"/>
      <w:lvlText w:val="•"/>
      <w:lvlJc w:val="left"/>
      <w:pPr>
        <w:ind w:left="4502" w:hanging="719"/>
      </w:pPr>
      <w:rPr>
        <w:rFonts w:hint="default"/>
        <w:lang w:val="en-US" w:eastAsia="zh-tw" w:bidi="ar-SA"/>
      </w:rPr>
    </w:lvl>
    <w:lvl w:ilvl="5">
      <w:start w:val="0"/>
      <w:numFmt w:val="bullet"/>
      <w:lvlText w:val="•"/>
      <w:lvlJc w:val="left"/>
      <w:pPr>
        <w:ind w:left="5373" w:hanging="719"/>
      </w:pPr>
      <w:rPr>
        <w:rFonts w:hint="default"/>
        <w:lang w:val="en-US" w:eastAsia="zh-tw" w:bidi="ar-SA"/>
      </w:rPr>
    </w:lvl>
    <w:lvl w:ilvl="6">
      <w:start w:val="0"/>
      <w:numFmt w:val="bullet"/>
      <w:lvlText w:val="•"/>
      <w:lvlJc w:val="left"/>
      <w:pPr>
        <w:ind w:left="6243" w:hanging="719"/>
      </w:pPr>
      <w:rPr>
        <w:rFonts w:hint="default"/>
        <w:lang w:val="en-US" w:eastAsia="zh-tw" w:bidi="ar-SA"/>
      </w:rPr>
    </w:lvl>
    <w:lvl w:ilvl="7">
      <w:start w:val="0"/>
      <w:numFmt w:val="bullet"/>
      <w:lvlText w:val="•"/>
      <w:lvlJc w:val="left"/>
      <w:pPr>
        <w:ind w:left="7114" w:hanging="719"/>
      </w:pPr>
      <w:rPr>
        <w:rFonts w:hint="default"/>
        <w:lang w:val="en-US" w:eastAsia="zh-tw" w:bidi="ar-SA"/>
      </w:rPr>
    </w:lvl>
    <w:lvl w:ilvl="8">
      <w:start w:val="0"/>
      <w:numFmt w:val="bullet"/>
      <w:lvlText w:val="•"/>
      <w:lvlJc w:val="left"/>
      <w:pPr>
        <w:ind w:left="7985" w:hanging="719"/>
      </w:pPr>
      <w:rPr>
        <w:rFonts w:hint="default"/>
        <w:lang w:val="en-US" w:eastAsia="zh-tw" w:bidi="ar-SA"/>
      </w:rPr>
    </w:lvl>
  </w:abstractNum>
  <w:abstractNum w:abstractNumId="11">
    <w:multiLevelType w:val="hybridMultilevel"/>
    <w:lvl w:ilvl="0">
      <w:start w:val="1"/>
      <w:numFmt w:val="decimal"/>
      <w:lvlText w:val="%1."/>
      <w:lvlJc w:val="left"/>
      <w:pPr>
        <w:ind w:left="1278" w:hanging="500"/>
        <w:jc w:val="left"/>
      </w:pPr>
      <w:rPr>
        <w:rFonts w:hint="default" w:ascii="Times New Roman" w:hAnsi="Times New Roman" w:eastAsia="Times New Roman" w:cs="Times New Roman"/>
        <w:b/>
        <w:bCs/>
        <w:spacing w:val="0"/>
        <w:w w:val="100"/>
        <w:position w:val="-1"/>
        <w:sz w:val="28"/>
        <w:szCs w:val="28"/>
        <w:lang w:val="en-US" w:eastAsia="zh-tw" w:bidi="ar-SA"/>
      </w:rPr>
    </w:lvl>
    <w:lvl w:ilvl="1">
      <w:start w:val="0"/>
      <w:numFmt w:val="bullet"/>
      <w:lvlText w:val="•"/>
      <w:lvlJc w:val="left"/>
      <w:pPr>
        <w:ind w:left="2124" w:hanging="500"/>
      </w:pPr>
      <w:rPr>
        <w:rFonts w:hint="default"/>
        <w:lang w:val="en-US" w:eastAsia="zh-tw" w:bidi="ar-SA"/>
      </w:rPr>
    </w:lvl>
    <w:lvl w:ilvl="2">
      <w:start w:val="0"/>
      <w:numFmt w:val="bullet"/>
      <w:lvlText w:val="•"/>
      <w:lvlJc w:val="left"/>
      <w:pPr>
        <w:ind w:left="2969" w:hanging="500"/>
      </w:pPr>
      <w:rPr>
        <w:rFonts w:hint="default"/>
        <w:lang w:val="en-US" w:eastAsia="zh-tw" w:bidi="ar-SA"/>
      </w:rPr>
    </w:lvl>
    <w:lvl w:ilvl="3">
      <w:start w:val="0"/>
      <w:numFmt w:val="bullet"/>
      <w:lvlText w:val="•"/>
      <w:lvlJc w:val="left"/>
      <w:pPr>
        <w:ind w:left="3813" w:hanging="500"/>
      </w:pPr>
      <w:rPr>
        <w:rFonts w:hint="default"/>
        <w:lang w:val="en-US" w:eastAsia="zh-tw" w:bidi="ar-SA"/>
      </w:rPr>
    </w:lvl>
    <w:lvl w:ilvl="4">
      <w:start w:val="0"/>
      <w:numFmt w:val="bullet"/>
      <w:lvlText w:val="•"/>
      <w:lvlJc w:val="left"/>
      <w:pPr>
        <w:ind w:left="4658" w:hanging="500"/>
      </w:pPr>
      <w:rPr>
        <w:rFonts w:hint="default"/>
        <w:lang w:val="en-US" w:eastAsia="zh-tw" w:bidi="ar-SA"/>
      </w:rPr>
    </w:lvl>
    <w:lvl w:ilvl="5">
      <w:start w:val="0"/>
      <w:numFmt w:val="bullet"/>
      <w:lvlText w:val="•"/>
      <w:lvlJc w:val="left"/>
      <w:pPr>
        <w:ind w:left="5503" w:hanging="500"/>
      </w:pPr>
      <w:rPr>
        <w:rFonts w:hint="default"/>
        <w:lang w:val="en-US" w:eastAsia="zh-tw" w:bidi="ar-SA"/>
      </w:rPr>
    </w:lvl>
    <w:lvl w:ilvl="6">
      <w:start w:val="0"/>
      <w:numFmt w:val="bullet"/>
      <w:lvlText w:val="•"/>
      <w:lvlJc w:val="left"/>
      <w:pPr>
        <w:ind w:left="6347" w:hanging="500"/>
      </w:pPr>
      <w:rPr>
        <w:rFonts w:hint="default"/>
        <w:lang w:val="en-US" w:eastAsia="zh-tw" w:bidi="ar-SA"/>
      </w:rPr>
    </w:lvl>
    <w:lvl w:ilvl="7">
      <w:start w:val="0"/>
      <w:numFmt w:val="bullet"/>
      <w:lvlText w:val="•"/>
      <w:lvlJc w:val="left"/>
      <w:pPr>
        <w:ind w:left="7192" w:hanging="500"/>
      </w:pPr>
      <w:rPr>
        <w:rFonts w:hint="default"/>
        <w:lang w:val="en-US" w:eastAsia="zh-tw" w:bidi="ar-SA"/>
      </w:rPr>
    </w:lvl>
    <w:lvl w:ilvl="8">
      <w:start w:val="0"/>
      <w:numFmt w:val="bullet"/>
      <w:lvlText w:val="•"/>
      <w:lvlJc w:val="left"/>
      <w:pPr>
        <w:ind w:left="8037" w:hanging="500"/>
      </w:pPr>
      <w:rPr>
        <w:rFonts w:hint="default"/>
        <w:lang w:val="en-US" w:eastAsia="zh-tw" w:bidi="ar-SA"/>
      </w:rPr>
    </w:lvl>
  </w:abstractNum>
  <w:abstractNum w:abstractNumId="10">
    <w:multiLevelType w:val="hybridMultilevel"/>
    <w:lvl w:ilvl="0">
      <w:start w:val="1"/>
      <w:numFmt w:val="decimal"/>
      <w:lvlText w:val="%1."/>
      <w:lvlJc w:val="left"/>
      <w:pPr>
        <w:ind w:left="1278" w:hanging="500"/>
        <w:jc w:val="left"/>
      </w:pPr>
      <w:rPr>
        <w:rFonts w:hint="default" w:ascii="Times New Roman" w:hAnsi="Times New Roman" w:eastAsia="Times New Roman" w:cs="Times New Roman"/>
        <w:b/>
        <w:bCs/>
        <w:spacing w:val="0"/>
        <w:w w:val="100"/>
        <w:position w:val="-1"/>
        <w:sz w:val="28"/>
        <w:szCs w:val="28"/>
        <w:lang w:val="en-US" w:eastAsia="zh-tw" w:bidi="ar-SA"/>
      </w:rPr>
    </w:lvl>
    <w:lvl w:ilvl="1">
      <w:start w:val="0"/>
      <w:numFmt w:val="bullet"/>
      <w:lvlText w:val="•"/>
      <w:lvlJc w:val="left"/>
      <w:pPr>
        <w:ind w:left="1280" w:hanging="500"/>
      </w:pPr>
      <w:rPr>
        <w:rFonts w:hint="default"/>
        <w:lang w:val="en-US" w:eastAsia="zh-tw" w:bidi="ar-SA"/>
      </w:rPr>
    </w:lvl>
    <w:lvl w:ilvl="2">
      <w:start w:val="0"/>
      <w:numFmt w:val="bullet"/>
      <w:lvlText w:val="•"/>
      <w:lvlJc w:val="left"/>
      <w:pPr>
        <w:ind w:left="2218" w:hanging="500"/>
      </w:pPr>
      <w:rPr>
        <w:rFonts w:hint="default"/>
        <w:lang w:val="en-US" w:eastAsia="zh-tw" w:bidi="ar-SA"/>
      </w:rPr>
    </w:lvl>
    <w:lvl w:ilvl="3">
      <w:start w:val="0"/>
      <w:numFmt w:val="bullet"/>
      <w:lvlText w:val="•"/>
      <w:lvlJc w:val="left"/>
      <w:pPr>
        <w:ind w:left="3156" w:hanging="500"/>
      </w:pPr>
      <w:rPr>
        <w:rFonts w:hint="default"/>
        <w:lang w:val="en-US" w:eastAsia="zh-tw" w:bidi="ar-SA"/>
      </w:rPr>
    </w:lvl>
    <w:lvl w:ilvl="4">
      <w:start w:val="0"/>
      <w:numFmt w:val="bullet"/>
      <w:lvlText w:val="•"/>
      <w:lvlJc w:val="left"/>
      <w:pPr>
        <w:ind w:left="4095" w:hanging="500"/>
      </w:pPr>
      <w:rPr>
        <w:rFonts w:hint="default"/>
        <w:lang w:val="en-US" w:eastAsia="zh-tw" w:bidi="ar-SA"/>
      </w:rPr>
    </w:lvl>
    <w:lvl w:ilvl="5">
      <w:start w:val="0"/>
      <w:numFmt w:val="bullet"/>
      <w:lvlText w:val="•"/>
      <w:lvlJc w:val="left"/>
      <w:pPr>
        <w:ind w:left="5033" w:hanging="500"/>
      </w:pPr>
      <w:rPr>
        <w:rFonts w:hint="default"/>
        <w:lang w:val="en-US" w:eastAsia="zh-tw" w:bidi="ar-SA"/>
      </w:rPr>
    </w:lvl>
    <w:lvl w:ilvl="6">
      <w:start w:val="0"/>
      <w:numFmt w:val="bullet"/>
      <w:lvlText w:val="•"/>
      <w:lvlJc w:val="left"/>
      <w:pPr>
        <w:ind w:left="5972" w:hanging="500"/>
      </w:pPr>
      <w:rPr>
        <w:rFonts w:hint="default"/>
        <w:lang w:val="en-US" w:eastAsia="zh-tw" w:bidi="ar-SA"/>
      </w:rPr>
    </w:lvl>
    <w:lvl w:ilvl="7">
      <w:start w:val="0"/>
      <w:numFmt w:val="bullet"/>
      <w:lvlText w:val="•"/>
      <w:lvlJc w:val="left"/>
      <w:pPr>
        <w:ind w:left="6910" w:hanging="500"/>
      </w:pPr>
      <w:rPr>
        <w:rFonts w:hint="default"/>
        <w:lang w:val="en-US" w:eastAsia="zh-tw" w:bidi="ar-SA"/>
      </w:rPr>
    </w:lvl>
    <w:lvl w:ilvl="8">
      <w:start w:val="0"/>
      <w:numFmt w:val="bullet"/>
      <w:lvlText w:val="•"/>
      <w:lvlJc w:val="left"/>
      <w:pPr>
        <w:ind w:left="7849" w:hanging="500"/>
      </w:pPr>
      <w:rPr>
        <w:rFonts w:hint="default"/>
        <w:lang w:val="en-US" w:eastAsia="zh-tw" w:bidi="ar-SA"/>
      </w:rPr>
    </w:lvl>
  </w:abstractNum>
  <w:abstractNum w:abstractNumId="9">
    <w:multiLevelType w:val="hybridMultilevel"/>
    <w:lvl w:ilvl="0">
      <w:start w:val="1"/>
      <w:numFmt w:val="decimal"/>
      <w:lvlText w:val="%1."/>
      <w:lvlJc w:val="left"/>
      <w:pPr>
        <w:ind w:left="1278" w:hanging="500"/>
        <w:jc w:val="left"/>
      </w:pPr>
      <w:rPr>
        <w:rFonts w:hint="default" w:ascii="Times New Roman" w:hAnsi="Times New Roman" w:eastAsia="Times New Roman" w:cs="Times New Roman"/>
        <w:b/>
        <w:bCs/>
        <w:spacing w:val="0"/>
        <w:w w:val="100"/>
        <w:position w:val="-2"/>
        <w:sz w:val="28"/>
        <w:szCs w:val="28"/>
        <w:lang w:val="en-US" w:eastAsia="zh-tw" w:bidi="ar-SA"/>
      </w:rPr>
    </w:lvl>
    <w:lvl w:ilvl="1">
      <w:start w:val="0"/>
      <w:numFmt w:val="bullet"/>
      <w:lvlText w:val="•"/>
      <w:lvlJc w:val="left"/>
      <w:pPr>
        <w:ind w:left="2124" w:hanging="500"/>
      </w:pPr>
      <w:rPr>
        <w:rFonts w:hint="default"/>
        <w:lang w:val="en-US" w:eastAsia="zh-tw" w:bidi="ar-SA"/>
      </w:rPr>
    </w:lvl>
    <w:lvl w:ilvl="2">
      <w:start w:val="0"/>
      <w:numFmt w:val="bullet"/>
      <w:lvlText w:val="•"/>
      <w:lvlJc w:val="left"/>
      <w:pPr>
        <w:ind w:left="2969" w:hanging="500"/>
      </w:pPr>
      <w:rPr>
        <w:rFonts w:hint="default"/>
        <w:lang w:val="en-US" w:eastAsia="zh-tw" w:bidi="ar-SA"/>
      </w:rPr>
    </w:lvl>
    <w:lvl w:ilvl="3">
      <w:start w:val="0"/>
      <w:numFmt w:val="bullet"/>
      <w:lvlText w:val="•"/>
      <w:lvlJc w:val="left"/>
      <w:pPr>
        <w:ind w:left="3813" w:hanging="500"/>
      </w:pPr>
      <w:rPr>
        <w:rFonts w:hint="default"/>
        <w:lang w:val="en-US" w:eastAsia="zh-tw" w:bidi="ar-SA"/>
      </w:rPr>
    </w:lvl>
    <w:lvl w:ilvl="4">
      <w:start w:val="0"/>
      <w:numFmt w:val="bullet"/>
      <w:lvlText w:val="•"/>
      <w:lvlJc w:val="left"/>
      <w:pPr>
        <w:ind w:left="4658" w:hanging="500"/>
      </w:pPr>
      <w:rPr>
        <w:rFonts w:hint="default"/>
        <w:lang w:val="en-US" w:eastAsia="zh-tw" w:bidi="ar-SA"/>
      </w:rPr>
    </w:lvl>
    <w:lvl w:ilvl="5">
      <w:start w:val="0"/>
      <w:numFmt w:val="bullet"/>
      <w:lvlText w:val="•"/>
      <w:lvlJc w:val="left"/>
      <w:pPr>
        <w:ind w:left="5503" w:hanging="500"/>
      </w:pPr>
      <w:rPr>
        <w:rFonts w:hint="default"/>
        <w:lang w:val="en-US" w:eastAsia="zh-tw" w:bidi="ar-SA"/>
      </w:rPr>
    </w:lvl>
    <w:lvl w:ilvl="6">
      <w:start w:val="0"/>
      <w:numFmt w:val="bullet"/>
      <w:lvlText w:val="•"/>
      <w:lvlJc w:val="left"/>
      <w:pPr>
        <w:ind w:left="6347" w:hanging="500"/>
      </w:pPr>
      <w:rPr>
        <w:rFonts w:hint="default"/>
        <w:lang w:val="en-US" w:eastAsia="zh-tw" w:bidi="ar-SA"/>
      </w:rPr>
    </w:lvl>
    <w:lvl w:ilvl="7">
      <w:start w:val="0"/>
      <w:numFmt w:val="bullet"/>
      <w:lvlText w:val="•"/>
      <w:lvlJc w:val="left"/>
      <w:pPr>
        <w:ind w:left="7192" w:hanging="500"/>
      </w:pPr>
      <w:rPr>
        <w:rFonts w:hint="default"/>
        <w:lang w:val="en-US" w:eastAsia="zh-tw" w:bidi="ar-SA"/>
      </w:rPr>
    </w:lvl>
    <w:lvl w:ilvl="8">
      <w:start w:val="0"/>
      <w:numFmt w:val="bullet"/>
      <w:lvlText w:val="•"/>
      <w:lvlJc w:val="left"/>
      <w:pPr>
        <w:ind w:left="8037" w:hanging="500"/>
      </w:pPr>
      <w:rPr>
        <w:rFonts w:hint="default"/>
        <w:lang w:val="en-US" w:eastAsia="zh-tw" w:bidi="ar-SA"/>
      </w:rPr>
    </w:lvl>
  </w:abstractNum>
  <w:abstractNum w:abstractNumId="7">
    <w:multiLevelType w:val="hybridMultilevel"/>
    <w:lvl w:ilvl="0">
      <w:start w:val="1"/>
      <w:numFmt w:val="upperLetter"/>
      <w:lvlText w:val="%1."/>
      <w:lvlJc w:val="left"/>
      <w:pPr>
        <w:ind w:left="787" w:hanging="480"/>
        <w:jc w:val="left"/>
      </w:pPr>
      <w:rPr>
        <w:rFonts w:hint="default"/>
        <w:spacing w:val="-6"/>
        <w:w w:val="70"/>
        <w:lang w:val="en-US" w:eastAsia="zh-tw" w:bidi="ar-SA"/>
      </w:rPr>
    </w:lvl>
    <w:lvl w:ilvl="1">
      <w:start w:val="0"/>
      <w:numFmt w:val="bullet"/>
      <w:lvlText w:val="•"/>
      <w:lvlJc w:val="left"/>
      <w:pPr>
        <w:ind w:left="1674" w:hanging="480"/>
      </w:pPr>
      <w:rPr>
        <w:rFonts w:hint="default"/>
        <w:lang w:val="en-US" w:eastAsia="zh-tw" w:bidi="ar-SA"/>
      </w:rPr>
    </w:lvl>
    <w:lvl w:ilvl="2">
      <w:start w:val="0"/>
      <w:numFmt w:val="bullet"/>
      <w:lvlText w:val="•"/>
      <w:lvlJc w:val="left"/>
      <w:pPr>
        <w:ind w:left="2569" w:hanging="480"/>
      </w:pPr>
      <w:rPr>
        <w:rFonts w:hint="default"/>
        <w:lang w:val="en-US" w:eastAsia="zh-tw" w:bidi="ar-SA"/>
      </w:rPr>
    </w:lvl>
    <w:lvl w:ilvl="3">
      <w:start w:val="0"/>
      <w:numFmt w:val="bullet"/>
      <w:lvlText w:val="•"/>
      <w:lvlJc w:val="left"/>
      <w:pPr>
        <w:ind w:left="3463" w:hanging="480"/>
      </w:pPr>
      <w:rPr>
        <w:rFonts w:hint="default"/>
        <w:lang w:val="en-US" w:eastAsia="zh-tw" w:bidi="ar-SA"/>
      </w:rPr>
    </w:lvl>
    <w:lvl w:ilvl="4">
      <w:start w:val="0"/>
      <w:numFmt w:val="bullet"/>
      <w:lvlText w:val="•"/>
      <w:lvlJc w:val="left"/>
      <w:pPr>
        <w:ind w:left="4358" w:hanging="480"/>
      </w:pPr>
      <w:rPr>
        <w:rFonts w:hint="default"/>
        <w:lang w:val="en-US" w:eastAsia="zh-tw" w:bidi="ar-SA"/>
      </w:rPr>
    </w:lvl>
    <w:lvl w:ilvl="5">
      <w:start w:val="0"/>
      <w:numFmt w:val="bullet"/>
      <w:lvlText w:val="•"/>
      <w:lvlJc w:val="left"/>
      <w:pPr>
        <w:ind w:left="5253" w:hanging="480"/>
      </w:pPr>
      <w:rPr>
        <w:rFonts w:hint="default"/>
        <w:lang w:val="en-US" w:eastAsia="zh-tw" w:bidi="ar-SA"/>
      </w:rPr>
    </w:lvl>
    <w:lvl w:ilvl="6">
      <w:start w:val="0"/>
      <w:numFmt w:val="bullet"/>
      <w:lvlText w:val="•"/>
      <w:lvlJc w:val="left"/>
      <w:pPr>
        <w:ind w:left="6147" w:hanging="480"/>
      </w:pPr>
      <w:rPr>
        <w:rFonts w:hint="default"/>
        <w:lang w:val="en-US" w:eastAsia="zh-tw" w:bidi="ar-SA"/>
      </w:rPr>
    </w:lvl>
    <w:lvl w:ilvl="7">
      <w:start w:val="0"/>
      <w:numFmt w:val="bullet"/>
      <w:lvlText w:val="•"/>
      <w:lvlJc w:val="left"/>
      <w:pPr>
        <w:ind w:left="7042" w:hanging="480"/>
      </w:pPr>
      <w:rPr>
        <w:rFonts w:hint="default"/>
        <w:lang w:val="en-US" w:eastAsia="zh-tw" w:bidi="ar-SA"/>
      </w:rPr>
    </w:lvl>
    <w:lvl w:ilvl="8">
      <w:start w:val="0"/>
      <w:numFmt w:val="bullet"/>
      <w:lvlText w:val="•"/>
      <w:lvlJc w:val="left"/>
      <w:pPr>
        <w:ind w:left="7937" w:hanging="480"/>
      </w:pPr>
      <w:rPr>
        <w:rFonts w:hint="default"/>
        <w:lang w:val="en-US" w:eastAsia="zh-tw" w:bidi="ar-SA"/>
      </w:rPr>
    </w:lvl>
  </w:abstractNum>
  <w:abstractNum w:abstractNumId="6">
    <w:multiLevelType w:val="hybridMultilevel"/>
    <w:lvl w:ilvl="0">
      <w:start w:val="1"/>
      <w:numFmt w:val="decimal"/>
      <w:lvlText w:val="（%1）"/>
      <w:lvlJc w:val="left"/>
      <w:pPr>
        <w:ind w:left="1024" w:hanging="726"/>
        <w:jc w:val="left"/>
      </w:pPr>
      <w:rPr>
        <w:rFonts w:hint="default" w:ascii="新細明體" w:hAnsi="新細明體" w:eastAsia="新細明體" w:cs="新細明體"/>
        <w:b/>
        <w:bCs/>
        <w:spacing w:val="-15"/>
        <w:w w:val="100"/>
        <w:position w:val="-2"/>
        <w:sz w:val="28"/>
        <w:szCs w:val="28"/>
        <w:lang w:val="en-US" w:eastAsia="zh-tw" w:bidi="ar-SA"/>
      </w:rPr>
    </w:lvl>
    <w:lvl w:ilvl="1">
      <w:start w:val="0"/>
      <w:numFmt w:val="bullet"/>
      <w:lvlText w:val="•"/>
      <w:lvlJc w:val="left"/>
      <w:pPr>
        <w:ind w:left="1890" w:hanging="726"/>
      </w:pPr>
      <w:rPr>
        <w:rFonts w:hint="default"/>
        <w:lang w:val="en-US" w:eastAsia="zh-tw" w:bidi="ar-SA"/>
      </w:rPr>
    </w:lvl>
    <w:lvl w:ilvl="2">
      <w:start w:val="0"/>
      <w:numFmt w:val="bullet"/>
      <w:lvlText w:val="•"/>
      <w:lvlJc w:val="left"/>
      <w:pPr>
        <w:ind w:left="2761" w:hanging="726"/>
      </w:pPr>
      <w:rPr>
        <w:rFonts w:hint="default"/>
        <w:lang w:val="en-US" w:eastAsia="zh-tw" w:bidi="ar-SA"/>
      </w:rPr>
    </w:lvl>
    <w:lvl w:ilvl="3">
      <w:start w:val="0"/>
      <w:numFmt w:val="bullet"/>
      <w:lvlText w:val="•"/>
      <w:lvlJc w:val="left"/>
      <w:pPr>
        <w:ind w:left="3631" w:hanging="726"/>
      </w:pPr>
      <w:rPr>
        <w:rFonts w:hint="default"/>
        <w:lang w:val="en-US" w:eastAsia="zh-tw" w:bidi="ar-SA"/>
      </w:rPr>
    </w:lvl>
    <w:lvl w:ilvl="4">
      <w:start w:val="0"/>
      <w:numFmt w:val="bullet"/>
      <w:lvlText w:val="•"/>
      <w:lvlJc w:val="left"/>
      <w:pPr>
        <w:ind w:left="4502" w:hanging="726"/>
      </w:pPr>
      <w:rPr>
        <w:rFonts w:hint="default"/>
        <w:lang w:val="en-US" w:eastAsia="zh-tw" w:bidi="ar-SA"/>
      </w:rPr>
    </w:lvl>
    <w:lvl w:ilvl="5">
      <w:start w:val="0"/>
      <w:numFmt w:val="bullet"/>
      <w:lvlText w:val="•"/>
      <w:lvlJc w:val="left"/>
      <w:pPr>
        <w:ind w:left="5373" w:hanging="726"/>
      </w:pPr>
      <w:rPr>
        <w:rFonts w:hint="default"/>
        <w:lang w:val="en-US" w:eastAsia="zh-tw" w:bidi="ar-SA"/>
      </w:rPr>
    </w:lvl>
    <w:lvl w:ilvl="6">
      <w:start w:val="0"/>
      <w:numFmt w:val="bullet"/>
      <w:lvlText w:val="•"/>
      <w:lvlJc w:val="left"/>
      <w:pPr>
        <w:ind w:left="6243" w:hanging="726"/>
      </w:pPr>
      <w:rPr>
        <w:rFonts w:hint="default"/>
        <w:lang w:val="en-US" w:eastAsia="zh-tw" w:bidi="ar-SA"/>
      </w:rPr>
    </w:lvl>
    <w:lvl w:ilvl="7">
      <w:start w:val="0"/>
      <w:numFmt w:val="bullet"/>
      <w:lvlText w:val="•"/>
      <w:lvlJc w:val="left"/>
      <w:pPr>
        <w:ind w:left="7114" w:hanging="726"/>
      </w:pPr>
      <w:rPr>
        <w:rFonts w:hint="default"/>
        <w:lang w:val="en-US" w:eastAsia="zh-tw" w:bidi="ar-SA"/>
      </w:rPr>
    </w:lvl>
    <w:lvl w:ilvl="8">
      <w:start w:val="0"/>
      <w:numFmt w:val="bullet"/>
      <w:lvlText w:val="•"/>
      <w:lvlJc w:val="left"/>
      <w:pPr>
        <w:ind w:left="7985" w:hanging="726"/>
      </w:pPr>
      <w:rPr>
        <w:rFonts w:hint="default"/>
        <w:lang w:val="en-US" w:eastAsia="zh-tw" w:bidi="ar-SA"/>
      </w:rPr>
    </w:lvl>
  </w:abstractNum>
  <w:abstractNum w:abstractNumId="5">
    <w:multiLevelType w:val="hybridMultilevel"/>
    <w:lvl w:ilvl="0">
      <w:start w:val="1"/>
      <w:numFmt w:val="decimal"/>
      <w:lvlText w:val="（%1）"/>
      <w:lvlJc w:val="left"/>
      <w:pPr>
        <w:ind w:left="1027" w:hanging="729"/>
        <w:jc w:val="left"/>
      </w:pPr>
      <w:rPr>
        <w:rFonts w:hint="default" w:ascii="新細明體" w:hAnsi="新細明體" w:eastAsia="新細明體" w:cs="新細明體"/>
        <w:b/>
        <w:bCs/>
        <w:spacing w:val="-15"/>
        <w:w w:val="100"/>
        <w:position w:val="-1"/>
        <w:sz w:val="28"/>
        <w:szCs w:val="28"/>
        <w:lang w:val="en-US" w:eastAsia="zh-tw" w:bidi="ar-SA"/>
      </w:rPr>
    </w:lvl>
    <w:lvl w:ilvl="1">
      <w:start w:val="0"/>
      <w:numFmt w:val="bullet"/>
      <w:lvlText w:val="•"/>
      <w:lvlJc w:val="left"/>
      <w:pPr>
        <w:ind w:left="1890" w:hanging="729"/>
      </w:pPr>
      <w:rPr>
        <w:rFonts w:hint="default"/>
        <w:lang w:val="en-US" w:eastAsia="zh-tw" w:bidi="ar-SA"/>
      </w:rPr>
    </w:lvl>
    <w:lvl w:ilvl="2">
      <w:start w:val="0"/>
      <w:numFmt w:val="bullet"/>
      <w:lvlText w:val="•"/>
      <w:lvlJc w:val="left"/>
      <w:pPr>
        <w:ind w:left="2761" w:hanging="729"/>
      </w:pPr>
      <w:rPr>
        <w:rFonts w:hint="default"/>
        <w:lang w:val="en-US" w:eastAsia="zh-tw" w:bidi="ar-SA"/>
      </w:rPr>
    </w:lvl>
    <w:lvl w:ilvl="3">
      <w:start w:val="0"/>
      <w:numFmt w:val="bullet"/>
      <w:lvlText w:val="•"/>
      <w:lvlJc w:val="left"/>
      <w:pPr>
        <w:ind w:left="3631" w:hanging="729"/>
      </w:pPr>
      <w:rPr>
        <w:rFonts w:hint="default"/>
        <w:lang w:val="en-US" w:eastAsia="zh-tw" w:bidi="ar-SA"/>
      </w:rPr>
    </w:lvl>
    <w:lvl w:ilvl="4">
      <w:start w:val="0"/>
      <w:numFmt w:val="bullet"/>
      <w:lvlText w:val="•"/>
      <w:lvlJc w:val="left"/>
      <w:pPr>
        <w:ind w:left="4502" w:hanging="729"/>
      </w:pPr>
      <w:rPr>
        <w:rFonts w:hint="default"/>
        <w:lang w:val="en-US" w:eastAsia="zh-tw" w:bidi="ar-SA"/>
      </w:rPr>
    </w:lvl>
    <w:lvl w:ilvl="5">
      <w:start w:val="0"/>
      <w:numFmt w:val="bullet"/>
      <w:lvlText w:val="•"/>
      <w:lvlJc w:val="left"/>
      <w:pPr>
        <w:ind w:left="5373" w:hanging="729"/>
      </w:pPr>
      <w:rPr>
        <w:rFonts w:hint="default"/>
        <w:lang w:val="en-US" w:eastAsia="zh-tw" w:bidi="ar-SA"/>
      </w:rPr>
    </w:lvl>
    <w:lvl w:ilvl="6">
      <w:start w:val="0"/>
      <w:numFmt w:val="bullet"/>
      <w:lvlText w:val="•"/>
      <w:lvlJc w:val="left"/>
      <w:pPr>
        <w:ind w:left="6243" w:hanging="729"/>
      </w:pPr>
      <w:rPr>
        <w:rFonts w:hint="default"/>
        <w:lang w:val="en-US" w:eastAsia="zh-tw" w:bidi="ar-SA"/>
      </w:rPr>
    </w:lvl>
    <w:lvl w:ilvl="7">
      <w:start w:val="0"/>
      <w:numFmt w:val="bullet"/>
      <w:lvlText w:val="•"/>
      <w:lvlJc w:val="left"/>
      <w:pPr>
        <w:ind w:left="7114" w:hanging="729"/>
      </w:pPr>
      <w:rPr>
        <w:rFonts w:hint="default"/>
        <w:lang w:val="en-US" w:eastAsia="zh-tw" w:bidi="ar-SA"/>
      </w:rPr>
    </w:lvl>
    <w:lvl w:ilvl="8">
      <w:start w:val="0"/>
      <w:numFmt w:val="bullet"/>
      <w:lvlText w:val="•"/>
      <w:lvlJc w:val="left"/>
      <w:pPr>
        <w:ind w:left="7985" w:hanging="729"/>
      </w:pPr>
      <w:rPr>
        <w:rFonts w:hint="default"/>
        <w:lang w:val="en-US" w:eastAsia="zh-tw" w:bidi="ar-SA"/>
      </w:rPr>
    </w:lvl>
  </w:abstractNum>
  <w:abstractNum w:abstractNumId="3">
    <w:multiLevelType w:val="hybridMultilevel"/>
    <w:lvl w:ilvl="0">
      <w:start w:val="2"/>
      <w:numFmt w:val="decimal"/>
      <w:lvlText w:val="%1."/>
      <w:lvlJc w:val="left"/>
      <w:pPr>
        <w:ind w:left="1579" w:hanging="784"/>
        <w:jc w:val="left"/>
      </w:pPr>
      <w:rPr>
        <w:rFonts w:hint="default" w:ascii="Times New Roman" w:hAnsi="Times New Roman" w:eastAsia="Times New Roman" w:cs="Times New Roman"/>
        <w:w w:val="90"/>
        <w:sz w:val="30"/>
        <w:szCs w:val="30"/>
        <w:lang w:val="en-US" w:eastAsia="zh-tw" w:bidi="ar-SA"/>
      </w:rPr>
    </w:lvl>
    <w:lvl w:ilvl="1">
      <w:start w:val="0"/>
      <w:numFmt w:val="bullet"/>
      <w:lvlText w:val="•"/>
      <w:lvlJc w:val="left"/>
      <w:pPr>
        <w:ind w:left="2394" w:hanging="784"/>
      </w:pPr>
      <w:rPr>
        <w:rFonts w:hint="default"/>
        <w:lang w:val="en-US" w:eastAsia="zh-tw" w:bidi="ar-SA"/>
      </w:rPr>
    </w:lvl>
    <w:lvl w:ilvl="2">
      <w:start w:val="0"/>
      <w:numFmt w:val="bullet"/>
      <w:lvlText w:val="•"/>
      <w:lvlJc w:val="left"/>
      <w:pPr>
        <w:ind w:left="3209" w:hanging="784"/>
      </w:pPr>
      <w:rPr>
        <w:rFonts w:hint="default"/>
        <w:lang w:val="en-US" w:eastAsia="zh-tw" w:bidi="ar-SA"/>
      </w:rPr>
    </w:lvl>
    <w:lvl w:ilvl="3">
      <w:start w:val="0"/>
      <w:numFmt w:val="bullet"/>
      <w:lvlText w:val="•"/>
      <w:lvlJc w:val="left"/>
      <w:pPr>
        <w:ind w:left="4023" w:hanging="784"/>
      </w:pPr>
      <w:rPr>
        <w:rFonts w:hint="default"/>
        <w:lang w:val="en-US" w:eastAsia="zh-tw" w:bidi="ar-SA"/>
      </w:rPr>
    </w:lvl>
    <w:lvl w:ilvl="4">
      <w:start w:val="0"/>
      <w:numFmt w:val="bullet"/>
      <w:lvlText w:val="•"/>
      <w:lvlJc w:val="left"/>
      <w:pPr>
        <w:ind w:left="4838" w:hanging="784"/>
      </w:pPr>
      <w:rPr>
        <w:rFonts w:hint="default"/>
        <w:lang w:val="en-US" w:eastAsia="zh-tw" w:bidi="ar-SA"/>
      </w:rPr>
    </w:lvl>
    <w:lvl w:ilvl="5">
      <w:start w:val="0"/>
      <w:numFmt w:val="bullet"/>
      <w:lvlText w:val="•"/>
      <w:lvlJc w:val="left"/>
      <w:pPr>
        <w:ind w:left="5653" w:hanging="784"/>
      </w:pPr>
      <w:rPr>
        <w:rFonts w:hint="default"/>
        <w:lang w:val="en-US" w:eastAsia="zh-tw" w:bidi="ar-SA"/>
      </w:rPr>
    </w:lvl>
    <w:lvl w:ilvl="6">
      <w:start w:val="0"/>
      <w:numFmt w:val="bullet"/>
      <w:lvlText w:val="•"/>
      <w:lvlJc w:val="left"/>
      <w:pPr>
        <w:ind w:left="6467" w:hanging="784"/>
      </w:pPr>
      <w:rPr>
        <w:rFonts w:hint="default"/>
        <w:lang w:val="en-US" w:eastAsia="zh-tw" w:bidi="ar-SA"/>
      </w:rPr>
    </w:lvl>
    <w:lvl w:ilvl="7">
      <w:start w:val="0"/>
      <w:numFmt w:val="bullet"/>
      <w:lvlText w:val="•"/>
      <w:lvlJc w:val="left"/>
      <w:pPr>
        <w:ind w:left="7282" w:hanging="784"/>
      </w:pPr>
      <w:rPr>
        <w:rFonts w:hint="default"/>
        <w:lang w:val="en-US" w:eastAsia="zh-tw" w:bidi="ar-SA"/>
      </w:rPr>
    </w:lvl>
    <w:lvl w:ilvl="8">
      <w:start w:val="0"/>
      <w:numFmt w:val="bullet"/>
      <w:lvlText w:val="•"/>
      <w:lvlJc w:val="left"/>
      <w:pPr>
        <w:ind w:left="8097" w:hanging="784"/>
      </w:pPr>
      <w:rPr>
        <w:rFonts w:hint="default"/>
        <w:lang w:val="en-US" w:eastAsia="zh-tw" w:bidi="ar-SA"/>
      </w:rPr>
    </w:lvl>
  </w:abstractNum>
  <w:abstractNum w:abstractNumId="1">
    <w:multiLevelType w:val="hybridMultilevel"/>
    <w:lvl w:ilvl="0">
      <w:start w:val="14"/>
      <w:numFmt w:val="decimal"/>
      <w:lvlText w:val="%1."/>
      <w:lvlJc w:val="left"/>
      <w:pPr>
        <w:ind w:left="501" w:hanging="478"/>
        <w:jc w:val="left"/>
      </w:pPr>
      <w:rPr>
        <w:rFonts w:hint="default" w:ascii="Times New Roman" w:hAnsi="Times New Roman" w:eastAsia="Times New Roman" w:cs="Times New Roman"/>
        <w:w w:val="101"/>
        <w:sz w:val="24"/>
        <w:szCs w:val="24"/>
        <w:lang w:val="en-US" w:eastAsia="zh-tw" w:bidi="ar-SA"/>
      </w:rPr>
    </w:lvl>
    <w:lvl w:ilvl="1">
      <w:start w:val="1"/>
      <w:numFmt w:val="decimal"/>
      <w:lvlText w:val="%2."/>
      <w:lvlJc w:val="left"/>
      <w:pPr>
        <w:ind w:left="1148" w:hanging="372"/>
        <w:jc w:val="left"/>
      </w:pPr>
      <w:rPr>
        <w:rFonts w:hint="default"/>
        <w:w w:val="103"/>
        <w:lang w:val="en-US" w:eastAsia="zh-tw" w:bidi="ar-SA"/>
      </w:rPr>
    </w:lvl>
    <w:lvl w:ilvl="2">
      <w:start w:val="0"/>
      <w:numFmt w:val="bullet"/>
      <w:lvlText w:val="•"/>
      <w:lvlJc w:val="left"/>
      <w:pPr>
        <w:ind w:left="2094" w:hanging="372"/>
      </w:pPr>
      <w:rPr>
        <w:rFonts w:hint="default"/>
        <w:lang w:val="en-US" w:eastAsia="zh-tw" w:bidi="ar-SA"/>
      </w:rPr>
    </w:lvl>
    <w:lvl w:ilvl="3">
      <w:start w:val="0"/>
      <w:numFmt w:val="bullet"/>
      <w:lvlText w:val="•"/>
      <w:lvlJc w:val="left"/>
      <w:pPr>
        <w:ind w:left="3048" w:hanging="372"/>
      </w:pPr>
      <w:rPr>
        <w:rFonts w:hint="default"/>
        <w:lang w:val="en-US" w:eastAsia="zh-tw" w:bidi="ar-SA"/>
      </w:rPr>
    </w:lvl>
    <w:lvl w:ilvl="4">
      <w:start w:val="0"/>
      <w:numFmt w:val="bullet"/>
      <w:lvlText w:val="•"/>
      <w:lvlJc w:val="left"/>
      <w:pPr>
        <w:ind w:left="4002" w:hanging="372"/>
      </w:pPr>
      <w:rPr>
        <w:rFonts w:hint="default"/>
        <w:lang w:val="en-US" w:eastAsia="zh-tw" w:bidi="ar-SA"/>
      </w:rPr>
    </w:lvl>
    <w:lvl w:ilvl="5">
      <w:start w:val="0"/>
      <w:numFmt w:val="bullet"/>
      <w:lvlText w:val="•"/>
      <w:lvlJc w:val="left"/>
      <w:pPr>
        <w:ind w:left="4956" w:hanging="372"/>
      </w:pPr>
      <w:rPr>
        <w:rFonts w:hint="default"/>
        <w:lang w:val="en-US" w:eastAsia="zh-tw" w:bidi="ar-SA"/>
      </w:rPr>
    </w:lvl>
    <w:lvl w:ilvl="6">
      <w:start w:val="0"/>
      <w:numFmt w:val="bullet"/>
      <w:lvlText w:val="•"/>
      <w:lvlJc w:val="left"/>
      <w:pPr>
        <w:ind w:left="5910" w:hanging="372"/>
      </w:pPr>
      <w:rPr>
        <w:rFonts w:hint="default"/>
        <w:lang w:val="en-US" w:eastAsia="zh-tw" w:bidi="ar-SA"/>
      </w:rPr>
    </w:lvl>
    <w:lvl w:ilvl="7">
      <w:start w:val="0"/>
      <w:numFmt w:val="bullet"/>
      <w:lvlText w:val="•"/>
      <w:lvlJc w:val="left"/>
      <w:pPr>
        <w:ind w:left="6864" w:hanging="372"/>
      </w:pPr>
      <w:rPr>
        <w:rFonts w:hint="default"/>
        <w:lang w:val="en-US" w:eastAsia="zh-tw" w:bidi="ar-SA"/>
      </w:rPr>
    </w:lvl>
    <w:lvl w:ilvl="8">
      <w:start w:val="0"/>
      <w:numFmt w:val="bullet"/>
      <w:lvlText w:val="•"/>
      <w:lvlJc w:val="left"/>
      <w:pPr>
        <w:ind w:left="7818" w:hanging="372"/>
      </w:pPr>
      <w:rPr>
        <w:rFonts w:hint="default"/>
        <w:lang w:val="en-US" w:eastAsia="zh-tw" w:bidi="ar-SA"/>
      </w:rPr>
    </w:lvl>
  </w:abstractNum>
  <w:abstractNum w:abstractNumId="0">
    <w:multiLevelType w:val="hybridMultilevel"/>
    <w:lvl w:ilvl="0">
      <w:start w:val="1"/>
      <w:numFmt w:val="decimal"/>
      <w:lvlText w:val="%1."/>
      <w:lvlJc w:val="left"/>
      <w:pPr>
        <w:ind w:left="1147" w:hanging="371"/>
        <w:jc w:val="left"/>
      </w:pPr>
      <w:rPr>
        <w:rFonts w:hint="default"/>
        <w:w w:val="103"/>
        <w:lang w:val="en-US" w:eastAsia="zh-tw" w:bidi="ar-SA"/>
      </w:rPr>
    </w:lvl>
    <w:lvl w:ilvl="1">
      <w:start w:val="0"/>
      <w:numFmt w:val="bullet"/>
      <w:lvlText w:val="•"/>
      <w:lvlJc w:val="left"/>
      <w:pPr>
        <w:ind w:left="1998" w:hanging="371"/>
      </w:pPr>
      <w:rPr>
        <w:rFonts w:hint="default"/>
        <w:lang w:val="en-US" w:eastAsia="zh-tw" w:bidi="ar-SA"/>
      </w:rPr>
    </w:lvl>
    <w:lvl w:ilvl="2">
      <w:start w:val="0"/>
      <w:numFmt w:val="bullet"/>
      <w:lvlText w:val="•"/>
      <w:lvlJc w:val="left"/>
      <w:pPr>
        <w:ind w:left="2857" w:hanging="371"/>
      </w:pPr>
      <w:rPr>
        <w:rFonts w:hint="default"/>
        <w:lang w:val="en-US" w:eastAsia="zh-tw" w:bidi="ar-SA"/>
      </w:rPr>
    </w:lvl>
    <w:lvl w:ilvl="3">
      <w:start w:val="0"/>
      <w:numFmt w:val="bullet"/>
      <w:lvlText w:val="•"/>
      <w:lvlJc w:val="left"/>
      <w:pPr>
        <w:ind w:left="3715" w:hanging="371"/>
      </w:pPr>
      <w:rPr>
        <w:rFonts w:hint="default"/>
        <w:lang w:val="en-US" w:eastAsia="zh-tw" w:bidi="ar-SA"/>
      </w:rPr>
    </w:lvl>
    <w:lvl w:ilvl="4">
      <w:start w:val="0"/>
      <w:numFmt w:val="bullet"/>
      <w:lvlText w:val="•"/>
      <w:lvlJc w:val="left"/>
      <w:pPr>
        <w:ind w:left="4574" w:hanging="371"/>
      </w:pPr>
      <w:rPr>
        <w:rFonts w:hint="default"/>
        <w:lang w:val="en-US" w:eastAsia="zh-tw" w:bidi="ar-SA"/>
      </w:rPr>
    </w:lvl>
    <w:lvl w:ilvl="5">
      <w:start w:val="0"/>
      <w:numFmt w:val="bullet"/>
      <w:lvlText w:val="•"/>
      <w:lvlJc w:val="left"/>
      <w:pPr>
        <w:ind w:left="5433" w:hanging="371"/>
      </w:pPr>
      <w:rPr>
        <w:rFonts w:hint="default"/>
        <w:lang w:val="en-US" w:eastAsia="zh-tw" w:bidi="ar-SA"/>
      </w:rPr>
    </w:lvl>
    <w:lvl w:ilvl="6">
      <w:start w:val="0"/>
      <w:numFmt w:val="bullet"/>
      <w:lvlText w:val="•"/>
      <w:lvlJc w:val="left"/>
      <w:pPr>
        <w:ind w:left="6291" w:hanging="371"/>
      </w:pPr>
      <w:rPr>
        <w:rFonts w:hint="default"/>
        <w:lang w:val="en-US" w:eastAsia="zh-tw" w:bidi="ar-SA"/>
      </w:rPr>
    </w:lvl>
    <w:lvl w:ilvl="7">
      <w:start w:val="0"/>
      <w:numFmt w:val="bullet"/>
      <w:lvlText w:val="•"/>
      <w:lvlJc w:val="left"/>
      <w:pPr>
        <w:ind w:left="7150" w:hanging="371"/>
      </w:pPr>
      <w:rPr>
        <w:rFonts w:hint="default"/>
        <w:lang w:val="en-US" w:eastAsia="zh-tw" w:bidi="ar-SA"/>
      </w:rPr>
    </w:lvl>
    <w:lvl w:ilvl="8">
      <w:start w:val="0"/>
      <w:numFmt w:val="bullet"/>
      <w:lvlText w:val="•"/>
      <w:lvlJc w:val="left"/>
      <w:pPr>
        <w:ind w:left="8009" w:hanging="371"/>
      </w:pPr>
      <w:rPr>
        <w:rFonts w:hint="default"/>
        <w:lang w:val="en-US" w:eastAsia="zh-tw" w:bidi="ar-SA"/>
      </w:rPr>
    </w:lvl>
  </w:abstractNum>
  <w:num w:numId="9">
    <w:abstractNumId w:val="8"/>
  </w:num>
  <w:num w:numId="5">
    <w:abstractNumId w:val="4"/>
  </w:num>
  <w:num w:numId="3">
    <w:abstractNumId w:val="2"/>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imSun" w:hAnsi="SimSun" w:eastAsia="SimSun" w:cs="SimSun"/>
      <w:lang w:val="en-US" w:eastAsia="zh-tw" w:bidi="ar-SA"/>
    </w:rPr>
  </w:style>
  <w:style w:styleId="BodyText" w:type="paragraph">
    <w:name w:val="Body Text"/>
    <w:basedOn w:val="Normal"/>
    <w:uiPriority w:val="1"/>
    <w:qFormat/>
    <w:pPr/>
    <w:rPr>
      <w:rFonts w:ascii="SimSun" w:hAnsi="SimSun" w:eastAsia="SimSun" w:cs="SimSun"/>
      <w:sz w:val="25"/>
      <w:szCs w:val="25"/>
      <w:lang w:val="en-US" w:eastAsia="zh-tw" w:bidi="ar-SA"/>
    </w:rPr>
  </w:style>
  <w:style w:styleId="Heading1" w:type="paragraph">
    <w:name w:val="Heading 1"/>
    <w:basedOn w:val="Normal"/>
    <w:uiPriority w:val="1"/>
    <w:qFormat/>
    <w:pPr>
      <w:spacing w:before="215"/>
      <w:ind w:right="231"/>
      <w:jc w:val="center"/>
      <w:outlineLvl w:val="1"/>
    </w:pPr>
    <w:rPr>
      <w:rFonts w:ascii="SimSun" w:hAnsi="SimSun" w:eastAsia="SimSun" w:cs="SimSun"/>
      <w:sz w:val="33"/>
      <w:szCs w:val="33"/>
      <w:lang w:val="en-US" w:eastAsia="zh-tw" w:bidi="ar-SA"/>
    </w:rPr>
  </w:style>
  <w:style w:styleId="Heading2" w:type="paragraph">
    <w:name w:val="Heading 2"/>
    <w:basedOn w:val="Normal"/>
    <w:uiPriority w:val="1"/>
    <w:qFormat/>
    <w:pPr>
      <w:ind w:right="549"/>
      <w:jc w:val="center"/>
      <w:outlineLvl w:val="2"/>
    </w:pPr>
    <w:rPr>
      <w:rFonts w:ascii="SimSun" w:hAnsi="SimSun" w:eastAsia="SimSun" w:cs="SimSun"/>
      <w:sz w:val="32"/>
      <w:szCs w:val="32"/>
      <w:lang w:val="en-US" w:eastAsia="zh-tw" w:bidi="ar-SA"/>
    </w:rPr>
  </w:style>
  <w:style w:styleId="Heading3" w:type="paragraph">
    <w:name w:val="Heading 3"/>
    <w:basedOn w:val="Normal"/>
    <w:uiPriority w:val="1"/>
    <w:qFormat/>
    <w:pPr>
      <w:spacing w:before="1"/>
      <w:ind w:left="1712"/>
      <w:outlineLvl w:val="3"/>
    </w:pPr>
    <w:rPr>
      <w:rFonts w:ascii="Times New Roman" w:hAnsi="Times New Roman" w:eastAsia="Times New Roman" w:cs="Times New Roman"/>
      <w:sz w:val="30"/>
      <w:szCs w:val="30"/>
      <w:lang w:val="en-US" w:eastAsia="zh-tw" w:bidi="ar-SA"/>
    </w:rPr>
  </w:style>
  <w:style w:styleId="Heading4" w:type="paragraph">
    <w:name w:val="Heading 4"/>
    <w:basedOn w:val="Normal"/>
    <w:uiPriority w:val="1"/>
    <w:qFormat/>
    <w:pPr>
      <w:ind w:left="321"/>
      <w:outlineLvl w:val="4"/>
    </w:pPr>
    <w:rPr>
      <w:rFonts w:ascii="SimSun" w:hAnsi="SimSun" w:eastAsia="SimSun" w:cs="SimSun"/>
      <w:sz w:val="29"/>
      <w:szCs w:val="29"/>
      <w:lang w:val="en-US" w:eastAsia="zh-tw" w:bidi="ar-SA"/>
    </w:rPr>
  </w:style>
  <w:style w:styleId="Heading5" w:type="paragraph">
    <w:name w:val="Heading 5"/>
    <w:basedOn w:val="Normal"/>
    <w:uiPriority w:val="1"/>
    <w:qFormat/>
    <w:pPr>
      <w:ind w:left="20"/>
      <w:outlineLvl w:val="5"/>
    </w:pPr>
    <w:rPr>
      <w:rFonts w:ascii="Times New Roman" w:hAnsi="Times New Roman" w:eastAsia="Times New Roman" w:cs="Times New Roman"/>
      <w:sz w:val="28"/>
      <w:szCs w:val="28"/>
      <w:lang w:val="en-US" w:eastAsia="zh-tw" w:bidi="ar-SA"/>
    </w:rPr>
  </w:style>
  <w:style w:styleId="Heading6" w:type="paragraph">
    <w:name w:val="Heading 6"/>
    <w:basedOn w:val="Normal"/>
    <w:uiPriority w:val="1"/>
    <w:qFormat/>
    <w:pPr>
      <w:spacing w:before="89"/>
      <w:ind w:left="298"/>
      <w:outlineLvl w:val="6"/>
    </w:pPr>
    <w:rPr>
      <w:rFonts w:ascii="Times New Roman" w:hAnsi="Times New Roman" w:eastAsia="Times New Roman" w:cs="Times New Roman"/>
      <w:sz w:val="26"/>
      <w:szCs w:val="26"/>
      <w:lang w:val="en-US" w:eastAsia="zh-tw" w:bidi="ar-SA"/>
    </w:rPr>
  </w:style>
  <w:style w:styleId="Title" w:type="paragraph">
    <w:name w:val="Title"/>
    <w:basedOn w:val="Normal"/>
    <w:uiPriority w:val="1"/>
    <w:qFormat/>
    <w:pPr>
      <w:spacing w:before="153"/>
      <w:ind w:right="208"/>
      <w:jc w:val="center"/>
    </w:pPr>
    <w:rPr>
      <w:rFonts w:ascii="SimSun" w:hAnsi="SimSun" w:eastAsia="SimSun" w:cs="SimSun"/>
      <w:sz w:val="50"/>
      <w:szCs w:val="50"/>
      <w:lang w:val="en-US" w:eastAsia="zh-tw" w:bidi="ar-SA"/>
    </w:rPr>
  </w:style>
  <w:style w:styleId="ListParagraph" w:type="paragraph">
    <w:name w:val="List Paragraph"/>
    <w:basedOn w:val="Normal"/>
    <w:uiPriority w:val="1"/>
    <w:qFormat/>
    <w:pPr>
      <w:ind w:left="1027" w:hanging="730"/>
    </w:pPr>
    <w:rPr>
      <w:rFonts w:ascii="SimSun" w:hAnsi="SimSun" w:eastAsia="SimSun" w:cs="SimSun"/>
      <w:lang w:val="en-US" w:eastAsia="zh-tw" w:bidi="ar-SA"/>
    </w:rPr>
  </w:style>
  <w:style w:styleId="TableParagraph" w:type="paragraph">
    <w:name w:val="Table Paragraph"/>
    <w:basedOn w:val="Normal"/>
    <w:uiPriority w:val="1"/>
    <w:qFormat/>
    <w:pPr/>
    <w:rPr>
      <w:rFonts w:ascii="SimSun" w:hAnsi="SimSun" w:eastAsia="SimSun" w:cs="SimSun"/>
      <w:lang w:val="en-US" w:eastAsia="zh-tw"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footer" Target="footer2.xml"/><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image" Target="media/image101.png"/><Relationship Id="rId108" Type="http://schemas.openxmlformats.org/officeDocument/2006/relationships/image" Target="media/image102.png"/><Relationship Id="rId109" Type="http://schemas.openxmlformats.org/officeDocument/2006/relationships/image" Target="media/image103.png"/><Relationship Id="rId110" Type="http://schemas.openxmlformats.org/officeDocument/2006/relationships/image" Target="media/image104.png"/><Relationship Id="rId111" Type="http://schemas.openxmlformats.org/officeDocument/2006/relationships/image" Target="media/image105.png"/><Relationship Id="rId112" Type="http://schemas.openxmlformats.org/officeDocument/2006/relationships/image" Target="media/image106.png"/><Relationship Id="rId113" Type="http://schemas.openxmlformats.org/officeDocument/2006/relationships/image" Target="media/image107.png"/><Relationship Id="rId114" Type="http://schemas.openxmlformats.org/officeDocument/2006/relationships/image" Target="media/image108.png"/><Relationship Id="rId115" Type="http://schemas.openxmlformats.org/officeDocument/2006/relationships/image" Target="media/image109.png"/><Relationship Id="rId116" Type="http://schemas.openxmlformats.org/officeDocument/2006/relationships/image" Target="media/image110.pn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png"/><Relationship Id="rId121" Type="http://schemas.openxmlformats.org/officeDocument/2006/relationships/image" Target="media/image115.png"/><Relationship Id="rId122" Type="http://schemas.openxmlformats.org/officeDocument/2006/relationships/image" Target="media/image116.pn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pn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png"/><Relationship Id="rId136" Type="http://schemas.openxmlformats.org/officeDocument/2006/relationships/image" Target="media/image130.png"/><Relationship Id="rId137" Type="http://schemas.openxmlformats.org/officeDocument/2006/relationships/image" Target="media/image131.pn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png"/><Relationship Id="rId144" Type="http://schemas.openxmlformats.org/officeDocument/2006/relationships/image" Target="media/image138.png"/><Relationship Id="rId145" Type="http://schemas.openxmlformats.org/officeDocument/2006/relationships/image" Target="media/image139.pn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png"/><Relationship Id="rId149" Type="http://schemas.openxmlformats.org/officeDocument/2006/relationships/image" Target="media/image143.png"/><Relationship Id="rId150" Type="http://schemas.openxmlformats.org/officeDocument/2006/relationships/image" Target="media/image144.pn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png"/><Relationship Id="rId156" Type="http://schemas.openxmlformats.org/officeDocument/2006/relationships/image" Target="media/image150.png"/><Relationship Id="rId157" Type="http://schemas.openxmlformats.org/officeDocument/2006/relationships/image" Target="media/image151.pn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pn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png"/><Relationship Id="rId170" Type="http://schemas.openxmlformats.org/officeDocument/2006/relationships/image" Target="media/image164.png"/><Relationship Id="rId171" Type="http://schemas.openxmlformats.org/officeDocument/2006/relationships/image" Target="media/image165.png"/><Relationship Id="rId172" Type="http://schemas.openxmlformats.org/officeDocument/2006/relationships/image" Target="media/image166.png"/><Relationship Id="rId173" Type="http://schemas.openxmlformats.org/officeDocument/2006/relationships/image" Target="media/image167.png"/><Relationship Id="rId174" Type="http://schemas.openxmlformats.org/officeDocument/2006/relationships/image" Target="media/image168.png"/><Relationship Id="rId175" Type="http://schemas.openxmlformats.org/officeDocument/2006/relationships/image" Target="media/image169.png"/><Relationship Id="rId176" Type="http://schemas.openxmlformats.org/officeDocument/2006/relationships/image" Target="media/image170.pn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png"/><Relationship Id="rId207" Type="http://schemas.openxmlformats.org/officeDocument/2006/relationships/image" Target="media/image201.pn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image" Target="media/image207.png"/><Relationship Id="rId214" Type="http://schemas.openxmlformats.org/officeDocument/2006/relationships/image" Target="media/image208.png"/><Relationship Id="rId215" Type="http://schemas.openxmlformats.org/officeDocument/2006/relationships/image" Target="media/image209.png"/><Relationship Id="rId216" Type="http://schemas.openxmlformats.org/officeDocument/2006/relationships/image" Target="media/image210.png"/><Relationship Id="rId217" Type="http://schemas.openxmlformats.org/officeDocument/2006/relationships/image" Target="media/image211.png"/><Relationship Id="rId218" Type="http://schemas.openxmlformats.org/officeDocument/2006/relationships/image" Target="media/image212.png"/><Relationship Id="rId219" Type="http://schemas.openxmlformats.org/officeDocument/2006/relationships/header" Target="header1.xml"/><Relationship Id="rId220" Type="http://schemas.openxmlformats.org/officeDocument/2006/relationships/footer" Target="footer3.xml"/><Relationship Id="rId221" Type="http://schemas.openxmlformats.org/officeDocument/2006/relationships/header" Target="header2.xml"/><Relationship Id="rId222" Type="http://schemas.openxmlformats.org/officeDocument/2006/relationships/footer" Target="footer4.xml"/><Relationship Id="rId223" Type="http://schemas.openxmlformats.org/officeDocument/2006/relationships/image" Target="media/image213.png"/><Relationship Id="rId224" Type="http://schemas.openxmlformats.org/officeDocument/2006/relationships/image" Target="media/image214.png"/><Relationship Id="rId225" Type="http://schemas.openxmlformats.org/officeDocument/2006/relationships/image" Target="media/image215.png"/><Relationship Id="rId226" Type="http://schemas.openxmlformats.org/officeDocument/2006/relationships/header" Target="header3.xml"/><Relationship Id="rId227" Type="http://schemas.openxmlformats.org/officeDocument/2006/relationships/footer" Target="footer5.xml"/><Relationship Id="rId228" Type="http://schemas.openxmlformats.org/officeDocument/2006/relationships/header" Target="header4.xml"/><Relationship Id="rId229" Type="http://schemas.openxmlformats.org/officeDocument/2006/relationships/footer" Target="footer6.xml"/><Relationship Id="rId230" Type="http://schemas.openxmlformats.org/officeDocument/2006/relationships/header" Target="header5.xml"/><Relationship Id="rId231" Type="http://schemas.openxmlformats.org/officeDocument/2006/relationships/footer" Target="footer7.xml"/><Relationship Id="rId232" Type="http://schemas.openxmlformats.org/officeDocument/2006/relationships/image" Target="media/image216.png"/><Relationship Id="rId233" Type="http://schemas.openxmlformats.org/officeDocument/2006/relationships/image" Target="media/image217.png"/><Relationship Id="rId234" Type="http://schemas.openxmlformats.org/officeDocument/2006/relationships/image" Target="media/image218.png"/><Relationship Id="rId235" Type="http://schemas.openxmlformats.org/officeDocument/2006/relationships/image" Target="media/image219.png"/><Relationship Id="rId236" Type="http://schemas.openxmlformats.org/officeDocument/2006/relationships/image" Target="media/image220.png"/><Relationship Id="rId237" Type="http://schemas.openxmlformats.org/officeDocument/2006/relationships/image" Target="media/image221.png"/><Relationship Id="rId238" Type="http://schemas.openxmlformats.org/officeDocument/2006/relationships/image" Target="media/image222.png"/><Relationship Id="rId239" Type="http://schemas.openxmlformats.org/officeDocument/2006/relationships/image" Target="media/image223.png"/><Relationship Id="rId240" Type="http://schemas.openxmlformats.org/officeDocument/2006/relationships/image" Target="media/image224.png"/><Relationship Id="rId241" Type="http://schemas.openxmlformats.org/officeDocument/2006/relationships/image" Target="media/image225.png"/><Relationship Id="rId242" Type="http://schemas.openxmlformats.org/officeDocument/2006/relationships/image" Target="media/image226.png"/><Relationship Id="rId243" Type="http://schemas.openxmlformats.org/officeDocument/2006/relationships/image" Target="media/image227.png"/><Relationship Id="rId244" Type="http://schemas.openxmlformats.org/officeDocument/2006/relationships/image" Target="media/image228.png"/><Relationship Id="rId245" Type="http://schemas.openxmlformats.org/officeDocument/2006/relationships/image" Target="media/image229.png"/><Relationship Id="rId246" Type="http://schemas.openxmlformats.org/officeDocument/2006/relationships/image" Target="media/image230.png"/><Relationship Id="rId247" Type="http://schemas.openxmlformats.org/officeDocument/2006/relationships/image" Target="media/image231.png"/><Relationship Id="rId248" Type="http://schemas.openxmlformats.org/officeDocument/2006/relationships/image" Target="media/image232.png"/><Relationship Id="rId249" Type="http://schemas.openxmlformats.org/officeDocument/2006/relationships/image" Target="media/image233.png"/><Relationship Id="rId250" Type="http://schemas.openxmlformats.org/officeDocument/2006/relationships/image" Target="media/image234.png"/><Relationship Id="rId251" Type="http://schemas.openxmlformats.org/officeDocument/2006/relationships/image" Target="media/image235.png"/><Relationship Id="rId252" Type="http://schemas.openxmlformats.org/officeDocument/2006/relationships/image" Target="media/image236.png"/><Relationship Id="rId253" Type="http://schemas.openxmlformats.org/officeDocument/2006/relationships/image" Target="media/image237.png"/><Relationship Id="rId254" Type="http://schemas.openxmlformats.org/officeDocument/2006/relationships/image" Target="media/image238.png"/><Relationship Id="rId255" Type="http://schemas.openxmlformats.org/officeDocument/2006/relationships/image" Target="media/image239.png"/><Relationship Id="rId256" Type="http://schemas.openxmlformats.org/officeDocument/2006/relationships/image" Target="media/image240.png"/><Relationship Id="rId257" Type="http://schemas.openxmlformats.org/officeDocument/2006/relationships/image" Target="media/image241.png"/><Relationship Id="rId258" Type="http://schemas.openxmlformats.org/officeDocument/2006/relationships/image" Target="media/image242.png"/><Relationship Id="rId259" Type="http://schemas.openxmlformats.org/officeDocument/2006/relationships/image" Target="media/image243.png"/><Relationship Id="rId260" Type="http://schemas.openxmlformats.org/officeDocument/2006/relationships/image" Target="media/image244.png"/><Relationship Id="rId261" Type="http://schemas.openxmlformats.org/officeDocument/2006/relationships/image" Target="media/image245.png"/><Relationship Id="rId262" Type="http://schemas.openxmlformats.org/officeDocument/2006/relationships/image" Target="media/image246.png"/><Relationship Id="rId263" Type="http://schemas.openxmlformats.org/officeDocument/2006/relationships/image" Target="media/image247.png"/><Relationship Id="rId264" Type="http://schemas.openxmlformats.org/officeDocument/2006/relationships/image" Target="media/image248.png"/><Relationship Id="rId265" Type="http://schemas.openxmlformats.org/officeDocument/2006/relationships/image" Target="media/image249.png"/><Relationship Id="rId266" Type="http://schemas.openxmlformats.org/officeDocument/2006/relationships/image" Target="media/image250.png"/><Relationship Id="rId267" Type="http://schemas.openxmlformats.org/officeDocument/2006/relationships/image" Target="media/image251.png"/><Relationship Id="rId268" Type="http://schemas.openxmlformats.org/officeDocument/2006/relationships/image" Target="media/image252.png"/><Relationship Id="rId269" Type="http://schemas.openxmlformats.org/officeDocument/2006/relationships/image" Target="media/image253.png"/><Relationship Id="rId270" Type="http://schemas.openxmlformats.org/officeDocument/2006/relationships/image" Target="media/image254.png"/><Relationship Id="rId271" Type="http://schemas.openxmlformats.org/officeDocument/2006/relationships/image" Target="media/image255.png"/><Relationship Id="rId272" Type="http://schemas.openxmlformats.org/officeDocument/2006/relationships/image" Target="media/image256.png"/><Relationship Id="rId273" Type="http://schemas.openxmlformats.org/officeDocument/2006/relationships/image" Target="media/image257.png"/><Relationship Id="rId274" Type="http://schemas.openxmlformats.org/officeDocument/2006/relationships/image" Target="media/image258.png"/><Relationship Id="rId275" Type="http://schemas.openxmlformats.org/officeDocument/2006/relationships/image" Target="media/image259.png"/><Relationship Id="rId276" Type="http://schemas.openxmlformats.org/officeDocument/2006/relationships/image" Target="media/image260.png"/><Relationship Id="rId277" Type="http://schemas.openxmlformats.org/officeDocument/2006/relationships/image" Target="media/image261.png"/><Relationship Id="rId278" Type="http://schemas.openxmlformats.org/officeDocument/2006/relationships/image" Target="media/image262.png"/><Relationship Id="rId279" Type="http://schemas.openxmlformats.org/officeDocument/2006/relationships/image" Target="media/image263.png"/><Relationship Id="rId280" Type="http://schemas.openxmlformats.org/officeDocument/2006/relationships/image" Target="media/image264.png"/><Relationship Id="rId281" Type="http://schemas.openxmlformats.org/officeDocument/2006/relationships/image" Target="media/image265.png"/><Relationship Id="rId282" Type="http://schemas.openxmlformats.org/officeDocument/2006/relationships/image" Target="media/image266.png"/><Relationship Id="rId283" Type="http://schemas.openxmlformats.org/officeDocument/2006/relationships/image" Target="media/image267.png"/><Relationship Id="rId284" Type="http://schemas.openxmlformats.org/officeDocument/2006/relationships/image" Target="media/image268.png"/><Relationship Id="rId285" Type="http://schemas.openxmlformats.org/officeDocument/2006/relationships/image" Target="media/image269.png"/><Relationship Id="rId286" Type="http://schemas.openxmlformats.org/officeDocument/2006/relationships/image" Target="media/image270.png"/><Relationship Id="rId287" Type="http://schemas.openxmlformats.org/officeDocument/2006/relationships/image" Target="media/image271.png"/><Relationship Id="rId288" Type="http://schemas.openxmlformats.org/officeDocument/2006/relationships/image" Target="media/image272.png"/><Relationship Id="rId289" Type="http://schemas.openxmlformats.org/officeDocument/2006/relationships/image" Target="media/image273.png"/><Relationship Id="rId290" Type="http://schemas.openxmlformats.org/officeDocument/2006/relationships/image" Target="media/image274.png"/><Relationship Id="rId291" Type="http://schemas.openxmlformats.org/officeDocument/2006/relationships/image" Target="media/image275.png"/><Relationship Id="rId292" Type="http://schemas.openxmlformats.org/officeDocument/2006/relationships/image" Target="media/image276.png"/><Relationship Id="rId293" Type="http://schemas.openxmlformats.org/officeDocument/2006/relationships/image" Target="media/image277.png"/><Relationship Id="rId294" Type="http://schemas.openxmlformats.org/officeDocument/2006/relationships/image" Target="media/image278.png"/><Relationship Id="rId295" Type="http://schemas.openxmlformats.org/officeDocument/2006/relationships/image" Target="media/image279.png"/><Relationship Id="rId296" Type="http://schemas.openxmlformats.org/officeDocument/2006/relationships/image" Target="media/image280.png"/><Relationship Id="rId297" Type="http://schemas.openxmlformats.org/officeDocument/2006/relationships/image" Target="media/image281.png"/><Relationship Id="rId298" Type="http://schemas.openxmlformats.org/officeDocument/2006/relationships/image" Target="media/image282.png"/><Relationship Id="rId299" Type="http://schemas.openxmlformats.org/officeDocument/2006/relationships/image" Target="media/image283.png"/><Relationship Id="rId300" Type="http://schemas.openxmlformats.org/officeDocument/2006/relationships/image" Target="media/image284.png"/><Relationship Id="rId301" Type="http://schemas.openxmlformats.org/officeDocument/2006/relationships/image" Target="media/image285.png"/><Relationship Id="rId302" Type="http://schemas.openxmlformats.org/officeDocument/2006/relationships/header" Target="header6.xml"/><Relationship Id="rId303" Type="http://schemas.openxmlformats.org/officeDocument/2006/relationships/footer" Target="footer8.xml"/><Relationship Id="rId304" Type="http://schemas.openxmlformats.org/officeDocument/2006/relationships/hyperlink" Target="http://beck-online.beck.de/?typ=reference&amp;y=300&amp;z=NVWZ&amp;b=2007&amp;s=1178" TargetMode="External"/><Relationship Id="rId305" Type="http://schemas.openxmlformats.org/officeDocument/2006/relationships/hyperlink" Target="http://beck-online.beck.de/?typ=reference&amp;y=300&amp;z=NJW&amp;b=2001&amp;s=3210" TargetMode="External"/><Relationship Id="rId306" Type="http://schemas.openxmlformats.org/officeDocument/2006/relationships/header" Target="header7.xml"/><Relationship Id="rId307" Type="http://schemas.openxmlformats.org/officeDocument/2006/relationships/footer" Target="footer9.xml"/><Relationship Id="rId308" Type="http://schemas.openxmlformats.org/officeDocument/2006/relationships/header" Target="header8.xml"/><Relationship Id="rId309" Type="http://schemas.openxmlformats.org/officeDocument/2006/relationships/footer" Target="footer10.xml"/><Relationship Id="rId310" Type="http://schemas.openxmlformats.org/officeDocument/2006/relationships/header" Target="header9.xml"/><Relationship Id="rId311" Type="http://schemas.openxmlformats.org/officeDocument/2006/relationships/footer" Target="footer11.xml"/><Relationship Id="rId312" Type="http://schemas.openxmlformats.org/officeDocument/2006/relationships/image" Target="media/image286.png"/><Relationship Id="rId313" Type="http://schemas.openxmlformats.org/officeDocument/2006/relationships/image" Target="media/image287.png"/><Relationship Id="rId314" Type="http://schemas.openxmlformats.org/officeDocument/2006/relationships/image" Target="media/image288.png"/><Relationship Id="rId315" Type="http://schemas.openxmlformats.org/officeDocument/2006/relationships/image" Target="media/image289.png"/><Relationship Id="rId316" Type="http://schemas.openxmlformats.org/officeDocument/2006/relationships/image" Target="media/image290.png"/><Relationship Id="rId317" Type="http://schemas.openxmlformats.org/officeDocument/2006/relationships/image" Target="media/image291.png"/><Relationship Id="rId318" Type="http://schemas.openxmlformats.org/officeDocument/2006/relationships/image" Target="media/image292.png"/><Relationship Id="rId319" Type="http://schemas.openxmlformats.org/officeDocument/2006/relationships/image" Target="media/image293.png"/><Relationship Id="rId320" Type="http://schemas.openxmlformats.org/officeDocument/2006/relationships/image" Target="media/image294.png"/><Relationship Id="rId321" Type="http://schemas.openxmlformats.org/officeDocument/2006/relationships/image" Target="media/image295.png"/><Relationship Id="rId322" Type="http://schemas.openxmlformats.org/officeDocument/2006/relationships/image" Target="media/image296.png"/><Relationship Id="rId323" Type="http://schemas.openxmlformats.org/officeDocument/2006/relationships/image" Target="media/image297.png"/><Relationship Id="rId324" Type="http://schemas.openxmlformats.org/officeDocument/2006/relationships/image" Target="media/image298.png"/><Relationship Id="rId325" Type="http://schemas.openxmlformats.org/officeDocument/2006/relationships/image" Target="media/image299.png"/><Relationship Id="rId326" Type="http://schemas.openxmlformats.org/officeDocument/2006/relationships/image" Target="media/image300.png"/><Relationship Id="rId327" Type="http://schemas.openxmlformats.org/officeDocument/2006/relationships/image" Target="media/image301.png"/><Relationship Id="rId328" Type="http://schemas.openxmlformats.org/officeDocument/2006/relationships/image" Target="media/image302.png"/><Relationship Id="rId329" Type="http://schemas.openxmlformats.org/officeDocument/2006/relationships/image" Target="media/image303.png"/><Relationship Id="rId330" Type="http://schemas.openxmlformats.org/officeDocument/2006/relationships/image" Target="media/image304.png"/><Relationship Id="rId331" Type="http://schemas.openxmlformats.org/officeDocument/2006/relationships/image" Target="media/image305.png"/><Relationship Id="rId332" Type="http://schemas.openxmlformats.org/officeDocument/2006/relationships/image" Target="media/image306.png"/><Relationship Id="rId333" Type="http://schemas.openxmlformats.org/officeDocument/2006/relationships/image" Target="media/image307.png"/><Relationship Id="rId334" Type="http://schemas.openxmlformats.org/officeDocument/2006/relationships/image" Target="media/image308.png"/><Relationship Id="rId335" Type="http://schemas.openxmlformats.org/officeDocument/2006/relationships/image" Target="media/image309.png"/><Relationship Id="rId336" Type="http://schemas.openxmlformats.org/officeDocument/2006/relationships/image" Target="media/image310.png"/><Relationship Id="rId337" Type="http://schemas.openxmlformats.org/officeDocument/2006/relationships/image" Target="media/image311.png"/><Relationship Id="rId338" Type="http://schemas.openxmlformats.org/officeDocument/2006/relationships/image" Target="media/image312.png"/><Relationship Id="rId339" Type="http://schemas.openxmlformats.org/officeDocument/2006/relationships/image" Target="media/image313.png"/><Relationship Id="rId340" Type="http://schemas.openxmlformats.org/officeDocument/2006/relationships/image" Target="media/image314.png"/><Relationship Id="rId341" Type="http://schemas.openxmlformats.org/officeDocument/2006/relationships/image" Target="media/image315.png"/><Relationship Id="rId342" Type="http://schemas.openxmlformats.org/officeDocument/2006/relationships/image" Target="media/image316.png"/><Relationship Id="rId343" Type="http://schemas.openxmlformats.org/officeDocument/2006/relationships/image" Target="media/image317.png"/><Relationship Id="rId344" Type="http://schemas.openxmlformats.org/officeDocument/2006/relationships/image" Target="media/image318.png"/><Relationship Id="rId345" Type="http://schemas.openxmlformats.org/officeDocument/2006/relationships/image" Target="media/image319.png"/><Relationship Id="rId346" Type="http://schemas.openxmlformats.org/officeDocument/2006/relationships/image" Target="media/image320.png"/><Relationship Id="rId347" Type="http://schemas.openxmlformats.org/officeDocument/2006/relationships/image" Target="media/image321.png"/><Relationship Id="rId348" Type="http://schemas.openxmlformats.org/officeDocument/2006/relationships/image" Target="media/image322.png"/><Relationship Id="rId349" Type="http://schemas.openxmlformats.org/officeDocument/2006/relationships/image" Target="media/image323.png"/><Relationship Id="rId350" Type="http://schemas.openxmlformats.org/officeDocument/2006/relationships/image" Target="media/image324.png"/><Relationship Id="rId351" Type="http://schemas.openxmlformats.org/officeDocument/2006/relationships/image" Target="media/image325.png"/><Relationship Id="rId352" Type="http://schemas.openxmlformats.org/officeDocument/2006/relationships/image" Target="media/image326.png"/><Relationship Id="rId353" Type="http://schemas.openxmlformats.org/officeDocument/2006/relationships/image" Target="media/image327.png"/><Relationship Id="rId354" Type="http://schemas.openxmlformats.org/officeDocument/2006/relationships/image" Target="media/image328.png"/><Relationship Id="rId355" Type="http://schemas.openxmlformats.org/officeDocument/2006/relationships/image" Target="media/image329.png"/><Relationship Id="rId356" Type="http://schemas.openxmlformats.org/officeDocument/2006/relationships/image" Target="media/image330.png"/><Relationship Id="rId357" Type="http://schemas.openxmlformats.org/officeDocument/2006/relationships/image" Target="media/image331.png"/><Relationship Id="rId358" Type="http://schemas.openxmlformats.org/officeDocument/2006/relationships/image" Target="media/image332.png"/><Relationship Id="rId359" Type="http://schemas.openxmlformats.org/officeDocument/2006/relationships/image" Target="media/image333.png"/><Relationship Id="rId360" Type="http://schemas.openxmlformats.org/officeDocument/2006/relationships/image" Target="media/image334.png"/><Relationship Id="rId361" Type="http://schemas.openxmlformats.org/officeDocument/2006/relationships/image" Target="media/image335.png"/><Relationship Id="rId362" Type="http://schemas.openxmlformats.org/officeDocument/2006/relationships/image" Target="media/image336.png"/><Relationship Id="rId363" Type="http://schemas.openxmlformats.org/officeDocument/2006/relationships/image" Target="media/image337.png"/><Relationship Id="rId364" Type="http://schemas.openxmlformats.org/officeDocument/2006/relationships/image" Target="media/image338.png"/><Relationship Id="rId365" Type="http://schemas.openxmlformats.org/officeDocument/2006/relationships/image" Target="media/image339.png"/><Relationship Id="rId366" Type="http://schemas.openxmlformats.org/officeDocument/2006/relationships/image" Target="media/image340.png"/><Relationship Id="rId367" Type="http://schemas.openxmlformats.org/officeDocument/2006/relationships/image" Target="media/image341.png"/><Relationship Id="rId368" Type="http://schemas.openxmlformats.org/officeDocument/2006/relationships/image" Target="media/image342.png"/><Relationship Id="rId369" Type="http://schemas.openxmlformats.org/officeDocument/2006/relationships/image" Target="media/image343.png"/><Relationship Id="rId370" Type="http://schemas.openxmlformats.org/officeDocument/2006/relationships/image" Target="media/image344.png"/><Relationship Id="rId371" Type="http://schemas.openxmlformats.org/officeDocument/2006/relationships/image" Target="media/image345.png"/><Relationship Id="rId372" Type="http://schemas.openxmlformats.org/officeDocument/2006/relationships/image" Target="media/image346.png"/><Relationship Id="rId373" Type="http://schemas.openxmlformats.org/officeDocument/2006/relationships/image" Target="media/image347.png"/><Relationship Id="rId374" Type="http://schemas.openxmlformats.org/officeDocument/2006/relationships/image" Target="media/image348.png"/><Relationship Id="rId375" Type="http://schemas.openxmlformats.org/officeDocument/2006/relationships/image" Target="media/image349.png"/><Relationship Id="rId376" Type="http://schemas.openxmlformats.org/officeDocument/2006/relationships/image" Target="media/image350.png"/><Relationship Id="rId377" Type="http://schemas.openxmlformats.org/officeDocument/2006/relationships/image" Target="media/image351.png"/><Relationship Id="rId378" Type="http://schemas.openxmlformats.org/officeDocument/2006/relationships/image" Target="media/image352.png"/><Relationship Id="rId379" Type="http://schemas.openxmlformats.org/officeDocument/2006/relationships/header" Target="header10.xml"/><Relationship Id="rId380" Type="http://schemas.openxmlformats.org/officeDocument/2006/relationships/footer" Target="footer12.xml"/><Relationship Id="rId381" Type="http://schemas.openxmlformats.org/officeDocument/2006/relationships/header" Target="header11.xml"/><Relationship Id="rId382" Type="http://schemas.openxmlformats.org/officeDocument/2006/relationships/footer" Target="footer13.xml"/><Relationship Id="rId383" Type="http://schemas.openxmlformats.org/officeDocument/2006/relationships/header" Target="header12.xml"/><Relationship Id="rId384" Type="http://schemas.openxmlformats.org/officeDocument/2006/relationships/footer" Target="footer14.xml"/><Relationship Id="rId385" Type="http://schemas.openxmlformats.org/officeDocument/2006/relationships/header" Target="header13.xml"/><Relationship Id="rId386" Type="http://schemas.openxmlformats.org/officeDocument/2006/relationships/footer" Target="footer15.xml"/><Relationship Id="rId387" Type="http://schemas.openxmlformats.org/officeDocument/2006/relationships/image" Target="media/image353.png"/><Relationship Id="rId388" Type="http://schemas.openxmlformats.org/officeDocument/2006/relationships/image" Target="media/image354.png"/><Relationship Id="rId389" Type="http://schemas.openxmlformats.org/officeDocument/2006/relationships/image" Target="media/image355.png"/><Relationship Id="rId390" Type="http://schemas.openxmlformats.org/officeDocument/2006/relationships/image" Target="media/image356.png"/><Relationship Id="rId391" Type="http://schemas.openxmlformats.org/officeDocument/2006/relationships/image" Target="media/image357.png"/><Relationship Id="rId392" Type="http://schemas.openxmlformats.org/officeDocument/2006/relationships/image" Target="media/image358.png"/><Relationship Id="rId393" Type="http://schemas.openxmlformats.org/officeDocument/2006/relationships/image" Target="media/image359.png"/><Relationship Id="rId394" Type="http://schemas.openxmlformats.org/officeDocument/2006/relationships/image" Target="media/image360.png"/><Relationship Id="rId395" Type="http://schemas.openxmlformats.org/officeDocument/2006/relationships/image" Target="media/image361.png"/><Relationship Id="rId396" Type="http://schemas.openxmlformats.org/officeDocument/2006/relationships/image" Target="media/image362.png"/><Relationship Id="rId397" Type="http://schemas.openxmlformats.org/officeDocument/2006/relationships/image" Target="media/image363.png"/><Relationship Id="rId398" Type="http://schemas.openxmlformats.org/officeDocument/2006/relationships/image" Target="media/image364.png"/><Relationship Id="rId399" Type="http://schemas.openxmlformats.org/officeDocument/2006/relationships/image" Target="media/image365.png"/><Relationship Id="rId400" Type="http://schemas.openxmlformats.org/officeDocument/2006/relationships/image" Target="media/image366.png"/><Relationship Id="rId401" Type="http://schemas.openxmlformats.org/officeDocument/2006/relationships/image" Target="media/image367.png"/><Relationship Id="rId402" Type="http://schemas.openxmlformats.org/officeDocument/2006/relationships/image" Target="media/image368.png"/><Relationship Id="rId403" Type="http://schemas.openxmlformats.org/officeDocument/2006/relationships/image" Target="media/image369.png"/><Relationship Id="rId404" Type="http://schemas.openxmlformats.org/officeDocument/2006/relationships/image" Target="media/image370.png"/><Relationship Id="rId405" Type="http://schemas.openxmlformats.org/officeDocument/2006/relationships/image" Target="media/image371.png"/><Relationship Id="rId406" Type="http://schemas.openxmlformats.org/officeDocument/2006/relationships/image" Target="media/image372.png"/><Relationship Id="rId407" Type="http://schemas.openxmlformats.org/officeDocument/2006/relationships/image" Target="media/image373.png"/><Relationship Id="rId408" Type="http://schemas.openxmlformats.org/officeDocument/2006/relationships/image" Target="media/image374.png"/><Relationship Id="rId409" Type="http://schemas.openxmlformats.org/officeDocument/2006/relationships/image" Target="media/image375.png"/><Relationship Id="rId410" Type="http://schemas.openxmlformats.org/officeDocument/2006/relationships/image" Target="media/image376.png"/><Relationship Id="rId411" Type="http://schemas.openxmlformats.org/officeDocument/2006/relationships/image" Target="media/image377.png"/><Relationship Id="rId412" Type="http://schemas.openxmlformats.org/officeDocument/2006/relationships/image" Target="media/image378.png"/><Relationship Id="rId413" Type="http://schemas.openxmlformats.org/officeDocument/2006/relationships/image" Target="media/image379.png"/><Relationship Id="rId414" Type="http://schemas.openxmlformats.org/officeDocument/2006/relationships/image" Target="media/image380.png"/><Relationship Id="rId415" Type="http://schemas.openxmlformats.org/officeDocument/2006/relationships/image" Target="media/image381.png"/><Relationship Id="rId416" Type="http://schemas.openxmlformats.org/officeDocument/2006/relationships/image" Target="media/image382.png"/><Relationship Id="rId417" Type="http://schemas.openxmlformats.org/officeDocument/2006/relationships/image" Target="media/image383.png"/><Relationship Id="rId418" Type="http://schemas.openxmlformats.org/officeDocument/2006/relationships/image" Target="media/image384.png"/><Relationship Id="rId419" Type="http://schemas.openxmlformats.org/officeDocument/2006/relationships/image" Target="media/image385.png"/><Relationship Id="rId420" Type="http://schemas.openxmlformats.org/officeDocument/2006/relationships/image" Target="media/image386.png"/><Relationship Id="rId421" Type="http://schemas.openxmlformats.org/officeDocument/2006/relationships/image" Target="media/image387.png"/><Relationship Id="rId422" Type="http://schemas.openxmlformats.org/officeDocument/2006/relationships/image" Target="media/image388.png"/><Relationship Id="rId423" Type="http://schemas.openxmlformats.org/officeDocument/2006/relationships/image" Target="media/image389.png"/><Relationship Id="rId424" Type="http://schemas.openxmlformats.org/officeDocument/2006/relationships/image" Target="media/image390.png"/><Relationship Id="rId425" Type="http://schemas.openxmlformats.org/officeDocument/2006/relationships/image" Target="media/image391.png"/><Relationship Id="rId426" Type="http://schemas.openxmlformats.org/officeDocument/2006/relationships/image" Target="media/image392.png"/><Relationship Id="rId427" Type="http://schemas.openxmlformats.org/officeDocument/2006/relationships/image" Target="media/image393.png"/><Relationship Id="rId428" Type="http://schemas.openxmlformats.org/officeDocument/2006/relationships/image" Target="media/image394.png"/><Relationship Id="rId429" Type="http://schemas.openxmlformats.org/officeDocument/2006/relationships/image" Target="media/image395.png"/><Relationship Id="rId430" Type="http://schemas.openxmlformats.org/officeDocument/2006/relationships/image" Target="media/image396.png"/><Relationship Id="rId431" Type="http://schemas.openxmlformats.org/officeDocument/2006/relationships/image" Target="media/image397.png"/><Relationship Id="rId432" Type="http://schemas.openxmlformats.org/officeDocument/2006/relationships/image" Target="media/image398.png"/><Relationship Id="rId433" Type="http://schemas.openxmlformats.org/officeDocument/2006/relationships/image" Target="media/image399.png"/><Relationship Id="rId434" Type="http://schemas.openxmlformats.org/officeDocument/2006/relationships/image" Target="media/image400.png"/><Relationship Id="rId435" Type="http://schemas.openxmlformats.org/officeDocument/2006/relationships/image" Target="media/image401.png"/><Relationship Id="rId436" Type="http://schemas.openxmlformats.org/officeDocument/2006/relationships/image" Target="media/image402.png"/><Relationship Id="rId437" Type="http://schemas.openxmlformats.org/officeDocument/2006/relationships/image" Target="media/image403.png"/><Relationship Id="rId438" Type="http://schemas.openxmlformats.org/officeDocument/2006/relationships/image" Target="media/image404.png"/><Relationship Id="rId439" Type="http://schemas.openxmlformats.org/officeDocument/2006/relationships/image" Target="media/image405.png"/><Relationship Id="rId440" Type="http://schemas.openxmlformats.org/officeDocument/2006/relationships/image" Target="media/image406.png"/><Relationship Id="rId441" Type="http://schemas.openxmlformats.org/officeDocument/2006/relationships/image" Target="media/image407.png"/><Relationship Id="rId442" Type="http://schemas.openxmlformats.org/officeDocument/2006/relationships/image" Target="media/image408.png"/><Relationship Id="rId443" Type="http://schemas.openxmlformats.org/officeDocument/2006/relationships/image" Target="media/image409.png"/><Relationship Id="rId444" Type="http://schemas.openxmlformats.org/officeDocument/2006/relationships/image" Target="media/image410.png"/><Relationship Id="rId445" Type="http://schemas.openxmlformats.org/officeDocument/2006/relationships/image" Target="media/image411.png"/><Relationship Id="rId446" Type="http://schemas.openxmlformats.org/officeDocument/2006/relationships/image" Target="media/image412.png"/><Relationship Id="rId447" Type="http://schemas.openxmlformats.org/officeDocument/2006/relationships/image" Target="media/image413.png"/><Relationship Id="rId448" Type="http://schemas.openxmlformats.org/officeDocument/2006/relationships/image" Target="media/image414.png"/><Relationship Id="rId449" Type="http://schemas.openxmlformats.org/officeDocument/2006/relationships/image" Target="media/image415.png"/><Relationship Id="rId450" Type="http://schemas.openxmlformats.org/officeDocument/2006/relationships/image" Target="media/image416.png"/><Relationship Id="rId451" Type="http://schemas.openxmlformats.org/officeDocument/2006/relationships/image" Target="media/image417.png"/><Relationship Id="rId452" Type="http://schemas.openxmlformats.org/officeDocument/2006/relationships/image" Target="media/image418.png"/><Relationship Id="rId453" Type="http://schemas.openxmlformats.org/officeDocument/2006/relationships/image" Target="media/image419.png"/><Relationship Id="rId454" Type="http://schemas.openxmlformats.org/officeDocument/2006/relationships/image" Target="media/image420.png"/><Relationship Id="rId455" Type="http://schemas.openxmlformats.org/officeDocument/2006/relationships/image" Target="media/image421.png"/><Relationship Id="rId456" Type="http://schemas.openxmlformats.org/officeDocument/2006/relationships/header" Target="header14.xml"/><Relationship Id="rId457" Type="http://schemas.openxmlformats.org/officeDocument/2006/relationships/footer" Target="footer16.xml"/><Relationship Id="rId458" Type="http://schemas.openxmlformats.org/officeDocument/2006/relationships/hyperlink" Target="http://db.lawbank.com.tw/FLAW/FLAWDAT01.asp?lsid=FL034260" TargetMode="External"/><Relationship Id="rId459" Type="http://schemas.openxmlformats.org/officeDocument/2006/relationships/header" Target="header15.xml"/><Relationship Id="rId460" Type="http://schemas.openxmlformats.org/officeDocument/2006/relationships/footer" Target="footer17.xml"/><Relationship Id="rId461" Type="http://schemas.openxmlformats.org/officeDocument/2006/relationships/image" Target="media/image422.png"/><Relationship Id="rId462" Type="http://schemas.openxmlformats.org/officeDocument/2006/relationships/image" Target="media/image423.png"/><Relationship Id="rId463" Type="http://schemas.openxmlformats.org/officeDocument/2006/relationships/image" Target="media/image424.png"/><Relationship Id="rId464" Type="http://schemas.openxmlformats.org/officeDocument/2006/relationships/image" Target="media/image425.png"/><Relationship Id="rId465" Type="http://schemas.openxmlformats.org/officeDocument/2006/relationships/image" Target="media/image426.png"/><Relationship Id="rId466" Type="http://schemas.openxmlformats.org/officeDocument/2006/relationships/image" Target="media/image427.png"/><Relationship Id="rId467" Type="http://schemas.openxmlformats.org/officeDocument/2006/relationships/image" Target="media/image428.png"/><Relationship Id="rId468" Type="http://schemas.openxmlformats.org/officeDocument/2006/relationships/image" Target="media/image429.png"/><Relationship Id="rId469" Type="http://schemas.openxmlformats.org/officeDocument/2006/relationships/image" Target="media/image430.png"/><Relationship Id="rId470" Type="http://schemas.openxmlformats.org/officeDocument/2006/relationships/image" Target="media/image431.png"/><Relationship Id="rId471" Type="http://schemas.openxmlformats.org/officeDocument/2006/relationships/image" Target="media/image432.png"/><Relationship Id="rId472" Type="http://schemas.openxmlformats.org/officeDocument/2006/relationships/image" Target="media/image433.png"/><Relationship Id="rId473" Type="http://schemas.openxmlformats.org/officeDocument/2006/relationships/image" Target="media/image434.png"/><Relationship Id="rId474" Type="http://schemas.openxmlformats.org/officeDocument/2006/relationships/image" Target="media/image435.png"/><Relationship Id="rId475" Type="http://schemas.openxmlformats.org/officeDocument/2006/relationships/image" Target="media/image436.png"/><Relationship Id="rId476" Type="http://schemas.openxmlformats.org/officeDocument/2006/relationships/image" Target="media/image437.png"/><Relationship Id="rId477" Type="http://schemas.openxmlformats.org/officeDocument/2006/relationships/image" Target="media/image438.png"/><Relationship Id="rId478" Type="http://schemas.openxmlformats.org/officeDocument/2006/relationships/image" Target="media/image439.png"/><Relationship Id="rId479" Type="http://schemas.openxmlformats.org/officeDocument/2006/relationships/image" Target="media/image440.png"/><Relationship Id="rId480" Type="http://schemas.openxmlformats.org/officeDocument/2006/relationships/image" Target="media/image441.png"/><Relationship Id="rId481" Type="http://schemas.openxmlformats.org/officeDocument/2006/relationships/image" Target="media/image442.png"/><Relationship Id="rId482" Type="http://schemas.openxmlformats.org/officeDocument/2006/relationships/image" Target="media/image443.png"/><Relationship Id="rId483" Type="http://schemas.openxmlformats.org/officeDocument/2006/relationships/image" Target="media/image444.png"/><Relationship Id="rId484" Type="http://schemas.openxmlformats.org/officeDocument/2006/relationships/image" Target="media/image445.png"/><Relationship Id="rId485" Type="http://schemas.openxmlformats.org/officeDocument/2006/relationships/image" Target="media/image446.png"/><Relationship Id="rId486" Type="http://schemas.openxmlformats.org/officeDocument/2006/relationships/image" Target="media/image447.png"/><Relationship Id="rId487" Type="http://schemas.openxmlformats.org/officeDocument/2006/relationships/image" Target="media/image448.png"/><Relationship Id="rId488" Type="http://schemas.openxmlformats.org/officeDocument/2006/relationships/image" Target="media/image449.png"/><Relationship Id="rId489" Type="http://schemas.openxmlformats.org/officeDocument/2006/relationships/image" Target="media/image450.png"/><Relationship Id="rId490" Type="http://schemas.openxmlformats.org/officeDocument/2006/relationships/image" Target="media/image451.png"/><Relationship Id="rId491" Type="http://schemas.openxmlformats.org/officeDocument/2006/relationships/image" Target="media/image452.png"/><Relationship Id="rId492" Type="http://schemas.openxmlformats.org/officeDocument/2006/relationships/image" Target="media/image453.png"/><Relationship Id="rId493" Type="http://schemas.openxmlformats.org/officeDocument/2006/relationships/image" Target="media/image454.png"/><Relationship Id="rId494" Type="http://schemas.openxmlformats.org/officeDocument/2006/relationships/image" Target="media/image455.png"/><Relationship Id="rId495" Type="http://schemas.openxmlformats.org/officeDocument/2006/relationships/image" Target="media/image456.png"/><Relationship Id="rId496" Type="http://schemas.openxmlformats.org/officeDocument/2006/relationships/image" Target="media/image457.png"/><Relationship Id="rId497" Type="http://schemas.openxmlformats.org/officeDocument/2006/relationships/image" Target="media/image458.png"/><Relationship Id="rId498" Type="http://schemas.openxmlformats.org/officeDocument/2006/relationships/image" Target="media/image459.png"/><Relationship Id="rId499" Type="http://schemas.openxmlformats.org/officeDocument/2006/relationships/image" Target="media/image460.png"/><Relationship Id="rId500" Type="http://schemas.openxmlformats.org/officeDocument/2006/relationships/image" Target="media/image461.png"/><Relationship Id="rId501" Type="http://schemas.openxmlformats.org/officeDocument/2006/relationships/image" Target="media/image462.png"/><Relationship Id="rId502" Type="http://schemas.openxmlformats.org/officeDocument/2006/relationships/image" Target="media/image463.png"/><Relationship Id="rId503" Type="http://schemas.openxmlformats.org/officeDocument/2006/relationships/image" Target="media/image464.png"/><Relationship Id="rId504" Type="http://schemas.openxmlformats.org/officeDocument/2006/relationships/image" Target="media/image465.png"/><Relationship Id="rId505" Type="http://schemas.openxmlformats.org/officeDocument/2006/relationships/image" Target="media/image466.png"/><Relationship Id="rId506" Type="http://schemas.openxmlformats.org/officeDocument/2006/relationships/image" Target="media/image467.png"/><Relationship Id="rId507" Type="http://schemas.openxmlformats.org/officeDocument/2006/relationships/image" Target="media/image468.png"/><Relationship Id="rId508" Type="http://schemas.openxmlformats.org/officeDocument/2006/relationships/image" Target="media/image469.png"/><Relationship Id="rId509" Type="http://schemas.openxmlformats.org/officeDocument/2006/relationships/image" Target="media/image470.png"/><Relationship Id="rId510" Type="http://schemas.openxmlformats.org/officeDocument/2006/relationships/image" Target="media/image471.png"/><Relationship Id="rId511" Type="http://schemas.openxmlformats.org/officeDocument/2006/relationships/image" Target="media/image472.png"/><Relationship Id="rId512" Type="http://schemas.openxmlformats.org/officeDocument/2006/relationships/image" Target="media/image473.png"/><Relationship Id="rId513" Type="http://schemas.openxmlformats.org/officeDocument/2006/relationships/image" Target="media/image474.png"/><Relationship Id="rId514" Type="http://schemas.openxmlformats.org/officeDocument/2006/relationships/image" Target="media/image475.png"/><Relationship Id="rId515" Type="http://schemas.openxmlformats.org/officeDocument/2006/relationships/image" Target="media/image476.png"/><Relationship Id="rId516" Type="http://schemas.openxmlformats.org/officeDocument/2006/relationships/image" Target="media/image477.png"/><Relationship Id="rId517" Type="http://schemas.openxmlformats.org/officeDocument/2006/relationships/header" Target="header16.xml"/><Relationship Id="rId518" Type="http://schemas.openxmlformats.org/officeDocument/2006/relationships/footer" Target="footer18.xml"/><Relationship Id="rId519" Type="http://schemas.openxmlformats.org/officeDocument/2006/relationships/header" Target="header17.xml"/><Relationship Id="rId520" Type="http://schemas.openxmlformats.org/officeDocument/2006/relationships/footer" Target="footer19.xml"/><Relationship Id="rId521" Type="http://schemas.openxmlformats.org/officeDocument/2006/relationships/header" Target="header18.xml"/><Relationship Id="rId522" Type="http://schemas.openxmlformats.org/officeDocument/2006/relationships/footer" Target="footer20.xml"/><Relationship Id="rId523" Type="http://schemas.openxmlformats.org/officeDocument/2006/relationships/header" Target="header19.xml"/><Relationship Id="rId524" Type="http://schemas.openxmlformats.org/officeDocument/2006/relationships/footer" Target="footer21.xml"/><Relationship Id="rId525" Type="http://schemas.openxmlformats.org/officeDocument/2006/relationships/header" Target="header20.xml"/><Relationship Id="rId526" Type="http://schemas.openxmlformats.org/officeDocument/2006/relationships/footer" Target="footer22.xml"/><Relationship Id="rId527" Type="http://schemas.openxmlformats.org/officeDocument/2006/relationships/hyperlink" Target="http://www.courts.go.jp/search/jhsp0030?action_id=dspDetail&amp;hanreiSrchKb" TargetMode="External"/><Relationship Id="rId528" Type="http://schemas.openxmlformats.org/officeDocument/2006/relationships/header" Target="header21.xml"/><Relationship Id="rId529" Type="http://schemas.openxmlformats.org/officeDocument/2006/relationships/footer" Target="footer23.xml"/><Relationship Id="rId530" Type="http://schemas.openxmlformats.org/officeDocument/2006/relationships/image" Target="media/image478.png"/><Relationship Id="rId531" Type="http://schemas.openxmlformats.org/officeDocument/2006/relationships/image" Target="media/image479.png"/><Relationship Id="rId532" Type="http://schemas.openxmlformats.org/officeDocument/2006/relationships/image" Target="media/image480.png"/><Relationship Id="rId533" Type="http://schemas.openxmlformats.org/officeDocument/2006/relationships/image" Target="media/image481.png"/><Relationship Id="rId534" Type="http://schemas.openxmlformats.org/officeDocument/2006/relationships/image" Target="media/image482.png"/><Relationship Id="rId535" Type="http://schemas.openxmlformats.org/officeDocument/2006/relationships/image" Target="media/image483.png"/><Relationship Id="rId536" Type="http://schemas.openxmlformats.org/officeDocument/2006/relationships/image" Target="media/image484.png"/><Relationship Id="rId537" Type="http://schemas.openxmlformats.org/officeDocument/2006/relationships/image" Target="media/image485.png"/><Relationship Id="rId538" Type="http://schemas.openxmlformats.org/officeDocument/2006/relationships/image" Target="media/image486.png"/><Relationship Id="rId539" Type="http://schemas.openxmlformats.org/officeDocument/2006/relationships/image" Target="media/image487.png"/><Relationship Id="rId540" Type="http://schemas.openxmlformats.org/officeDocument/2006/relationships/image" Target="media/image488.png"/><Relationship Id="rId541" Type="http://schemas.openxmlformats.org/officeDocument/2006/relationships/image" Target="media/image489.png"/><Relationship Id="rId542" Type="http://schemas.openxmlformats.org/officeDocument/2006/relationships/image" Target="media/image490.png"/><Relationship Id="rId543" Type="http://schemas.openxmlformats.org/officeDocument/2006/relationships/image" Target="media/image491.png"/><Relationship Id="rId544" Type="http://schemas.openxmlformats.org/officeDocument/2006/relationships/image" Target="media/image492.png"/><Relationship Id="rId545" Type="http://schemas.openxmlformats.org/officeDocument/2006/relationships/image" Target="media/image493.png"/><Relationship Id="rId546" Type="http://schemas.openxmlformats.org/officeDocument/2006/relationships/image" Target="media/image494.png"/><Relationship Id="rId547" Type="http://schemas.openxmlformats.org/officeDocument/2006/relationships/image" Target="media/image495.png"/><Relationship Id="rId548" Type="http://schemas.openxmlformats.org/officeDocument/2006/relationships/image" Target="media/image496.png"/><Relationship Id="rId549" Type="http://schemas.openxmlformats.org/officeDocument/2006/relationships/image" Target="media/image497.png"/><Relationship Id="rId550" Type="http://schemas.openxmlformats.org/officeDocument/2006/relationships/image" Target="media/image498.png"/><Relationship Id="rId551" Type="http://schemas.openxmlformats.org/officeDocument/2006/relationships/image" Target="media/image499.png"/><Relationship Id="rId552" Type="http://schemas.openxmlformats.org/officeDocument/2006/relationships/image" Target="media/image500.png"/><Relationship Id="rId553" Type="http://schemas.openxmlformats.org/officeDocument/2006/relationships/image" Target="media/image501.png"/><Relationship Id="rId554" Type="http://schemas.openxmlformats.org/officeDocument/2006/relationships/image" Target="media/image502.png"/><Relationship Id="rId555" Type="http://schemas.openxmlformats.org/officeDocument/2006/relationships/image" Target="media/image503.png"/><Relationship Id="rId556" Type="http://schemas.openxmlformats.org/officeDocument/2006/relationships/image" Target="media/image504.png"/><Relationship Id="rId557" Type="http://schemas.openxmlformats.org/officeDocument/2006/relationships/image" Target="media/image505.png"/><Relationship Id="rId558" Type="http://schemas.openxmlformats.org/officeDocument/2006/relationships/image" Target="media/image506.png"/><Relationship Id="rId559" Type="http://schemas.openxmlformats.org/officeDocument/2006/relationships/image" Target="media/image507.png"/><Relationship Id="rId560" Type="http://schemas.openxmlformats.org/officeDocument/2006/relationships/image" Target="media/image508.png"/><Relationship Id="rId561" Type="http://schemas.openxmlformats.org/officeDocument/2006/relationships/image" Target="media/image509.png"/><Relationship Id="rId562" Type="http://schemas.openxmlformats.org/officeDocument/2006/relationships/image" Target="media/image510.png"/><Relationship Id="rId563" Type="http://schemas.openxmlformats.org/officeDocument/2006/relationships/image" Target="media/image511.png"/><Relationship Id="rId564" Type="http://schemas.openxmlformats.org/officeDocument/2006/relationships/image" Target="media/image512.png"/><Relationship Id="rId565" Type="http://schemas.openxmlformats.org/officeDocument/2006/relationships/image" Target="media/image513.png"/><Relationship Id="rId566" Type="http://schemas.openxmlformats.org/officeDocument/2006/relationships/image" Target="media/image514.png"/><Relationship Id="rId567" Type="http://schemas.openxmlformats.org/officeDocument/2006/relationships/image" Target="media/image515.png"/><Relationship Id="rId568" Type="http://schemas.openxmlformats.org/officeDocument/2006/relationships/image" Target="media/image516.png"/><Relationship Id="rId569" Type="http://schemas.openxmlformats.org/officeDocument/2006/relationships/image" Target="media/image517.png"/><Relationship Id="rId570" Type="http://schemas.openxmlformats.org/officeDocument/2006/relationships/image" Target="media/image518.png"/><Relationship Id="rId571" Type="http://schemas.openxmlformats.org/officeDocument/2006/relationships/image" Target="media/image519.png"/><Relationship Id="rId572" Type="http://schemas.openxmlformats.org/officeDocument/2006/relationships/image" Target="media/image520.png"/><Relationship Id="rId573" Type="http://schemas.openxmlformats.org/officeDocument/2006/relationships/image" Target="media/image521.png"/><Relationship Id="rId574" Type="http://schemas.openxmlformats.org/officeDocument/2006/relationships/image" Target="media/image522.png"/><Relationship Id="rId575" Type="http://schemas.openxmlformats.org/officeDocument/2006/relationships/image" Target="media/image523.png"/><Relationship Id="rId576" Type="http://schemas.openxmlformats.org/officeDocument/2006/relationships/image" Target="media/image524.png"/><Relationship Id="rId577" Type="http://schemas.openxmlformats.org/officeDocument/2006/relationships/image" Target="media/image525.png"/><Relationship Id="rId578" Type="http://schemas.openxmlformats.org/officeDocument/2006/relationships/image" Target="media/image526.png"/><Relationship Id="rId579" Type="http://schemas.openxmlformats.org/officeDocument/2006/relationships/image" Target="media/image527.png"/><Relationship Id="rId580" Type="http://schemas.openxmlformats.org/officeDocument/2006/relationships/header" Target="header22.xml"/><Relationship Id="rId581" Type="http://schemas.openxmlformats.org/officeDocument/2006/relationships/footer" Target="footer24.xml"/><Relationship Id="rId582" Type="http://schemas.openxmlformats.org/officeDocument/2006/relationships/hyperlink" Target="http://www/" TargetMode="External"/><Relationship Id="rId583" Type="http://schemas.openxmlformats.org/officeDocument/2006/relationships/numbering" Target="numbering.xml"/></Relationships>

</file>

<file path=word/_rels/header21.xml.rels><?xml version="1.0" encoding="UTF-8" standalone="yes"?>
<Relationships xmlns="http://schemas.openxmlformats.org/package/2006/relationships"><Relationship Id="rId1"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C. H.</dc:creator>
  <dc:title>壹、前言</dc:title>
  <dcterms:created xsi:type="dcterms:W3CDTF">2021-09-17T09:52:27Z</dcterms:created>
  <dcterms:modified xsi:type="dcterms:W3CDTF">2021-09-17T09:52:27Z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2011-03-03T00:00:00Z</vt:filetime>
  </property>
  <property fmtid="{D5CDD505-2E9C-101B-9397-08002B2CF9AE}" pid="3" name="Creator">
    <vt:lpwstr>Microsoft® Office Word 2007</vt:lpwstr>
  </property>
  <property fmtid="{D5CDD505-2E9C-101B-9397-08002B2CF9AE}" pid="4" name="LastSaved">
    <vt:filetime>2021-09-17T00:00:00Z</vt:filetime>
  </property>
</Properties>
</file>