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8"/>
          <w:szCs w:val="48"/>
        </w:rPr>
      </w:pPr>
      <w:r>
        <w:rPr>
          <w:rFonts w:ascii="標楷體" w:eastAsia="標楷體" w:hAnsi="Times New Roman" w:cs="標楷體" w:hint="eastAsia"/>
          <w:kern w:val="0"/>
          <w:sz w:val="48"/>
          <w:szCs w:val="48"/>
        </w:rPr>
        <w:t>考試院</w:t>
      </w:r>
      <w:r>
        <w:rPr>
          <w:rFonts w:ascii="標楷體" w:eastAsia="標楷體" w:hAnsi="Times New Roman" w:cs="標楷體"/>
          <w:kern w:val="0"/>
          <w:sz w:val="48"/>
          <w:szCs w:val="48"/>
        </w:rPr>
        <w:t xml:space="preserve">100 </w:t>
      </w:r>
      <w:r>
        <w:rPr>
          <w:rFonts w:ascii="標楷體" w:eastAsia="標楷體" w:hAnsi="Times New Roman" w:cs="標楷體" w:hint="eastAsia"/>
          <w:kern w:val="0"/>
          <w:sz w:val="48"/>
          <w:szCs w:val="48"/>
        </w:rPr>
        <w:t>年度施政計畫</w:t>
      </w:r>
    </w:p>
    <w:p w:rsidR="00957CAD" w:rsidRP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Cs w:val="24"/>
        </w:rPr>
      </w:pPr>
      <w:r w:rsidRPr="00957CAD">
        <w:rPr>
          <w:rFonts w:ascii="標楷體" w:eastAsia="標楷體" w:hAnsi="Times New Roman" w:cs="標楷體" w:hint="eastAsia"/>
          <w:kern w:val="0"/>
          <w:szCs w:val="24"/>
        </w:rPr>
        <w:t>（自民國</w:t>
      </w:r>
      <w:r w:rsidRPr="00957CAD">
        <w:rPr>
          <w:rFonts w:ascii="標楷體" w:eastAsia="標楷體" w:hAnsi="Times New Roman" w:cs="標楷體"/>
          <w:kern w:val="0"/>
          <w:szCs w:val="24"/>
        </w:rPr>
        <w:t xml:space="preserve">100 </w:t>
      </w:r>
      <w:r w:rsidRPr="00957CAD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957CAD">
        <w:rPr>
          <w:rFonts w:ascii="標楷體" w:eastAsia="標楷體" w:hAnsi="Times New Roman" w:cs="標楷體"/>
          <w:kern w:val="0"/>
          <w:szCs w:val="24"/>
        </w:rPr>
        <w:t xml:space="preserve">1 </w:t>
      </w:r>
      <w:r w:rsidRPr="00957CAD">
        <w:rPr>
          <w:rFonts w:ascii="標楷體" w:eastAsia="標楷體" w:hAnsi="Times New Roman" w:cs="標楷體" w:hint="eastAsia"/>
          <w:kern w:val="0"/>
          <w:szCs w:val="24"/>
        </w:rPr>
        <w:t>月</w:t>
      </w:r>
      <w:r w:rsidRPr="00957CAD">
        <w:rPr>
          <w:rFonts w:ascii="標楷體" w:eastAsia="標楷體" w:hAnsi="Times New Roman" w:cs="標楷體"/>
          <w:kern w:val="0"/>
          <w:szCs w:val="24"/>
        </w:rPr>
        <w:t xml:space="preserve">1 </w:t>
      </w:r>
      <w:r w:rsidRPr="00957CAD">
        <w:rPr>
          <w:rFonts w:ascii="標楷體" w:eastAsia="標楷體" w:hAnsi="Times New Roman" w:cs="標楷體" w:hint="eastAsia"/>
          <w:kern w:val="0"/>
          <w:szCs w:val="24"/>
        </w:rPr>
        <w:t>日至民國</w:t>
      </w:r>
      <w:r w:rsidRPr="00957CAD">
        <w:rPr>
          <w:rFonts w:ascii="標楷體" w:eastAsia="標楷體" w:hAnsi="Times New Roman" w:cs="標楷體"/>
          <w:kern w:val="0"/>
          <w:szCs w:val="24"/>
        </w:rPr>
        <w:t xml:space="preserve">100 </w:t>
      </w:r>
      <w:r w:rsidRPr="00957CAD">
        <w:rPr>
          <w:rFonts w:ascii="標楷體" w:eastAsia="標楷體" w:hAnsi="Times New Roman" w:cs="標楷體" w:hint="eastAsia"/>
          <w:kern w:val="0"/>
          <w:szCs w:val="24"/>
        </w:rPr>
        <w:t>年</w:t>
      </w:r>
      <w:r w:rsidRPr="00957CAD">
        <w:rPr>
          <w:rFonts w:ascii="標楷體" w:eastAsia="標楷體" w:hAnsi="Times New Roman" w:cs="標楷體"/>
          <w:kern w:val="0"/>
          <w:szCs w:val="24"/>
        </w:rPr>
        <w:t xml:space="preserve">12 </w:t>
      </w:r>
      <w:r w:rsidRPr="00957CAD">
        <w:rPr>
          <w:rFonts w:ascii="標楷體" w:eastAsia="標楷體" w:hAnsi="Times New Roman" w:cs="標楷體" w:hint="eastAsia"/>
          <w:kern w:val="0"/>
          <w:szCs w:val="24"/>
        </w:rPr>
        <w:t>月</w:t>
      </w:r>
      <w:r w:rsidRPr="00957CAD">
        <w:rPr>
          <w:rFonts w:ascii="標楷體" w:eastAsia="標楷體" w:hAnsi="Times New Roman" w:cs="標楷體"/>
          <w:kern w:val="0"/>
          <w:szCs w:val="24"/>
        </w:rPr>
        <w:t xml:space="preserve">31 </w:t>
      </w:r>
      <w:r w:rsidRPr="00957CAD">
        <w:rPr>
          <w:rFonts w:ascii="標楷體" w:eastAsia="標楷體" w:hAnsi="Times New Roman" w:cs="標楷體" w:hint="eastAsia"/>
          <w:kern w:val="0"/>
          <w:szCs w:val="24"/>
        </w:rPr>
        <w:t>日）</w:t>
      </w:r>
    </w:p>
    <w:p w:rsidR="00957CAD" w:rsidRDefault="00957CAD" w:rsidP="00957CAD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中華民國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99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年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4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月</w:t>
      </w:r>
      <w:r>
        <w:rPr>
          <w:rFonts w:ascii="標楷體" w:eastAsia="標楷體" w:hAnsi="Times New Roman" w:cs="標楷體"/>
          <w:kern w:val="0"/>
          <w:sz w:val="26"/>
          <w:szCs w:val="26"/>
        </w:rPr>
        <w:t xml:space="preserve">22 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日</w:t>
      </w:r>
    </w:p>
    <w:p w:rsidR="00957CAD" w:rsidRDefault="00957CAD" w:rsidP="00957CAD">
      <w:pPr>
        <w:autoSpaceDE w:val="0"/>
        <w:autoSpaceDN w:val="0"/>
        <w:adjustRightInd w:val="0"/>
        <w:jc w:val="right"/>
        <w:rPr>
          <w:rFonts w:ascii="標楷體" w:eastAsia="標楷體" w:hAnsi="Times New Roman" w:cs="標楷體"/>
          <w:kern w:val="0"/>
          <w:sz w:val="26"/>
          <w:szCs w:val="26"/>
        </w:rPr>
      </w:pPr>
      <w:r>
        <w:rPr>
          <w:rFonts w:ascii="標楷體" w:eastAsia="標楷體" w:hAnsi="Times New Roman" w:cs="標楷體" w:hint="eastAsia"/>
          <w:kern w:val="0"/>
          <w:sz w:val="26"/>
          <w:szCs w:val="26"/>
        </w:rPr>
        <w:t>考試院第</w:t>
      </w:r>
      <w:r>
        <w:rPr>
          <w:rFonts w:ascii="標楷體" w:eastAsia="標楷體" w:hAnsi="Times New Roman" w:cs="標楷體"/>
          <w:kern w:val="0"/>
          <w:sz w:val="26"/>
          <w:szCs w:val="26"/>
        </w:rPr>
        <w:t>11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屆第</w:t>
      </w:r>
      <w:r>
        <w:rPr>
          <w:rFonts w:ascii="標楷體" w:eastAsia="標楷體" w:hAnsi="Times New Roman" w:cs="標楷體"/>
          <w:kern w:val="0"/>
          <w:sz w:val="26"/>
          <w:szCs w:val="26"/>
        </w:rPr>
        <w:t>82</w:t>
      </w:r>
      <w:r>
        <w:rPr>
          <w:rFonts w:ascii="標楷體" w:eastAsia="標楷體" w:hAnsi="Times New Roman" w:cs="標楷體" w:hint="eastAsia"/>
          <w:kern w:val="0"/>
          <w:sz w:val="26"/>
          <w:szCs w:val="26"/>
        </w:rPr>
        <w:t>次會議通過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40"/>
          <w:szCs w:val="40"/>
        </w:rPr>
      </w:pPr>
      <w:r>
        <w:rPr>
          <w:rFonts w:ascii="標楷體" w:eastAsia="標楷體" w:hAnsi="Times New Roman" w:cs="標楷體" w:hint="eastAsia"/>
          <w:kern w:val="0"/>
          <w:sz w:val="40"/>
          <w:szCs w:val="40"/>
        </w:rPr>
        <w:t>參、保障暨培訓行政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公務人員保障暨培訓委員會掌理公務人員保障與培訓業務。</w:t>
      </w:r>
      <w:r>
        <w:rPr>
          <w:rFonts w:ascii="標楷體" w:eastAsia="標楷體" w:hAnsi="Times New Roman" w:cs="標楷體"/>
          <w:kern w:val="0"/>
          <w:sz w:val="32"/>
          <w:szCs w:val="32"/>
        </w:rPr>
        <w:t xml:space="preserve">100 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年度施政計畫保障部分，將研修保障法規，完備保障法制；強化審議公正公平，擴大當事人程序參與，兼顧程序與實質正義；加強追蹤保障事件執行成效，督促機關改正缺失，疏減訟源；擴大辦理保障制度宣導；落實公務人員權益保障；加強推動資訊化服務；建立廉能且高效率，全心為民服務之政府。培訓部分，將致力健全培訓法制，規劃辦理各項培訓業務，賡續推廣終身學習，健全行政中立理念，加強國際交流，建構完整之高階文官及主管培育訓練體系，充實自初任人員至高階文官、非主管至主管之整體性訓練，強化核心職能訓練，建立訓練成效評估追蹤制度，充實訓練機關軟硬體設施，開創培訓機制新風貌，培育優質的公務人員，提昇公務人力素質，增進國家整體競爭優勢，俾以回應民眾期望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一、保訓法制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（一）檢討研修公務人員保障相關法規。</w:t>
      </w:r>
    </w:p>
    <w:p w:rsidR="00957CAD" w:rsidRDefault="00957CAD" w:rsidP="00957CAD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（二）研修（訂）公務人員訓練進修相關法規。</w:t>
      </w:r>
    </w:p>
    <w:p w:rsidR="00957CAD" w:rsidRDefault="00957CAD" w:rsidP="00957CAD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（三）研修公務人員保障暨培訓委員會及所屬機關相關法規。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二、保障業務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（一）強化保障事件審議程序。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（二）辦理公務人員復審業務。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（三）辦理公務人員再審議業務。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（四）辦理公務人員再申訴業務。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（五）追蹤公務人員保障事件執行成效。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（六）辦理公務人員保障之國際交流合作業務。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（七）積極宣導、輔導及聯繫推動公務人員保障制度。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（八）辦理公務人員保障事項司法裁判之研析及建議。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（九）編印公務人員保障業務相關書刊。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（十）加強推動保障業務資訊化服務。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三、培訓業務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（一）辦理高階公務人員中長期培訓。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（二）辦理各類公務人員考試錄取人員訓練。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（三）辦理各類公務人員晉升官等（資位）訓練。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（四）辦理公務人員行政中立訓練及宣導。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（五）加強公務倫理宣導。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（六）加強公務人員身心健康宣導。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（七）辦理行政院暨所屬機關以外之公務人員訓練進修。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（八）辦理人事人員訓練進修。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（九）辦理公務人員核心知能需求之調查及評估。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（十）辦理公務人員培訓需求評析及績效評估。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（十一）研究發展公務人員訓練評鑑方法及技術。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（十二）參與國際培訓組織交流活動，推動國際訓練新知交流。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（十三）擴大教育訓練合作平台，積極與國內外教育、訓練及學術機關（構）交流合作。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（十四）研究增進公務人員終身學習之方式及管道，並辦理各項推廣活動。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（十五）利用現代化資訊技術，辦理公務人員數位學習及規劃推動混成學習。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（十六）加強與各訓練機關（構）及大專院校之協調聯繫與合作。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（十七）強化訓練進修協調會報及觀摩學習活動功能。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（十八）開發行政個案教學課程，強化多元教學方法。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lastRenderedPageBreak/>
        <w:t>（十九）強化公務人員培訓相關圖書資料之蒐集、典藏與服務，並出版培訓相關書刊與電子報。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（二十）辦理公務人員閱讀之各項推廣活動。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（二十一）加強學員訓練後之評估及服務。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（二十二）加強接受委託辦理相關訓練。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（二十三）規劃建置培訓機關</w:t>
      </w:r>
      <w:r>
        <w:rPr>
          <w:rFonts w:ascii="標楷體" w:eastAsia="標楷體" w:hAnsi="Times New Roman" w:cs="標楷體"/>
          <w:kern w:val="0"/>
          <w:sz w:val="32"/>
          <w:szCs w:val="32"/>
        </w:rPr>
        <w:t>(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構</w:t>
      </w:r>
      <w:r>
        <w:rPr>
          <w:rFonts w:ascii="標楷體" w:eastAsia="標楷體" w:hAnsi="Times New Roman" w:cs="標楷體"/>
          <w:kern w:val="0"/>
          <w:sz w:val="32"/>
          <w:szCs w:val="32"/>
        </w:rPr>
        <w:t>)</w:t>
      </w:r>
      <w:r>
        <w:rPr>
          <w:rFonts w:ascii="標楷體" w:eastAsia="標楷體" w:hAnsi="Times New Roman" w:cs="標楷體" w:hint="eastAsia"/>
          <w:kern w:val="0"/>
          <w:sz w:val="32"/>
          <w:szCs w:val="32"/>
        </w:rPr>
        <w:t>數位學習網路平台。</w:t>
      </w:r>
    </w:p>
    <w:p w:rsidR="00957CAD" w:rsidRDefault="00957CAD" w:rsidP="00957CAD">
      <w:pPr>
        <w:autoSpaceDE w:val="0"/>
        <w:autoSpaceDN w:val="0"/>
        <w:adjustRightInd w:val="0"/>
        <w:ind w:left="1280" w:hangingChars="400" w:hanging="128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（二十四）配合國家文官學院成立，賡續辦理辦公教學廳舍整修工程，並充實各項軟硬體設施。</w:t>
      </w:r>
    </w:p>
    <w:p w:rsidR="00957CAD" w:rsidRDefault="00957CAD" w:rsidP="00957CAD">
      <w:pPr>
        <w:autoSpaceDE w:val="0"/>
        <w:autoSpaceDN w:val="0"/>
        <w:adjustRightInd w:val="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四、研究發展</w:t>
      </w:r>
    </w:p>
    <w:p w:rsidR="00957CAD" w:rsidRDefault="00957CAD" w:rsidP="00957CAD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（一）專案委託研究公務人員保障暨培訓制度。</w:t>
      </w:r>
    </w:p>
    <w:p w:rsidR="00957CAD" w:rsidRDefault="00957CAD" w:rsidP="00957CAD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（二）考察各國公務人員保障暨培訓制度。</w:t>
      </w:r>
    </w:p>
    <w:p w:rsidR="00957CAD" w:rsidRDefault="00957CAD" w:rsidP="00957CAD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（三）研究改進公務人員保障及培訓業務。</w:t>
      </w:r>
    </w:p>
    <w:p w:rsidR="00957CAD" w:rsidRDefault="00957CAD" w:rsidP="00957CAD">
      <w:pPr>
        <w:autoSpaceDE w:val="0"/>
        <w:autoSpaceDN w:val="0"/>
        <w:adjustRightInd w:val="0"/>
        <w:ind w:left="960" w:hangingChars="300" w:hanging="960"/>
        <w:rPr>
          <w:rFonts w:ascii="標楷體" w:eastAsia="標楷體" w:hAnsi="Times New Roman" w:cs="標楷體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kern w:val="0"/>
          <w:sz w:val="32"/>
          <w:szCs w:val="32"/>
        </w:rPr>
        <w:t>（四）辦理公務人員保障制度及培訓業務研討會及座談會。</w:t>
      </w:r>
      <w:bookmarkStart w:id="0" w:name="_GoBack"/>
      <w:bookmarkEnd w:id="0"/>
    </w:p>
    <w:sectPr w:rsidR="00957C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C2" w:rsidRDefault="001009C2" w:rsidP="00957CAD">
      <w:r>
        <w:separator/>
      </w:r>
    </w:p>
  </w:endnote>
  <w:endnote w:type="continuationSeparator" w:id="0">
    <w:p w:rsidR="001009C2" w:rsidRDefault="001009C2" w:rsidP="0095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C2" w:rsidRDefault="001009C2" w:rsidP="00957CAD">
      <w:r>
        <w:separator/>
      </w:r>
    </w:p>
  </w:footnote>
  <w:footnote w:type="continuationSeparator" w:id="0">
    <w:p w:rsidR="001009C2" w:rsidRDefault="001009C2" w:rsidP="0095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AD"/>
    <w:rsid w:val="001009C2"/>
    <w:rsid w:val="006F5436"/>
    <w:rsid w:val="0095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D7D6B-5952-44AA-92E7-FAAB3947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7C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7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7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呂宜樺</dc:creator>
  <cp:keywords/>
  <dc:description/>
  <cp:lastModifiedBy>呂宜樺</cp:lastModifiedBy>
  <cp:revision>1</cp:revision>
  <dcterms:created xsi:type="dcterms:W3CDTF">2017-03-31T07:07:00Z</dcterms:created>
  <dcterms:modified xsi:type="dcterms:W3CDTF">2017-03-31T07:13:00Z</dcterms:modified>
</cp:coreProperties>
</file>