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5"/>
        </w:rPr>
        <w:t>【公務人員保障暨培訓委員會新聞稿】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spacing w:before="0"/>
        <w:ind w:left="743" w:right="1020" w:firstLine="0"/>
        <w:jc w:val="center"/>
        <w:rPr>
          <w:b/>
          <w:sz w:val="32"/>
        </w:rPr>
      </w:pPr>
      <w:r>
        <w:rPr>
          <w:b/>
          <w:sz w:val="32"/>
        </w:rPr>
        <w:t>保訓會回應司法實務變革，提升公務人員救濟權利</w:t>
      </w:r>
    </w:p>
    <w:p>
      <w:pPr>
        <w:tabs>
          <w:tab w:pos="6447" w:val="left" w:leader="none"/>
        </w:tabs>
        <w:spacing w:line="268" w:lineRule="auto" w:before="178"/>
        <w:ind w:left="5411" w:right="442" w:firstLine="0"/>
        <w:jc w:val="left"/>
        <w:rPr>
          <w:sz w:val="23"/>
        </w:rPr>
      </w:pPr>
      <w:r>
        <w:rPr>
          <w:sz w:val="23"/>
        </w:rPr>
        <w:t>日</w:t>
        <w:tab/>
      </w:r>
      <w:r>
        <w:rPr>
          <w:spacing w:val="-1"/>
          <w:sz w:val="23"/>
        </w:rPr>
        <w:t>期：</w:t>
      </w:r>
      <w:r>
        <w:rPr>
          <w:rFonts w:ascii="Times New Roman" w:eastAsia="Times New Roman"/>
          <w:spacing w:val="-1"/>
          <w:sz w:val="23"/>
        </w:rPr>
        <w:t>109</w:t>
      </w:r>
      <w:r>
        <w:rPr>
          <w:sz w:val="23"/>
        </w:rPr>
        <w:t>年</w:t>
      </w:r>
      <w:r>
        <w:rPr>
          <w:rFonts w:ascii="Times New Roman" w:eastAsia="Times New Roman"/>
          <w:sz w:val="23"/>
        </w:rPr>
        <w:t>12</w:t>
      </w:r>
      <w:r>
        <w:rPr>
          <w:sz w:val="23"/>
        </w:rPr>
        <w:t>月</w:t>
      </w:r>
      <w:r>
        <w:rPr>
          <w:rFonts w:ascii="Times New Roman" w:eastAsia="Times New Roman"/>
          <w:sz w:val="23"/>
        </w:rPr>
        <w:t>24</w:t>
      </w:r>
      <w:r>
        <w:rPr>
          <w:sz w:val="23"/>
        </w:rPr>
        <w:t>日發</w:t>
      </w:r>
      <w:r>
        <w:rPr>
          <w:spacing w:val="-1"/>
          <w:sz w:val="23"/>
        </w:rPr>
        <w:t> </w:t>
      </w:r>
      <w:r>
        <w:rPr>
          <w:sz w:val="23"/>
        </w:rPr>
        <w:t>稿 單 位：保障處</w:t>
      </w:r>
    </w:p>
    <w:p>
      <w:pPr>
        <w:tabs>
          <w:tab w:pos="6447" w:val="left" w:leader="none"/>
        </w:tabs>
        <w:spacing w:line="268" w:lineRule="auto" w:before="0"/>
        <w:ind w:left="5411" w:right="711" w:firstLine="0"/>
        <w:jc w:val="left"/>
        <w:rPr>
          <w:rFonts w:ascii="Times New Roman" w:eastAsia="Times New Roman"/>
          <w:sz w:val="23"/>
        </w:rPr>
      </w:pPr>
      <w:r>
        <w:rPr>
          <w:sz w:val="23"/>
        </w:rPr>
        <w:t>新聞聯絡人</w:t>
      </w:r>
      <w:r>
        <w:rPr>
          <w:rFonts w:ascii="Times New Roman" w:eastAsia="Times New Roman"/>
          <w:sz w:val="23"/>
        </w:rPr>
        <w:t>1</w:t>
      </w:r>
      <w:r>
        <w:rPr>
          <w:sz w:val="23"/>
        </w:rPr>
        <w:t>：黃處長秀琴電</w:t>
        <w:tab/>
      </w:r>
      <w:r>
        <w:rPr>
          <w:spacing w:val="-2"/>
          <w:sz w:val="23"/>
        </w:rPr>
        <w:t>話：</w:t>
      </w:r>
      <w:r>
        <w:rPr>
          <w:rFonts w:ascii="Times New Roman" w:eastAsia="Times New Roman"/>
          <w:spacing w:val="-2"/>
          <w:sz w:val="23"/>
        </w:rPr>
        <w:t>02-82366961</w:t>
      </w:r>
    </w:p>
    <w:p>
      <w:pPr>
        <w:tabs>
          <w:tab w:pos="6447" w:val="left" w:leader="none"/>
        </w:tabs>
        <w:spacing w:line="268" w:lineRule="auto" w:before="0"/>
        <w:ind w:left="5411" w:right="711" w:firstLine="0"/>
        <w:jc w:val="left"/>
        <w:rPr>
          <w:rFonts w:ascii="Times New Roman" w:eastAsia="Times New Roman"/>
          <w:sz w:val="23"/>
        </w:rPr>
      </w:pPr>
      <w:r>
        <w:rPr>
          <w:sz w:val="23"/>
        </w:rPr>
        <w:t>新聞聯絡人</w:t>
      </w:r>
      <w:r>
        <w:rPr>
          <w:rFonts w:ascii="Times New Roman" w:eastAsia="Times New Roman"/>
          <w:sz w:val="23"/>
        </w:rPr>
        <w:t>2</w:t>
      </w:r>
      <w:r>
        <w:rPr>
          <w:sz w:val="23"/>
        </w:rPr>
        <w:t>：王科長綺華電</w:t>
        <w:tab/>
      </w:r>
      <w:r>
        <w:rPr>
          <w:spacing w:val="-2"/>
          <w:sz w:val="23"/>
        </w:rPr>
        <w:t>話：</w:t>
      </w:r>
      <w:r>
        <w:rPr>
          <w:rFonts w:ascii="Times New Roman" w:eastAsia="Times New Roman"/>
          <w:spacing w:val="-2"/>
          <w:sz w:val="23"/>
        </w:rPr>
        <w:t>02-82367071</w:t>
      </w:r>
    </w:p>
    <w:p>
      <w:pPr>
        <w:pStyle w:val="BodyText"/>
        <w:spacing w:before="9"/>
        <w:ind w:left="0"/>
        <w:rPr>
          <w:rFonts w:ascii="Times New Roman"/>
          <w:sz w:val="21"/>
        </w:rPr>
      </w:pPr>
      <w:r>
        <w:rPr/>
        <w:pict>
          <v:group style="position:absolute;margin-left:93.744003pt;margin-top:14.517653pt;width:411.7pt;height:1.1pt;mso-position-horizontal-relative:page;mso-position-vertical-relative:paragraph;z-index:-15728640;mso-wrap-distance-left:0;mso-wrap-distance-right:0" coordorigin="1875,290" coordsize="8234,22">
            <v:line style="position:absolute" from="1875,301" to="7361,301" stroked="true" strokeweight="1.067574pt" strokecolor="#000000">
              <v:stroke dashstyle="dash"/>
            </v:line>
            <v:line style="position:absolute" from="7367,301" to="10108,301" stroked="true" strokeweight="1.067574pt" strokecolor="#000000">
              <v:stroke dashstyle="dash"/>
            </v:line>
            <w10:wrap type="topAndBottom"/>
          </v:group>
        </w:pict>
      </w:r>
    </w:p>
    <w:p>
      <w:pPr>
        <w:pStyle w:val="BodyText"/>
        <w:ind w:left="0"/>
        <w:rPr>
          <w:rFonts w:ascii="Times New Roman"/>
          <w:sz w:val="17"/>
        </w:rPr>
      </w:pPr>
    </w:p>
    <w:p>
      <w:pPr>
        <w:pStyle w:val="BodyText"/>
        <w:spacing w:line="278" w:lineRule="auto" w:before="36"/>
        <w:ind w:right="108" w:firstLine="640"/>
      </w:pPr>
      <w:r>
        <w:rPr/>
        <w:t>保訓會日前回應司法實務變革，調整保障事件標的所適</w:t>
      </w:r>
      <w:r>
        <w:rPr>
          <w:spacing w:val="-19"/>
        </w:rPr>
        <w:t>用的救濟程序，舉凡公務人員考績、獎懲、曠職、占缺借調、</w:t>
      </w:r>
      <w:r>
        <w:rPr>
          <w:spacing w:val="1"/>
        </w:rPr>
        <w:t> </w:t>
      </w:r>
      <w:r>
        <w:rPr>
          <w:spacing w:val="5"/>
          <w:w w:val="95"/>
        </w:rPr>
        <w:t>指名商調及一次記二大功專案考績等 </w:t>
      </w:r>
      <w:r>
        <w:rPr>
          <w:rFonts w:ascii="Times New Roman" w:eastAsia="Times New Roman"/>
          <w:w w:val="95"/>
        </w:rPr>
        <w:t>6</w:t>
      </w:r>
      <w:r>
        <w:rPr>
          <w:rFonts w:ascii="Times New Roman" w:eastAsia="Times New Roman"/>
          <w:spacing w:val="18"/>
          <w:w w:val="95"/>
        </w:rPr>
        <w:t> </w:t>
      </w:r>
      <w:r>
        <w:rPr>
          <w:w w:val="95"/>
        </w:rPr>
        <w:t>類原認定屬管理措施，</w:t>
      </w:r>
      <w:r>
        <w:rPr>
          <w:spacing w:val="-149"/>
          <w:w w:val="95"/>
        </w:rPr>
        <w:t> </w:t>
      </w:r>
      <w:r>
        <w:rPr/>
        <w:t>均改認定屬行政處分，未來均可向保訓會提起復審救濟。公務人員如果對復審決定仍有不服，還可向行政法院提起行政訴訟，大大提升了公務人員的救濟權利。</w:t>
      </w:r>
    </w:p>
    <w:p>
      <w:pPr>
        <w:pStyle w:val="BodyText"/>
        <w:spacing w:line="278" w:lineRule="auto" w:before="5"/>
        <w:ind w:right="336" w:firstLine="640"/>
        <w:jc w:val="both"/>
      </w:pPr>
      <w:r>
        <w:rPr>
          <w:spacing w:val="-1"/>
          <w:w w:val="95"/>
        </w:rPr>
        <w:t>考試院今天召開第 </w:t>
      </w:r>
      <w:r>
        <w:rPr>
          <w:rFonts w:ascii="Times New Roman" w:eastAsia="Times New Roman"/>
          <w:w w:val="95"/>
        </w:rPr>
        <w:t>13</w:t>
      </w:r>
      <w:r>
        <w:rPr>
          <w:rFonts w:ascii="Times New Roman" w:eastAsia="Times New Roman"/>
          <w:spacing w:val="70"/>
          <w:w w:val="95"/>
        </w:rPr>
        <w:t> </w:t>
      </w:r>
      <w:r>
        <w:rPr>
          <w:spacing w:val="-2"/>
          <w:w w:val="95"/>
        </w:rPr>
        <w:t>屆第 </w:t>
      </w:r>
      <w:r>
        <w:rPr>
          <w:rFonts w:ascii="Times New Roman" w:eastAsia="Times New Roman"/>
          <w:w w:val="95"/>
        </w:rPr>
        <w:t>16</w:t>
      </w:r>
      <w:r>
        <w:rPr>
          <w:rFonts w:ascii="Times New Roman" w:eastAsia="Times New Roman"/>
          <w:spacing w:val="67"/>
          <w:w w:val="95"/>
        </w:rPr>
        <w:t> </w:t>
      </w:r>
      <w:r>
        <w:rPr>
          <w:w w:val="95"/>
        </w:rPr>
        <w:t>次會議，保訓會以「公務人員保障制度救濟程序之階段性變革」為題進行業務報告，</w:t>
      </w:r>
      <w:r>
        <w:rPr>
          <w:spacing w:val="19"/>
          <w:w w:val="95"/>
        </w:rPr>
        <w:t> </w:t>
      </w:r>
      <w:r>
        <w:rPr/>
        <w:t>回應近期司法解釋對現行公務人員保障法採申訴、再申訴及</w:t>
      </w:r>
      <w:r>
        <w:rPr>
          <w:spacing w:val="-10"/>
        </w:rPr>
        <w:t>復審雙軌制宣告「合憲</w:t>
      </w:r>
      <w:r>
        <w:rPr>
          <w:spacing w:val="-15"/>
        </w:rPr>
        <w:t>」，卻在理由書中提出不同以往司法實</w:t>
      </w:r>
      <w:r>
        <w:rPr/>
        <w:t>務的見解，闡明「有權利即有救濟」的精神，讓原來不能提起行政訴訟的再申訴事件，也可以依其爭議性質向行政法院提起相應的訴訟救濟。經保訓會密集召開專家學者會議討論</w:t>
      </w:r>
      <w:r>
        <w:rPr>
          <w:spacing w:val="2"/>
          <w:w w:val="95"/>
        </w:rPr>
        <w:t>及與各機關協調溝通後，作出階段性變革，將 </w:t>
      </w:r>
      <w:r>
        <w:rPr>
          <w:rFonts w:ascii="Times New Roman" w:eastAsia="Times New Roman"/>
          <w:w w:val="95"/>
        </w:rPr>
        <w:t>6</w:t>
      </w:r>
      <w:r>
        <w:rPr>
          <w:rFonts w:ascii="Times New Roman" w:eastAsia="Times New Roman"/>
          <w:spacing w:val="117"/>
        </w:rPr>
        <w:t> </w:t>
      </w:r>
      <w:r>
        <w:rPr>
          <w:w w:val="95"/>
        </w:rPr>
        <w:t>類原認定屬管理措施，均改認定屬行政處分；另於再申訴決定作成後，</w:t>
      </w:r>
      <w:r>
        <w:rPr>
          <w:spacing w:val="19"/>
          <w:w w:val="95"/>
        </w:rPr>
        <w:t> </w:t>
      </w:r>
      <w:r>
        <w:rPr/>
        <w:t>同時適時提醒當事人的訴訟權益。</w:t>
      </w:r>
    </w:p>
    <w:p>
      <w:pPr>
        <w:pStyle w:val="BodyText"/>
        <w:spacing w:line="278" w:lineRule="auto" w:before="11"/>
        <w:ind w:right="416" w:firstLine="640"/>
      </w:pPr>
      <w:r>
        <w:rPr>
          <w:w w:val="95"/>
        </w:rPr>
        <w:t>保訓會郝培芝主任委員指出，保障制度是公務人員權利</w:t>
      </w:r>
      <w:r>
        <w:rPr>
          <w:spacing w:val="1"/>
          <w:w w:val="95"/>
        </w:rPr>
        <w:t> </w:t>
      </w:r>
      <w:r>
        <w:rPr>
          <w:w w:val="95"/>
        </w:rPr>
        <w:t>受侵害的救濟管道，如何妥善規劃保障制度相關政策，使公</w:t>
      </w:r>
    </w:p>
    <w:p>
      <w:pPr>
        <w:spacing w:after="0" w:line="278" w:lineRule="auto"/>
        <w:sectPr>
          <w:type w:val="continuous"/>
          <w:pgSz w:w="11910" w:h="16840"/>
          <w:pgMar w:top="1520" w:bottom="280" w:left="1680" w:right="1380"/>
        </w:sectPr>
      </w:pPr>
    </w:p>
    <w:p>
      <w:pPr>
        <w:pStyle w:val="BodyText"/>
        <w:spacing w:line="278" w:lineRule="auto" w:before="17"/>
        <w:ind w:right="413"/>
        <w:jc w:val="both"/>
      </w:pPr>
      <w:r>
        <w:rPr>
          <w:w w:val="95"/>
        </w:rPr>
        <w:t>務人員得享有合理之訴訟保障，保訓會的責任與存在意義格</w:t>
      </w:r>
      <w:r>
        <w:rPr>
          <w:spacing w:val="1"/>
          <w:w w:val="95"/>
        </w:rPr>
        <w:t> </w:t>
      </w:r>
      <w:r>
        <w:rPr>
          <w:w w:val="95"/>
        </w:rPr>
        <w:t>外重大。未來保訓會將持續透過與專家學者意見交流及關注</w:t>
      </w:r>
      <w:r>
        <w:rPr>
          <w:spacing w:val="1"/>
          <w:w w:val="95"/>
        </w:rPr>
        <w:t> </w:t>
      </w:r>
      <w:r>
        <w:rPr>
          <w:w w:val="95"/>
        </w:rPr>
        <w:t>司法實務見解，通盤檢視公務人員保障制度政策，以落實公</w:t>
      </w:r>
      <w:r>
        <w:rPr>
          <w:spacing w:val="1"/>
          <w:w w:val="95"/>
        </w:rPr>
        <w:t> </w:t>
      </w:r>
      <w:r>
        <w:rPr/>
        <w:t>務人員權益保障及達成機關業務運作雙贏的目標。</w:t>
      </w:r>
    </w:p>
    <w:p>
      <w:pPr>
        <w:pStyle w:val="BodyText"/>
        <w:spacing w:line="278" w:lineRule="auto" w:before="4"/>
        <w:ind w:right="416" w:firstLine="640"/>
        <w:jc w:val="both"/>
      </w:pPr>
      <w:r>
        <w:rPr>
          <w:w w:val="95"/>
        </w:rPr>
        <w:t>考試院院長黃榮村及與會考試委員在會中表示：公務人</w:t>
      </w:r>
      <w:r>
        <w:rPr>
          <w:spacing w:val="1"/>
          <w:w w:val="95"/>
        </w:rPr>
        <w:t> </w:t>
      </w:r>
      <w:r>
        <w:rPr>
          <w:w w:val="95"/>
        </w:rPr>
        <w:t>員是維持國家各項施政與服務最重要的人力資源，且公務人</w:t>
      </w:r>
      <w:r>
        <w:rPr>
          <w:spacing w:val="1"/>
          <w:w w:val="95"/>
        </w:rPr>
        <w:t> </w:t>
      </w:r>
      <w:r>
        <w:rPr>
          <w:w w:val="95"/>
        </w:rPr>
        <w:t>員保障制度已經走了一條很長的路，考試院樂見公務人員救</w:t>
      </w:r>
      <w:r>
        <w:rPr>
          <w:spacing w:val="1"/>
          <w:w w:val="95"/>
        </w:rPr>
        <w:t> </w:t>
      </w:r>
      <w:r>
        <w:rPr>
          <w:w w:val="95"/>
        </w:rPr>
        <w:t>濟權利的保障邁向嶄新的一頁。期勉保訓會在公務秩序與效</w:t>
      </w:r>
      <w:r>
        <w:rPr>
          <w:spacing w:val="1"/>
          <w:w w:val="95"/>
        </w:rPr>
        <w:t> </w:t>
      </w:r>
      <w:r>
        <w:rPr>
          <w:w w:val="95"/>
        </w:rPr>
        <w:t>能之間，對公務人員權利做最大的考量。保訓會則表示，將</w:t>
      </w:r>
      <w:r>
        <w:rPr>
          <w:spacing w:val="1"/>
          <w:w w:val="95"/>
        </w:rPr>
        <w:t> </w:t>
      </w:r>
      <w:r>
        <w:rPr>
          <w:w w:val="95"/>
        </w:rPr>
        <w:t>會針對院長及委員之建議進行研議，積極與中央及地方各主</w:t>
      </w:r>
      <w:r>
        <w:rPr>
          <w:spacing w:val="1"/>
          <w:w w:val="95"/>
        </w:rPr>
        <w:t> </w:t>
      </w:r>
      <w:r>
        <w:rPr>
          <w:w w:val="95"/>
        </w:rPr>
        <w:t>管機關人事機構充分溝通瞭解實務運作情形，並賡續進行各</w:t>
      </w:r>
      <w:r>
        <w:rPr>
          <w:spacing w:val="1"/>
          <w:w w:val="95"/>
        </w:rPr>
        <w:t> </w:t>
      </w:r>
      <w:r>
        <w:rPr>
          <w:w w:val="95"/>
        </w:rPr>
        <w:t>項法制研修作業，為達成落實公務人員權益保障的目的持續</w:t>
      </w:r>
      <w:r>
        <w:rPr>
          <w:spacing w:val="1"/>
          <w:w w:val="95"/>
        </w:rPr>
        <w:t> </w:t>
      </w:r>
      <w:r>
        <w:rPr/>
        <w:t>努力。</w:t>
      </w:r>
    </w:p>
    <w:sectPr>
      <w:pgSz w:w="11910" w:h="16840"/>
      <w:pgMar w:top="1500" w:bottom="280" w:left="16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before="1"/>
      <w:ind w:left="120"/>
    </w:pPr>
    <w:rPr>
      <w:rFonts w:ascii="標楷體" w:hAnsi="標楷體" w:eastAsia="標楷體" w:cs="標楷體"/>
      <w:sz w:val="32"/>
      <w:szCs w:val="32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10"/>
      <w:ind w:left="723" w:right="1020"/>
      <w:jc w:val="center"/>
    </w:pPr>
    <w:rPr>
      <w:rFonts w:ascii="標楷體" w:hAnsi="標楷體" w:eastAsia="標楷體" w:cs="標楷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2021-10-12T09:32:39Z</dcterms:created>
  <dcterms:modified xsi:type="dcterms:W3CDTF">2021-10-12T09:32:39Z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2021-10-12T00:00:00Z</vt:filetime>
  </property>
</Properties>
</file>