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【公務人員保障暨培訓委員會新聞稿】</w:t>
      </w:r>
    </w:p>
    <w:p>
      <w:pPr>
        <w:spacing w:line="446" w:lineRule="exact" w:before="203"/>
        <w:ind w:left="897" w:right="714" w:firstLine="0"/>
        <w:jc w:val="center"/>
        <w:rPr>
          <w:b/>
          <w:sz w:val="32"/>
        </w:rPr>
      </w:pPr>
      <w:r>
        <w:rPr>
          <w:b/>
          <w:w w:val="95"/>
          <w:sz w:val="32"/>
        </w:rPr>
        <w:t>公務人員救濟意識提升，109</w:t>
      </w:r>
      <w:r>
        <w:rPr>
          <w:b/>
          <w:spacing w:val="-2"/>
          <w:w w:val="95"/>
          <w:sz w:val="32"/>
        </w:rPr>
        <w:t> 年保訓會受理件數成長</w:t>
      </w:r>
    </w:p>
    <w:p>
      <w:pPr>
        <w:tabs>
          <w:tab w:pos="6447" w:val="left" w:leader="none"/>
        </w:tabs>
        <w:spacing w:line="268" w:lineRule="auto" w:before="0"/>
        <w:ind w:left="5411" w:right="452" w:firstLine="0"/>
        <w:jc w:val="left"/>
        <w:rPr>
          <w:sz w:val="23"/>
        </w:rPr>
      </w:pPr>
      <w:r>
        <w:rPr>
          <w:sz w:val="23"/>
        </w:rPr>
        <w:t>日</w:t>
        <w:tab/>
      </w:r>
      <w:r>
        <w:rPr>
          <w:spacing w:val="-1"/>
          <w:sz w:val="23"/>
        </w:rPr>
        <w:t>期：</w:t>
      </w:r>
      <w:r>
        <w:rPr>
          <w:rFonts w:ascii="Times New Roman" w:eastAsia="Times New Roman"/>
          <w:spacing w:val="-1"/>
          <w:sz w:val="23"/>
        </w:rPr>
        <w:t>110</w:t>
      </w:r>
      <w:r>
        <w:rPr>
          <w:sz w:val="23"/>
        </w:rPr>
        <w:t>年</w:t>
      </w:r>
      <w:r>
        <w:rPr>
          <w:rFonts w:ascii="Times New Roman" w:eastAsia="Times New Roman"/>
          <w:sz w:val="23"/>
        </w:rPr>
        <w:t>2</w:t>
      </w:r>
      <w:r>
        <w:rPr>
          <w:sz w:val="23"/>
        </w:rPr>
        <w:t>月</w:t>
      </w:r>
      <w:r>
        <w:rPr>
          <w:rFonts w:ascii="Times New Roman" w:eastAsia="Times New Roman"/>
          <w:sz w:val="23"/>
        </w:rPr>
        <w:t>4</w:t>
      </w:r>
      <w:r>
        <w:rPr>
          <w:sz w:val="23"/>
        </w:rPr>
        <w:t>日發</w:t>
      </w:r>
      <w:r>
        <w:rPr>
          <w:spacing w:val="-1"/>
          <w:sz w:val="23"/>
        </w:rPr>
        <w:t> </w:t>
      </w:r>
      <w:r>
        <w:rPr>
          <w:sz w:val="23"/>
        </w:rPr>
        <w:t>稿 單</w:t>
      </w:r>
      <w:r>
        <w:rPr>
          <w:spacing w:val="-1"/>
          <w:sz w:val="23"/>
        </w:rPr>
        <w:t> </w:t>
      </w:r>
      <w:r>
        <w:rPr>
          <w:sz w:val="23"/>
        </w:rPr>
        <w:t>位：保障處</w:t>
      </w:r>
    </w:p>
    <w:p>
      <w:pPr>
        <w:tabs>
          <w:tab w:pos="6447" w:val="left" w:leader="none"/>
        </w:tabs>
        <w:spacing w:line="268" w:lineRule="auto" w:before="0"/>
        <w:ind w:left="5411" w:right="491" w:firstLine="0"/>
        <w:jc w:val="left"/>
        <w:rPr>
          <w:rFonts w:ascii="Times New Roman" w:eastAsia="Times New Roman"/>
          <w:sz w:val="23"/>
        </w:rPr>
      </w:pPr>
      <w:r>
        <w:rPr>
          <w:sz w:val="23"/>
        </w:rPr>
        <w:t>新聞聯絡人</w:t>
      </w:r>
      <w:r>
        <w:rPr>
          <w:rFonts w:ascii="Times New Roman" w:eastAsia="Times New Roman"/>
          <w:sz w:val="23"/>
        </w:rPr>
        <w:t>1</w:t>
      </w:r>
      <w:r>
        <w:rPr>
          <w:sz w:val="23"/>
        </w:rPr>
        <w:t>：黃處長秀琴電</w:t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02-82366961</w:t>
      </w:r>
    </w:p>
    <w:p>
      <w:pPr>
        <w:tabs>
          <w:tab w:pos="6447" w:val="left" w:leader="none"/>
        </w:tabs>
        <w:spacing w:line="268" w:lineRule="auto" w:before="0"/>
        <w:ind w:left="5411" w:right="491" w:firstLine="0"/>
        <w:jc w:val="left"/>
        <w:rPr>
          <w:rFonts w:ascii="Times New Roman" w:eastAsia="Times New Roman"/>
          <w:sz w:val="23"/>
        </w:rPr>
      </w:pPr>
      <w:r>
        <w:rPr>
          <w:sz w:val="23"/>
        </w:rPr>
        <w:t>新聞聯絡人</w:t>
      </w:r>
      <w:r>
        <w:rPr>
          <w:rFonts w:ascii="Times New Roman" w:eastAsia="Times New Roman"/>
          <w:sz w:val="23"/>
        </w:rPr>
        <w:t>2</w:t>
      </w:r>
      <w:r>
        <w:rPr>
          <w:sz w:val="23"/>
        </w:rPr>
        <w:t>：王科長綺華電</w:t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02-82367071</w:t>
      </w:r>
    </w:p>
    <w:p>
      <w:pPr>
        <w:pStyle w:val="BodyText"/>
        <w:spacing w:before="9"/>
        <w:ind w:right="0"/>
        <w:jc w:val="left"/>
        <w:rPr>
          <w:rFonts w:ascii="Times New Roman"/>
          <w:sz w:val="21"/>
        </w:rPr>
      </w:pPr>
      <w:r>
        <w:rPr/>
        <w:pict>
          <v:group style="position:absolute;margin-left:93.744003pt;margin-top:14.504054pt;width:411.7pt;height:1.1pt;mso-position-horizontal-relative:page;mso-position-vertical-relative:paragraph;z-index:-15728640;mso-wrap-distance-left:0;mso-wrap-distance-right:0" coordorigin="1875,290" coordsize="8234,22">
            <v:line style="position:absolute" from="1875,301" to="7361,301" stroked="true" strokeweight="1.067574pt" strokecolor="#000000">
              <v:stroke dashstyle="dash"/>
            </v:line>
            <v:line style="position:absolute" from="7367,301" to="10108,301" stroked="true" strokeweight="1.067574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7"/>
        <w:ind w:right="0"/>
        <w:jc w:val="left"/>
        <w:rPr>
          <w:rFonts w:ascii="Times New Roman"/>
          <w:sz w:val="14"/>
        </w:rPr>
      </w:pPr>
    </w:p>
    <w:p>
      <w:pPr>
        <w:pStyle w:val="BodyText"/>
        <w:spacing w:before="65"/>
        <w:jc w:val="right"/>
      </w:pPr>
      <w:r>
        <w:rPr>
          <w:spacing w:val="27"/>
          <w:w w:val="95"/>
        </w:rPr>
        <w:t>保訓會 </w:t>
      </w: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174"/>
        </w:rPr>
        <w:t> </w:t>
      </w:r>
      <w:r>
        <w:rPr>
          <w:w w:val="95"/>
        </w:rPr>
        <w:t>年辦理公務人員保障事件，因警消人員集體</w:t>
      </w:r>
    </w:p>
    <w:p>
      <w:pPr>
        <w:pStyle w:val="BodyText"/>
        <w:jc w:val="right"/>
      </w:pPr>
      <w:r>
        <w:rPr>
          <w:spacing w:val="1"/>
          <w:w w:val="95"/>
        </w:rPr>
        <w:t>請求救濟，及因應司法院釋字第 </w:t>
      </w:r>
      <w:r>
        <w:rPr>
          <w:rFonts w:ascii="Times New Roman" w:eastAsia="Times New Roman"/>
          <w:w w:val="95"/>
        </w:rPr>
        <w:t>785</w:t>
      </w:r>
      <w:r>
        <w:rPr>
          <w:rFonts w:ascii="Times New Roman" w:eastAsia="Times New Roman"/>
          <w:spacing w:val="94"/>
        </w:rPr>
        <w:t> </w:t>
      </w:r>
      <w:r>
        <w:rPr>
          <w:spacing w:val="3"/>
          <w:w w:val="95"/>
        </w:rPr>
        <w:t>號解釋意旨，於 </w:t>
      </w: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95"/>
        </w:rPr>
        <w:t> </w:t>
      </w:r>
      <w:r>
        <w:rPr>
          <w:w w:val="95"/>
        </w:rPr>
        <w:t>年</w:t>
      </w:r>
    </w:p>
    <w:p>
      <w:pPr>
        <w:pStyle w:val="BodyText"/>
        <w:spacing w:before="71"/>
        <w:ind w:left="120" w:right="0"/>
      </w:pPr>
      <w:r>
        <w:rPr>
          <w:rFonts w:ascii="Times New Roman" w:eastAsia="Times New Roman"/>
          <w:w w:val="95"/>
        </w:rPr>
        <w:t>10</w:t>
      </w:r>
      <w:r>
        <w:rPr>
          <w:rFonts w:ascii="Times New Roman" w:eastAsia="Times New Roman"/>
          <w:spacing w:val="45"/>
          <w:w w:val="95"/>
        </w:rPr>
        <w:t> </w:t>
      </w:r>
      <w:r>
        <w:rPr>
          <w:spacing w:val="-14"/>
          <w:w w:val="95"/>
        </w:rPr>
        <w:t>月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46"/>
          <w:w w:val="95"/>
        </w:rPr>
        <w:t> </w:t>
      </w:r>
      <w:r>
        <w:rPr>
          <w:spacing w:val="-3"/>
          <w:w w:val="95"/>
        </w:rPr>
        <w:t>日變更復審救濟範圍，導致 </w:t>
      </w: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43"/>
          <w:w w:val="95"/>
        </w:rPr>
        <w:t> </w:t>
      </w:r>
      <w:r>
        <w:rPr>
          <w:w w:val="95"/>
        </w:rPr>
        <w:t>年受理件數成長。</w:t>
      </w:r>
    </w:p>
    <w:p>
      <w:pPr>
        <w:pStyle w:val="BodyText"/>
        <w:spacing w:line="278" w:lineRule="auto"/>
        <w:ind w:left="120" w:right="114" w:firstLine="640"/>
      </w:pPr>
      <w:r>
        <w:rPr>
          <w:spacing w:val="4"/>
          <w:w w:val="95"/>
        </w:rPr>
        <w:t>考試院今天召開第 </w:t>
      </w:r>
      <w:r>
        <w:rPr>
          <w:rFonts w:ascii="Times New Roman" w:eastAsia="Times New Roman"/>
          <w:w w:val="95"/>
        </w:rPr>
        <w:t>13</w:t>
      </w:r>
      <w:r>
        <w:rPr>
          <w:rFonts w:ascii="Times New Roman" w:eastAsia="Times New Roman"/>
          <w:spacing w:val="36"/>
          <w:w w:val="95"/>
        </w:rPr>
        <w:t> </w:t>
      </w:r>
      <w:r>
        <w:rPr>
          <w:spacing w:val="13"/>
          <w:w w:val="95"/>
        </w:rPr>
        <w:t>屆第 </w:t>
      </w:r>
      <w:r>
        <w:rPr>
          <w:rFonts w:ascii="Times New Roman" w:eastAsia="Times New Roman"/>
          <w:w w:val="95"/>
        </w:rPr>
        <w:t>22</w:t>
      </w:r>
      <w:r>
        <w:rPr>
          <w:rFonts w:ascii="Times New Roman" w:eastAsia="Times New Roman"/>
          <w:spacing w:val="35"/>
          <w:w w:val="95"/>
        </w:rPr>
        <w:t> </w:t>
      </w:r>
      <w:r>
        <w:rPr>
          <w:w w:val="95"/>
        </w:rPr>
        <w:t>次會議，保訓會以「</w:t>
      </w: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1"/>
          <w:w w:val="95"/>
        </w:rPr>
        <w:t> </w:t>
      </w:r>
      <w:r>
        <w:rPr/>
        <w:t>年公務人員保障事件審理情形分析」為題進行業務報告，保</w:t>
      </w:r>
      <w:r>
        <w:rPr>
          <w:spacing w:val="-4"/>
          <w:w w:val="95"/>
        </w:rPr>
        <w:t>訓會 </w:t>
      </w: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66"/>
          <w:w w:val="95"/>
        </w:rPr>
        <w:t> </w:t>
      </w:r>
      <w:r>
        <w:rPr>
          <w:spacing w:val="-3"/>
          <w:w w:val="95"/>
        </w:rPr>
        <w:t>年應辦 </w:t>
      </w:r>
      <w:r>
        <w:rPr>
          <w:rFonts w:ascii="Times New Roman" w:eastAsia="Times New Roman"/>
          <w:w w:val="95"/>
        </w:rPr>
        <w:t>1,262</w:t>
      </w:r>
      <w:r>
        <w:rPr>
          <w:rFonts w:ascii="Times New Roman" w:eastAsia="Times New Roman"/>
          <w:spacing w:val="66"/>
          <w:w w:val="95"/>
        </w:rPr>
        <w:t> </w:t>
      </w:r>
      <w:r>
        <w:rPr>
          <w:spacing w:val="-2"/>
          <w:w w:val="95"/>
        </w:rPr>
        <w:t>件，辦結 </w:t>
      </w:r>
      <w:r>
        <w:rPr>
          <w:rFonts w:ascii="Times New Roman" w:eastAsia="Times New Roman"/>
          <w:w w:val="95"/>
        </w:rPr>
        <w:t>1,135</w:t>
      </w:r>
      <w:r>
        <w:rPr>
          <w:rFonts w:ascii="Times New Roman" w:eastAsia="Times New Roman"/>
          <w:spacing w:val="66"/>
          <w:w w:val="95"/>
        </w:rPr>
        <w:t> </w:t>
      </w:r>
      <w:r>
        <w:rPr>
          <w:spacing w:val="-2"/>
          <w:w w:val="95"/>
        </w:rPr>
        <w:t>件，辦結率 </w:t>
      </w:r>
      <w:r>
        <w:rPr>
          <w:rFonts w:ascii="Times New Roman" w:eastAsia="Times New Roman"/>
          <w:w w:val="95"/>
        </w:rPr>
        <w:t>89.94</w:t>
      </w:r>
      <w:r>
        <w:rPr>
          <w:w w:val="95"/>
        </w:rPr>
        <w:t>％。</w:t>
      </w:r>
    </w:p>
    <w:p>
      <w:pPr>
        <w:pStyle w:val="BodyText"/>
        <w:spacing w:line="278" w:lineRule="auto" w:before="3"/>
        <w:ind w:left="120" w:right="193"/>
      </w:pP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14"/>
          <w:w w:val="95"/>
        </w:rPr>
        <w:t> </w:t>
      </w:r>
      <w:r>
        <w:rPr>
          <w:spacing w:val="1"/>
          <w:w w:val="95"/>
        </w:rPr>
        <w:t>年受理案件數較 </w:t>
      </w:r>
      <w:r>
        <w:rPr>
          <w:rFonts w:ascii="Times New Roman" w:eastAsia="Times New Roman"/>
          <w:w w:val="95"/>
        </w:rPr>
        <w:t>108</w:t>
      </w:r>
      <w:r>
        <w:rPr>
          <w:rFonts w:ascii="Times New Roman" w:eastAsia="Times New Roman"/>
          <w:spacing w:val="19"/>
          <w:w w:val="95"/>
        </w:rPr>
        <w:t> </w:t>
      </w:r>
      <w:r>
        <w:rPr>
          <w:spacing w:val="4"/>
          <w:w w:val="95"/>
        </w:rPr>
        <w:t>年增加近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14"/>
          <w:w w:val="95"/>
        </w:rPr>
        <w:t> </w:t>
      </w:r>
      <w:r>
        <w:rPr>
          <w:w w:val="95"/>
        </w:rPr>
        <w:t>成，保訓會分析主要原因係受理消防人員因消防特考弊案，被撤銷任用、考績及銓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敘審定，以及部分未具警大學歷警察人員依司法院釋字第</w:t>
      </w:r>
      <w:r>
        <w:rPr>
          <w:rFonts w:ascii="Times New Roman" w:eastAsia="Times New Roman"/>
        </w:rPr>
        <w:t>760</w:t>
      </w:r>
      <w:r>
        <w:rPr>
          <w:rFonts w:ascii="Times New Roman" w:eastAsia="Times New Roman"/>
          <w:spacing w:val="62"/>
        </w:rPr>
        <w:t> </w:t>
      </w:r>
      <w:r>
        <w:rPr/>
        <w:t>號解釋，接受相關教育訓練後，請求派補官階列至警正</w:t>
      </w:r>
      <w:r>
        <w:rPr>
          <w:w w:val="95"/>
        </w:rPr>
        <w:t>三階之巡官等警察官職務未獲准許，集體請求救濟；加上保</w:t>
      </w:r>
      <w:r>
        <w:rPr>
          <w:spacing w:val="1"/>
          <w:w w:val="95"/>
        </w:rPr>
        <w:t> </w:t>
      </w:r>
      <w:r>
        <w:rPr>
          <w:spacing w:val="4"/>
          <w:w w:val="95"/>
        </w:rPr>
        <w:t>訓會 </w:t>
      </w: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10"/>
          <w:w w:val="95"/>
        </w:rPr>
        <w:t> </w:t>
      </w:r>
      <w:r>
        <w:rPr>
          <w:spacing w:val="7"/>
          <w:w w:val="95"/>
        </w:rPr>
        <w:t>年 </w:t>
      </w:r>
      <w:r>
        <w:rPr>
          <w:rFonts w:ascii="Times New Roman" w:eastAsia="Times New Roman"/>
          <w:w w:val="95"/>
        </w:rPr>
        <w:t>10</w:t>
      </w:r>
      <w:r>
        <w:rPr>
          <w:rFonts w:ascii="Times New Roman" w:eastAsia="Times New Roman"/>
          <w:spacing w:val="9"/>
          <w:w w:val="95"/>
        </w:rPr>
        <w:t> </w:t>
      </w:r>
      <w:r>
        <w:rPr>
          <w:spacing w:val="7"/>
          <w:w w:val="95"/>
        </w:rPr>
        <w:t>月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12"/>
          <w:w w:val="95"/>
        </w:rPr>
        <w:t> </w:t>
      </w:r>
      <w:r>
        <w:rPr>
          <w:w w:val="95"/>
        </w:rPr>
        <w:t>日擴大復審救濟範圍，公務人員如不服保訓會復審決定，還可向行政法院提起行政訴訟，紛紛提起</w:t>
      </w:r>
      <w:r>
        <w:rPr>
          <w:spacing w:val="1"/>
          <w:w w:val="95"/>
        </w:rPr>
        <w:t> </w:t>
      </w:r>
      <w:r>
        <w:rPr>
          <w:spacing w:val="2"/>
          <w:w w:val="95"/>
        </w:rPr>
        <w:t>復審，致保訓會 </w:t>
      </w:r>
      <w:r>
        <w:rPr>
          <w:rFonts w:ascii="Times New Roman" w:eastAsia="Times New Roman"/>
          <w:w w:val="95"/>
        </w:rPr>
        <w:t>109</w:t>
      </w:r>
      <w:r>
        <w:rPr>
          <w:rFonts w:ascii="Times New Roman" w:eastAsia="Times New Roman"/>
          <w:spacing w:val="19"/>
          <w:w w:val="95"/>
        </w:rPr>
        <w:t> </w:t>
      </w:r>
      <w:r>
        <w:rPr>
          <w:spacing w:val="2"/>
          <w:w w:val="95"/>
        </w:rPr>
        <w:t>年受理件數增加近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18"/>
          <w:w w:val="95"/>
        </w:rPr>
        <w:t> </w:t>
      </w:r>
      <w:r>
        <w:rPr>
          <w:w w:val="95"/>
        </w:rPr>
        <w:t>成。其中經保訓會</w:t>
      </w:r>
      <w:r>
        <w:rPr>
          <w:spacing w:val="3"/>
          <w:w w:val="95"/>
        </w:rPr>
        <w:t>審議決定撤銷者，計有 </w:t>
      </w:r>
      <w:r>
        <w:rPr>
          <w:rFonts w:ascii="Times New Roman" w:eastAsia="Times New Roman"/>
          <w:w w:val="95"/>
        </w:rPr>
        <w:t>90</w:t>
      </w:r>
      <w:r>
        <w:rPr>
          <w:rFonts w:ascii="Times New Roman" w:eastAsia="Times New Roman"/>
          <w:spacing w:val="34"/>
          <w:w w:val="95"/>
        </w:rPr>
        <w:t> </w:t>
      </w:r>
      <w:r>
        <w:rPr>
          <w:w w:val="95"/>
        </w:rPr>
        <w:t>件，大部分為考績及懲處事件，撤銷原因為辦理考績程序不合法、適用法規違誤及認定事實錯</w:t>
      </w:r>
      <w:r>
        <w:rPr>
          <w:spacing w:val="1"/>
          <w:w w:val="95"/>
        </w:rPr>
        <w:t> </w:t>
      </w:r>
      <w:r>
        <w:rPr>
          <w:w w:val="95"/>
        </w:rPr>
        <w:t>誤。保訓會表示，對經審理決定撤銷之事件，均依規定追蹤</w:t>
      </w:r>
      <w:r>
        <w:rPr>
          <w:spacing w:val="1"/>
          <w:w w:val="95"/>
        </w:rPr>
        <w:t> </w:t>
      </w:r>
      <w:r>
        <w:rPr/>
        <w:t>列管各機關辦理情形，以維護公務人員權益。</w:t>
      </w:r>
    </w:p>
    <w:p>
      <w:pPr>
        <w:pStyle w:val="BodyText"/>
        <w:spacing w:before="11"/>
        <w:jc w:val="right"/>
      </w:pPr>
      <w:r>
        <w:rPr/>
        <w:t>保訓會郝培芝主任委員指出，為因應社會急速變遷及公</w:t>
      </w:r>
    </w:p>
    <w:p>
      <w:pPr>
        <w:spacing w:after="0"/>
        <w:jc w:val="right"/>
        <w:sectPr>
          <w:type w:val="continuous"/>
          <w:pgSz w:w="11910" w:h="16840"/>
          <w:pgMar w:top="1520" w:bottom="280" w:left="1680" w:right="1600"/>
        </w:sectPr>
      </w:pPr>
    </w:p>
    <w:p>
      <w:pPr>
        <w:pStyle w:val="BodyText"/>
        <w:spacing w:line="278" w:lineRule="auto" w:before="17"/>
        <w:ind w:left="120"/>
      </w:pPr>
      <w:r>
        <w:rPr>
          <w:w w:val="95"/>
        </w:rPr>
        <w:t>務人員權益救濟意識提升，保訓會站在保障公務人員權益最</w:t>
      </w:r>
      <w:r>
        <w:rPr>
          <w:spacing w:val="1"/>
          <w:w w:val="95"/>
        </w:rPr>
        <w:t> </w:t>
      </w:r>
      <w:r>
        <w:rPr>
          <w:w w:val="95"/>
        </w:rPr>
        <w:t>前線，除妥善規劃保障制度相關政策，使公務人員享有合理</w:t>
      </w:r>
      <w:r>
        <w:rPr>
          <w:spacing w:val="1"/>
          <w:w w:val="95"/>
        </w:rPr>
        <w:t> </w:t>
      </w:r>
      <w:r>
        <w:rPr>
          <w:w w:val="95"/>
        </w:rPr>
        <w:t>訴訟保障外，審慎辦理所有保障事件，為保訓會最重要的使</w:t>
      </w:r>
      <w:r>
        <w:rPr>
          <w:spacing w:val="1"/>
          <w:w w:val="95"/>
        </w:rPr>
        <w:t> </w:t>
      </w:r>
      <w:r>
        <w:rPr>
          <w:w w:val="95"/>
        </w:rPr>
        <w:t>命。未來保訓會將秉持專業、公正、客觀的立場，審理保障</w:t>
      </w:r>
      <w:r>
        <w:rPr>
          <w:spacing w:val="1"/>
          <w:w w:val="95"/>
        </w:rPr>
        <w:t> </w:t>
      </w:r>
      <w:r>
        <w:rPr>
          <w:w w:val="95"/>
        </w:rPr>
        <w:t>事件，落實程序與實質正義，達成提升保障事件審議品質的</w:t>
      </w:r>
      <w:r>
        <w:rPr>
          <w:spacing w:val="1"/>
          <w:w w:val="95"/>
        </w:rPr>
        <w:t> </w:t>
      </w:r>
      <w:r>
        <w:rPr/>
        <w:t>目標。</w:t>
      </w:r>
    </w:p>
    <w:p>
      <w:pPr>
        <w:pStyle w:val="BodyText"/>
        <w:spacing w:line="278" w:lineRule="auto" w:before="5"/>
        <w:ind w:left="120" w:firstLine="640"/>
      </w:pPr>
      <w:r>
        <w:rPr>
          <w:w w:val="95"/>
        </w:rPr>
        <w:t>考試院院長黃榮村及與會考試委員在會中指示：保訓會</w:t>
      </w:r>
      <w:r>
        <w:rPr>
          <w:spacing w:val="1"/>
          <w:w w:val="95"/>
        </w:rPr>
        <w:t> </w:t>
      </w:r>
      <w:r>
        <w:rPr>
          <w:w w:val="95"/>
        </w:rPr>
        <w:t>職司公務人員權益救濟事項，應發揮文官法庭之功能，積極</w:t>
      </w:r>
      <w:r>
        <w:rPr>
          <w:spacing w:val="1"/>
          <w:w w:val="95"/>
        </w:rPr>
        <w:t> </w:t>
      </w:r>
      <w:r>
        <w:rPr>
          <w:w w:val="95"/>
        </w:rPr>
        <w:t>督促各機關落實執行保訓會撤銷決定；持續觀察司法實務見</w:t>
      </w:r>
      <w:r>
        <w:rPr>
          <w:spacing w:val="1"/>
          <w:w w:val="95"/>
        </w:rPr>
        <w:t> </w:t>
      </w:r>
      <w:r>
        <w:rPr>
          <w:w w:val="95"/>
        </w:rPr>
        <w:t>解之新趨，秉持專業、公正、客觀立場審理保障事件，精進</w:t>
      </w:r>
      <w:r>
        <w:rPr>
          <w:spacing w:val="1"/>
          <w:w w:val="95"/>
        </w:rPr>
        <w:t> </w:t>
      </w:r>
      <w:r>
        <w:rPr>
          <w:w w:val="95"/>
        </w:rPr>
        <w:t>審議機制，以保障公務人員權益。保訓會則表示，將依院長</w:t>
      </w:r>
      <w:r>
        <w:rPr>
          <w:spacing w:val="1"/>
          <w:w w:val="95"/>
        </w:rPr>
        <w:t> </w:t>
      </w:r>
      <w:r>
        <w:rPr>
          <w:w w:val="95"/>
        </w:rPr>
        <w:t>及委員意見，持續落實追蹤管考機制，並精進保障事件審議</w:t>
      </w:r>
      <w:r>
        <w:rPr>
          <w:spacing w:val="1"/>
          <w:w w:val="95"/>
        </w:rPr>
        <w:t> </w:t>
      </w:r>
      <w:r>
        <w:rPr/>
        <w:t>品質，以回應人民的期待。</w:t>
      </w:r>
    </w:p>
    <w:sectPr>
      <w:pgSz w:w="11910" w:h="16840"/>
      <w:pgMar w:top="15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73"/>
      <w:ind w:right="196"/>
      <w:jc w:val="both"/>
    </w:pPr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0"/>
      <w:ind w:left="637" w:right="714"/>
      <w:jc w:val="center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2021-10-12T09:30:05Z</dcterms:created>
  <dcterms:modified xsi:type="dcterms:W3CDTF">2021-10-12T09:30:05Z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