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732" w:right="1832" w:firstLine="0"/>
        <w:jc w:val="center"/>
        <w:rPr>
          <w:b/>
          <w:sz w:val="32"/>
        </w:rPr>
      </w:pPr>
      <w:r>
        <w:rPr>
          <w:b/>
          <w:sz w:val="32"/>
        </w:rPr>
        <w:t>【公務人員保障暨培訓委員會新聞稿】</w:t>
      </w:r>
    </w:p>
    <w:p>
      <w:pPr>
        <w:pStyle w:val="Title"/>
      </w:pPr>
      <w:r>
        <w:rPr/>
        <w:t>警察人員提救濟有四成為懲處，保訓會積極發揮救濟功能</w:t>
      </w:r>
    </w:p>
    <w:p>
      <w:pPr>
        <w:tabs>
          <w:tab w:pos="6789" w:val="left" w:leader="none"/>
        </w:tabs>
        <w:spacing w:line="268" w:lineRule="auto" w:before="141"/>
        <w:ind w:left="5983" w:right="416" w:firstLine="0"/>
        <w:jc w:val="left"/>
        <w:rPr>
          <w:sz w:val="23"/>
        </w:rPr>
      </w:pPr>
      <w:r>
        <w:rPr>
          <w:sz w:val="23"/>
        </w:rPr>
        <w:t>日</w:t>
        <w:tab/>
      </w:r>
      <w:r>
        <w:rPr>
          <w:spacing w:val="-1"/>
          <w:sz w:val="23"/>
        </w:rPr>
        <w:t>期：</w:t>
      </w:r>
      <w:r>
        <w:rPr>
          <w:rFonts w:ascii="Times New Roman" w:eastAsia="Times New Roman"/>
          <w:spacing w:val="-1"/>
          <w:sz w:val="23"/>
        </w:rPr>
        <w:t>110</w:t>
      </w:r>
      <w:r>
        <w:rPr>
          <w:sz w:val="23"/>
        </w:rPr>
        <w:t>年</w:t>
      </w:r>
      <w:r>
        <w:rPr>
          <w:rFonts w:ascii="Times New Roman" w:eastAsia="Times New Roman"/>
          <w:sz w:val="23"/>
        </w:rPr>
        <w:t>8</w:t>
      </w:r>
      <w:r>
        <w:rPr>
          <w:sz w:val="23"/>
        </w:rPr>
        <w:t>月</w:t>
      </w:r>
      <w:r>
        <w:rPr>
          <w:rFonts w:ascii="Times New Roman" w:eastAsia="Times New Roman"/>
          <w:sz w:val="23"/>
        </w:rPr>
        <w:t>19</w:t>
      </w:r>
      <w:r>
        <w:rPr>
          <w:sz w:val="23"/>
        </w:rPr>
        <w:t>日發 稿 單 位：保障處</w:t>
      </w:r>
    </w:p>
    <w:p>
      <w:pPr>
        <w:tabs>
          <w:tab w:pos="6942" w:val="left" w:leader="none"/>
        </w:tabs>
        <w:spacing w:line="268" w:lineRule="auto" w:before="0"/>
        <w:ind w:left="6021" w:right="416" w:hanging="39"/>
        <w:jc w:val="left"/>
        <w:rPr>
          <w:rFonts w:ascii="Times New Roman" w:eastAsia="Times New Roman"/>
          <w:sz w:val="23"/>
        </w:rPr>
      </w:pPr>
      <w:r>
        <w:rPr>
          <w:spacing w:val="-1"/>
          <w:sz w:val="23"/>
        </w:rPr>
        <w:t>新</w:t>
      </w:r>
      <w:r>
        <w:rPr>
          <w:sz w:val="23"/>
        </w:rPr>
        <w:t>聞聯絡人</w:t>
      </w:r>
      <w:r>
        <w:rPr>
          <w:rFonts w:ascii="Times New Roman" w:eastAsia="Times New Roman"/>
          <w:sz w:val="23"/>
        </w:rPr>
        <w:t>1</w:t>
      </w:r>
      <w:r>
        <w:rPr>
          <w:sz w:val="23"/>
        </w:rPr>
        <w:t>：黃處長秀琴電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02-82367061</w:t>
      </w:r>
    </w:p>
    <w:p>
      <w:pPr>
        <w:tabs>
          <w:tab w:pos="6942" w:val="left" w:leader="none"/>
        </w:tabs>
        <w:spacing w:line="268" w:lineRule="auto" w:before="0"/>
        <w:ind w:left="6021" w:right="416" w:hanging="39"/>
        <w:jc w:val="left"/>
        <w:rPr>
          <w:rFonts w:ascii="Times New Roman" w:eastAsia="Times New Roman"/>
          <w:sz w:val="23"/>
        </w:rPr>
      </w:pPr>
      <w:r>
        <w:rPr>
          <w:spacing w:val="-1"/>
          <w:sz w:val="23"/>
        </w:rPr>
        <w:t>新</w:t>
      </w:r>
      <w:r>
        <w:rPr>
          <w:sz w:val="23"/>
        </w:rPr>
        <w:t>聞聯絡人</w:t>
      </w:r>
      <w:r>
        <w:rPr>
          <w:rFonts w:ascii="Times New Roman" w:eastAsia="Times New Roman"/>
          <w:sz w:val="23"/>
        </w:rPr>
        <w:t>2</w:t>
      </w:r>
      <w:r>
        <w:rPr>
          <w:sz w:val="23"/>
        </w:rPr>
        <w:t>：王科長綺華電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02-82367071</w:t>
      </w:r>
    </w:p>
    <w:p>
      <w:pPr>
        <w:pStyle w:val="BodyText"/>
        <w:spacing w:before="9"/>
        <w:ind w:left="0"/>
        <w:jc w:val="left"/>
        <w:rPr>
          <w:rFonts w:ascii="Times New Roman"/>
          <w:sz w:val="19"/>
        </w:rPr>
      </w:pPr>
      <w:r>
        <w:rPr/>
        <w:pict>
          <v:shape style="position:absolute;margin-left:90.024002pt;margin-top:13.800312pt;width:413.4pt;height:.1pt;mso-position-horizontal-relative:page;mso-position-vertical-relative:paragraph;z-index:-15728640;mso-wrap-distance-left:0;mso-wrap-distance-right:0" coordorigin="1800,276" coordsize="8268,0" path="m1800,276l10068,276e" filled="false" stroked="true" strokeweight=".8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rFonts w:ascii="Times New Roman"/>
          <w:sz w:val="21"/>
        </w:rPr>
      </w:pPr>
    </w:p>
    <w:p>
      <w:pPr>
        <w:pStyle w:val="BodyText"/>
        <w:spacing w:before="36"/>
        <w:ind w:left="975"/>
      </w:pPr>
      <w:r>
        <w:rPr>
          <w:spacing w:val="12"/>
          <w:w w:val="95"/>
        </w:rPr>
        <w:t>保訓會深入研析 </w:t>
      </w:r>
      <w:r>
        <w:rPr>
          <w:w w:val="95"/>
        </w:rPr>
        <w:t>109</w:t>
      </w:r>
      <w:r>
        <w:rPr>
          <w:spacing w:val="1"/>
          <w:w w:val="95"/>
        </w:rPr>
        <w:t> 年警察人員提起救濟事件類型，發</w:t>
      </w:r>
    </w:p>
    <w:p>
      <w:pPr>
        <w:pStyle w:val="BodyText"/>
        <w:spacing w:line="268" w:lineRule="auto" w:before="52"/>
        <w:ind w:right="416"/>
      </w:pPr>
      <w:r>
        <w:rPr>
          <w:spacing w:val="1"/>
          <w:w w:val="95"/>
        </w:rPr>
        <w:t>現有四成以上為懲處事件。經統計 </w:t>
      </w:r>
      <w:r>
        <w:rPr>
          <w:w w:val="95"/>
        </w:rPr>
        <w:t>107</w:t>
      </w:r>
      <w:r>
        <w:rPr>
          <w:spacing w:val="6"/>
          <w:w w:val="95"/>
        </w:rPr>
        <w:t> 年至 </w:t>
      </w:r>
      <w:r>
        <w:rPr>
          <w:w w:val="95"/>
        </w:rPr>
        <w:t>109 年審議決定撤銷之懲處事件，由警察機關回復減輕或不另懲處者，占總</w:t>
      </w:r>
      <w:r>
        <w:rPr>
          <w:spacing w:val="1"/>
          <w:w w:val="95"/>
        </w:rPr>
        <w:t> </w:t>
      </w:r>
      <w:r>
        <w:rPr>
          <w:spacing w:val="-10"/>
          <w:w w:val="95"/>
        </w:rPr>
        <w:t>撤銷件數 </w:t>
      </w:r>
      <w:r>
        <w:rPr>
          <w:w w:val="95"/>
        </w:rPr>
        <w:t>66.67％，充分發揮保訓會救濟機關功能。</w:t>
      </w:r>
    </w:p>
    <w:p>
      <w:pPr>
        <w:pStyle w:val="BodyText"/>
        <w:spacing w:line="268" w:lineRule="auto"/>
        <w:ind w:right="418" w:firstLine="655"/>
      </w:pPr>
      <w:r>
        <w:rPr>
          <w:w w:val="95"/>
        </w:rPr>
        <w:t>考試院今天召開第 13</w:t>
      </w:r>
      <w:r>
        <w:rPr>
          <w:spacing w:val="1"/>
          <w:w w:val="95"/>
        </w:rPr>
        <w:t> 屆第 </w:t>
      </w:r>
      <w:r>
        <w:rPr>
          <w:w w:val="95"/>
        </w:rPr>
        <w:t>49</w:t>
      </w:r>
      <w:r>
        <w:rPr>
          <w:spacing w:val="-1"/>
          <w:w w:val="95"/>
        </w:rPr>
        <w:t> 次會議，保訓會以「保障</w:t>
      </w:r>
      <w:r>
        <w:rPr>
          <w:w w:val="95"/>
        </w:rPr>
        <w:t>事件類型分析－以警察機關、學校所屬警察人員懲處事件為</w:t>
      </w:r>
      <w:r>
        <w:rPr>
          <w:spacing w:val="1"/>
          <w:w w:val="95"/>
        </w:rPr>
        <w:t> </w:t>
      </w:r>
      <w:r>
        <w:rPr>
          <w:spacing w:val="5"/>
          <w:w w:val="95"/>
        </w:rPr>
        <w:t>例」為題進行業務報告。保訓會依內政部警政署提供 </w:t>
      </w:r>
      <w:r>
        <w:rPr>
          <w:w w:val="95"/>
        </w:rPr>
        <w:t>107</w:t>
      </w:r>
      <w:r>
        <w:rPr>
          <w:spacing w:val="55"/>
          <w:w w:val="95"/>
        </w:rPr>
        <w:t> 年</w:t>
      </w:r>
    </w:p>
    <w:p>
      <w:pPr>
        <w:pStyle w:val="BodyText"/>
        <w:spacing w:line="268" w:lineRule="auto"/>
        <w:ind w:right="102"/>
        <w:jc w:val="left"/>
      </w:pPr>
      <w:r>
        <w:rPr>
          <w:spacing w:val="64"/>
          <w:w w:val="95"/>
        </w:rPr>
        <w:t>至 </w:t>
      </w:r>
      <w:r>
        <w:rPr>
          <w:w w:val="95"/>
        </w:rPr>
        <w:t>109 年相關數據，發現警察人員懲處以「不遵規定執行職</w:t>
      </w:r>
      <w:r>
        <w:rPr/>
        <w:t>務或執行公務不力」事由最多；惟提起救濟件數，以「違反品操紀律或言行失檢，影響警譽」事由居首，主因係此類事 </w:t>
      </w:r>
      <w:r>
        <w:rPr>
          <w:w w:val="95"/>
        </w:rPr>
        <w:t>由多涉及不確定法律概念，致使警察人員提起救濟比率偏高。 又</w:t>
      </w:r>
      <w:r>
        <w:rPr>
          <w:spacing w:val="-24"/>
          <w:w w:val="95"/>
        </w:rPr>
        <w:t> </w:t>
      </w:r>
      <w:r>
        <w:rPr>
          <w:w w:val="95"/>
        </w:rPr>
        <w:t>107</w:t>
      </w:r>
      <w:r>
        <w:rPr>
          <w:spacing w:val="-14"/>
          <w:w w:val="95"/>
        </w:rPr>
        <w:t> 年至 </w:t>
      </w:r>
      <w:r>
        <w:rPr>
          <w:w w:val="95"/>
        </w:rPr>
        <w:t>109</w:t>
      </w:r>
      <w:r>
        <w:rPr>
          <w:spacing w:val="-6"/>
          <w:w w:val="95"/>
        </w:rPr>
        <w:t> 年經審議決定撤銷之警察人員懲處事件，計</w:t>
      </w:r>
    </w:p>
    <w:p>
      <w:pPr>
        <w:pStyle w:val="BodyText"/>
        <w:spacing w:line="268" w:lineRule="auto"/>
        <w:ind w:right="417"/>
      </w:pPr>
      <w:r>
        <w:rPr>
          <w:spacing w:val="-8"/>
        </w:rPr>
        <w:t>有 </w:t>
      </w:r>
      <w:r>
        <w:rPr/>
        <w:t>21</w:t>
      </w:r>
      <w:r>
        <w:rPr>
          <w:spacing w:val="-4"/>
        </w:rPr>
        <w:t> 件，警察機關依保訓會撤銷意旨，為減輕或不另懲處</w:t>
      </w:r>
      <w:r>
        <w:rPr>
          <w:spacing w:val="4"/>
          <w:w w:val="95"/>
        </w:rPr>
        <w:t>者，計 </w:t>
      </w:r>
      <w:r>
        <w:rPr>
          <w:w w:val="95"/>
        </w:rPr>
        <w:t>14</w:t>
      </w:r>
      <w:r>
        <w:rPr>
          <w:spacing w:val="2"/>
          <w:w w:val="95"/>
        </w:rPr>
        <w:t> 件，占總撤銷件數 </w:t>
      </w:r>
      <w:r>
        <w:rPr>
          <w:w w:val="95"/>
        </w:rPr>
        <w:t>66.67％。保訓會表示，對經審理決定撤銷之事件，均依規定追蹤列管各機關辦理情形，以</w:t>
      </w:r>
      <w:r>
        <w:rPr>
          <w:spacing w:val="1"/>
          <w:w w:val="95"/>
        </w:rPr>
        <w:t> </w:t>
      </w:r>
      <w:r>
        <w:rPr/>
        <w:t>維護公務人員權益。</w:t>
      </w:r>
    </w:p>
    <w:p>
      <w:pPr>
        <w:pStyle w:val="BodyText"/>
        <w:spacing w:line="268" w:lineRule="auto"/>
        <w:ind w:right="421" w:firstLine="655"/>
      </w:pPr>
      <w:r>
        <w:rPr>
          <w:w w:val="95"/>
        </w:rPr>
        <w:t>保訓會郝培芝主任委員指出，保訓會站在保障公務人員</w:t>
      </w:r>
      <w:r>
        <w:rPr>
          <w:spacing w:val="1"/>
          <w:w w:val="95"/>
        </w:rPr>
        <w:t> </w:t>
      </w:r>
      <w:r>
        <w:rPr>
          <w:w w:val="95"/>
        </w:rPr>
        <w:t>權益最前線，除妥善規劃保障制度相關政策，使公務人員享</w:t>
      </w:r>
      <w:r>
        <w:rPr>
          <w:spacing w:val="1"/>
          <w:w w:val="95"/>
        </w:rPr>
        <w:t> </w:t>
      </w:r>
      <w:r>
        <w:rPr>
          <w:w w:val="95"/>
        </w:rPr>
        <w:t>有合理救濟保障外，審慎辦理所有保障事件，為保訓會最重</w:t>
      </w:r>
    </w:p>
    <w:p>
      <w:pPr>
        <w:spacing w:after="0" w:line="268" w:lineRule="auto"/>
        <w:sectPr>
          <w:footerReference w:type="default" r:id="rId5"/>
          <w:type w:val="continuous"/>
          <w:pgSz w:w="11910" w:h="16840"/>
          <w:pgMar w:footer="1239" w:top="1540" w:bottom="1420" w:left="1480" w:right="1380"/>
          <w:pgNumType w:start="1"/>
        </w:sectPr>
      </w:pPr>
    </w:p>
    <w:p>
      <w:pPr>
        <w:pStyle w:val="BodyText"/>
        <w:spacing w:line="268" w:lineRule="auto" w:before="22"/>
        <w:ind w:right="421"/>
        <w:jc w:val="left"/>
      </w:pPr>
      <w:r>
        <w:rPr>
          <w:w w:val="95"/>
        </w:rPr>
        <w:t>要的使命。此次保訓會對於救濟個案審議情形之觀察，或可</w:t>
      </w:r>
      <w:r>
        <w:rPr>
          <w:spacing w:val="1"/>
          <w:w w:val="95"/>
        </w:rPr>
        <w:t> </w:t>
      </w:r>
      <w:r>
        <w:rPr/>
        <w:t>作為警察機關研修相關人事制度之參考。</w:t>
      </w:r>
    </w:p>
    <w:p>
      <w:pPr>
        <w:pStyle w:val="BodyText"/>
        <w:spacing w:line="268" w:lineRule="auto"/>
        <w:ind w:right="420" w:firstLine="655"/>
      </w:pPr>
      <w:r>
        <w:rPr>
          <w:w w:val="95"/>
        </w:rPr>
        <w:t>考試院院長黃榮村及與會考試委員在會中指示：保訓會</w:t>
      </w:r>
      <w:r>
        <w:rPr>
          <w:spacing w:val="1"/>
          <w:w w:val="95"/>
        </w:rPr>
        <w:t> </w:t>
      </w:r>
      <w:r>
        <w:rPr>
          <w:w w:val="95"/>
        </w:rPr>
        <w:t>職司公務人員權益救濟事項，應秉持專業、公正、客觀立場</w:t>
      </w:r>
      <w:r>
        <w:rPr>
          <w:spacing w:val="1"/>
          <w:w w:val="95"/>
        </w:rPr>
        <w:t> </w:t>
      </w:r>
      <w:r>
        <w:rPr>
          <w:w w:val="95"/>
        </w:rPr>
        <w:t>審理保障事件，精進審議機制，並積極追蹤各機關執行回復</w:t>
      </w:r>
      <w:r>
        <w:rPr>
          <w:spacing w:val="1"/>
          <w:w w:val="95"/>
        </w:rPr>
        <w:t> </w:t>
      </w:r>
      <w:r>
        <w:rPr>
          <w:w w:val="95"/>
        </w:rPr>
        <w:t>情形，適時提供制度興革之回饋，以保障公務人員權益。保</w:t>
      </w:r>
      <w:r>
        <w:rPr>
          <w:spacing w:val="1"/>
          <w:w w:val="95"/>
        </w:rPr>
        <w:t> </w:t>
      </w:r>
      <w:r>
        <w:rPr>
          <w:w w:val="95"/>
        </w:rPr>
        <w:t>訓會則表示，將依院長及委員意見，持續精進保障事件審議</w:t>
      </w:r>
      <w:r>
        <w:rPr>
          <w:spacing w:val="1"/>
          <w:w w:val="95"/>
        </w:rPr>
        <w:t> </w:t>
      </w:r>
      <w:r>
        <w:rPr>
          <w:w w:val="95"/>
        </w:rPr>
        <w:t>品質，確保機關執行情形與保訓會決定意旨相符，適時作成</w:t>
      </w:r>
      <w:r>
        <w:rPr>
          <w:spacing w:val="1"/>
          <w:w w:val="95"/>
        </w:rPr>
        <w:t> </w:t>
      </w:r>
      <w:r>
        <w:rPr>
          <w:w w:val="95"/>
        </w:rPr>
        <w:t>附帶決議，提供相關機關作為精進人事制度之參考，以回應</w:t>
      </w:r>
      <w:r>
        <w:rPr>
          <w:spacing w:val="1"/>
          <w:w w:val="95"/>
        </w:rPr>
        <w:t> </w:t>
      </w:r>
      <w:r>
        <w:rPr/>
        <w:t>公務人員的期待。</w:t>
      </w:r>
    </w:p>
    <w:sectPr>
      <w:pgSz w:w="11910" w:h="16840"/>
      <w:pgMar w:header="0" w:footer="1239" w:top="1480" w:bottom="1420" w:left="14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68.985962pt;width:11.05pt;height:12pt;mso-position-horizontal-relative:page;mso-position-vertical-relative:page;z-index:-1575424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320"/>
      <w:jc w:val="both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57"/>
      <w:ind w:left="116"/>
    </w:pPr>
    <w:rPr>
      <w:rFonts w:ascii="標楷體" w:hAnsi="標楷體" w:eastAsia="標楷體" w:cs="標楷體"/>
      <w:b/>
      <w:bCs/>
      <w:sz w:val="34"/>
      <w:szCs w:val="3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李麗秀</dc:creator>
  <dcterms:created xsi:type="dcterms:W3CDTF">2021-10-12T09:25:44Z</dcterms:created>
  <dcterms:modified xsi:type="dcterms:W3CDTF">2021-10-12T09:25:44Z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