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7D2" w:rsidRDefault="008157D2" w:rsidP="008157D2">
      <w:pPr>
        <w:spacing w:line="440" w:lineRule="exact"/>
        <w:rPr>
          <w:rFonts w:ascii="標楷體" w:eastAsia="標楷體" w:hAnsi="標楷體"/>
          <w:color w:val="000000"/>
          <w:sz w:val="36"/>
          <w:szCs w:val="36"/>
        </w:rPr>
      </w:pPr>
      <w:r w:rsidRPr="00BB5BB6">
        <w:rPr>
          <w:rFonts w:ascii="標楷體" w:eastAsia="標楷體" w:hAnsi="標楷體" w:hint="eastAsia"/>
          <w:color w:val="000000"/>
          <w:sz w:val="36"/>
          <w:szCs w:val="36"/>
        </w:rPr>
        <w:t>公職人員利益衝突迴避法(</w:t>
      </w:r>
      <w:r w:rsidRPr="00BB5BB6">
        <w:rPr>
          <w:rFonts w:ascii="標楷體" w:eastAsia="標楷體" w:hAnsi="標楷體" w:hint="eastAsia"/>
          <w:color w:val="000000"/>
          <w:sz w:val="36"/>
          <w:szCs w:val="36"/>
          <w:lang w:eastAsia="zh-HK"/>
        </w:rPr>
        <w:t>四</w:t>
      </w:r>
      <w:r w:rsidRPr="00BB5BB6">
        <w:rPr>
          <w:rFonts w:ascii="標楷體" w:eastAsia="標楷體" w:hAnsi="標楷體" w:hint="eastAsia"/>
          <w:color w:val="000000"/>
          <w:sz w:val="36"/>
          <w:szCs w:val="36"/>
        </w:rPr>
        <w:t>)</w:t>
      </w:r>
    </w:p>
    <w:p w:rsidR="008157D2" w:rsidRDefault="008157D2" w:rsidP="008157D2">
      <w:pPr>
        <w:spacing w:line="440" w:lineRule="exact"/>
        <w:rPr>
          <w:rFonts w:ascii="標楷體" w:eastAsia="標楷體" w:hAnsi="標楷體" w:hint="eastAsia"/>
          <w:sz w:val="28"/>
        </w:rPr>
      </w:pPr>
    </w:p>
    <w:p w:rsidR="008157D2" w:rsidRDefault="008157D2" w:rsidP="008157D2">
      <w:pPr>
        <w:spacing w:line="440" w:lineRule="exact"/>
        <w:jc w:val="both"/>
        <w:rPr>
          <w:rFonts w:ascii="標楷體" w:eastAsia="標楷體" w:hAnsi="標楷體" w:hint="eastAsia"/>
          <w:b/>
          <w:bCs/>
          <w:sz w:val="30"/>
        </w:rPr>
      </w:pPr>
      <w:r>
        <w:rPr>
          <w:rFonts w:ascii="標楷體" w:eastAsia="標楷體" w:hAnsi="標楷體" w:hint="eastAsia"/>
          <w:b/>
          <w:bCs/>
          <w:sz w:val="34"/>
        </w:rPr>
        <w:t>十一、違反本法規定應處罰鍰之情形：</w:t>
      </w:r>
    </w:p>
    <w:p w:rsidR="008157D2" w:rsidRDefault="008157D2" w:rsidP="008157D2">
      <w:pPr>
        <w:pStyle w:val="a3"/>
        <w:spacing w:line="440" w:lineRule="exact"/>
        <w:jc w:val="both"/>
        <w:rPr>
          <w:rFonts w:ascii="標楷體" w:eastAsia="標楷體" w:hint="eastAsia"/>
          <w:noProof/>
          <w:kern w:val="0"/>
          <w:sz w:val="28"/>
        </w:rPr>
      </w:pPr>
      <w:r>
        <w:rPr>
          <w:rFonts w:eastAsia="標楷體" w:hint="eastAsia"/>
          <w:noProof/>
          <w:kern w:val="0"/>
          <w:sz w:val="28"/>
        </w:rPr>
        <w:t>違反本法規定應處罰鍰之情形計有以下幾種：</w:t>
      </w:r>
    </w:p>
    <w:p w:rsidR="008157D2" w:rsidRDefault="008157D2" w:rsidP="008157D2">
      <w:pPr>
        <w:pStyle w:val="a3"/>
        <w:numPr>
          <w:ilvl w:val="1"/>
          <w:numId w:val="2"/>
        </w:numPr>
        <w:tabs>
          <w:tab w:val="clear" w:pos="1710"/>
          <w:tab w:val="left" w:pos="180"/>
          <w:tab w:val="num" w:pos="900"/>
        </w:tabs>
        <w:spacing w:line="440" w:lineRule="exact"/>
        <w:ind w:leftChars="0" w:left="900" w:hanging="90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未自行迴避</w:t>
      </w:r>
      <w:r>
        <w:rPr>
          <w:rFonts w:ascii="標楷體" w:eastAsia="標楷體" w:hint="eastAsia"/>
          <w:sz w:val="28"/>
        </w:rPr>
        <w:t>：公職人員知有利益衝突者，應即自行迴避(本法第6條)，而該公職人員如為民意代表，不得參與個人利益相關議案之審議及表決；如為其他公職人員應停止執行該項職務，並由職務代理人執行之(本法第10條第1項)。該公職人員並應依法向受理申報機關報備。違反者，處新臺幣100萬元以上500萬元以下罰鍰(本法第16條)。</w:t>
      </w:r>
    </w:p>
    <w:p w:rsidR="008157D2" w:rsidRDefault="008157D2" w:rsidP="008157D2">
      <w:pPr>
        <w:pStyle w:val="a3"/>
        <w:numPr>
          <w:ilvl w:val="1"/>
          <w:numId w:val="2"/>
        </w:numPr>
        <w:tabs>
          <w:tab w:val="clear" w:pos="1710"/>
          <w:tab w:val="left" w:pos="180"/>
          <w:tab w:val="num" w:pos="900"/>
        </w:tabs>
        <w:spacing w:line="440" w:lineRule="exact"/>
        <w:ind w:leftChars="0" w:left="900" w:hanging="90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拒絕迴避</w:t>
      </w:r>
      <w:r>
        <w:rPr>
          <w:rFonts w:ascii="標楷體" w:eastAsia="標楷體" w:hAnsi="標楷體" w:hint="eastAsia"/>
          <w:sz w:val="28"/>
          <w:szCs w:val="28"/>
        </w:rPr>
        <w:t>：違反第10條第4項規定之「服務機關或上級機關知有應自行迴避而未迴避情事者，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應命該</w:t>
      </w:r>
      <w:proofErr w:type="gramEnd"/>
      <w:r>
        <w:rPr>
          <w:rFonts w:ascii="標楷體" w:eastAsia="標楷體" w:hAnsi="標楷體" w:hint="eastAsia"/>
          <w:sz w:val="28"/>
          <w:szCs w:val="28"/>
        </w:rPr>
        <w:t>公職人員迴避。」或第12條規定之「公職人員有應自行迴避之情事而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>
        <w:rPr>
          <w:rFonts w:ascii="標楷體" w:eastAsia="標楷體" w:hAnsi="標楷體" w:hint="eastAsia"/>
          <w:sz w:val="28"/>
          <w:szCs w:val="28"/>
        </w:rPr>
        <w:t>迴避者，利害關係人得申請其迴避」，而其拒絕迴避者，處新台幣150萬元以上750萬元以下罰鍰。(第17條)</w:t>
      </w:r>
    </w:p>
    <w:p w:rsidR="008157D2" w:rsidRDefault="008157D2" w:rsidP="008157D2">
      <w:pPr>
        <w:pStyle w:val="a3"/>
        <w:numPr>
          <w:ilvl w:val="1"/>
          <w:numId w:val="2"/>
        </w:numPr>
        <w:tabs>
          <w:tab w:val="clear" w:pos="1710"/>
          <w:tab w:val="left" w:pos="180"/>
          <w:tab w:val="num" w:pos="900"/>
        </w:tabs>
        <w:spacing w:line="440" w:lineRule="exact"/>
        <w:ind w:leftChars="0" w:left="900" w:hanging="90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假借權力圖利</w:t>
      </w:r>
      <w:r>
        <w:rPr>
          <w:rFonts w:ascii="標楷體" w:eastAsia="標楷體" w:hint="eastAsia"/>
          <w:sz w:val="28"/>
        </w:rPr>
        <w:t>：公職人員不得假借職務上之權力、機會或方法，</w:t>
      </w:r>
      <w:proofErr w:type="gramStart"/>
      <w:r>
        <w:rPr>
          <w:rFonts w:ascii="標楷體" w:eastAsia="標楷體" w:hint="eastAsia"/>
          <w:sz w:val="28"/>
        </w:rPr>
        <w:t>圖其本人</w:t>
      </w:r>
      <w:proofErr w:type="gramEnd"/>
      <w:r>
        <w:rPr>
          <w:rFonts w:ascii="標楷體" w:eastAsia="標楷體" w:hint="eastAsia"/>
          <w:sz w:val="28"/>
        </w:rPr>
        <w:t>或關係人之利益(本法第7條)。違反者，處新臺幣100萬元以上500萬元以下罰鍰；所得財產上利益，應予追繳(本法第14條)。</w:t>
      </w:r>
    </w:p>
    <w:p w:rsidR="008157D2" w:rsidRDefault="008157D2" w:rsidP="008157D2">
      <w:pPr>
        <w:pStyle w:val="a3"/>
        <w:numPr>
          <w:ilvl w:val="1"/>
          <w:numId w:val="2"/>
        </w:numPr>
        <w:tabs>
          <w:tab w:val="clear" w:pos="1710"/>
          <w:tab w:val="left" w:pos="180"/>
          <w:tab w:val="num" w:pos="900"/>
        </w:tabs>
        <w:spacing w:line="440" w:lineRule="exact"/>
        <w:ind w:leftChars="0" w:left="900" w:hanging="90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關說圖利</w:t>
      </w:r>
      <w:r>
        <w:rPr>
          <w:rFonts w:ascii="標楷體" w:eastAsia="標楷體" w:hint="eastAsia"/>
          <w:sz w:val="28"/>
        </w:rPr>
        <w:t>：公職人員之關係人不得向機關有關人員關說、請託或以其他不當方法，</w:t>
      </w:r>
      <w:proofErr w:type="gramStart"/>
      <w:r>
        <w:rPr>
          <w:rFonts w:ascii="標楷體" w:eastAsia="標楷體" w:hint="eastAsia"/>
          <w:sz w:val="28"/>
        </w:rPr>
        <w:t>圖其本人</w:t>
      </w:r>
      <w:proofErr w:type="gramEnd"/>
      <w:r>
        <w:rPr>
          <w:rFonts w:ascii="標楷體" w:eastAsia="標楷體" w:hint="eastAsia"/>
          <w:sz w:val="28"/>
        </w:rPr>
        <w:t>或公職人員之利益(本法第8條)。違反者，處新臺幣100萬元以上500萬元以下罰鍰；所得財產上利益，應予追繳(本法第14條)。</w:t>
      </w:r>
    </w:p>
    <w:p w:rsidR="008157D2" w:rsidRDefault="008157D2" w:rsidP="008157D2">
      <w:pPr>
        <w:pStyle w:val="a3"/>
        <w:numPr>
          <w:ilvl w:val="1"/>
          <w:numId w:val="2"/>
        </w:numPr>
        <w:tabs>
          <w:tab w:val="clear" w:pos="1710"/>
          <w:tab w:val="left" w:pos="180"/>
          <w:tab w:val="num" w:pos="900"/>
        </w:tabs>
        <w:spacing w:line="440" w:lineRule="exact"/>
        <w:ind w:leftChars="0" w:left="900" w:hanging="900"/>
        <w:jc w:val="both"/>
        <w:rPr>
          <w:rFonts w:ascii="標楷體" w:eastAsia="標楷體" w:hAnsi="標楷體" w:hint="eastAsia"/>
          <w:b/>
          <w:bCs/>
          <w:sz w:val="28"/>
        </w:rPr>
      </w:pPr>
      <w:r>
        <w:rPr>
          <w:rFonts w:ascii="標楷體" w:eastAsia="標楷體" w:hint="eastAsia"/>
          <w:b/>
          <w:bCs/>
          <w:sz w:val="28"/>
        </w:rPr>
        <w:t>交易行為</w:t>
      </w:r>
      <w:r>
        <w:rPr>
          <w:rFonts w:ascii="標楷體" w:eastAsia="標楷體" w:hint="eastAsia"/>
          <w:sz w:val="28"/>
        </w:rPr>
        <w:t>：公職人員或其關係人，不得與公職人員服務之機關或受其監督之機關為買賣、租賃、承攬等交易行為(本法第9條)。違反者，處該交易行為金額</w:t>
      </w:r>
      <w:r>
        <w:rPr>
          <w:rFonts w:ascii="標楷體" w:eastAsia="標楷體" w:hint="eastAsia"/>
          <w:b/>
          <w:bCs/>
          <w:sz w:val="28"/>
        </w:rPr>
        <w:t>一倍至三倍之罰鍰</w:t>
      </w:r>
      <w:r>
        <w:rPr>
          <w:rFonts w:ascii="標楷體" w:eastAsia="標楷體" w:hint="eastAsia"/>
          <w:sz w:val="28"/>
        </w:rPr>
        <w:t>(本法第15條)。</w:t>
      </w:r>
    </w:p>
    <w:p w:rsidR="008157D2" w:rsidRDefault="008157D2" w:rsidP="008157D2">
      <w:pPr>
        <w:spacing w:line="440" w:lineRule="exact"/>
        <w:jc w:val="both"/>
        <w:rPr>
          <w:rFonts w:ascii="標楷體" w:eastAsia="標楷體" w:hAnsi="標楷體" w:hint="eastAsia"/>
          <w:b/>
          <w:bCs/>
          <w:sz w:val="28"/>
        </w:rPr>
      </w:pPr>
    </w:p>
    <w:p w:rsidR="008157D2" w:rsidRDefault="008157D2" w:rsidP="008157D2">
      <w:pPr>
        <w:spacing w:line="440" w:lineRule="exact"/>
        <w:jc w:val="both"/>
        <w:rPr>
          <w:rFonts w:ascii="標楷體" w:eastAsia="標楷體" w:hAnsi="標楷體"/>
          <w:b/>
          <w:bCs/>
          <w:sz w:val="34"/>
        </w:rPr>
      </w:pPr>
      <w:r>
        <w:rPr>
          <w:rFonts w:ascii="標楷體" w:eastAsia="標楷體" w:hAnsi="標楷體" w:hint="eastAsia"/>
          <w:b/>
          <w:bCs/>
          <w:sz w:val="34"/>
        </w:rPr>
        <w:t>十二、公職人員利益衝突迴避法所定之裁罰機關：</w:t>
      </w:r>
    </w:p>
    <w:p w:rsidR="008157D2" w:rsidRDefault="008157D2" w:rsidP="008157D2">
      <w:pPr>
        <w:numPr>
          <w:ilvl w:val="1"/>
          <w:numId w:val="1"/>
        </w:numPr>
        <w:tabs>
          <w:tab w:val="clear" w:pos="1680"/>
          <w:tab w:val="num" w:pos="900"/>
        </w:tabs>
        <w:spacing w:line="440" w:lineRule="exact"/>
        <w:ind w:left="900" w:hanging="900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依公職人員財產申報法第2條第1項規定應向監察院申報財產之人員，由監察院為之。</w:t>
      </w:r>
    </w:p>
    <w:p w:rsidR="008157D2" w:rsidRDefault="008157D2" w:rsidP="008157D2">
      <w:pPr>
        <w:numPr>
          <w:ilvl w:val="1"/>
          <w:numId w:val="1"/>
        </w:numPr>
        <w:tabs>
          <w:tab w:val="clear" w:pos="1680"/>
          <w:tab w:val="num" w:pos="900"/>
        </w:tabs>
        <w:spacing w:line="440" w:lineRule="exact"/>
        <w:ind w:left="900" w:hanging="90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公職人員之關係人及前款以外之公職人員，由法務部為之。（本法第19條）</w:t>
      </w:r>
    </w:p>
    <w:p w:rsidR="008157D2" w:rsidRDefault="008157D2" w:rsidP="008157D2">
      <w:pPr>
        <w:spacing w:line="440" w:lineRule="exact"/>
        <w:jc w:val="both"/>
        <w:rPr>
          <w:rFonts w:ascii="標楷體" w:eastAsia="標楷體" w:hAnsi="標楷體"/>
          <w:b/>
          <w:bCs/>
          <w:sz w:val="34"/>
        </w:rPr>
      </w:pPr>
      <w:r>
        <w:rPr>
          <w:rFonts w:ascii="標楷體" w:eastAsia="標楷體" w:hAnsi="標楷體" w:hint="eastAsia"/>
          <w:b/>
          <w:bCs/>
          <w:sz w:val="34"/>
        </w:rPr>
        <w:t>十三、處分機關違法事實之公開：</w:t>
      </w:r>
    </w:p>
    <w:p w:rsidR="008157D2" w:rsidRDefault="008157D2" w:rsidP="008157D2">
      <w:pPr>
        <w:pStyle w:val="3"/>
        <w:tabs>
          <w:tab w:val="clear" w:pos="1290"/>
        </w:tabs>
        <w:spacing w:line="440" w:lineRule="exact"/>
        <w:ind w:leftChars="150" w:left="360" w:firstLineChars="0" w:firstLine="0"/>
        <w:jc w:val="both"/>
        <w:rPr>
          <w:rFonts w:hint="eastAsia"/>
          <w:sz w:val="28"/>
        </w:rPr>
      </w:pPr>
      <w:r>
        <w:rPr>
          <w:rFonts w:hint="eastAsia"/>
          <w:sz w:val="28"/>
        </w:rPr>
        <w:t>為使公職人員或其關係人知所忌憚，並減少發生違反利益衝突迴避之情事，故本法第22條明定：「依本法罰鍰確定者，由處分機關公開於資訊網路或刊登政府公報或新聞紙。</w:t>
      </w:r>
    </w:p>
    <w:p w:rsidR="008157D2" w:rsidRDefault="008157D2" w:rsidP="008157D2">
      <w:pPr>
        <w:spacing w:line="440" w:lineRule="exact"/>
        <w:jc w:val="both"/>
        <w:rPr>
          <w:rFonts w:ascii="標楷體" w:eastAsia="標楷體" w:hAnsi="標楷體" w:hint="eastAsia"/>
          <w:b/>
          <w:bCs/>
          <w:sz w:val="28"/>
        </w:rPr>
      </w:pPr>
    </w:p>
    <w:p w:rsidR="008157D2" w:rsidRDefault="008157D2" w:rsidP="008157D2">
      <w:pPr>
        <w:spacing w:line="440" w:lineRule="exact"/>
        <w:ind w:left="1021" w:hangingChars="300" w:hanging="1021"/>
        <w:jc w:val="both"/>
        <w:rPr>
          <w:rFonts w:ascii="標楷體" w:eastAsia="標楷體" w:hAnsi="標楷體" w:hint="eastAsia"/>
          <w:b/>
          <w:bCs/>
          <w:sz w:val="34"/>
        </w:rPr>
      </w:pPr>
      <w:r>
        <w:rPr>
          <w:rFonts w:ascii="標楷體" w:eastAsia="標楷體" w:hAnsi="標楷體" w:hint="eastAsia"/>
          <w:b/>
          <w:bCs/>
          <w:sz w:val="34"/>
        </w:rPr>
        <w:t>十四、違反本法規定而涉及其他法律責任者，仍應依各該法律處理之：</w:t>
      </w:r>
    </w:p>
    <w:p w:rsidR="008157D2" w:rsidRDefault="008157D2" w:rsidP="008157D2">
      <w:pPr>
        <w:pStyle w:val="3"/>
        <w:tabs>
          <w:tab w:val="clear" w:pos="1290"/>
          <w:tab w:val="left" w:pos="360"/>
        </w:tabs>
        <w:spacing w:line="440" w:lineRule="exact"/>
        <w:ind w:leftChars="150" w:left="360" w:firstLineChars="0" w:firstLine="0"/>
        <w:jc w:val="both"/>
        <w:rPr>
          <w:sz w:val="28"/>
        </w:rPr>
      </w:pPr>
      <w:r>
        <w:rPr>
          <w:rFonts w:hint="eastAsia"/>
          <w:sz w:val="28"/>
        </w:rPr>
        <w:t>公職人員或其關係人違反本法規定者，除可依本法規定科處罰鍰外，如涉及其他法律責任（例如刑事責任、民事責任或行政責任）者，仍應依有關法律處理之。（本法第21條）</w:t>
      </w:r>
    </w:p>
    <w:p w:rsidR="008157D2" w:rsidRDefault="008157D2" w:rsidP="008157D2">
      <w:pPr>
        <w:pStyle w:val="3"/>
        <w:tabs>
          <w:tab w:val="clear" w:pos="1290"/>
          <w:tab w:val="left" w:pos="360"/>
        </w:tabs>
        <w:spacing w:line="440" w:lineRule="exact"/>
        <w:ind w:leftChars="150" w:left="360" w:firstLineChars="0" w:firstLine="0"/>
        <w:jc w:val="both"/>
        <w:rPr>
          <w:sz w:val="28"/>
        </w:rPr>
      </w:pPr>
    </w:p>
    <w:p w:rsidR="008157D2" w:rsidRDefault="008157D2" w:rsidP="008157D2">
      <w:pPr>
        <w:pStyle w:val="3"/>
        <w:tabs>
          <w:tab w:val="clear" w:pos="1290"/>
          <w:tab w:val="left" w:pos="360"/>
        </w:tabs>
        <w:spacing w:line="440" w:lineRule="exact"/>
        <w:ind w:leftChars="150" w:left="360" w:firstLineChars="0" w:firstLine="0"/>
        <w:jc w:val="both"/>
        <w:rPr>
          <w:sz w:val="28"/>
        </w:rPr>
      </w:pPr>
    </w:p>
    <w:p w:rsidR="008157D2" w:rsidRDefault="008157D2" w:rsidP="008157D2">
      <w:pPr>
        <w:pStyle w:val="3"/>
        <w:tabs>
          <w:tab w:val="clear" w:pos="1290"/>
          <w:tab w:val="left" w:pos="360"/>
        </w:tabs>
        <w:spacing w:line="440" w:lineRule="exact"/>
        <w:ind w:leftChars="150" w:left="360" w:firstLineChars="0" w:firstLine="0"/>
        <w:jc w:val="both"/>
        <w:rPr>
          <w:sz w:val="28"/>
        </w:rPr>
      </w:pPr>
    </w:p>
    <w:p w:rsidR="008157D2" w:rsidRDefault="008157D2" w:rsidP="008157D2">
      <w:pPr>
        <w:pStyle w:val="3"/>
        <w:tabs>
          <w:tab w:val="clear" w:pos="1290"/>
          <w:tab w:val="left" w:pos="360"/>
        </w:tabs>
        <w:spacing w:line="440" w:lineRule="exact"/>
        <w:ind w:leftChars="150" w:left="360" w:firstLineChars="0" w:firstLine="0"/>
        <w:jc w:val="both"/>
        <w:rPr>
          <w:sz w:val="28"/>
        </w:rPr>
      </w:pPr>
    </w:p>
    <w:p w:rsidR="008157D2" w:rsidRDefault="008157D2" w:rsidP="008157D2">
      <w:pPr>
        <w:pStyle w:val="3"/>
        <w:tabs>
          <w:tab w:val="clear" w:pos="1290"/>
          <w:tab w:val="left" w:pos="360"/>
        </w:tabs>
        <w:spacing w:line="440" w:lineRule="exact"/>
        <w:ind w:leftChars="150" w:left="360" w:firstLineChars="0" w:firstLine="0"/>
        <w:jc w:val="both"/>
        <w:rPr>
          <w:sz w:val="28"/>
        </w:rPr>
      </w:pPr>
    </w:p>
    <w:p w:rsidR="008157D2" w:rsidRDefault="008157D2" w:rsidP="008157D2">
      <w:pPr>
        <w:pStyle w:val="3"/>
        <w:tabs>
          <w:tab w:val="clear" w:pos="1290"/>
          <w:tab w:val="left" w:pos="360"/>
        </w:tabs>
        <w:spacing w:line="440" w:lineRule="exact"/>
        <w:ind w:leftChars="150" w:left="360" w:firstLineChars="0" w:firstLine="0"/>
        <w:jc w:val="both"/>
        <w:rPr>
          <w:sz w:val="28"/>
        </w:rPr>
      </w:pPr>
    </w:p>
    <w:p w:rsidR="008157D2" w:rsidRDefault="008157D2" w:rsidP="008157D2">
      <w:pPr>
        <w:pStyle w:val="3"/>
        <w:tabs>
          <w:tab w:val="clear" w:pos="1290"/>
          <w:tab w:val="left" w:pos="360"/>
        </w:tabs>
        <w:spacing w:line="440" w:lineRule="exact"/>
        <w:ind w:leftChars="150" w:left="360" w:firstLineChars="0" w:firstLine="0"/>
        <w:jc w:val="both"/>
        <w:rPr>
          <w:sz w:val="28"/>
        </w:rPr>
      </w:pPr>
    </w:p>
    <w:p w:rsidR="008157D2" w:rsidRDefault="008157D2" w:rsidP="008157D2">
      <w:pPr>
        <w:pStyle w:val="3"/>
        <w:tabs>
          <w:tab w:val="clear" w:pos="1290"/>
          <w:tab w:val="left" w:pos="360"/>
        </w:tabs>
        <w:spacing w:line="440" w:lineRule="exact"/>
        <w:ind w:leftChars="150" w:left="360" w:firstLineChars="0" w:firstLine="0"/>
        <w:jc w:val="both"/>
        <w:rPr>
          <w:sz w:val="28"/>
        </w:rPr>
      </w:pPr>
    </w:p>
    <w:p w:rsidR="008157D2" w:rsidRDefault="008157D2" w:rsidP="008157D2">
      <w:pPr>
        <w:pStyle w:val="3"/>
        <w:tabs>
          <w:tab w:val="clear" w:pos="1290"/>
          <w:tab w:val="left" w:pos="360"/>
        </w:tabs>
        <w:spacing w:line="440" w:lineRule="exact"/>
        <w:ind w:leftChars="150" w:left="360" w:firstLineChars="0" w:firstLine="0"/>
        <w:jc w:val="both"/>
        <w:rPr>
          <w:sz w:val="28"/>
        </w:rPr>
      </w:pPr>
    </w:p>
    <w:p w:rsidR="008157D2" w:rsidRDefault="008157D2" w:rsidP="008157D2">
      <w:pPr>
        <w:pStyle w:val="3"/>
        <w:tabs>
          <w:tab w:val="clear" w:pos="1290"/>
          <w:tab w:val="left" w:pos="360"/>
        </w:tabs>
        <w:spacing w:line="440" w:lineRule="exact"/>
        <w:ind w:leftChars="150" w:left="360" w:firstLineChars="0" w:firstLine="0"/>
        <w:jc w:val="both"/>
        <w:rPr>
          <w:sz w:val="28"/>
        </w:rPr>
      </w:pPr>
    </w:p>
    <w:p w:rsidR="008157D2" w:rsidRDefault="008157D2" w:rsidP="008157D2">
      <w:pPr>
        <w:pStyle w:val="3"/>
        <w:tabs>
          <w:tab w:val="clear" w:pos="1290"/>
          <w:tab w:val="left" w:pos="360"/>
        </w:tabs>
        <w:spacing w:line="440" w:lineRule="exact"/>
        <w:ind w:leftChars="150" w:left="360" w:firstLineChars="0" w:firstLine="0"/>
        <w:jc w:val="both"/>
        <w:rPr>
          <w:sz w:val="28"/>
        </w:rPr>
      </w:pPr>
    </w:p>
    <w:p w:rsidR="008157D2" w:rsidRDefault="008157D2" w:rsidP="008157D2">
      <w:pPr>
        <w:pStyle w:val="3"/>
        <w:tabs>
          <w:tab w:val="clear" w:pos="1290"/>
          <w:tab w:val="left" w:pos="360"/>
        </w:tabs>
        <w:spacing w:line="440" w:lineRule="exact"/>
        <w:ind w:leftChars="150" w:left="360" w:firstLineChars="0" w:firstLine="0"/>
        <w:jc w:val="both"/>
        <w:rPr>
          <w:sz w:val="28"/>
        </w:rPr>
      </w:pPr>
    </w:p>
    <w:p w:rsidR="008157D2" w:rsidRDefault="008157D2" w:rsidP="008157D2">
      <w:pPr>
        <w:pStyle w:val="3"/>
        <w:tabs>
          <w:tab w:val="clear" w:pos="1290"/>
          <w:tab w:val="left" w:pos="360"/>
        </w:tabs>
        <w:spacing w:line="440" w:lineRule="exact"/>
        <w:ind w:leftChars="150" w:left="360" w:firstLineChars="0" w:firstLine="0"/>
        <w:jc w:val="both"/>
        <w:rPr>
          <w:sz w:val="28"/>
        </w:rPr>
      </w:pPr>
    </w:p>
    <w:p w:rsidR="008157D2" w:rsidRDefault="008157D2" w:rsidP="008157D2">
      <w:pPr>
        <w:pStyle w:val="3"/>
        <w:tabs>
          <w:tab w:val="clear" w:pos="1290"/>
          <w:tab w:val="left" w:pos="360"/>
        </w:tabs>
        <w:spacing w:line="440" w:lineRule="exact"/>
        <w:ind w:leftChars="150" w:left="360" w:firstLineChars="0" w:firstLine="0"/>
        <w:jc w:val="both"/>
        <w:rPr>
          <w:sz w:val="28"/>
        </w:rPr>
      </w:pPr>
    </w:p>
    <w:p w:rsidR="008157D2" w:rsidRDefault="008157D2" w:rsidP="008157D2">
      <w:pPr>
        <w:pStyle w:val="3"/>
        <w:tabs>
          <w:tab w:val="clear" w:pos="1290"/>
          <w:tab w:val="left" w:pos="360"/>
        </w:tabs>
        <w:spacing w:line="440" w:lineRule="exact"/>
        <w:ind w:leftChars="150" w:left="360" w:firstLineChars="0" w:firstLine="0"/>
        <w:jc w:val="both"/>
        <w:rPr>
          <w:sz w:val="28"/>
        </w:rPr>
      </w:pPr>
    </w:p>
    <w:p w:rsidR="008157D2" w:rsidRDefault="008157D2" w:rsidP="008157D2">
      <w:pPr>
        <w:pStyle w:val="3"/>
        <w:tabs>
          <w:tab w:val="clear" w:pos="1290"/>
          <w:tab w:val="left" w:pos="360"/>
        </w:tabs>
        <w:spacing w:line="440" w:lineRule="exact"/>
        <w:ind w:leftChars="150" w:left="360" w:firstLineChars="0" w:firstLine="0"/>
        <w:jc w:val="both"/>
        <w:rPr>
          <w:sz w:val="28"/>
        </w:rPr>
      </w:pPr>
    </w:p>
    <w:p w:rsidR="008157D2" w:rsidRDefault="008157D2" w:rsidP="008157D2">
      <w:pPr>
        <w:pStyle w:val="3"/>
        <w:tabs>
          <w:tab w:val="clear" w:pos="1290"/>
          <w:tab w:val="left" w:pos="360"/>
        </w:tabs>
        <w:spacing w:line="440" w:lineRule="exact"/>
        <w:ind w:leftChars="150" w:left="360" w:firstLineChars="0" w:firstLine="0"/>
        <w:jc w:val="both"/>
        <w:rPr>
          <w:sz w:val="28"/>
        </w:rPr>
      </w:pPr>
    </w:p>
    <w:p w:rsidR="008157D2" w:rsidRDefault="008157D2" w:rsidP="008157D2">
      <w:pPr>
        <w:pStyle w:val="3"/>
        <w:tabs>
          <w:tab w:val="clear" w:pos="1290"/>
          <w:tab w:val="left" w:pos="360"/>
        </w:tabs>
        <w:spacing w:line="440" w:lineRule="exact"/>
        <w:ind w:leftChars="150" w:left="360" w:firstLineChars="0" w:firstLine="0"/>
        <w:jc w:val="both"/>
        <w:rPr>
          <w:sz w:val="28"/>
        </w:rPr>
      </w:pPr>
    </w:p>
    <w:p w:rsidR="0048636A" w:rsidRDefault="0048636A">
      <w:bookmarkStart w:id="0" w:name="_GoBack"/>
      <w:bookmarkEnd w:id="0"/>
    </w:p>
    <w:sectPr w:rsidR="004863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C305A"/>
    <w:multiLevelType w:val="hybridMultilevel"/>
    <w:tmpl w:val="DC4269AE"/>
    <w:lvl w:ilvl="0" w:tplc="DF84683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Ansi="標楷體" w:hint="eastAsia"/>
        <w:sz w:val="24"/>
      </w:rPr>
    </w:lvl>
    <w:lvl w:ilvl="1" w:tplc="9FFAB57E">
      <w:start w:val="1"/>
      <w:numFmt w:val="taiwaneseCountingThousand"/>
      <w:lvlText w:val="（%2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55FA246F"/>
    <w:multiLevelType w:val="hybridMultilevel"/>
    <w:tmpl w:val="57F4AA7E"/>
    <w:lvl w:ilvl="0" w:tplc="C322A4F4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1EAAA6E2">
      <w:start w:val="1"/>
      <w:numFmt w:val="taiwaneseCountingThousand"/>
      <w:lvlText w:val="（%2）"/>
      <w:lvlJc w:val="left"/>
      <w:pPr>
        <w:tabs>
          <w:tab w:val="num" w:pos="1710"/>
        </w:tabs>
        <w:ind w:left="1710" w:hanging="97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5"/>
        </w:tabs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5"/>
        </w:tabs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5"/>
        </w:tabs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5"/>
        </w:tabs>
        <w:ind w:left="457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D2"/>
    <w:rsid w:val="0048636A"/>
    <w:rsid w:val="0081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DDF12F-C1E8-46AC-BC58-018381A79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7D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157D2"/>
    <w:pPr>
      <w:ind w:leftChars="150" w:left="360"/>
    </w:pPr>
  </w:style>
  <w:style w:type="character" w:customStyle="1" w:styleId="a4">
    <w:name w:val="本文縮排 字元"/>
    <w:basedOn w:val="a0"/>
    <w:link w:val="a3"/>
    <w:rsid w:val="008157D2"/>
    <w:rPr>
      <w:rFonts w:ascii="Times New Roman" w:eastAsia="新細明體" w:hAnsi="Times New Roman" w:cs="Times New Roman"/>
      <w:szCs w:val="24"/>
    </w:rPr>
  </w:style>
  <w:style w:type="paragraph" w:styleId="3">
    <w:name w:val="Body Text Indent 3"/>
    <w:basedOn w:val="a"/>
    <w:link w:val="30"/>
    <w:rsid w:val="008157D2"/>
    <w:pPr>
      <w:tabs>
        <w:tab w:val="left" w:pos="1290"/>
      </w:tabs>
      <w:spacing w:line="460" w:lineRule="exact"/>
      <w:ind w:left="900" w:hangingChars="300" w:hanging="900"/>
    </w:pPr>
    <w:rPr>
      <w:rFonts w:ascii="標楷體" w:eastAsia="標楷體" w:hAnsi="標楷體"/>
      <w:sz w:val="30"/>
    </w:rPr>
  </w:style>
  <w:style w:type="character" w:customStyle="1" w:styleId="30">
    <w:name w:val="本文縮排 3 字元"/>
    <w:basedOn w:val="a0"/>
    <w:link w:val="3"/>
    <w:rsid w:val="008157D2"/>
    <w:rPr>
      <w:rFonts w:ascii="標楷體" w:eastAsia="標楷體" w:hAnsi="標楷體" w:cs="Times New Roman"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0554</dc:creator>
  <cp:keywords/>
  <dc:description/>
  <cp:lastModifiedBy>0554</cp:lastModifiedBy>
  <cp:revision>1</cp:revision>
  <dcterms:created xsi:type="dcterms:W3CDTF">2021-03-08T06:24:00Z</dcterms:created>
  <dcterms:modified xsi:type="dcterms:W3CDTF">2021-03-08T06:27:00Z</dcterms:modified>
</cp:coreProperties>
</file>