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508" w:rsidRPr="00BB5BB6" w:rsidRDefault="00724508" w:rsidP="00724508">
      <w:pPr>
        <w:spacing w:line="440" w:lineRule="exact"/>
        <w:rPr>
          <w:rFonts w:ascii="標楷體" w:eastAsia="標楷體" w:hAnsi="標楷體" w:hint="eastAsia"/>
          <w:b/>
          <w:bCs/>
          <w:sz w:val="36"/>
          <w:szCs w:val="36"/>
        </w:rPr>
      </w:pPr>
      <w:r w:rsidRPr="00BB5BB6">
        <w:rPr>
          <w:rFonts w:ascii="標楷體" w:eastAsia="標楷體" w:hAnsi="標楷體" w:hint="eastAsia"/>
          <w:b/>
          <w:bCs/>
          <w:sz w:val="36"/>
          <w:szCs w:val="36"/>
        </w:rPr>
        <w:t>公職人員利益衝突迴避法(</w:t>
      </w:r>
      <w:proofErr w:type="gramStart"/>
      <w:r w:rsidRPr="00BB5BB6">
        <w:rPr>
          <w:rFonts w:ascii="標楷體" w:eastAsia="標楷體" w:hAnsi="標楷體" w:hint="eastAsia"/>
          <w:b/>
          <w:bCs/>
          <w:sz w:val="36"/>
          <w:szCs w:val="36"/>
          <w:lang w:eastAsia="zh-HK"/>
        </w:rPr>
        <w:t>一</w:t>
      </w:r>
      <w:proofErr w:type="gramEnd"/>
      <w:r w:rsidRPr="00BB5BB6">
        <w:rPr>
          <w:rFonts w:ascii="標楷體" w:eastAsia="標楷體" w:hAnsi="標楷體" w:hint="eastAsia"/>
          <w:b/>
          <w:bCs/>
          <w:sz w:val="36"/>
          <w:szCs w:val="36"/>
          <w:lang w:eastAsia="zh-HK"/>
        </w:rPr>
        <w:t>)</w:t>
      </w:r>
    </w:p>
    <w:p w:rsidR="00724508" w:rsidRDefault="00724508" w:rsidP="00724508">
      <w:pPr>
        <w:spacing w:line="440" w:lineRule="exact"/>
        <w:jc w:val="both"/>
        <w:rPr>
          <w:rFonts w:hint="eastAsia"/>
        </w:rPr>
      </w:pPr>
    </w:p>
    <w:p w:rsidR="00724508" w:rsidRDefault="00724508" w:rsidP="00724508">
      <w:pPr>
        <w:spacing w:line="440" w:lineRule="exact"/>
        <w:jc w:val="both"/>
        <w:rPr>
          <w:rFonts w:ascii="標楷體" w:eastAsia="標楷體" w:hAnsi="標楷體" w:hint="eastAsia"/>
          <w:b/>
          <w:bCs/>
          <w:sz w:val="32"/>
        </w:rPr>
      </w:pPr>
      <w:r>
        <w:rPr>
          <w:rFonts w:ascii="標楷體" w:eastAsia="標楷體" w:hAnsi="標楷體" w:hint="eastAsia"/>
          <w:b/>
          <w:bCs/>
          <w:sz w:val="32"/>
        </w:rPr>
        <w:t>一、制定公職人員利益衝突迴避法之目的：</w:t>
      </w:r>
    </w:p>
    <w:p w:rsidR="00724508" w:rsidRDefault="00724508" w:rsidP="00724508">
      <w:pPr>
        <w:pStyle w:val="2"/>
        <w:spacing w:line="440" w:lineRule="exact"/>
        <w:ind w:leftChars="75" w:left="180"/>
        <w:rPr>
          <w:rFonts w:hAnsi="標楷體" w:hint="eastAsia"/>
          <w:sz w:val="30"/>
        </w:rPr>
      </w:pPr>
      <w:r>
        <w:rPr>
          <w:rFonts w:hint="eastAsia"/>
        </w:rPr>
        <w:t>制定陽光法案，以促進廉能政治，端正政治風氣，有效遏阻貪污腐化暨不當利益輸送，乃政府施政之重點，為澄清吏治，</w:t>
      </w:r>
      <w:proofErr w:type="gramStart"/>
      <w:r>
        <w:rPr>
          <w:rFonts w:hint="eastAsia"/>
        </w:rPr>
        <w:t>凸</w:t>
      </w:r>
      <w:proofErr w:type="gramEnd"/>
      <w:r>
        <w:rPr>
          <w:rFonts w:hint="eastAsia"/>
        </w:rPr>
        <w:t>顯政府積極推動陽光法案之決心，增進人民對於公職人員廉潔操守及政府決策過程之信賴，建立公職人員利益衝突之迴避規範，故制定本法。</w:t>
      </w:r>
    </w:p>
    <w:p w:rsidR="00724508" w:rsidRDefault="00724508" w:rsidP="00724508">
      <w:pPr>
        <w:spacing w:line="440" w:lineRule="exact"/>
        <w:ind w:leftChars="250" w:left="600"/>
        <w:jc w:val="both"/>
        <w:rPr>
          <w:rFonts w:ascii="標楷體" w:eastAsia="標楷體" w:hAnsi="標楷體" w:hint="eastAsia"/>
          <w:sz w:val="30"/>
        </w:rPr>
      </w:pPr>
    </w:p>
    <w:p w:rsidR="00724508" w:rsidRDefault="00724508" w:rsidP="00724508">
      <w:pPr>
        <w:spacing w:line="440" w:lineRule="exact"/>
        <w:jc w:val="both"/>
        <w:rPr>
          <w:rFonts w:ascii="標楷體" w:eastAsia="標楷體" w:hAnsi="標楷體" w:hint="eastAsia"/>
          <w:b/>
          <w:sz w:val="32"/>
        </w:rPr>
      </w:pPr>
      <w:r>
        <w:rPr>
          <w:rFonts w:ascii="標楷體" w:eastAsia="標楷體" w:hAnsi="標楷體" w:hint="eastAsia"/>
          <w:b/>
          <w:bCs/>
          <w:sz w:val="32"/>
        </w:rPr>
        <w:t>二、</w:t>
      </w:r>
      <w:r>
        <w:rPr>
          <w:rFonts w:ascii="標楷體" w:eastAsia="標楷體" w:hint="eastAsia"/>
          <w:b/>
          <w:sz w:val="32"/>
        </w:rPr>
        <w:t>公職人員利益衝突迴避法之性質</w:t>
      </w:r>
    </w:p>
    <w:p w:rsidR="00724508" w:rsidRDefault="00724508" w:rsidP="00724508">
      <w:pPr>
        <w:pStyle w:val="a3"/>
        <w:numPr>
          <w:ilvl w:val="0"/>
          <w:numId w:val="1"/>
        </w:numPr>
        <w:tabs>
          <w:tab w:val="clear" w:pos="720"/>
          <w:tab w:val="num" w:pos="540"/>
        </w:tabs>
        <w:spacing w:line="440" w:lineRule="exact"/>
        <w:ind w:leftChars="0" w:left="540"/>
        <w:jc w:val="both"/>
        <w:rPr>
          <w:rFonts w:ascii="標楷體" w:eastAsia="標楷體" w:hAnsi="標楷體" w:hint="eastAsia"/>
          <w:sz w:val="28"/>
        </w:rPr>
      </w:pPr>
      <w:r>
        <w:rPr>
          <w:rFonts w:ascii="標楷體" w:eastAsia="標楷體" w:hAnsi="標楷體" w:hint="eastAsia"/>
          <w:sz w:val="28"/>
        </w:rPr>
        <w:t>促進廉能政治，端正政治風氣，有效遏阻貪污腐化暨不當利益輸送，乃本法之立法目的(本法第1條第1項)，與公職人員財產申報法、政治獻金法、遊說法等，</w:t>
      </w:r>
      <w:proofErr w:type="gramStart"/>
      <w:r>
        <w:rPr>
          <w:rFonts w:ascii="標楷體" w:eastAsia="標楷體" w:hAnsi="標楷體" w:hint="eastAsia"/>
          <w:sz w:val="28"/>
        </w:rPr>
        <w:t>均為健全</w:t>
      </w:r>
      <w:proofErr w:type="gramEnd"/>
      <w:r>
        <w:rPr>
          <w:rFonts w:ascii="標楷體" w:eastAsia="標楷體" w:hAnsi="標楷體" w:hint="eastAsia"/>
          <w:sz w:val="28"/>
        </w:rPr>
        <w:t>陽光法案體系而努力之具體表現，故其性質上係屬陽光法案之一環。</w:t>
      </w:r>
    </w:p>
    <w:p w:rsidR="00724508" w:rsidRDefault="00724508" w:rsidP="00724508">
      <w:pPr>
        <w:pStyle w:val="a3"/>
        <w:numPr>
          <w:ilvl w:val="0"/>
          <w:numId w:val="1"/>
        </w:numPr>
        <w:tabs>
          <w:tab w:val="clear" w:pos="720"/>
          <w:tab w:val="num" w:pos="540"/>
        </w:tabs>
        <w:spacing w:line="440" w:lineRule="exact"/>
        <w:ind w:leftChars="0" w:left="540"/>
        <w:jc w:val="both"/>
        <w:rPr>
          <w:rFonts w:ascii="標楷體" w:eastAsia="標楷體" w:hAnsi="標楷體" w:hint="eastAsia"/>
          <w:sz w:val="28"/>
        </w:rPr>
      </w:pPr>
      <w:r>
        <w:rPr>
          <w:rFonts w:ascii="標楷體" w:eastAsia="標楷體" w:hAnsi="標楷體" w:hint="eastAsia"/>
          <w:sz w:val="28"/>
        </w:rPr>
        <w:t>目前我國有關公務員迴避制度之規定散見於各種法律、法規命令及內部規則中，因其業務性質不同，迴避之目的、範圍與違反之法律效果亦各有不同，易發生與</w:t>
      </w:r>
      <w:proofErr w:type="gramStart"/>
      <w:r>
        <w:rPr>
          <w:rFonts w:ascii="標楷體" w:eastAsia="標楷體" w:hAnsi="標楷體" w:hint="eastAsia"/>
          <w:sz w:val="28"/>
        </w:rPr>
        <w:t>本法競合時</w:t>
      </w:r>
      <w:proofErr w:type="gramEnd"/>
      <w:r>
        <w:rPr>
          <w:rFonts w:ascii="標楷體" w:eastAsia="標楷體" w:hAnsi="標楷體" w:hint="eastAsia"/>
          <w:sz w:val="28"/>
        </w:rPr>
        <w:t>如何適用之疑義，因此本法第1條第2項特別規定「公職人員利益衝突之迴避，除其他法律另有嚴格規定者外，適用本法之規定」，表彰本法相較於其他另有嚴格規定之法律而言為普通法之性質。</w:t>
      </w:r>
    </w:p>
    <w:p w:rsidR="00724508" w:rsidRDefault="00724508" w:rsidP="00724508">
      <w:pPr>
        <w:spacing w:line="440" w:lineRule="exact"/>
        <w:ind w:leftChars="75" w:left="555" w:hangingChars="125" w:hanging="375"/>
        <w:jc w:val="both"/>
        <w:rPr>
          <w:rFonts w:ascii="標楷體" w:eastAsia="標楷體" w:hAnsi="標楷體" w:hint="eastAsia"/>
          <w:sz w:val="30"/>
        </w:rPr>
      </w:pPr>
    </w:p>
    <w:p w:rsidR="00724508" w:rsidRDefault="00724508" w:rsidP="00724508">
      <w:pPr>
        <w:spacing w:line="440" w:lineRule="exact"/>
        <w:jc w:val="both"/>
        <w:rPr>
          <w:rFonts w:ascii="標楷體" w:eastAsia="標楷體" w:hAnsi="標楷體" w:hint="eastAsia"/>
          <w:b/>
          <w:bCs/>
          <w:sz w:val="34"/>
        </w:rPr>
      </w:pPr>
      <w:r>
        <w:rPr>
          <w:rFonts w:ascii="標楷體" w:eastAsia="標楷體" w:hAnsi="標楷體" w:hint="eastAsia"/>
          <w:b/>
          <w:bCs/>
          <w:sz w:val="34"/>
        </w:rPr>
        <w:t>三、本法之「適用對象」：公職人員及其關係人</w:t>
      </w:r>
    </w:p>
    <w:p w:rsidR="00724508" w:rsidRDefault="00724508" w:rsidP="00724508">
      <w:pPr>
        <w:spacing w:line="440" w:lineRule="exact"/>
        <w:jc w:val="both"/>
        <w:rPr>
          <w:rFonts w:ascii="標楷體" w:eastAsia="標楷體" w:hAnsi="標楷體" w:hint="eastAsia"/>
          <w:sz w:val="28"/>
        </w:rPr>
      </w:pPr>
      <w:r>
        <w:rPr>
          <w:rFonts w:ascii="標楷體" w:eastAsia="標楷體" w:hAnsi="標楷體" w:hint="eastAsia"/>
          <w:b/>
          <w:bCs/>
          <w:sz w:val="28"/>
        </w:rPr>
        <w:t>（一）公職人員之範圍</w:t>
      </w:r>
    </w:p>
    <w:p w:rsidR="00724508" w:rsidRDefault="00724508" w:rsidP="00724508">
      <w:pPr>
        <w:spacing w:line="440" w:lineRule="exact"/>
        <w:ind w:leftChars="149" w:left="359" w:hanging="1"/>
        <w:jc w:val="both"/>
        <w:rPr>
          <w:rFonts w:ascii="標楷體" w:eastAsia="標楷體" w:hAnsi="標楷體" w:hint="eastAsia"/>
          <w:sz w:val="28"/>
        </w:rPr>
      </w:pPr>
      <w:r>
        <w:rPr>
          <w:rFonts w:ascii="標楷體" w:eastAsia="標楷體" w:hAnsi="標楷體" w:hint="eastAsia"/>
          <w:sz w:val="28"/>
        </w:rPr>
        <w:t>並非所有</w:t>
      </w:r>
      <w:proofErr w:type="gramStart"/>
      <w:r>
        <w:rPr>
          <w:rFonts w:ascii="標楷體" w:eastAsia="標楷體" w:hAnsi="標楷體" w:hint="eastAsia"/>
          <w:sz w:val="28"/>
        </w:rPr>
        <w:t>公務人員均有公職</w:t>
      </w:r>
      <w:proofErr w:type="gramEnd"/>
      <w:r>
        <w:rPr>
          <w:rFonts w:ascii="標楷體" w:eastAsia="標楷體" w:hAnsi="標楷體" w:hint="eastAsia"/>
          <w:sz w:val="28"/>
        </w:rPr>
        <w:t>人員利益衝突迴避法之適用，為有效推動廉能政治，</w:t>
      </w:r>
      <w:proofErr w:type="gramStart"/>
      <w:r>
        <w:rPr>
          <w:rFonts w:ascii="標楷體" w:eastAsia="標楷體" w:hAnsi="標楷體" w:hint="eastAsia"/>
          <w:sz w:val="28"/>
        </w:rPr>
        <w:t>並求本法</w:t>
      </w:r>
      <w:proofErr w:type="gramEnd"/>
      <w:r>
        <w:rPr>
          <w:rFonts w:ascii="標楷體" w:eastAsia="標楷體" w:hAnsi="標楷體" w:hint="eastAsia"/>
          <w:sz w:val="28"/>
        </w:rPr>
        <w:t>之合理可行，立法者認為現職且擔任重要決策或易滋弊端業務之人員，始有納入本法加以規範之必要，故參照公職人員財產申報法第2條第1項之規定，將本法所稱公職人員之範圍，限定為公職人員財產申報法第2條第1項所定之人員：</w:t>
      </w:r>
    </w:p>
    <w:p w:rsidR="00724508" w:rsidRDefault="00724508" w:rsidP="00724508">
      <w:pPr>
        <w:spacing w:line="440" w:lineRule="exact"/>
        <w:ind w:firstLine="400"/>
        <w:jc w:val="both"/>
        <w:rPr>
          <w:rFonts w:ascii="標楷體" w:eastAsia="標楷體" w:hAnsi="標楷體" w:hint="eastAsia"/>
          <w:color w:val="0000FF"/>
          <w:sz w:val="28"/>
        </w:rPr>
      </w:pPr>
    </w:p>
    <w:p w:rsidR="00724508" w:rsidRDefault="00724508" w:rsidP="00724508">
      <w:pPr>
        <w:pStyle w:val="HTML"/>
        <w:numPr>
          <w:ilvl w:val="0"/>
          <w:numId w:val="2"/>
        </w:numPr>
        <w:tabs>
          <w:tab w:val="clear" w:pos="1832"/>
          <w:tab w:val="left" w:pos="1260"/>
        </w:tabs>
        <w:spacing w:line="440" w:lineRule="exact"/>
        <w:ind w:hanging="181"/>
        <w:jc w:val="both"/>
        <w:rPr>
          <w:rFonts w:ascii="標楷體" w:eastAsia="標楷體" w:hAnsi="標楷體" w:hint="eastAsia"/>
          <w:sz w:val="28"/>
        </w:rPr>
      </w:pPr>
      <w:r>
        <w:rPr>
          <w:rFonts w:ascii="標楷體" w:eastAsia="標楷體" w:hAnsi="標楷體" w:hint="eastAsia"/>
          <w:sz w:val="28"/>
        </w:rPr>
        <w:t>總統、副總統。</w:t>
      </w:r>
    </w:p>
    <w:p w:rsidR="00724508" w:rsidRDefault="00724508" w:rsidP="00724508">
      <w:pPr>
        <w:pStyle w:val="HTML"/>
        <w:numPr>
          <w:ilvl w:val="0"/>
          <w:numId w:val="2"/>
        </w:numPr>
        <w:tabs>
          <w:tab w:val="clear" w:pos="1832"/>
          <w:tab w:val="left" w:pos="1260"/>
        </w:tabs>
        <w:spacing w:line="440" w:lineRule="exact"/>
        <w:ind w:hanging="181"/>
        <w:jc w:val="both"/>
        <w:rPr>
          <w:rFonts w:ascii="標楷體" w:eastAsia="標楷體" w:hAnsi="標楷體" w:hint="eastAsia"/>
          <w:sz w:val="28"/>
        </w:rPr>
      </w:pPr>
      <w:r>
        <w:rPr>
          <w:rFonts w:ascii="標楷體" w:eastAsia="標楷體" w:hAnsi="標楷體" w:hint="eastAsia"/>
          <w:sz w:val="28"/>
        </w:rPr>
        <w:t>行政、立法、司法、考試、監察各院院長、副院長。</w:t>
      </w:r>
    </w:p>
    <w:p w:rsidR="00724508" w:rsidRDefault="00724508" w:rsidP="00724508">
      <w:pPr>
        <w:pStyle w:val="HTML"/>
        <w:numPr>
          <w:ilvl w:val="0"/>
          <w:numId w:val="2"/>
        </w:numPr>
        <w:tabs>
          <w:tab w:val="clear" w:pos="1832"/>
          <w:tab w:val="left" w:pos="1260"/>
        </w:tabs>
        <w:spacing w:line="440" w:lineRule="exact"/>
        <w:ind w:hanging="181"/>
        <w:jc w:val="both"/>
        <w:rPr>
          <w:rFonts w:ascii="標楷體" w:eastAsia="標楷體" w:hAnsi="標楷體" w:hint="eastAsia"/>
          <w:sz w:val="28"/>
        </w:rPr>
      </w:pPr>
      <w:r>
        <w:rPr>
          <w:rFonts w:ascii="標楷體" w:eastAsia="標楷體" w:hAnsi="標楷體" w:hint="eastAsia"/>
          <w:sz w:val="28"/>
        </w:rPr>
        <w:t>政務人員。</w:t>
      </w:r>
    </w:p>
    <w:p w:rsidR="00724508" w:rsidRDefault="00724508" w:rsidP="00724508">
      <w:pPr>
        <w:pStyle w:val="HTML"/>
        <w:numPr>
          <w:ilvl w:val="0"/>
          <w:numId w:val="2"/>
        </w:numPr>
        <w:tabs>
          <w:tab w:val="clear" w:pos="1832"/>
          <w:tab w:val="left" w:pos="1260"/>
        </w:tabs>
        <w:spacing w:line="440" w:lineRule="exact"/>
        <w:ind w:hanging="181"/>
        <w:jc w:val="both"/>
        <w:rPr>
          <w:rFonts w:ascii="標楷體" w:eastAsia="標楷體" w:hAnsi="標楷體" w:hint="eastAsia"/>
          <w:sz w:val="28"/>
        </w:rPr>
      </w:pPr>
      <w:r>
        <w:rPr>
          <w:rFonts w:ascii="標楷體" w:eastAsia="標楷體" w:hAnsi="標楷體" w:hint="eastAsia"/>
          <w:sz w:val="28"/>
        </w:rPr>
        <w:lastRenderedPageBreak/>
        <w:t>有給職之總統府資政、國策顧問及戰略顧問。</w:t>
      </w:r>
    </w:p>
    <w:p w:rsidR="00724508" w:rsidRDefault="00724508" w:rsidP="00724508">
      <w:pPr>
        <w:pStyle w:val="HTML"/>
        <w:numPr>
          <w:ilvl w:val="0"/>
          <w:numId w:val="2"/>
        </w:numPr>
        <w:tabs>
          <w:tab w:val="clear" w:pos="1832"/>
          <w:tab w:val="left" w:pos="1260"/>
        </w:tabs>
        <w:spacing w:line="440" w:lineRule="exact"/>
        <w:ind w:hanging="181"/>
        <w:jc w:val="both"/>
        <w:rPr>
          <w:rFonts w:ascii="標楷體" w:eastAsia="標楷體" w:hAnsi="標楷體" w:hint="eastAsia"/>
          <w:sz w:val="28"/>
        </w:rPr>
      </w:pPr>
      <w:r>
        <w:rPr>
          <w:rFonts w:ascii="標楷體" w:eastAsia="標楷體" w:hAnsi="標楷體" w:hint="eastAsia"/>
          <w:sz w:val="28"/>
        </w:rPr>
        <w:t>各級政府機關之首長、副首長及職務列簡任第10職等以上之幕僚長、主管；公營事業總、分支機構之首長、副首長及</w:t>
      </w:r>
      <w:proofErr w:type="gramStart"/>
      <w:r>
        <w:rPr>
          <w:rFonts w:ascii="標楷體" w:eastAsia="標楷體" w:hAnsi="標楷體" w:hint="eastAsia"/>
          <w:sz w:val="28"/>
        </w:rPr>
        <w:t>相當</w:t>
      </w:r>
      <w:proofErr w:type="gramEnd"/>
      <w:r>
        <w:rPr>
          <w:rFonts w:ascii="標楷體" w:eastAsia="標楷體" w:hAnsi="標楷體" w:hint="eastAsia"/>
          <w:sz w:val="28"/>
        </w:rPr>
        <w:t>簡任第10職等以上之</w:t>
      </w:r>
      <w:r>
        <w:rPr>
          <w:rFonts w:ascii="標楷體" w:eastAsia="標楷體" w:hAnsi="標楷體" w:hint="eastAsia"/>
          <w:bCs/>
          <w:sz w:val="28"/>
        </w:rPr>
        <w:t>主管</w:t>
      </w:r>
      <w:r>
        <w:rPr>
          <w:rFonts w:ascii="標楷體" w:eastAsia="標楷體" w:hAnsi="標楷體" w:hint="eastAsia"/>
          <w:sz w:val="28"/>
        </w:rPr>
        <w:t>；代表政府或公股出任私法人之董事及監察人。</w:t>
      </w:r>
    </w:p>
    <w:p w:rsidR="00724508" w:rsidRDefault="00724508" w:rsidP="00724508">
      <w:pPr>
        <w:pStyle w:val="HTML"/>
        <w:tabs>
          <w:tab w:val="clear" w:pos="1832"/>
          <w:tab w:val="left" w:pos="1260"/>
        </w:tabs>
        <w:spacing w:line="440" w:lineRule="exact"/>
        <w:ind w:left="539"/>
        <w:jc w:val="both"/>
        <w:rPr>
          <w:rFonts w:ascii="標楷體" w:eastAsia="標楷體" w:hAnsi="標楷體" w:hint="eastAsia"/>
          <w:sz w:val="28"/>
        </w:rPr>
      </w:pPr>
    </w:p>
    <w:p w:rsidR="00724508" w:rsidRDefault="00724508" w:rsidP="00724508">
      <w:pPr>
        <w:pStyle w:val="HTML"/>
        <w:numPr>
          <w:ilvl w:val="1"/>
          <w:numId w:val="2"/>
        </w:numPr>
        <w:tabs>
          <w:tab w:val="clear" w:pos="1832"/>
          <w:tab w:val="left" w:pos="1260"/>
        </w:tabs>
        <w:spacing w:line="440" w:lineRule="exact"/>
        <w:jc w:val="both"/>
        <w:rPr>
          <w:rFonts w:ascii="標楷體" w:eastAsia="標楷體" w:hAnsi="標楷體" w:hint="eastAsia"/>
          <w:sz w:val="24"/>
        </w:rPr>
      </w:pPr>
      <w:r>
        <w:rPr>
          <w:rFonts w:ascii="標楷體" w:eastAsia="標楷體" w:hAnsi="標楷體" w:hint="eastAsia"/>
          <w:sz w:val="24"/>
        </w:rPr>
        <w:t>公職人員財產申報法修正條文所稱公營事業總、分支機構首長、副首長，應以掌有人事權限者始足當之</w:t>
      </w:r>
      <w:r>
        <w:rPr>
          <w:rFonts w:ascii="標楷體" w:eastAsia="標楷體" w:hAnsi="標楷體" w:hint="eastAsia"/>
          <w:sz w:val="24"/>
          <w:szCs w:val="25"/>
        </w:rPr>
        <w:t>（法務部97.6.23法政決字第</w:t>
      </w:r>
      <w:r>
        <w:rPr>
          <w:rFonts w:ascii="標楷體" w:eastAsia="標楷體" w:hAnsi="標楷體" w:hint="eastAsia"/>
          <w:sz w:val="24"/>
        </w:rPr>
        <w:t>0971107248</w:t>
      </w:r>
      <w:r>
        <w:rPr>
          <w:rFonts w:ascii="標楷體" w:eastAsia="標楷體" w:hAnsi="標楷體" w:hint="eastAsia"/>
          <w:sz w:val="24"/>
          <w:szCs w:val="25"/>
        </w:rPr>
        <w:t>號函</w:t>
      </w:r>
      <w:r>
        <w:rPr>
          <w:rFonts w:eastAsia="標楷體" w:hint="eastAsia"/>
          <w:sz w:val="24"/>
          <w:szCs w:val="25"/>
        </w:rPr>
        <w:t>釋</w:t>
      </w:r>
      <w:r>
        <w:rPr>
          <w:rFonts w:ascii="標楷體" w:eastAsia="標楷體" w:hAnsi="標楷體" w:hint="eastAsia"/>
          <w:sz w:val="24"/>
          <w:szCs w:val="25"/>
        </w:rPr>
        <w:t>）</w:t>
      </w:r>
      <w:r>
        <w:rPr>
          <w:rFonts w:ascii="標楷體" w:eastAsia="標楷體" w:hAnsi="標楷體" w:hint="eastAsia"/>
          <w:sz w:val="24"/>
        </w:rPr>
        <w:t>。</w:t>
      </w:r>
    </w:p>
    <w:p w:rsidR="00724508" w:rsidRDefault="00724508" w:rsidP="00724508">
      <w:pPr>
        <w:pStyle w:val="HTML"/>
        <w:numPr>
          <w:ilvl w:val="1"/>
          <w:numId w:val="2"/>
        </w:numPr>
        <w:tabs>
          <w:tab w:val="clear" w:pos="1832"/>
          <w:tab w:val="left" w:pos="1260"/>
        </w:tabs>
        <w:spacing w:line="440" w:lineRule="exact"/>
        <w:jc w:val="both"/>
        <w:rPr>
          <w:rFonts w:ascii="標楷體" w:eastAsia="標楷體" w:hAnsi="標楷體" w:hint="eastAsia"/>
          <w:sz w:val="28"/>
        </w:rPr>
      </w:pPr>
      <w:r>
        <w:rPr>
          <w:rFonts w:ascii="標楷體" w:eastAsia="標楷體" w:hAnsi="標楷體" w:hint="eastAsia"/>
          <w:sz w:val="24"/>
        </w:rPr>
        <w:t>所謂「公股」，雖於無線電視事業公股處理條例第2條、公營事業移轉民營條例第14條、中央政府特種基金參加民營事業投資管理要點</w:t>
      </w:r>
      <w:proofErr w:type="gramStart"/>
      <w:r>
        <w:rPr>
          <w:rFonts w:ascii="標楷體" w:eastAsia="標楷體" w:hAnsi="標楷體" w:hint="eastAsia"/>
          <w:sz w:val="24"/>
        </w:rPr>
        <w:t>第6點各定有</w:t>
      </w:r>
      <w:proofErr w:type="gramEnd"/>
      <w:r>
        <w:rPr>
          <w:rFonts w:ascii="標楷體" w:eastAsia="標楷體" w:hAnsi="標楷體" w:hint="eastAsia"/>
          <w:sz w:val="24"/>
        </w:rPr>
        <w:t>明文，然公職人員財產申報法主要係藉由財產申報方式，將法定之公職人員財產攤在</w:t>
      </w:r>
      <w:proofErr w:type="gramStart"/>
      <w:r>
        <w:rPr>
          <w:rFonts w:ascii="標楷體" w:eastAsia="標楷體" w:hAnsi="標楷體" w:hint="eastAsia"/>
          <w:sz w:val="24"/>
        </w:rPr>
        <w:t>陽光下供公眾</w:t>
      </w:r>
      <w:proofErr w:type="gramEnd"/>
      <w:r>
        <w:rPr>
          <w:rFonts w:ascii="標楷體" w:eastAsia="標楷體" w:hAnsi="標楷體" w:hint="eastAsia"/>
          <w:sz w:val="24"/>
        </w:rPr>
        <w:t>檢視，以達防貪成效，與前開數法令立法目的皆有不同，是本法中「公股」之範圍尚無與其他法令等同之必要；又所謂「法人」，包括社團及財團，民法第45條、第46條、第59條、第60條亦有明文。是以公職人員財產申報法第2條第1項第5款所稱「代表政府或公股出任私法人之董事及監察人」，係指「代表政府或公營事業機構出任依私法成立之社團（包括公益性及營利性社團）及財團之董事及監察人」</w:t>
      </w:r>
      <w:r>
        <w:rPr>
          <w:rFonts w:ascii="標楷體" w:eastAsia="標楷體" w:hAnsi="標楷體" w:hint="eastAsia"/>
          <w:sz w:val="24"/>
          <w:szCs w:val="25"/>
        </w:rPr>
        <w:t>（法務部97.7.10法政決字第</w:t>
      </w:r>
      <w:r>
        <w:rPr>
          <w:rFonts w:ascii="標楷體" w:eastAsia="標楷體" w:hAnsi="標楷體" w:hint="eastAsia"/>
          <w:sz w:val="24"/>
        </w:rPr>
        <w:t>0970019603</w:t>
      </w:r>
      <w:r>
        <w:rPr>
          <w:rFonts w:ascii="標楷體" w:eastAsia="標楷體" w:hAnsi="標楷體" w:hint="eastAsia"/>
          <w:sz w:val="24"/>
          <w:szCs w:val="25"/>
        </w:rPr>
        <w:t>號函</w:t>
      </w:r>
      <w:r>
        <w:rPr>
          <w:rFonts w:eastAsia="標楷體" w:hint="eastAsia"/>
          <w:sz w:val="24"/>
          <w:szCs w:val="25"/>
        </w:rPr>
        <w:t>釋</w:t>
      </w:r>
      <w:r>
        <w:rPr>
          <w:rFonts w:ascii="標楷體" w:eastAsia="標楷體" w:hAnsi="標楷體" w:hint="eastAsia"/>
          <w:sz w:val="24"/>
          <w:szCs w:val="25"/>
        </w:rPr>
        <w:t>）</w:t>
      </w:r>
      <w:r>
        <w:rPr>
          <w:rFonts w:ascii="標楷體" w:eastAsia="標楷體" w:hAnsi="標楷體" w:hint="eastAsia"/>
          <w:sz w:val="24"/>
        </w:rPr>
        <w:t>。</w:t>
      </w:r>
    </w:p>
    <w:p w:rsidR="00724508" w:rsidRDefault="00724508" w:rsidP="00724508">
      <w:pPr>
        <w:pStyle w:val="HTML"/>
        <w:tabs>
          <w:tab w:val="clear" w:pos="1832"/>
          <w:tab w:val="left" w:pos="1260"/>
        </w:tabs>
        <w:spacing w:line="440" w:lineRule="exact"/>
        <w:ind w:left="539"/>
        <w:jc w:val="both"/>
        <w:rPr>
          <w:rFonts w:ascii="標楷體" w:eastAsia="標楷體" w:hAnsi="標楷體" w:hint="eastAsia"/>
          <w:sz w:val="28"/>
        </w:rPr>
      </w:pPr>
    </w:p>
    <w:p w:rsidR="00724508" w:rsidRDefault="00724508" w:rsidP="00724508">
      <w:pPr>
        <w:pStyle w:val="HTML"/>
        <w:numPr>
          <w:ilvl w:val="0"/>
          <w:numId w:val="2"/>
        </w:numPr>
        <w:tabs>
          <w:tab w:val="clear" w:pos="1832"/>
          <w:tab w:val="left" w:pos="1260"/>
        </w:tabs>
        <w:spacing w:line="440" w:lineRule="exact"/>
        <w:ind w:hanging="181"/>
        <w:jc w:val="both"/>
        <w:rPr>
          <w:rFonts w:ascii="標楷體" w:eastAsia="標楷體" w:hAnsi="標楷體" w:hint="eastAsia"/>
          <w:sz w:val="28"/>
        </w:rPr>
      </w:pPr>
      <w:r>
        <w:rPr>
          <w:rFonts w:ascii="標楷體" w:eastAsia="標楷體" w:hAnsi="標楷體" w:hint="eastAsia"/>
          <w:sz w:val="28"/>
        </w:rPr>
        <w:t>各級公立學校之校長、副校長；其設有附屬機構者，該機構之首長、副首長。</w:t>
      </w:r>
    </w:p>
    <w:p w:rsidR="00724508" w:rsidRDefault="00724508" w:rsidP="00724508">
      <w:pPr>
        <w:pStyle w:val="HTML"/>
        <w:numPr>
          <w:ilvl w:val="0"/>
          <w:numId w:val="2"/>
        </w:numPr>
        <w:tabs>
          <w:tab w:val="clear" w:pos="1832"/>
          <w:tab w:val="left" w:pos="1260"/>
        </w:tabs>
        <w:spacing w:line="440" w:lineRule="exact"/>
        <w:ind w:hanging="181"/>
        <w:jc w:val="both"/>
        <w:rPr>
          <w:rFonts w:ascii="標楷體" w:eastAsia="標楷體" w:hAnsi="標楷體" w:hint="eastAsia"/>
          <w:sz w:val="28"/>
        </w:rPr>
      </w:pPr>
      <w:r>
        <w:rPr>
          <w:rFonts w:ascii="標楷體" w:eastAsia="標楷體" w:hAnsi="標楷體" w:hint="eastAsia"/>
          <w:sz w:val="28"/>
        </w:rPr>
        <w:t>軍事單位上校編階以上之各級主官、副主官及主管。</w:t>
      </w:r>
    </w:p>
    <w:p w:rsidR="00724508" w:rsidRDefault="00724508" w:rsidP="00724508">
      <w:pPr>
        <w:pStyle w:val="HTML"/>
        <w:numPr>
          <w:ilvl w:val="0"/>
          <w:numId w:val="2"/>
        </w:numPr>
        <w:tabs>
          <w:tab w:val="clear" w:pos="1832"/>
          <w:tab w:val="left" w:pos="1260"/>
        </w:tabs>
        <w:spacing w:line="440" w:lineRule="exact"/>
        <w:ind w:hanging="181"/>
        <w:jc w:val="both"/>
        <w:rPr>
          <w:rFonts w:ascii="標楷體" w:eastAsia="標楷體" w:hAnsi="標楷體" w:hint="eastAsia"/>
          <w:sz w:val="28"/>
        </w:rPr>
      </w:pPr>
      <w:r>
        <w:rPr>
          <w:rFonts w:ascii="標楷體" w:eastAsia="標楷體" w:hAnsi="標楷體" w:hint="eastAsia"/>
          <w:sz w:val="28"/>
        </w:rPr>
        <w:t>依公職人員選舉罷免法選舉產生之鄉（鎮、市）級以上政府機關首長。</w:t>
      </w:r>
    </w:p>
    <w:p w:rsidR="00724508" w:rsidRDefault="00724508" w:rsidP="00724508">
      <w:pPr>
        <w:pStyle w:val="HTML"/>
        <w:numPr>
          <w:ilvl w:val="0"/>
          <w:numId w:val="2"/>
        </w:numPr>
        <w:tabs>
          <w:tab w:val="clear" w:pos="1832"/>
          <w:tab w:val="left" w:pos="1260"/>
        </w:tabs>
        <w:spacing w:line="440" w:lineRule="exact"/>
        <w:ind w:hanging="181"/>
        <w:jc w:val="both"/>
        <w:rPr>
          <w:rFonts w:ascii="標楷體" w:eastAsia="標楷體" w:hAnsi="標楷體" w:hint="eastAsia"/>
          <w:sz w:val="28"/>
        </w:rPr>
      </w:pPr>
      <w:r>
        <w:rPr>
          <w:rFonts w:ascii="標楷體" w:eastAsia="標楷體" w:hAnsi="標楷體" w:hint="eastAsia"/>
          <w:sz w:val="28"/>
        </w:rPr>
        <w:t>各級民意機關民意代表。</w:t>
      </w:r>
    </w:p>
    <w:p w:rsidR="00724508" w:rsidRDefault="00724508" w:rsidP="00724508">
      <w:pPr>
        <w:pStyle w:val="HTML"/>
        <w:numPr>
          <w:ilvl w:val="0"/>
          <w:numId w:val="2"/>
        </w:numPr>
        <w:tabs>
          <w:tab w:val="clear" w:pos="1832"/>
          <w:tab w:val="clear" w:pos="2748"/>
          <w:tab w:val="left" w:pos="1260"/>
          <w:tab w:val="left" w:pos="1440"/>
        </w:tabs>
        <w:spacing w:line="440" w:lineRule="exact"/>
        <w:ind w:hanging="181"/>
        <w:jc w:val="both"/>
        <w:rPr>
          <w:rFonts w:ascii="標楷體" w:eastAsia="標楷體" w:hAnsi="標楷體" w:hint="eastAsia"/>
          <w:sz w:val="28"/>
        </w:rPr>
      </w:pPr>
      <w:r>
        <w:rPr>
          <w:rFonts w:ascii="標楷體" w:eastAsia="標楷體" w:hAnsi="標楷體" w:hint="eastAsia"/>
          <w:sz w:val="28"/>
        </w:rPr>
        <w:t>法官、檢察官、行政執行官、軍法官。</w:t>
      </w:r>
    </w:p>
    <w:p w:rsidR="00724508" w:rsidRDefault="00724508" w:rsidP="00724508">
      <w:pPr>
        <w:pStyle w:val="HTML"/>
        <w:numPr>
          <w:ilvl w:val="0"/>
          <w:numId w:val="2"/>
        </w:numPr>
        <w:tabs>
          <w:tab w:val="clear" w:pos="1832"/>
          <w:tab w:val="clear" w:pos="2748"/>
          <w:tab w:val="left" w:pos="1260"/>
          <w:tab w:val="left" w:pos="1440"/>
        </w:tabs>
        <w:spacing w:line="440" w:lineRule="exact"/>
        <w:ind w:hanging="181"/>
        <w:jc w:val="both"/>
        <w:rPr>
          <w:rFonts w:ascii="標楷體" w:eastAsia="標楷體" w:hAnsi="標楷體" w:hint="eastAsia"/>
          <w:sz w:val="28"/>
        </w:rPr>
      </w:pPr>
      <w:r>
        <w:rPr>
          <w:rFonts w:ascii="標楷體" w:eastAsia="標楷體" w:hAnsi="標楷體" w:hint="eastAsia"/>
          <w:sz w:val="28"/>
        </w:rPr>
        <w:t>政風及軍事監察主管人員。</w:t>
      </w:r>
    </w:p>
    <w:p w:rsidR="00724508" w:rsidRDefault="00724508" w:rsidP="00724508">
      <w:pPr>
        <w:pStyle w:val="HTML"/>
        <w:numPr>
          <w:ilvl w:val="0"/>
          <w:numId w:val="2"/>
        </w:numPr>
        <w:tabs>
          <w:tab w:val="clear" w:pos="1832"/>
          <w:tab w:val="clear" w:pos="2748"/>
          <w:tab w:val="left" w:pos="1260"/>
          <w:tab w:val="left" w:pos="1440"/>
        </w:tabs>
        <w:spacing w:line="440" w:lineRule="exact"/>
        <w:ind w:hanging="181"/>
        <w:jc w:val="both"/>
        <w:rPr>
          <w:rFonts w:ascii="標楷體" w:eastAsia="標楷體" w:hAnsi="標楷體" w:hint="eastAsia"/>
          <w:sz w:val="28"/>
        </w:rPr>
      </w:pPr>
      <w:r>
        <w:rPr>
          <w:rFonts w:ascii="標楷體" w:eastAsia="標楷體" w:hAnsi="標楷體" w:hint="eastAsia"/>
          <w:sz w:val="28"/>
        </w:rPr>
        <w:t>司法警察、稅務、關務、地政、會計、審計、建築管理、工商登記、都市計畫、金融監督及管理、公產管理、金融授信、</w:t>
      </w:r>
      <w:r>
        <w:rPr>
          <w:rFonts w:ascii="標楷體" w:eastAsia="標楷體" w:hAnsi="標楷體" w:hint="eastAsia"/>
          <w:sz w:val="28"/>
        </w:rPr>
        <w:lastRenderedPageBreak/>
        <w:t>商品檢驗、商標、專利、公路監理、環保稽查、採購業務等之主管人員。</w:t>
      </w:r>
    </w:p>
    <w:p w:rsidR="00724508" w:rsidRDefault="00724508" w:rsidP="00724508">
      <w:pPr>
        <w:pStyle w:val="HTML"/>
        <w:numPr>
          <w:ilvl w:val="0"/>
          <w:numId w:val="2"/>
        </w:numPr>
        <w:tabs>
          <w:tab w:val="clear" w:pos="1832"/>
          <w:tab w:val="clear" w:pos="2748"/>
          <w:tab w:val="left" w:pos="1260"/>
          <w:tab w:val="left" w:pos="1440"/>
        </w:tabs>
        <w:spacing w:line="440" w:lineRule="exact"/>
        <w:ind w:hanging="181"/>
        <w:jc w:val="both"/>
        <w:rPr>
          <w:rFonts w:ascii="標楷體" w:eastAsia="標楷體" w:hAnsi="標楷體" w:hint="eastAsia"/>
          <w:sz w:val="28"/>
        </w:rPr>
      </w:pPr>
      <w:r>
        <w:rPr>
          <w:rFonts w:ascii="標楷體" w:eastAsia="標楷體" w:hAnsi="標楷體" w:hint="eastAsia"/>
          <w:sz w:val="28"/>
        </w:rPr>
        <w:t>其他職務性質特殊，經主管府、院核定有申報財產必要之人員。</w:t>
      </w:r>
    </w:p>
    <w:p w:rsidR="00724508" w:rsidRDefault="00724508" w:rsidP="00724508">
      <w:pPr>
        <w:spacing w:line="440" w:lineRule="exact"/>
        <w:jc w:val="both"/>
        <w:rPr>
          <w:rFonts w:ascii="標楷體" w:eastAsia="標楷體" w:hAnsi="標楷體" w:hint="eastAsia"/>
          <w:b/>
          <w:bCs/>
          <w:sz w:val="28"/>
        </w:rPr>
      </w:pPr>
      <w:r>
        <w:rPr>
          <w:rFonts w:ascii="標楷體" w:eastAsia="標楷體" w:hAnsi="標楷體" w:hint="eastAsia"/>
          <w:b/>
          <w:bCs/>
          <w:sz w:val="28"/>
        </w:rPr>
        <w:t>（二）公職人員之關係人之範圍</w:t>
      </w:r>
    </w:p>
    <w:p w:rsidR="00724508" w:rsidRDefault="00724508" w:rsidP="00724508">
      <w:pPr>
        <w:numPr>
          <w:ilvl w:val="0"/>
          <w:numId w:val="3"/>
        </w:numPr>
        <w:spacing w:line="440" w:lineRule="exact"/>
        <w:jc w:val="both"/>
        <w:rPr>
          <w:rFonts w:ascii="標楷體" w:eastAsia="標楷體" w:hAnsi="標楷體" w:hint="eastAsia"/>
          <w:sz w:val="28"/>
        </w:rPr>
      </w:pPr>
      <w:r>
        <w:rPr>
          <w:rFonts w:ascii="標楷體" w:eastAsia="標楷體" w:hAnsi="標楷體" w:hint="eastAsia"/>
          <w:sz w:val="28"/>
        </w:rPr>
        <w:t>公職人員之配偶或共同生活之家屬</w:t>
      </w:r>
      <w:proofErr w:type="gramStart"/>
      <w:r>
        <w:rPr>
          <w:rFonts w:ascii="標楷體" w:eastAsia="標楷體" w:hAnsi="標楷體" w:hint="eastAsia"/>
          <w:sz w:val="28"/>
        </w:rPr>
        <w:t>（</w:t>
      </w:r>
      <w:proofErr w:type="gramEnd"/>
      <w:r>
        <w:rPr>
          <w:rFonts w:ascii="標楷體" w:eastAsia="標楷體" w:hAnsi="標楷體" w:hint="eastAsia"/>
          <w:sz w:val="28"/>
        </w:rPr>
        <w:t>例如：父之妾、已訂婚並共同生活之未婚妻等</w:t>
      </w:r>
      <w:proofErr w:type="gramStart"/>
      <w:r>
        <w:rPr>
          <w:rFonts w:ascii="標楷體" w:eastAsia="標楷體" w:hAnsi="標楷體" w:hint="eastAsia"/>
          <w:sz w:val="28"/>
        </w:rPr>
        <w:t>）</w:t>
      </w:r>
      <w:proofErr w:type="gramEnd"/>
      <w:r>
        <w:rPr>
          <w:rFonts w:ascii="標楷體" w:eastAsia="標楷體" w:hAnsi="標楷體" w:hint="eastAsia"/>
          <w:sz w:val="28"/>
        </w:rPr>
        <w:t>。</w:t>
      </w:r>
    </w:p>
    <w:p w:rsidR="00724508" w:rsidRDefault="00724508" w:rsidP="00724508">
      <w:pPr>
        <w:spacing w:line="440" w:lineRule="exact"/>
        <w:ind w:leftChars="150" w:left="718" w:hangingChars="128" w:hanging="358"/>
        <w:jc w:val="both"/>
        <w:rPr>
          <w:rFonts w:ascii="標楷體" w:eastAsia="標楷體" w:hAnsi="標楷體" w:hint="eastAsia"/>
        </w:rPr>
      </w:pPr>
      <w:r>
        <w:rPr>
          <w:rFonts w:ascii="標楷體" w:eastAsia="標楷體" w:hAnsi="標楷體" w:hint="eastAsia"/>
          <w:sz w:val="28"/>
        </w:rPr>
        <w:t>◎</w:t>
      </w:r>
      <w:r>
        <w:rPr>
          <w:rFonts w:ascii="標楷體" w:eastAsia="標楷體" w:hAnsi="標楷體" w:hint="eastAsia"/>
        </w:rPr>
        <w:t>所稱</w:t>
      </w:r>
      <w:r>
        <w:rPr>
          <w:rFonts w:ascii="標楷體" w:eastAsia="標楷體" w:hAnsi="標楷體" w:hint="eastAsia"/>
          <w:b/>
          <w:bCs/>
        </w:rPr>
        <w:t>共同生活之家屬</w:t>
      </w:r>
      <w:r>
        <w:rPr>
          <w:rFonts w:ascii="標楷體" w:eastAsia="標楷體" w:hAnsi="標楷體" w:hint="eastAsia"/>
        </w:rPr>
        <w:t>，指民法第1123條規定之家長或家屬。（本法施行細則第2條第1項）</w:t>
      </w:r>
    </w:p>
    <w:p w:rsidR="00724508" w:rsidRDefault="00724508" w:rsidP="00724508">
      <w:pPr>
        <w:pStyle w:val="HTML"/>
        <w:spacing w:line="440" w:lineRule="exact"/>
        <w:ind w:leftChars="275" w:left="660"/>
        <w:jc w:val="both"/>
        <w:rPr>
          <w:rFonts w:ascii="標楷體" w:eastAsia="標楷體" w:hAnsi="標楷體" w:cs="Times New Roman" w:hint="eastAsia"/>
          <w:color w:val="auto"/>
          <w:kern w:val="2"/>
          <w:sz w:val="24"/>
          <w:szCs w:val="24"/>
        </w:rPr>
      </w:pPr>
      <w:r>
        <w:rPr>
          <w:rFonts w:ascii="標楷體" w:eastAsia="標楷體" w:hAnsi="標楷體" w:cs="Times New Roman" w:hint="eastAsia"/>
          <w:color w:val="auto"/>
          <w:kern w:val="2"/>
          <w:sz w:val="24"/>
          <w:szCs w:val="24"/>
        </w:rPr>
        <w:t>民法第1123條規定：「</w:t>
      </w:r>
      <w:proofErr w:type="gramStart"/>
      <w:r>
        <w:rPr>
          <w:rFonts w:ascii="標楷體" w:eastAsia="標楷體" w:hAnsi="標楷體" w:cs="Times New Roman"/>
          <w:color w:val="auto"/>
          <w:kern w:val="2"/>
          <w:sz w:val="24"/>
          <w:szCs w:val="24"/>
        </w:rPr>
        <w:t>家置家長</w:t>
      </w:r>
      <w:proofErr w:type="gramEnd"/>
      <w:r>
        <w:rPr>
          <w:rFonts w:ascii="標楷體" w:eastAsia="標楷體" w:hAnsi="標楷體" w:cs="Times New Roman"/>
          <w:color w:val="auto"/>
          <w:kern w:val="2"/>
          <w:sz w:val="24"/>
          <w:szCs w:val="24"/>
        </w:rPr>
        <w:t>。同家之人，除家長外，</w:t>
      </w:r>
      <w:proofErr w:type="gramStart"/>
      <w:r>
        <w:rPr>
          <w:rFonts w:ascii="標楷體" w:eastAsia="標楷體" w:hAnsi="標楷體" w:cs="Times New Roman"/>
          <w:color w:val="auto"/>
          <w:kern w:val="2"/>
          <w:sz w:val="24"/>
          <w:szCs w:val="24"/>
        </w:rPr>
        <w:t>均為家屬</w:t>
      </w:r>
      <w:proofErr w:type="gramEnd"/>
      <w:r>
        <w:rPr>
          <w:rFonts w:ascii="標楷體" w:eastAsia="標楷體" w:hAnsi="標楷體" w:cs="Times New Roman"/>
          <w:color w:val="auto"/>
          <w:kern w:val="2"/>
          <w:sz w:val="24"/>
          <w:szCs w:val="24"/>
        </w:rPr>
        <w:t>。雖非親屬，而以永久共同生活為目的同居一家者，視為家屬。</w:t>
      </w:r>
      <w:r>
        <w:rPr>
          <w:rFonts w:ascii="標楷體" w:eastAsia="標楷體" w:hAnsi="標楷體" w:cs="Times New Roman" w:hint="eastAsia"/>
          <w:color w:val="auto"/>
          <w:kern w:val="2"/>
          <w:sz w:val="24"/>
          <w:szCs w:val="24"/>
        </w:rPr>
        <w:t>」</w:t>
      </w:r>
    </w:p>
    <w:p w:rsidR="00724508" w:rsidRDefault="00724508" w:rsidP="00724508">
      <w:pPr>
        <w:spacing w:line="440" w:lineRule="exact"/>
        <w:ind w:leftChars="225" w:left="540"/>
        <w:jc w:val="both"/>
        <w:rPr>
          <w:rFonts w:ascii="標楷體" w:eastAsia="標楷體" w:hAnsi="標楷體" w:hint="eastAsia"/>
        </w:rPr>
      </w:pPr>
      <w:r>
        <w:rPr>
          <w:rFonts w:ascii="標楷體" w:eastAsia="標楷體" w:hAnsi="標楷體" w:hint="eastAsia"/>
        </w:rPr>
        <w:t>本法第3條第1款所稱「共同生活之家屬」，依民法第1123條第3項規定，限於永久共同生活為目的而同居者，僅與公職人員登記於同一戶籍內，而無共同生活者不屬之。公職人員如進用同戶籍者後，始發生二親等姻親關係，因進用之際，後者尚非其關係人，公職人員自無違反本法第6條、第10條可言。</w:t>
      </w:r>
      <w:proofErr w:type="gramStart"/>
      <w:r>
        <w:rPr>
          <w:rFonts w:ascii="標楷體" w:eastAsia="標楷體" w:hAnsi="標楷體" w:hint="eastAsia"/>
        </w:rPr>
        <w:t>反之，</w:t>
      </w:r>
      <w:proofErr w:type="gramEnd"/>
      <w:r>
        <w:rPr>
          <w:rFonts w:ascii="標楷體" w:eastAsia="標楷體" w:hAnsi="標楷體" w:hint="eastAsia"/>
        </w:rPr>
        <w:t>如為與公職人員或其子女結婚或已訂定婚約，而與公職人員同居，嗣後結婚成為配偶或二親等姻親者，則自同居時起，可視為公職人員家屬（最高法院23年上字3096號判例意旨參照）。</w:t>
      </w:r>
      <w:r>
        <w:rPr>
          <w:rFonts w:ascii="標楷體" w:eastAsia="標楷體" w:hAnsi="標楷體" w:hint="eastAsia"/>
          <w:color w:val="000000"/>
          <w:szCs w:val="28"/>
        </w:rPr>
        <w:t>（法務部95.6.26法政決字第0950019778函釋）</w:t>
      </w:r>
    </w:p>
    <w:p w:rsidR="00724508" w:rsidRDefault="00724508" w:rsidP="00724508">
      <w:pPr>
        <w:spacing w:line="440" w:lineRule="exact"/>
        <w:ind w:left="360"/>
        <w:jc w:val="both"/>
        <w:rPr>
          <w:rFonts w:ascii="標楷體" w:eastAsia="標楷體" w:hAnsi="標楷體" w:hint="eastAsia"/>
          <w:sz w:val="28"/>
        </w:rPr>
      </w:pPr>
      <w:r>
        <w:rPr>
          <w:rFonts w:ascii="標楷體" w:eastAsia="標楷體" w:hAnsi="標楷體" w:hint="eastAsia"/>
        </w:rPr>
        <w:t>◎</w:t>
      </w:r>
      <w:r>
        <w:rPr>
          <w:rFonts w:ascii="標楷體" w:eastAsia="標楷體" w:hAnsi="標楷體"/>
          <w:b/>
          <w:bCs/>
        </w:rPr>
        <w:t>親等的定義及</w:t>
      </w:r>
      <w:r>
        <w:rPr>
          <w:rFonts w:ascii="標楷體" w:eastAsia="標楷體" w:hAnsi="標楷體" w:hint="eastAsia"/>
          <w:b/>
          <w:bCs/>
        </w:rPr>
        <w:t>計</w:t>
      </w:r>
      <w:r>
        <w:rPr>
          <w:rFonts w:ascii="標楷體" w:eastAsia="標楷體" w:hAnsi="標楷體"/>
          <w:b/>
          <w:bCs/>
        </w:rPr>
        <w:t>算</w:t>
      </w:r>
      <w:r>
        <w:rPr>
          <w:rFonts w:ascii="標楷體" w:eastAsia="標楷體" w:hAnsi="標楷體" w:hint="eastAsia"/>
          <w:b/>
          <w:bCs/>
        </w:rPr>
        <w:t>方式</w:t>
      </w:r>
      <w:r>
        <w:rPr>
          <w:rFonts w:ascii="標楷體" w:eastAsia="標楷體" w:hAnsi="標楷體" w:hint="eastAsia"/>
        </w:rPr>
        <w:t>，規定於</w:t>
      </w:r>
      <w:r>
        <w:rPr>
          <w:rFonts w:ascii="標楷體" w:eastAsia="標楷體" w:hAnsi="標楷體"/>
        </w:rPr>
        <w:t>民法第</w:t>
      </w:r>
      <w:r>
        <w:rPr>
          <w:rFonts w:ascii="標楷體" w:eastAsia="標楷體" w:hAnsi="標楷體" w:hint="eastAsia"/>
        </w:rPr>
        <w:t>967</w:t>
      </w:r>
      <w:r>
        <w:rPr>
          <w:rFonts w:ascii="標楷體" w:eastAsia="標楷體" w:hAnsi="標楷體"/>
        </w:rPr>
        <w:t>條至</w:t>
      </w:r>
      <w:r>
        <w:rPr>
          <w:rFonts w:ascii="標楷體" w:eastAsia="標楷體" w:hAnsi="標楷體" w:hint="eastAsia"/>
        </w:rPr>
        <w:t>970</w:t>
      </w:r>
      <w:r>
        <w:rPr>
          <w:rFonts w:ascii="標楷體" w:eastAsia="標楷體" w:hAnsi="標楷體"/>
        </w:rPr>
        <w:t>條</w:t>
      </w:r>
      <w:r>
        <w:rPr>
          <w:rFonts w:ascii="標楷體" w:eastAsia="標楷體" w:hAnsi="標楷體" w:hint="eastAsia"/>
        </w:rPr>
        <w:t>。</w:t>
      </w:r>
      <w:r>
        <w:rPr>
          <w:rFonts w:ascii="標楷體" w:eastAsia="標楷體" w:hAnsi="標楷體"/>
        </w:rPr>
        <w:t>直系血親，從己身上下數，以一世為一親等</w:t>
      </w:r>
      <w:proofErr w:type="gramStart"/>
      <w:r>
        <w:rPr>
          <w:rFonts w:ascii="標楷體" w:eastAsia="標楷體" w:hAnsi="標楷體"/>
        </w:rPr>
        <w:t>（</w:t>
      </w:r>
      <w:proofErr w:type="gramEnd"/>
      <w:r>
        <w:rPr>
          <w:rFonts w:ascii="標楷體" w:eastAsia="標楷體" w:hAnsi="標楷體" w:hint="eastAsia"/>
        </w:rPr>
        <w:t>例如：</w:t>
      </w:r>
      <w:proofErr w:type="gramStart"/>
      <w:r>
        <w:rPr>
          <w:rFonts w:ascii="標楷體" w:eastAsia="標楷體" w:hAnsi="標楷體" w:hint="eastAsia"/>
        </w:rPr>
        <w:t>父子間為一世</w:t>
      </w:r>
      <w:proofErr w:type="gramEnd"/>
      <w:r>
        <w:rPr>
          <w:rFonts w:ascii="標楷體" w:eastAsia="標楷體" w:hAnsi="標楷體" w:hint="eastAsia"/>
        </w:rPr>
        <w:t>，故為一親等；</w:t>
      </w:r>
      <w:proofErr w:type="gramStart"/>
      <w:r>
        <w:rPr>
          <w:rFonts w:ascii="標楷體" w:eastAsia="標楷體" w:hAnsi="標楷體" w:hint="eastAsia"/>
        </w:rPr>
        <w:t>祖孫間則有</w:t>
      </w:r>
      <w:proofErr w:type="gramEnd"/>
      <w:r>
        <w:rPr>
          <w:rFonts w:ascii="標楷體" w:eastAsia="標楷體" w:hAnsi="標楷體" w:hint="eastAsia"/>
        </w:rPr>
        <w:t>兩</w:t>
      </w:r>
      <w:proofErr w:type="gramStart"/>
      <w:r>
        <w:rPr>
          <w:rFonts w:ascii="標楷體" w:eastAsia="標楷體" w:hAnsi="標楷體" w:hint="eastAsia"/>
        </w:rPr>
        <w:t>世</w:t>
      </w:r>
      <w:proofErr w:type="gramEnd"/>
      <w:r>
        <w:rPr>
          <w:rFonts w:ascii="標楷體" w:eastAsia="標楷體" w:hAnsi="標楷體" w:hint="eastAsia"/>
        </w:rPr>
        <w:t>，為二親等</w:t>
      </w:r>
      <w:proofErr w:type="gramStart"/>
      <w:r>
        <w:rPr>
          <w:rFonts w:ascii="標楷體" w:eastAsia="標楷體" w:hAnsi="標楷體"/>
        </w:rPr>
        <w:t>）</w:t>
      </w:r>
      <w:proofErr w:type="gramEnd"/>
      <w:r>
        <w:rPr>
          <w:rFonts w:ascii="標楷體" w:eastAsia="標楷體" w:hAnsi="標楷體"/>
        </w:rPr>
        <w:t>；旁系血親，從已身數至同源之直系血親，再由同源之直系血親，數至與之計算親</w:t>
      </w:r>
      <w:r>
        <w:rPr>
          <w:rFonts w:ascii="標楷體" w:eastAsia="標楷體" w:hAnsi="標楷體" w:hint="eastAsia"/>
        </w:rPr>
        <w:t>等(例如：以兄弟為例，從自己算到父母（共同之祖先）1親等，從父母算到兄弟1親等，相加後為2親等。</w:t>
      </w:r>
      <w:proofErr w:type="gramStart"/>
      <w:r>
        <w:rPr>
          <w:rFonts w:ascii="標楷體" w:eastAsia="標楷體" w:hAnsi="標楷體" w:hint="eastAsia"/>
        </w:rPr>
        <w:t>)姻親的親等計算</w:t>
      </w:r>
      <w:proofErr w:type="gramEnd"/>
      <w:r>
        <w:rPr>
          <w:rFonts w:ascii="標楷體" w:eastAsia="標楷體" w:hAnsi="標楷體" w:hint="eastAsia"/>
        </w:rPr>
        <w:t>，則規定於民法第970條。</w:t>
      </w:r>
    </w:p>
    <w:p w:rsidR="00724508" w:rsidRDefault="00724508" w:rsidP="00724508">
      <w:pPr>
        <w:spacing w:line="440" w:lineRule="exact"/>
        <w:ind w:left="360"/>
        <w:jc w:val="both"/>
        <w:rPr>
          <w:rFonts w:ascii="標楷體" w:eastAsia="標楷體" w:hAnsi="標楷體" w:hint="eastAsia"/>
          <w:sz w:val="28"/>
        </w:rPr>
      </w:pPr>
    </w:p>
    <w:p w:rsidR="00724508" w:rsidRDefault="00724508" w:rsidP="00724508">
      <w:pPr>
        <w:numPr>
          <w:ilvl w:val="0"/>
          <w:numId w:val="3"/>
        </w:numPr>
        <w:spacing w:line="440" w:lineRule="exact"/>
        <w:jc w:val="both"/>
        <w:rPr>
          <w:rFonts w:ascii="標楷體" w:eastAsia="標楷體" w:hAnsi="標楷體" w:hint="eastAsia"/>
          <w:sz w:val="28"/>
        </w:rPr>
      </w:pPr>
      <w:r>
        <w:rPr>
          <w:rFonts w:ascii="標楷體" w:eastAsia="標楷體" w:hAnsi="標楷體" w:hint="eastAsia"/>
          <w:sz w:val="28"/>
        </w:rPr>
        <w:t>公職人員之二親等以內親屬（包括父母、子女、祖孫、兄弟、姊妹、兄嫂、弟媳、姐夫、妹婿等，種類繁多）。</w:t>
      </w:r>
    </w:p>
    <w:p w:rsidR="00724508" w:rsidRDefault="00724508" w:rsidP="00724508">
      <w:pPr>
        <w:spacing w:line="440" w:lineRule="exact"/>
        <w:ind w:left="360"/>
        <w:jc w:val="both"/>
        <w:rPr>
          <w:rFonts w:ascii="標楷體" w:eastAsia="標楷體" w:hAnsi="標楷體" w:hint="eastAsia"/>
        </w:rPr>
      </w:pPr>
      <w:r>
        <w:rPr>
          <w:rFonts w:ascii="標楷體" w:eastAsia="標楷體" w:hAnsi="標楷體" w:hint="eastAsia"/>
        </w:rPr>
        <w:t>【進階補充】</w:t>
      </w:r>
    </w:p>
    <w:p w:rsidR="00724508" w:rsidRDefault="00724508" w:rsidP="00724508">
      <w:pPr>
        <w:spacing w:line="440" w:lineRule="exact"/>
        <w:ind w:left="360"/>
        <w:jc w:val="both"/>
        <w:rPr>
          <w:rFonts w:ascii="標楷體" w:eastAsia="標楷體" w:hAnsi="標楷體" w:hint="eastAsia"/>
        </w:rPr>
      </w:pPr>
      <w:r>
        <w:rPr>
          <w:rFonts w:ascii="標楷體" w:eastAsia="標楷體" w:hAnsi="標楷體" w:hint="eastAsia"/>
        </w:rPr>
        <w:t>問：若鄉長的哥哥過世，大嫂已再婚，是否仍為該鄉長之關係人？</w:t>
      </w:r>
    </w:p>
    <w:p w:rsidR="00724508" w:rsidRDefault="00724508" w:rsidP="00724508">
      <w:pPr>
        <w:spacing w:line="440" w:lineRule="exact"/>
        <w:ind w:left="360"/>
        <w:jc w:val="both"/>
        <w:rPr>
          <w:rFonts w:eastAsia="標楷體" w:hint="eastAsia"/>
          <w:sz w:val="28"/>
          <w:szCs w:val="25"/>
        </w:rPr>
      </w:pPr>
      <w:r>
        <w:rPr>
          <w:rFonts w:ascii="標楷體" w:eastAsia="標楷體" w:hAnsi="標楷體" w:hint="eastAsia"/>
        </w:rPr>
        <w:t>答：</w:t>
      </w:r>
      <w:r>
        <w:rPr>
          <w:rFonts w:eastAsia="標楷體" w:hint="eastAsia"/>
          <w:szCs w:val="25"/>
        </w:rPr>
        <w:t>配偶一方死亡，他方再婚時，不為姻親關係消滅之事由（</w:t>
      </w:r>
      <w:r>
        <w:rPr>
          <w:rFonts w:eastAsia="標楷體" w:hint="eastAsia"/>
          <w:kern w:val="0"/>
          <w:szCs w:val="25"/>
        </w:rPr>
        <w:t>法務部</w:t>
      </w:r>
      <w:r>
        <w:rPr>
          <w:rFonts w:eastAsia="標楷體" w:hint="eastAsia"/>
          <w:kern w:val="0"/>
          <w:szCs w:val="25"/>
        </w:rPr>
        <w:t>97.3.6</w:t>
      </w:r>
      <w:r>
        <w:rPr>
          <w:rFonts w:eastAsia="標楷體" w:hint="eastAsia"/>
          <w:kern w:val="0"/>
          <w:szCs w:val="25"/>
        </w:rPr>
        <w:t>法</w:t>
      </w:r>
      <w:r>
        <w:rPr>
          <w:rFonts w:eastAsia="標楷體" w:hint="eastAsia"/>
          <w:kern w:val="0"/>
          <w:szCs w:val="25"/>
        </w:rPr>
        <w:lastRenderedPageBreak/>
        <w:t>律字第</w:t>
      </w:r>
      <w:r>
        <w:rPr>
          <w:rFonts w:eastAsia="標楷體" w:hint="eastAsia"/>
          <w:kern w:val="0"/>
          <w:szCs w:val="25"/>
        </w:rPr>
        <w:t>0970005935</w:t>
      </w:r>
      <w:r>
        <w:rPr>
          <w:rFonts w:eastAsia="標楷體" w:hint="eastAsia"/>
          <w:kern w:val="0"/>
          <w:szCs w:val="25"/>
        </w:rPr>
        <w:t>號函釋）</w:t>
      </w:r>
      <w:r>
        <w:rPr>
          <w:rFonts w:eastAsia="標楷體" w:hint="eastAsia"/>
          <w:szCs w:val="25"/>
        </w:rPr>
        <w:t>。因而</w:t>
      </w:r>
      <w:proofErr w:type="gramStart"/>
      <w:r>
        <w:rPr>
          <w:rFonts w:eastAsia="標楷體" w:hint="eastAsia"/>
          <w:szCs w:val="25"/>
        </w:rPr>
        <w:t>縱</w:t>
      </w:r>
      <w:proofErr w:type="gramEnd"/>
      <w:r>
        <w:rPr>
          <w:rFonts w:eastAsia="標楷體" w:hint="eastAsia"/>
          <w:szCs w:val="25"/>
        </w:rPr>
        <w:t>配偶已亡故，原因結婚而發生之二親等以內姻親，仍為本法所稱之關係人。</w:t>
      </w:r>
    </w:p>
    <w:p w:rsidR="00724508" w:rsidRDefault="00724508" w:rsidP="00724508">
      <w:pPr>
        <w:spacing w:line="440" w:lineRule="exact"/>
        <w:ind w:left="360"/>
        <w:jc w:val="both"/>
        <w:rPr>
          <w:rFonts w:ascii="標楷體" w:eastAsia="標楷體" w:hAnsi="標楷體" w:hint="eastAsia"/>
          <w:sz w:val="28"/>
        </w:rPr>
      </w:pPr>
    </w:p>
    <w:p w:rsidR="00724508" w:rsidRDefault="00724508" w:rsidP="00724508">
      <w:pPr>
        <w:numPr>
          <w:ilvl w:val="0"/>
          <w:numId w:val="3"/>
        </w:numPr>
        <w:spacing w:line="440" w:lineRule="exact"/>
        <w:jc w:val="both"/>
        <w:rPr>
          <w:rFonts w:ascii="標楷體" w:eastAsia="標楷體" w:hAnsi="標楷體" w:hint="eastAsia"/>
          <w:sz w:val="28"/>
        </w:rPr>
      </w:pPr>
      <w:r>
        <w:rPr>
          <w:rFonts w:ascii="標楷體" w:eastAsia="標楷體" w:hAnsi="標楷體" w:hint="eastAsia"/>
          <w:sz w:val="28"/>
        </w:rPr>
        <w:t>公職人員或其配偶信託財產之受託人</w:t>
      </w:r>
      <w:r>
        <w:rPr>
          <w:rFonts w:ascii="標楷體" w:eastAsia="標楷體" w:hAnsi="標楷體" w:hint="eastAsia"/>
          <w:color w:val="000000"/>
          <w:sz w:val="28"/>
          <w:szCs w:val="28"/>
        </w:rPr>
        <w:t>(主要為信託業者，指的是經財政部許可，以經營信託為業之機構；若</w:t>
      </w:r>
      <w:r>
        <w:rPr>
          <w:rFonts w:ascii="標楷體" w:eastAsia="標楷體" w:hAnsi="標楷體" w:cs="細明體" w:hint="eastAsia"/>
          <w:color w:val="000000"/>
          <w:sz w:val="28"/>
          <w:szCs w:val="28"/>
          <w:lang w:val="zh-TW"/>
        </w:rPr>
        <w:t>銀行經財政部許可兼營信託業務時，也視為信託業)</w:t>
      </w:r>
      <w:r>
        <w:rPr>
          <w:rFonts w:ascii="標楷體" w:eastAsia="標楷體" w:hAnsi="標楷體" w:hint="eastAsia"/>
          <w:sz w:val="28"/>
        </w:rPr>
        <w:t>。</w:t>
      </w:r>
    </w:p>
    <w:p w:rsidR="00724508" w:rsidRDefault="00724508" w:rsidP="00724508">
      <w:pPr>
        <w:spacing w:line="440" w:lineRule="exact"/>
        <w:ind w:leftChars="224" w:left="538" w:firstLine="2"/>
        <w:jc w:val="both"/>
        <w:rPr>
          <w:rFonts w:ascii="標楷體" w:eastAsia="標楷體" w:hAnsi="標楷體" w:hint="eastAsia"/>
          <w:sz w:val="28"/>
          <w:szCs w:val="25"/>
        </w:rPr>
      </w:pPr>
      <w:r>
        <w:rPr>
          <w:rFonts w:ascii="標楷體" w:eastAsia="標楷體" w:hAnsi="標楷體" w:hint="eastAsia"/>
          <w:sz w:val="28"/>
        </w:rPr>
        <w:t>◎</w:t>
      </w:r>
      <w:r>
        <w:rPr>
          <w:rFonts w:ascii="標楷體" w:eastAsia="標楷體" w:hAnsi="標楷體" w:hint="eastAsia"/>
          <w:szCs w:val="25"/>
        </w:rPr>
        <w:t>受託人於適用本法第9條規定時,其禁止交易之範圍</w:t>
      </w:r>
      <w:proofErr w:type="gramStart"/>
      <w:r>
        <w:rPr>
          <w:rFonts w:ascii="標楷體" w:eastAsia="標楷體" w:hAnsi="標楷體" w:hint="eastAsia"/>
          <w:szCs w:val="25"/>
        </w:rPr>
        <w:t>應作限縮</w:t>
      </w:r>
      <w:proofErr w:type="gramEnd"/>
      <w:r>
        <w:rPr>
          <w:rFonts w:ascii="標楷體" w:eastAsia="標楷體" w:hAnsi="標楷體" w:hint="eastAsia"/>
          <w:szCs w:val="25"/>
        </w:rPr>
        <w:t>解釋，即僅限於以公職人員交付信託之財產與該公職人員服務機關及受其監督機關為交易之情形，受託人以非上開財產經營業務之行為則不在此限（法務部94.8.3法政決字第0941113125號函</w:t>
      </w:r>
      <w:r>
        <w:rPr>
          <w:rFonts w:eastAsia="標楷體" w:hint="eastAsia"/>
          <w:kern w:val="0"/>
          <w:szCs w:val="25"/>
        </w:rPr>
        <w:t>釋</w:t>
      </w:r>
      <w:r>
        <w:rPr>
          <w:rFonts w:ascii="標楷體" w:eastAsia="標楷體" w:hAnsi="標楷體" w:hint="eastAsia"/>
          <w:szCs w:val="25"/>
        </w:rPr>
        <w:t>）。</w:t>
      </w:r>
    </w:p>
    <w:p w:rsidR="00724508" w:rsidRDefault="00724508" w:rsidP="00724508">
      <w:pPr>
        <w:spacing w:line="440" w:lineRule="exact"/>
        <w:jc w:val="both"/>
        <w:rPr>
          <w:rFonts w:ascii="標楷體" w:eastAsia="標楷體" w:hAnsi="標楷體" w:hint="eastAsia"/>
          <w:sz w:val="28"/>
        </w:rPr>
      </w:pPr>
    </w:p>
    <w:p w:rsidR="00724508" w:rsidRDefault="00724508" w:rsidP="00724508">
      <w:pPr>
        <w:numPr>
          <w:ilvl w:val="0"/>
          <w:numId w:val="3"/>
        </w:numPr>
        <w:spacing w:line="440" w:lineRule="exact"/>
        <w:jc w:val="both"/>
        <w:rPr>
          <w:rFonts w:ascii="標楷體" w:eastAsia="標楷體" w:hAnsi="標楷體" w:hint="eastAsia"/>
          <w:sz w:val="28"/>
        </w:rPr>
      </w:pPr>
      <w:r>
        <w:rPr>
          <w:rFonts w:ascii="標楷體" w:eastAsia="標楷體" w:hAnsi="標楷體" w:hint="eastAsia"/>
          <w:sz w:val="28"/>
        </w:rPr>
        <w:t>公職人員、第1款及第2款所列人員擔任負責人、董事、監察人或經理人之營利事業。</w:t>
      </w:r>
    </w:p>
    <w:p w:rsidR="00724508" w:rsidRDefault="00724508" w:rsidP="00724508">
      <w:pPr>
        <w:pStyle w:val="HTML"/>
        <w:spacing w:line="440" w:lineRule="exact"/>
        <w:ind w:leftChars="150" w:left="718" w:hangingChars="128" w:hanging="358"/>
        <w:jc w:val="both"/>
        <w:rPr>
          <w:rFonts w:ascii="標楷體" w:eastAsia="標楷體" w:hAnsi="標楷體" w:hint="eastAsia"/>
          <w:sz w:val="28"/>
        </w:rPr>
      </w:pPr>
    </w:p>
    <w:p w:rsidR="00724508" w:rsidRDefault="00724508" w:rsidP="00724508">
      <w:pPr>
        <w:spacing w:line="440" w:lineRule="exact"/>
        <w:ind w:leftChars="150" w:left="718" w:hangingChars="128" w:hanging="358"/>
        <w:jc w:val="both"/>
        <w:rPr>
          <w:rFonts w:ascii="標楷體" w:eastAsia="標楷體" w:hAnsi="標楷體" w:hint="eastAsia"/>
        </w:rPr>
      </w:pPr>
      <w:r>
        <w:rPr>
          <w:rFonts w:ascii="標楷體" w:eastAsia="標楷體" w:hAnsi="標楷體" w:hint="eastAsia"/>
          <w:sz w:val="28"/>
        </w:rPr>
        <w:t>◎</w:t>
      </w:r>
      <w:r>
        <w:rPr>
          <w:rFonts w:ascii="標楷體" w:eastAsia="標楷體" w:hAnsi="標楷體" w:hint="eastAsia"/>
        </w:rPr>
        <w:t>所稱</w:t>
      </w:r>
      <w:r>
        <w:rPr>
          <w:rFonts w:ascii="標楷體" w:eastAsia="標楷體" w:hAnsi="標楷體" w:hint="eastAsia"/>
          <w:b/>
          <w:bCs/>
        </w:rPr>
        <w:t>營利事業</w:t>
      </w:r>
      <w:r>
        <w:rPr>
          <w:rFonts w:ascii="標楷體" w:eastAsia="標楷體" w:hAnsi="標楷體" w:hint="eastAsia"/>
        </w:rPr>
        <w:t>，指所得稅法第11條第2項規定之營利事業。（本法施行細則第2條第2項）</w:t>
      </w:r>
    </w:p>
    <w:p w:rsidR="00724508" w:rsidRDefault="00724508" w:rsidP="00724508">
      <w:pPr>
        <w:spacing w:line="440" w:lineRule="exact"/>
        <w:ind w:leftChars="275" w:left="660"/>
        <w:jc w:val="both"/>
        <w:rPr>
          <w:rFonts w:ascii="標楷體" w:eastAsia="標楷體" w:hAnsi="標楷體" w:hint="eastAsia"/>
          <w:sz w:val="28"/>
        </w:rPr>
      </w:pPr>
      <w:r>
        <w:rPr>
          <w:rFonts w:ascii="標楷體" w:eastAsia="標楷體" w:hAnsi="標楷體" w:hint="eastAsia"/>
        </w:rPr>
        <w:t>所得稅法第11條第2項規定：「</w:t>
      </w:r>
      <w:proofErr w:type="gramStart"/>
      <w:r>
        <w:rPr>
          <w:rFonts w:ascii="標楷體" w:eastAsia="標楷體" w:hAnsi="標楷體"/>
        </w:rPr>
        <w:t>本法稱營利</w:t>
      </w:r>
      <w:proofErr w:type="gramEnd"/>
      <w:r>
        <w:rPr>
          <w:rFonts w:ascii="標楷體" w:eastAsia="標楷體" w:hAnsi="標楷體"/>
        </w:rPr>
        <w:t>事業，係指公營、私營或公私合營，以營利為目的，具備營業牌號或場所之獨資、合夥、公司及其他組織方式之工、商、農、林、漁、牧、礦冶等營利事業。</w:t>
      </w:r>
      <w:r>
        <w:rPr>
          <w:rFonts w:ascii="標楷體" w:eastAsia="標楷體" w:hAnsi="標楷體" w:hint="eastAsia"/>
        </w:rPr>
        <w:t>」</w:t>
      </w:r>
    </w:p>
    <w:p w:rsidR="00724508" w:rsidRDefault="00724508" w:rsidP="00724508">
      <w:pPr>
        <w:spacing w:line="440" w:lineRule="exact"/>
        <w:ind w:leftChars="150" w:left="360"/>
        <w:jc w:val="both"/>
        <w:rPr>
          <w:rFonts w:ascii="標楷體" w:eastAsia="標楷體" w:hAnsi="標楷體" w:hint="eastAsia"/>
        </w:rPr>
      </w:pPr>
      <w:r>
        <w:rPr>
          <w:rFonts w:ascii="標楷體" w:eastAsia="標楷體" w:hAnsi="標楷體" w:hint="eastAsia"/>
        </w:rPr>
        <w:t>【進階補充】</w:t>
      </w:r>
    </w:p>
    <w:p w:rsidR="00724508" w:rsidRDefault="00724508" w:rsidP="00724508">
      <w:pPr>
        <w:spacing w:line="440" w:lineRule="exact"/>
        <w:ind w:leftChars="225" w:left="1001" w:hangingChars="192" w:hanging="461"/>
        <w:jc w:val="both"/>
        <w:rPr>
          <w:rFonts w:ascii="標楷體" w:eastAsia="標楷體" w:hAnsi="標楷體" w:hint="eastAsia"/>
          <w:szCs w:val="28"/>
        </w:rPr>
      </w:pPr>
      <w:r>
        <w:rPr>
          <w:rFonts w:ascii="標楷體" w:eastAsia="標楷體" w:hAnsi="標楷體" w:hint="eastAsia"/>
          <w:szCs w:val="28"/>
        </w:rPr>
        <w:t>問：員工消費合作社擬參與該公立醫院「病患膳食及餐飲部委託經營案」之投標，是否牴觸</w:t>
      </w:r>
      <w:r>
        <w:rPr>
          <w:rFonts w:ascii="標楷體" w:eastAsia="標楷體" w:hAnsi="標楷體" w:hint="eastAsia"/>
          <w:color w:val="000000"/>
          <w:szCs w:val="28"/>
        </w:rPr>
        <w:t>本法</w:t>
      </w:r>
      <w:r>
        <w:rPr>
          <w:rFonts w:ascii="標楷體" w:eastAsia="標楷體" w:hAnsi="標楷體" w:hint="eastAsia"/>
          <w:szCs w:val="28"/>
        </w:rPr>
        <w:t>？</w:t>
      </w:r>
    </w:p>
    <w:p w:rsidR="00724508" w:rsidRDefault="00724508" w:rsidP="00724508">
      <w:pPr>
        <w:spacing w:beforeLines="50" w:before="180" w:afterLines="50" w:after="180" w:line="440" w:lineRule="exact"/>
        <w:ind w:leftChars="200" w:left="960" w:hangingChars="200" w:hanging="480"/>
        <w:jc w:val="both"/>
        <w:rPr>
          <w:rFonts w:ascii="標楷體" w:eastAsia="標楷體" w:hAnsi="標楷體"/>
          <w:color w:val="000000"/>
          <w:szCs w:val="28"/>
        </w:rPr>
      </w:pPr>
      <w:r>
        <w:rPr>
          <w:rFonts w:ascii="標楷體" w:eastAsia="標楷體" w:hAnsi="標楷體" w:hint="eastAsia"/>
          <w:color w:val="000000"/>
          <w:szCs w:val="28"/>
        </w:rPr>
        <w:t>答：否。因合作社性質上為「公益法人」，自非本法所謂營利事業機構之關係人。（法務部95.2.9政利字第0951102149號函釋）</w:t>
      </w:r>
    </w:p>
    <w:p w:rsidR="0048636A" w:rsidRPr="00724508" w:rsidRDefault="0048636A">
      <w:bookmarkStart w:id="0" w:name="_GoBack"/>
      <w:bookmarkEnd w:id="0"/>
    </w:p>
    <w:sectPr w:rsidR="0048636A" w:rsidRPr="0072450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E2066"/>
    <w:multiLevelType w:val="hybridMultilevel"/>
    <w:tmpl w:val="F2B217E2"/>
    <w:lvl w:ilvl="0" w:tplc="E266F3F2">
      <w:start w:val="1"/>
      <w:numFmt w:val="decimal"/>
      <w:lvlText w:val="（%1）"/>
      <w:lvlJc w:val="left"/>
      <w:pPr>
        <w:tabs>
          <w:tab w:val="num" w:pos="720"/>
        </w:tabs>
        <w:ind w:left="720" w:hanging="720"/>
      </w:pPr>
      <w:rPr>
        <w:rFonts w:hint="eastAsia"/>
      </w:rPr>
    </w:lvl>
    <w:lvl w:ilvl="1" w:tplc="880A72D8">
      <w:start w:val="10"/>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7E45D4"/>
    <w:multiLevelType w:val="hybridMultilevel"/>
    <w:tmpl w:val="254886E2"/>
    <w:lvl w:ilvl="0" w:tplc="EAC64226">
      <w:start w:val="1"/>
      <w:numFmt w:val="decimal"/>
      <w:lvlText w:val="%1."/>
      <w:lvlJc w:val="left"/>
      <w:pPr>
        <w:tabs>
          <w:tab w:val="num" w:pos="720"/>
        </w:tabs>
        <w:ind w:left="720" w:hanging="360"/>
      </w:pPr>
      <w:rPr>
        <w:rFonts w:hAnsi="標楷體" w:hint="eastAsia"/>
        <w:sz w:val="3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15:restartNumberingAfterBreak="0">
    <w:nsid w:val="3D436A21"/>
    <w:multiLevelType w:val="hybridMultilevel"/>
    <w:tmpl w:val="C3E48E72"/>
    <w:lvl w:ilvl="0" w:tplc="D978910A">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08"/>
    <w:rsid w:val="0048636A"/>
    <w:rsid w:val="007245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A846D-04AA-43F4-AEA3-65D5E579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5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245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character" w:customStyle="1" w:styleId="HTML0">
    <w:name w:val="HTML 預設格式 字元"/>
    <w:basedOn w:val="a0"/>
    <w:link w:val="HTML"/>
    <w:rsid w:val="00724508"/>
    <w:rPr>
      <w:rFonts w:ascii="Arial Unicode MS" w:eastAsia="Arial Unicode MS" w:hAnsi="Arial Unicode MS" w:cs="Arial Unicode MS"/>
      <w:color w:val="000000"/>
      <w:kern w:val="0"/>
      <w:sz w:val="20"/>
      <w:szCs w:val="20"/>
    </w:rPr>
  </w:style>
  <w:style w:type="paragraph" w:styleId="a3">
    <w:name w:val="Body Text Indent"/>
    <w:basedOn w:val="a"/>
    <w:link w:val="a4"/>
    <w:rsid w:val="00724508"/>
    <w:pPr>
      <w:ind w:leftChars="150" w:left="360"/>
    </w:pPr>
  </w:style>
  <w:style w:type="character" w:customStyle="1" w:styleId="a4">
    <w:name w:val="本文縮排 字元"/>
    <w:basedOn w:val="a0"/>
    <w:link w:val="a3"/>
    <w:rsid w:val="00724508"/>
    <w:rPr>
      <w:rFonts w:ascii="Times New Roman" w:eastAsia="新細明體" w:hAnsi="Times New Roman" w:cs="Times New Roman"/>
      <w:szCs w:val="24"/>
    </w:rPr>
  </w:style>
  <w:style w:type="paragraph" w:styleId="2">
    <w:name w:val="Body Text Indent 2"/>
    <w:basedOn w:val="a"/>
    <w:link w:val="20"/>
    <w:rsid w:val="00724508"/>
    <w:pPr>
      <w:spacing w:line="500" w:lineRule="exact"/>
      <w:ind w:leftChars="250" w:left="600"/>
      <w:jc w:val="both"/>
    </w:pPr>
    <w:rPr>
      <w:rFonts w:ascii="標楷體" w:eastAsia="標楷體"/>
      <w:sz w:val="28"/>
    </w:rPr>
  </w:style>
  <w:style w:type="character" w:customStyle="1" w:styleId="20">
    <w:name w:val="本文縮排 2 字元"/>
    <w:basedOn w:val="a0"/>
    <w:link w:val="2"/>
    <w:rsid w:val="00724508"/>
    <w:rPr>
      <w:rFonts w:ascii="標楷體" w:eastAsia="標楷體"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0554</dc:creator>
  <cp:keywords/>
  <dc:description/>
  <cp:lastModifiedBy>0554</cp:lastModifiedBy>
  <cp:revision>1</cp:revision>
  <dcterms:created xsi:type="dcterms:W3CDTF">2021-03-08T06:22:00Z</dcterms:created>
  <dcterms:modified xsi:type="dcterms:W3CDTF">2021-03-08T06:28:00Z</dcterms:modified>
</cp:coreProperties>
</file>