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FC" w:rsidRDefault="00665F47" w:rsidP="0014620D">
      <w:pPr>
        <w:spacing w:line="360" w:lineRule="exact"/>
        <w:jc w:val="center"/>
        <w:rPr>
          <w:rFonts w:eastAsia="標楷體"/>
          <w:b/>
          <w:bCs/>
          <w:sz w:val="36"/>
        </w:rPr>
      </w:pPr>
      <w:r w:rsidRPr="00665F47">
        <w:rPr>
          <w:rFonts w:eastAsia="標楷體" w:hint="eastAsia"/>
          <w:b/>
          <w:bCs/>
          <w:sz w:val="36"/>
        </w:rPr>
        <w:t>111</w:t>
      </w:r>
      <w:r w:rsidRPr="00665F47">
        <w:rPr>
          <w:rFonts w:eastAsia="標楷體" w:hint="eastAsia"/>
          <w:b/>
          <w:bCs/>
          <w:sz w:val="36"/>
        </w:rPr>
        <w:t>年公務人員特種考試司法人員考試三等考試檢察</w:t>
      </w:r>
      <w:proofErr w:type="gramStart"/>
      <w:r w:rsidRPr="00665F47">
        <w:rPr>
          <w:rFonts w:eastAsia="標楷體" w:hint="eastAsia"/>
          <w:b/>
          <w:bCs/>
          <w:sz w:val="36"/>
        </w:rPr>
        <w:t>事務官類科</w:t>
      </w:r>
      <w:proofErr w:type="gramEnd"/>
      <w:r w:rsidRPr="00665F47">
        <w:rPr>
          <w:rFonts w:eastAsia="標楷體" w:hint="eastAsia"/>
          <w:b/>
          <w:bCs/>
          <w:sz w:val="36"/>
        </w:rPr>
        <w:t>錄取人員</w:t>
      </w:r>
      <w:r w:rsidR="00A73893" w:rsidRPr="006F268E">
        <w:rPr>
          <w:rFonts w:eastAsia="標楷體" w:hint="eastAsia"/>
          <w:b/>
          <w:bCs/>
          <w:color w:val="000000" w:themeColor="text1"/>
          <w:sz w:val="36"/>
        </w:rPr>
        <w:t>第一階段訓練</w:t>
      </w:r>
      <w:r w:rsidR="00D602FC">
        <w:rPr>
          <w:rFonts w:eastAsia="標楷體" w:hint="eastAsia"/>
          <w:b/>
          <w:bCs/>
          <w:sz w:val="36"/>
        </w:rPr>
        <w:t>課程總表</w:t>
      </w:r>
    </w:p>
    <w:p w:rsidR="00C2175B" w:rsidRDefault="00C2175B" w:rsidP="00C2175B">
      <w:pPr>
        <w:spacing w:line="360" w:lineRule="exact"/>
        <w:jc w:val="righ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民國</w:t>
      </w:r>
      <w:r>
        <w:rPr>
          <w:rFonts w:eastAsia="標楷體" w:hint="eastAsia"/>
          <w:bCs/>
          <w:szCs w:val="24"/>
        </w:rPr>
        <w:t>112</w:t>
      </w:r>
      <w:r>
        <w:rPr>
          <w:rFonts w:eastAsia="標楷體" w:hint="eastAsia"/>
          <w:bCs/>
          <w:szCs w:val="24"/>
        </w:rPr>
        <w:t>年</w:t>
      </w:r>
      <w:r w:rsidR="00F71B54">
        <w:rPr>
          <w:rFonts w:eastAsia="標楷體" w:hint="eastAsia"/>
          <w:bCs/>
          <w:szCs w:val="24"/>
        </w:rPr>
        <w:t>2</w:t>
      </w:r>
      <w:r>
        <w:rPr>
          <w:rFonts w:eastAsia="標楷體" w:hint="eastAsia"/>
          <w:bCs/>
          <w:szCs w:val="24"/>
        </w:rPr>
        <w:t>月</w:t>
      </w:r>
      <w:r w:rsidR="00F71B54">
        <w:rPr>
          <w:rFonts w:eastAsia="標楷體" w:hint="eastAsia"/>
          <w:bCs/>
          <w:szCs w:val="24"/>
        </w:rPr>
        <w:t>23</w:t>
      </w:r>
      <w:r>
        <w:rPr>
          <w:rFonts w:eastAsia="標楷體" w:hint="eastAsia"/>
          <w:bCs/>
          <w:szCs w:val="24"/>
        </w:rPr>
        <w:t>日</w:t>
      </w:r>
    </w:p>
    <w:p w:rsidR="00C2175B" w:rsidRDefault="00C2175B" w:rsidP="00DC3F2A">
      <w:pPr>
        <w:spacing w:line="360" w:lineRule="exact"/>
        <w:jc w:val="righ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保訓會</w:t>
      </w:r>
      <w:proofErr w:type="gramStart"/>
      <w:r>
        <w:rPr>
          <w:rFonts w:eastAsia="標楷體" w:hint="eastAsia"/>
          <w:bCs/>
          <w:szCs w:val="24"/>
        </w:rPr>
        <w:t>公訓字第</w:t>
      </w:r>
      <w:r>
        <w:rPr>
          <w:rFonts w:eastAsia="標楷體" w:hint="eastAsia"/>
          <w:bCs/>
          <w:szCs w:val="24"/>
        </w:rPr>
        <w:t>1120001833</w:t>
      </w:r>
      <w:r>
        <w:rPr>
          <w:rFonts w:eastAsia="標楷體" w:hint="eastAsia"/>
          <w:bCs/>
          <w:szCs w:val="24"/>
        </w:rPr>
        <w:t>號</w:t>
      </w:r>
      <w:proofErr w:type="gramEnd"/>
      <w:r>
        <w:rPr>
          <w:rFonts w:eastAsia="標楷體" w:hint="eastAsia"/>
          <w:bCs/>
          <w:szCs w:val="24"/>
        </w:rPr>
        <w:t>函核定</w:t>
      </w:r>
    </w:p>
    <w:p w:rsidR="00EF6320" w:rsidRPr="00671AF3" w:rsidRDefault="00EF6320" w:rsidP="00DC3F2A">
      <w:pPr>
        <w:spacing w:line="360" w:lineRule="exact"/>
        <w:jc w:val="right"/>
        <w:rPr>
          <w:rFonts w:eastAsia="標楷體"/>
          <w:bCs/>
          <w:szCs w:val="24"/>
        </w:rPr>
      </w:pPr>
      <w:r w:rsidRPr="00EF6320">
        <w:rPr>
          <w:rFonts w:eastAsia="標楷體"/>
          <w:bCs/>
          <w:szCs w:val="24"/>
        </w:rPr>
        <w:t>112.03.06~112.06.18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D602FC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第一階段【法律課程】</w:t>
            </w:r>
            <w:r w:rsidRPr="00DC3F2A">
              <w:rPr>
                <w:rFonts w:eastAsia="標楷體" w:hint="eastAsia"/>
                <w:sz w:val="28"/>
                <w:szCs w:val="28"/>
              </w:rPr>
              <w:t>(112.03.06~112.06.18)</w:t>
            </w:r>
            <w:r w:rsidRPr="00DC3F2A">
              <w:rPr>
                <w:rFonts w:eastAsia="標楷體" w:hint="eastAsia"/>
                <w:sz w:val="28"/>
                <w:szCs w:val="28"/>
              </w:rPr>
              <w:t>：總時數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482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一、法律課程：合計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76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C3F2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刑事法：小計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48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刑法分則常見案例</w:t>
            </w: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刑事證據法則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刑事沒收制度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刑事訴訟實務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國民法官法介紹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二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民事法：小計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民事訴訟簡介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犯罪被害補償部分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三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行政法：小計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14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個人資料保護法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行政程序法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政府採購法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四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其他法律課程：小計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國際刑事司法互助法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證券交易法實務問題分析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D602FC">
            <w:pPr>
              <w:tabs>
                <w:tab w:val="left" w:pos="972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lastRenderedPageBreak/>
              <w:t>二、偵查實務課程：合計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222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C3F2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檢察實務：小計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105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檢察業務概要、偵查總論、偵查團隊、輔助機關、偵查之開始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偵查</w:t>
            </w:r>
            <w:proofErr w:type="gramStart"/>
            <w:r>
              <w:rPr>
                <w:rFonts w:eastAsia="標楷體" w:hint="eastAsia"/>
              </w:rPr>
              <w:t>緒</w:t>
            </w:r>
            <w:proofErr w:type="gramEnd"/>
            <w:r>
              <w:rPr>
                <w:rFonts w:eastAsia="標楷體" w:hint="eastAsia"/>
              </w:rPr>
              <w:t>端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偵查之開始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)(</w:t>
            </w:r>
            <w:r>
              <w:rPr>
                <w:rFonts w:eastAsia="標楷體" w:hint="eastAsia"/>
              </w:rPr>
              <w:t>含偵查實施原則、被告證人被害人之詢問及內勤實務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偵查之實施、</w:t>
            </w:r>
            <w:proofErr w:type="gramStart"/>
            <w:r>
              <w:rPr>
                <w:rFonts w:eastAsia="標楷體" w:hint="eastAsia"/>
              </w:rPr>
              <w:t>偵</w:t>
            </w:r>
            <w:proofErr w:type="gramEnd"/>
            <w:r>
              <w:rPr>
                <w:rFonts w:eastAsia="標楷體" w:hint="eastAsia"/>
              </w:rPr>
              <w:t>案卷證資料之判讀、相驗勘驗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犯罪被害補償業務簡介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含補審</w:t>
            </w:r>
            <w:proofErr w:type="gramEnd"/>
            <w:r>
              <w:rPr>
                <w:rFonts w:eastAsia="標楷體" w:hint="eastAsia"/>
              </w:rPr>
              <w:t>、求償、</w:t>
            </w:r>
            <w:proofErr w:type="gramStart"/>
            <w:r>
              <w:rPr>
                <w:rFonts w:eastAsia="標楷體" w:hint="eastAsia"/>
              </w:rPr>
              <w:t>返補</w:t>
            </w:r>
            <w:proofErr w:type="gramEnd"/>
            <w:r>
              <w:rPr>
                <w:rFonts w:eastAsia="標楷體" w:hint="eastAsia"/>
              </w:rPr>
              <w:t>、民事起訴狀、執行狀等書類書類講解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強制處分之介紹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婦幼案件偵查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偵查之終結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含起訴、簡處刑、緩起訴等書類製作之書類講解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)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偵查之終結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proofErr w:type="gramStart"/>
            <w:r>
              <w:rPr>
                <w:rFonts w:eastAsia="標楷體" w:hint="eastAsia"/>
              </w:rPr>
              <w:t>偵</w:t>
            </w:r>
            <w:proofErr w:type="gramEnd"/>
            <w:r>
              <w:rPr>
                <w:rFonts w:eastAsia="標楷體" w:hint="eastAsia"/>
              </w:rPr>
              <w:t>、他、</w:t>
            </w:r>
            <w:proofErr w:type="gramStart"/>
            <w:r>
              <w:rPr>
                <w:rFonts w:eastAsia="標楷體" w:hint="eastAsia"/>
              </w:rPr>
              <w:t>相字案─</w:t>
            </w:r>
            <w:proofErr w:type="gramEnd"/>
            <w:r>
              <w:rPr>
                <w:rFonts w:eastAsia="標楷體" w:hint="eastAsia"/>
              </w:rPr>
              <w:t>簽呈與報告及不起訴等書類一般性解說之書類講解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檢察事務官襄助內外勤實務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檢察事務官協助公訴實務及卷證分析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含國民法官法之公訴協力事項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分流案件之介紹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前科表介紹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二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檢察書類：小計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35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檢察書類習作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含起訴、簡處刑、緩起訴等書類製作</w:t>
            </w:r>
            <w:r>
              <w:rPr>
                <w:rFonts w:eastAsia="標楷體" w:hint="eastAsia"/>
              </w:rPr>
              <w:t>)(</w:t>
            </w:r>
            <w:r>
              <w:rPr>
                <w:rFonts w:eastAsia="標楷體" w:hint="eastAsia"/>
              </w:rPr>
              <w:t>須調卷、改卷、講評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檢察書類習作二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含不起訴</w:t>
            </w:r>
            <w:proofErr w:type="gramEnd"/>
            <w:r>
              <w:rPr>
                <w:rFonts w:eastAsia="標楷體" w:hint="eastAsia"/>
              </w:rPr>
              <w:t>、職權不起訴、簽呈等</w:t>
            </w:r>
            <w:proofErr w:type="gramStart"/>
            <w:r>
              <w:rPr>
                <w:rFonts w:eastAsia="標楷體" w:hint="eastAsia"/>
              </w:rPr>
              <w:t>書類實作</w:t>
            </w:r>
            <w:proofErr w:type="gramEnd"/>
            <w:r>
              <w:rPr>
                <w:rFonts w:eastAsia="標楷體" w:hint="eastAsia"/>
              </w:rPr>
              <w:t>)(</w:t>
            </w:r>
            <w:r>
              <w:rPr>
                <w:rFonts w:eastAsia="標楷體" w:hint="eastAsia"/>
              </w:rPr>
              <w:t>須調卷、改卷、講評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偵查計劃書之製作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含聲押書</w:t>
            </w:r>
            <w:proofErr w:type="gramEnd"/>
            <w:r>
              <w:rPr>
                <w:rFonts w:eastAsia="標楷體" w:hint="eastAsia"/>
              </w:rPr>
              <w:t>之實作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三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詢問實務：小計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詢問技巧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含詢問演練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D602FC">
            <w:pPr>
              <w:tabs>
                <w:tab w:val="left" w:pos="972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lastRenderedPageBreak/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四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搜索扣押及筆錄製作：小計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搜索技巧及筆錄之製作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含搜索實作演練及</w:t>
            </w:r>
            <w:proofErr w:type="gramStart"/>
            <w:r>
              <w:rPr>
                <w:rFonts w:eastAsia="標楷體" w:hint="eastAsia"/>
              </w:rPr>
              <w:t>聲搜書</w:t>
            </w:r>
            <w:proofErr w:type="gramEnd"/>
            <w:r>
              <w:rPr>
                <w:rFonts w:eastAsia="標楷體" w:hint="eastAsia"/>
              </w:rPr>
              <w:t>之實作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五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卷證分析：小計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通聯紀錄之分析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資金流向之查核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資金流向之查核二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六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實務案例分析與偵查：小計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48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陸海空軍刑法介紹及</w:t>
            </w:r>
            <w:proofErr w:type="gramStart"/>
            <w:r>
              <w:rPr>
                <w:rFonts w:eastAsia="標楷體" w:hint="eastAsia"/>
              </w:rPr>
              <w:t>偵</w:t>
            </w:r>
            <w:proofErr w:type="gramEnd"/>
            <w:r>
              <w:rPr>
                <w:rFonts w:eastAsia="標楷體" w:hint="eastAsia"/>
              </w:rPr>
              <w:t>審案例分析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網路犯罪案例分析與偵查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165</w:t>
            </w:r>
            <w:proofErr w:type="gramStart"/>
            <w:r>
              <w:rPr>
                <w:rFonts w:eastAsia="標楷體" w:hint="eastAsia"/>
              </w:rPr>
              <w:t>網拍詐欺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智慧財產犯罪常見案例分析與偵查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組織犯罪與槍械案例分析與偵查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施用毒品及緝毒案例分析與偵查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假性詐欺案例分析與偵查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稅捐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>徵法與商業會計法案例分析與偵查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不法所得之查扣、沒收及扣押物變價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一般電信詐欺與人頭帳戶相關案例分析與偵查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通訊保障及監察案例分析與偵查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含聲監書</w:t>
            </w:r>
            <w:proofErr w:type="gramEnd"/>
            <w:r>
              <w:rPr>
                <w:rFonts w:eastAsia="標楷體" w:hint="eastAsia"/>
              </w:rPr>
              <w:t>之實作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 w:rsidP="00CC05F4">
            <w:pPr>
              <w:tabs>
                <w:tab w:val="left" w:pos="9720"/>
              </w:tabs>
              <w:ind w:leftChars="460" w:left="1717" w:hangingChars="219" w:hanging="613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七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漢書</w:t>
            </w: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文采</w:t>
            </w:r>
            <w:r w:rsidRPr="00DC3F2A">
              <w:rPr>
                <w:rFonts w:eastAsia="標楷體" w:hint="eastAsia"/>
                <w:sz w:val="28"/>
                <w:szCs w:val="28"/>
              </w:rPr>
              <w:t>)</w:t>
            </w:r>
            <w:r w:rsidRPr="00DC3F2A">
              <w:rPr>
                <w:rFonts w:eastAsia="標楷體" w:hint="eastAsia"/>
                <w:sz w:val="28"/>
                <w:szCs w:val="28"/>
              </w:rPr>
              <w:t>文書處理軟體及支援檢察官辦案系統介紹及實務操作：小計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漢書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文采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文書處理軟體及支援檢察官辦案系統介紹及實務操作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班上課、群組教學</w:t>
            </w: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D602FC">
            <w:pPr>
              <w:tabs>
                <w:tab w:val="left" w:pos="9720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lastRenderedPageBreak/>
              <w:t>三、其他專業課程：合計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39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C3F2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法醫知識：小計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4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法醫知識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法醫知識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二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C3F2A">
              <w:rPr>
                <w:rFonts w:eastAsia="標楷體" w:hint="eastAsia"/>
                <w:sz w:val="28"/>
                <w:szCs w:val="28"/>
              </w:rPr>
              <w:t>婦幼案件詢問技巧：小計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2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詢問身心障礙及幼齡者應注意事項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(</w:t>
            </w:r>
            <w:r w:rsidRPr="00DC3F2A">
              <w:rPr>
                <w:rFonts w:eastAsia="標楷體" w:hint="eastAsia"/>
                <w:sz w:val="28"/>
                <w:szCs w:val="28"/>
              </w:rPr>
              <w:t>三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) </w:t>
            </w:r>
            <w:proofErr w:type="gramStart"/>
            <w:r w:rsidRPr="00DC3F2A">
              <w:rPr>
                <w:rFonts w:eastAsia="標楷體" w:hint="eastAsia"/>
                <w:sz w:val="28"/>
                <w:szCs w:val="28"/>
              </w:rPr>
              <w:t>蒐</w:t>
            </w:r>
            <w:proofErr w:type="gramEnd"/>
            <w:r w:rsidRPr="00DC3F2A">
              <w:rPr>
                <w:rFonts w:eastAsia="標楷體" w:hint="eastAsia"/>
                <w:sz w:val="28"/>
                <w:szCs w:val="28"/>
              </w:rPr>
              <w:t>證實務：小計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33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交通事故處理實務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DNA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證與鑑定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指紋之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證與鑑定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測謊之程序與鑑定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槍彈</w:t>
            </w: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識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化學</w:t>
            </w: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識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毒品辨識與製造過程簡介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現場勘查與</w:t>
            </w:r>
            <w:proofErr w:type="gramStart"/>
            <w:r>
              <w:rPr>
                <w:rFonts w:eastAsia="標楷體" w:hint="eastAsia"/>
              </w:rPr>
              <w:t>蒐</w:t>
            </w:r>
            <w:proofErr w:type="gramEnd"/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包括槍枝、血跡、工具痕跡等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動態</w:t>
            </w:r>
            <w:proofErr w:type="gramStart"/>
            <w:r>
              <w:rPr>
                <w:rFonts w:eastAsia="標楷體" w:hint="eastAsia"/>
              </w:rPr>
              <w:t>蒐</w:t>
            </w:r>
            <w:proofErr w:type="gramEnd"/>
            <w:r>
              <w:rPr>
                <w:rFonts w:eastAsia="標楷體" w:hint="eastAsia"/>
              </w:rPr>
              <w:t>證偵查實務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數位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證及</w:t>
            </w: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識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四、通識課程：合計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31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檢察組織及其運作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含檢察一體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檢察事務官之地位與職掌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檢察事務官與人權保障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人權兩公約介紹與刑事制度之影響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參訪國家人權博物館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白色恐怖景美紀念園區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原民傳統與漢人法制之衝突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性別主流化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身心障礙者及兒童權利保護相關案例分享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公務社交禮儀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溝通技巧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檢察事務簡介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一般公文製作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檢察事務官學習經驗分享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司法與人權系列</w:t>
            </w:r>
            <w:r>
              <w:rPr>
                <w:rFonts w:eastAsia="標楷體" w:hint="eastAsia"/>
              </w:rPr>
              <w:t>-CEDAW</w:t>
            </w:r>
            <w:r>
              <w:rPr>
                <w:rFonts w:eastAsia="標楷體" w:hint="eastAsia"/>
              </w:rPr>
              <w:t>與司法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公務員行政中立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  <w:tr w:rsidR="00D602FC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DC3F2A" w:rsidRDefault="00C7406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  <w:szCs w:val="28"/>
              </w:rPr>
            </w:pPr>
            <w:r w:rsidRPr="00DC3F2A">
              <w:rPr>
                <w:rFonts w:eastAsia="標楷體" w:hint="eastAsia"/>
                <w:sz w:val="28"/>
                <w:szCs w:val="28"/>
              </w:rPr>
              <w:t>五、一般課程：合計</w:t>
            </w:r>
            <w:r w:rsidRPr="00DC3F2A">
              <w:rPr>
                <w:rFonts w:eastAsia="標楷體" w:hint="eastAsia"/>
                <w:sz w:val="28"/>
                <w:szCs w:val="28"/>
              </w:rPr>
              <w:t xml:space="preserve"> 114 </w:t>
            </w:r>
            <w:r w:rsidRPr="00DC3F2A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9872B5" w:rsidTr="005959A1">
        <w:trPr>
          <w:trHeight w:val="675"/>
        </w:trPr>
        <w:tc>
          <w:tcPr>
            <w:tcW w:w="380" w:type="dxa"/>
            <w:vAlign w:val="center"/>
          </w:tcPr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9872B5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教務學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業務報告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人事及秘書室業務報告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自我介紹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檢察書</w:t>
            </w:r>
            <w:proofErr w:type="gramStart"/>
            <w:r>
              <w:rPr>
                <w:rFonts w:eastAsia="標楷體" w:hint="eastAsia"/>
              </w:rPr>
              <w:t>類擬</w:t>
            </w:r>
            <w:proofErr w:type="gramEnd"/>
            <w:r>
              <w:rPr>
                <w:rFonts w:eastAsia="標楷體" w:hint="eastAsia"/>
              </w:rPr>
              <w:t>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測驗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檢察業務座談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學習心得座談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至各地檢署學習行前說明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班會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導師時間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5727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群組教學</w:t>
            </w: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認識環境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始業典禮預演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始業典禮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學員報到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人文生態教育之旅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872B5" w:rsidTr="009D5725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Default="009055B3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Default="00055721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教學參訪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Default="000557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Default="009872B5">
            <w:pPr>
              <w:jc w:val="center"/>
              <w:rPr>
                <w:rFonts w:eastAsia="標楷體"/>
              </w:rPr>
            </w:pPr>
          </w:p>
        </w:tc>
      </w:tr>
      <w:tr w:rsidR="009D5725" w:rsidTr="009D5725">
        <w:trPr>
          <w:trHeight w:val="454"/>
        </w:trPr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</w:p>
        </w:tc>
        <w:tc>
          <w:tcPr>
            <w:tcW w:w="6848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 w:rsidP="00055721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:rsidR="009D5725" w:rsidRDefault="009D5725">
            <w:pPr>
              <w:jc w:val="center"/>
              <w:rPr>
                <w:rFonts w:eastAsia="標楷體"/>
              </w:rPr>
            </w:pPr>
          </w:p>
        </w:tc>
      </w:tr>
    </w:tbl>
    <w:p w:rsidR="00D602FC" w:rsidRPr="00C36696" w:rsidRDefault="009055B3" w:rsidP="006F268E">
      <w:pPr>
        <w:jc w:val="right"/>
        <w:rPr>
          <w:rFonts w:eastAsia="標楷體"/>
          <w:strike/>
          <w:color w:val="FF0000"/>
        </w:rPr>
      </w:pPr>
      <w:r>
        <w:rPr>
          <w:rFonts w:eastAsia="標楷體" w:hint="eastAsia"/>
        </w:rPr>
        <w:t>備註：表列講座如有出國、職務異動或其他原因時，授權由法務部司法官學院調整之。</w:t>
      </w:r>
      <w:bookmarkStart w:id="0" w:name="_GoBack"/>
      <w:bookmarkEnd w:id="0"/>
    </w:p>
    <w:sectPr w:rsidR="00D602FC" w:rsidRPr="00C36696">
      <w:footerReference w:type="even" r:id="rId6"/>
      <w:footerReference w:type="default" r:id="rId7"/>
      <w:pgSz w:w="11906" w:h="16838" w:code="9"/>
      <w:pgMar w:top="1134" w:right="926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8E" w:rsidRDefault="006F268E">
      <w:r>
        <w:separator/>
      </w:r>
    </w:p>
  </w:endnote>
  <w:endnote w:type="continuationSeparator" w:id="0">
    <w:p w:rsidR="006F268E" w:rsidRDefault="006F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8E" w:rsidRDefault="006F26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268E" w:rsidRDefault="006F26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8E" w:rsidRDefault="006F26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373">
      <w:rPr>
        <w:rStyle w:val="a4"/>
        <w:noProof/>
      </w:rPr>
      <w:t>1</w:t>
    </w:r>
    <w:r>
      <w:rPr>
        <w:rStyle w:val="a4"/>
      </w:rPr>
      <w:fldChar w:fldCharType="end"/>
    </w:r>
  </w:p>
  <w:p w:rsidR="006F268E" w:rsidRDefault="006F26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8E" w:rsidRDefault="006F268E">
      <w:r>
        <w:separator/>
      </w:r>
    </w:p>
  </w:footnote>
  <w:footnote w:type="continuationSeparator" w:id="0">
    <w:p w:rsidR="006F268E" w:rsidRDefault="006F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B3"/>
    <w:rsid w:val="00055721"/>
    <w:rsid w:val="00082C6F"/>
    <w:rsid w:val="0014620D"/>
    <w:rsid w:val="00156A2A"/>
    <w:rsid w:val="0019772B"/>
    <w:rsid w:val="003B78FF"/>
    <w:rsid w:val="003E7479"/>
    <w:rsid w:val="00572782"/>
    <w:rsid w:val="005959A1"/>
    <w:rsid w:val="00624CBF"/>
    <w:rsid w:val="00625C08"/>
    <w:rsid w:val="00665F47"/>
    <w:rsid w:val="00670469"/>
    <w:rsid w:val="00671AF3"/>
    <w:rsid w:val="006A6181"/>
    <w:rsid w:val="006F268E"/>
    <w:rsid w:val="007333F7"/>
    <w:rsid w:val="007952BE"/>
    <w:rsid w:val="009055B3"/>
    <w:rsid w:val="009872B5"/>
    <w:rsid w:val="009D5725"/>
    <w:rsid w:val="009F5373"/>
    <w:rsid w:val="00A4634D"/>
    <w:rsid w:val="00A73893"/>
    <w:rsid w:val="00BB2620"/>
    <w:rsid w:val="00BD6CA6"/>
    <w:rsid w:val="00C2175B"/>
    <w:rsid w:val="00C36696"/>
    <w:rsid w:val="00C7406D"/>
    <w:rsid w:val="00CC05F4"/>
    <w:rsid w:val="00D05705"/>
    <w:rsid w:val="00D602FC"/>
    <w:rsid w:val="00DC3F2A"/>
    <w:rsid w:val="00E03FFB"/>
    <w:rsid w:val="00E755E2"/>
    <w:rsid w:val="00EF6320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96569A"/>
  <w15:docId w15:val="{6D126DAD-1125-4BA9-A0E0-54B5209E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F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F6320"/>
    <w:rPr>
      <w:kern w:val="2"/>
    </w:rPr>
  </w:style>
  <w:style w:type="paragraph" w:styleId="a7">
    <w:name w:val="Date"/>
    <w:basedOn w:val="a"/>
    <w:next w:val="a"/>
    <w:link w:val="a8"/>
    <w:rsid w:val="00C2175B"/>
    <w:pPr>
      <w:jc w:val="right"/>
    </w:pPr>
  </w:style>
  <w:style w:type="character" w:customStyle="1" w:styleId="a8">
    <w:name w:val="日期 字元"/>
    <w:basedOn w:val="a0"/>
    <w:link w:val="a7"/>
    <w:rsid w:val="00C2175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C2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217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t\report\LA8030R_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LA8030R_9</Template>
  <TotalTime>20</TotalTime>
  <Pages>6</Pages>
  <Words>1998</Words>
  <Characters>836</Characters>
  <Application>Microsoft Office Word</Application>
  <DocSecurity>0</DocSecurity>
  <Lines>6</Lines>
  <Paragraphs>5</Paragraphs>
  <ScaleCrop>false</ScaleCrop>
  <Company>isnis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鄭麗娟</dc:creator>
  <cp:lastModifiedBy>郭穎琪</cp:lastModifiedBy>
  <cp:revision>7</cp:revision>
  <cp:lastPrinted>2023-02-23T06:41:00Z</cp:lastPrinted>
  <dcterms:created xsi:type="dcterms:W3CDTF">2023-02-21T09:30:00Z</dcterms:created>
  <dcterms:modified xsi:type="dcterms:W3CDTF">2023-02-23T06:54:00Z</dcterms:modified>
</cp:coreProperties>
</file>