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0C" w:rsidRDefault="003A5445">
      <w:pPr>
        <w:pStyle w:val="Standard"/>
        <w:spacing w:line="480" w:lineRule="exact"/>
        <w:ind w:right="-58"/>
      </w:pPr>
      <w:bookmarkStart w:id="0" w:name="_GoBack"/>
      <w:bookmarkEnd w:id="0"/>
      <w:r>
        <w:rPr>
          <w:rFonts w:ascii="標楷體" w:eastAsia="標楷體" w:hAnsi="標楷體"/>
          <w:b/>
          <w:bCs/>
          <w:sz w:val="40"/>
          <w:szCs w:val="40"/>
        </w:rPr>
        <w:t>110</w:t>
      </w:r>
      <w:r>
        <w:rPr>
          <w:rFonts w:ascii="標楷體" w:eastAsia="標楷體" w:hAnsi="標楷體"/>
          <w:b/>
          <w:bCs/>
          <w:sz w:val="40"/>
          <w:szCs w:val="40"/>
        </w:rPr>
        <w:t>年公務人員特種考試移民行政人員考試錄取人員專業訓練成績考核規定</w:t>
      </w:r>
    </w:p>
    <w:p w:rsidR="00F85C0C" w:rsidRDefault="003A5445">
      <w:pPr>
        <w:pStyle w:val="Standard"/>
        <w:widowControl/>
        <w:spacing w:line="400" w:lineRule="exact"/>
        <w:jc w:val="right"/>
      </w:pPr>
      <w:r>
        <w:rPr>
          <w:rFonts w:ascii="標楷體" w:eastAsia="標楷體" w:hAnsi="標楷體"/>
          <w:kern w:val="0"/>
          <w:sz w:val="28"/>
          <w:szCs w:val="28"/>
        </w:rPr>
        <w:t>民國</w:t>
      </w:r>
      <w:r>
        <w:rPr>
          <w:rFonts w:ascii="標楷體" w:eastAsia="標楷體" w:hAnsi="標楷體"/>
          <w:kern w:val="0"/>
          <w:sz w:val="28"/>
          <w:szCs w:val="28"/>
        </w:rPr>
        <w:t>111</w:t>
      </w:r>
      <w:r>
        <w:rPr>
          <w:rFonts w:ascii="標楷體" w:eastAsia="標楷體" w:hAnsi="標楷體"/>
          <w:kern w:val="0"/>
          <w:sz w:val="28"/>
          <w:szCs w:val="28"/>
        </w:rPr>
        <w:t>年</w:t>
      </w:r>
      <w:r>
        <w:rPr>
          <w:rFonts w:ascii="標楷體" w:eastAsia="標楷體" w:hAnsi="標楷體"/>
          <w:kern w:val="0"/>
          <w:sz w:val="28"/>
          <w:szCs w:val="28"/>
        </w:rPr>
        <w:t>3</w:t>
      </w:r>
      <w:r>
        <w:rPr>
          <w:rFonts w:ascii="標楷體" w:eastAsia="標楷體" w:hAnsi="標楷體"/>
          <w:kern w:val="0"/>
          <w:sz w:val="28"/>
          <w:szCs w:val="28"/>
        </w:rPr>
        <w:t>月</w:t>
      </w:r>
      <w:r>
        <w:rPr>
          <w:rFonts w:ascii="標楷體" w:eastAsia="標楷體" w:hAnsi="標楷體"/>
          <w:kern w:val="0"/>
          <w:sz w:val="28"/>
          <w:szCs w:val="28"/>
        </w:rPr>
        <w:t>28</w:t>
      </w:r>
      <w:r>
        <w:rPr>
          <w:rFonts w:ascii="標楷體" w:eastAsia="標楷體" w:hAnsi="標楷體"/>
          <w:kern w:val="0"/>
          <w:sz w:val="28"/>
          <w:szCs w:val="28"/>
        </w:rPr>
        <w:t>日</w:t>
      </w:r>
    </w:p>
    <w:p w:rsidR="00F85C0C" w:rsidRDefault="003A5445">
      <w:pPr>
        <w:pStyle w:val="Standard"/>
        <w:snapToGrid w:val="0"/>
        <w:jc w:val="right"/>
      </w:pPr>
      <w:r>
        <w:rPr>
          <w:rFonts w:ascii="標楷體" w:eastAsia="標楷體" w:hAnsi="標楷體"/>
          <w:kern w:val="0"/>
          <w:sz w:val="28"/>
          <w:szCs w:val="28"/>
        </w:rPr>
        <w:t>保訓會公訓字第</w:t>
      </w:r>
      <w:r>
        <w:rPr>
          <w:rFonts w:ascii="標楷體" w:eastAsia="標楷體" w:hAnsi="標楷體"/>
          <w:kern w:val="0"/>
          <w:sz w:val="28"/>
          <w:szCs w:val="28"/>
        </w:rPr>
        <w:t>1110003519</w:t>
      </w:r>
      <w:r>
        <w:rPr>
          <w:rFonts w:ascii="標楷體" w:eastAsia="標楷體" w:hAnsi="標楷體"/>
          <w:kern w:val="0"/>
          <w:sz w:val="28"/>
          <w:szCs w:val="28"/>
        </w:rPr>
        <w:t>號函核定</w:t>
      </w:r>
    </w:p>
    <w:p w:rsidR="00F85C0C" w:rsidRDefault="003A5445">
      <w:pPr>
        <w:pStyle w:val="Standard"/>
        <w:numPr>
          <w:ilvl w:val="0"/>
          <w:numId w:val="14"/>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本規定依</w:t>
      </w:r>
      <w:r>
        <w:rPr>
          <w:rFonts w:ascii="標楷體" w:eastAsia="標楷體" w:hAnsi="標楷體"/>
          <w:sz w:val="28"/>
          <w:szCs w:val="28"/>
        </w:rPr>
        <w:t>110</w:t>
      </w:r>
      <w:r>
        <w:rPr>
          <w:rFonts w:ascii="標楷體" w:eastAsia="標楷體" w:hAnsi="標楷體"/>
          <w:sz w:val="28"/>
          <w:szCs w:val="28"/>
        </w:rPr>
        <w:t>年公務人員特種考試移民行政人員考試錄取人員訓練計畫第</w:t>
      </w:r>
      <w:r>
        <w:rPr>
          <w:rFonts w:ascii="標楷體" w:eastAsia="標楷體" w:hAnsi="標楷體"/>
          <w:sz w:val="28"/>
          <w:szCs w:val="28"/>
        </w:rPr>
        <w:t>19</w:t>
      </w:r>
      <w:r>
        <w:rPr>
          <w:rFonts w:ascii="標楷體" w:eastAsia="標楷體" w:hAnsi="標楷體"/>
          <w:sz w:val="28"/>
          <w:szCs w:val="28"/>
        </w:rPr>
        <w:t>點規定訂定之。</w:t>
      </w:r>
      <w:r>
        <w:rPr>
          <w:rFonts w:ascii="標楷體" w:eastAsia="標楷體" w:hAnsi="標楷體"/>
          <w:sz w:val="28"/>
          <w:szCs w:val="28"/>
        </w:rPr>
        <w:t xml:space="preserve">  </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本項專業訓練各科目成績標準以</w:t>
      </w:r>
      <w:r>
        <w:rPr>
          <w:rFonts w:ascii="標楷體" w:eastAsia="標楷體" w:hAnsi="標楷體"/>
          <w:sz w:val="28"/>
          <w:szCs w:val="28"/>
        </w:rPr>
        <w:t>100</w:t>
      </w:r>
      <w:r>
        <w:rPr>
          <w:rFonts w:ascii="標楷體" w:eastAsia="標楷體" w:hAnsi="標楷體"/>
          <w:sz w:val="28"/>
          <w:szCs w:val="28"/>
        </w:rPr>
        <w:t>分為滿分，</w:t>
      </w:r>
      <w:r>
        <w:rPr>
          <w:rFonts w:ascii="標楷體" w:eastAsia="標楷體" w:hAnsi="標楷體"/>
          <w:sz w:val="28"/>
          <w:szCs w:val="28"/>
        </w:rPr>
        <w:t>60</w:t>
      </w:r>
      <w:r>
        <w:rPr>
          <w:rFonts w:ascii="標楷體" w:eastAsia="標楷體" w:hAnsi="標楷體"/>
          <w:sz w:val="28"/>
          <w:szCs w:val="28"/>
        </w:rPr>
        <w:t>分為及格，未滿</w:t>
      </w:r>
      <w:r>
        <w:rPr>
          <w:rFonts w:ascii="標楷體" w:eastAsia="標楷體" w:hAnsi="標楷體"/>
          <w:sz w:val="28"/>
          <w:szCs w:val="28"/>
        </w:rPr>
        <w:t>60</w:t>
      </w:r>
      <w:r>
        <w:rPr>
          <w:rFonts w:ascii="標楷體" w:eastAsia="標楷體" w:hAnsi="標楷體"/>
          <w:sz w:val="28"/>
          <w:szCs w:val="28"/>
        </w:rPr>
        <w:t>分為不及格。</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專業訓練成績考核項目及百分比：</w:t>
      </w:r>
    </w:p>
    <w:p w:rsidR="00F85C0C" w:rsidRDefault="003A5445">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（一）學科成績占總成績</w:t>
      </w:r>
      <w:r>
        <w:rPr>
          <w:rFonts w:ascii="標楷體" w:eastAsia="標楷體" w:hAnsi="標楷體"/>
          <w:sz w:val="28"/>
          <w:szCs w:val="28"/>
        </w:rPr>
        <w:t>40%</w:t>
      </w:r>
      <w:r>
        <w:rPr>
          <w:rFonts w:ascii="標楷體" w:eastAsia="標楷體" w:hAnsi="標楷體"/>
          <w:sz w:val="28"/>
          <w:szCs w:val="28"/>
        </w:rPr>
        <w:t>。</w:t>
      </w:r>
    </w:p>
    <w:p w:rsidR="00F85C0C" w:rsidRDefault="003A5445">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（二）體技及體能訓練成績占總成績</w:t>
      </w:r>
      <w:r>
        <w:rPr>
          <w:rFonts w:ascii="標楷體" w:eastAsia="標楷體" w:hAnsi="標楷體"/>
          <w:sz w:val="28"/>
          <w:szCs w:val="28"/>
        </w:rPr>
        <w:t>25%</w:t>
      </w:r>
      <w:r>
        <w:rPr>
          <w:rFonts w:ascii="標楷體" w:eastAsia="標楷體" w:hAnsi="標楷體"/>
          <w:sz w:val="28"/>
          <w:szCs w:val="28"/>
        </w:rPr>
        <w:t>。</w:t>
      </w:r>
    </w:p>
    <w:p w:rsidR="00F85C0C" w:rsidRDefault="003A5445">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（三）操行成績占總成績</w:t>
      </w:r>
      <w:r>
        <w:rPr>
          <w:rFonts w:ascii="標楷體" w:eastAsia="標楷體" w:hAnsi="標楷體"/>
          <w:sz w:val="28"/>
          <w:szCs w:val="28"/>
        </w:rPr>
        <w:t>35%</w:t>
      </w:r>
      <w:r>
        <w:rPr>
          <w:rFonts w:ascii="標楷體" w:eastAsia="標楷體" w:hAnsi="標楷體"/>
          <w:sz w:val="28"/>
          <w:szCs w:val="28"/>
        </w:rPr>
        <w:t>。</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受訓人員成績考核方式：</w:t>
      </w:r>
    </w:p>
    <w:p w:rsidR="00F85C0C" w:rsidRDefault="003A5445">
      <w:pPr>
        <w:pStyle w:val="Standard"/>
        <w:tabs>
          <w:tab w:val="left" w:pos="997"/>
        </w:tabs>
        <w:spacing w:line="480" w:lineRule="exact"/>
        <w:ind w:left="-11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（一）學科成績考核：</w:t>
      </w:r>
    </w:p>
    <w:p w:rsidR="00F85C0C" w:rsidRDefault="003A5445">
      <w:pPr>
        <w:pStyle w:val="Standard"/>
        <w:spacing w:line="480" w:lineRule="exact"/>
        <w:ind w:left="624"/>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、二、三等：</w:t>
      </w:r>
    </w:p>
    <w:p w:rsidR="00F85C0C" w:rsidRDefault="003A5445">
      <w:pPr>
        <w:pStyle w:val="Standard"/>
        <w:spacing w:line="480" w:lineRule="exact"/>
        <w:ind w:left="1511" w:hanging="78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）期中綜合測驗占學科成績</w:t>
      </w:r>
      <w:r>
        <w:rPr>
          <w:rFonts w:ascii="標楷體" w:eastAsia="標楷體" w:hAnsi="標楷體"/>
          <w:sz w:val="28"/>
          <w:szCs w:val="28"/>
        </w:rPr>
        <w:t>50%</w:t>
      </w:r>
      <w:r>
        <w:rPr>
          <w:rFonts w:ascii="標楷體" w:eastAsia="標楷體" w:hAnsi="標楷體"/>
          <w:sz w:val="28"/>
          <w:szCs w:val="28"/>
        </w:rPr>
        <w:t>，測驗課程如下：情報蒐集與分析</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、偵訊要領與筆錄製作</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、收容管理、遣送法令及實務</w:t>
      </w:r>
      <w:r>
        <w:rPr>
          <w:rFonts w:ascii="標楷體" w:eastAsia="標楷體" w:hAnsi="標楷體"/>
          <w:sz w:val="28"/>
          <w:szCs w:val="28"/>
        </w:rPr>
        <w:t>(</w:t>
      </w:r>
      <w:r>
        <w:rPr>
          <w:rFonts w:ascii="標楷體" w:eastAsia="標楷體" w:hAnsi="標楷體"/>
          <w:sz w:val="28"/>
          <w:szCs w:val="28"/>
        </w:rPr>
        <w:t>含受收容人入出所借提及遣返出境標準作業流程、收容所緊急狀況情境模擬及收容救濟與延長收容作業流程等</w:t>
      </w:r>
      <w:r>
        <w:rPr>
          <w:rFonts w:ascii="標楷體" w:eastAsia="標楷體" w:hAnsi="標楷體"/>
          <w:sz w:val="28"/>
          <w:szCs w:val="28"/>
        </w:rPr>
        <w:t>)</w:t>
      </w:r>
      <w:r>
        <w:rPr>
          <w:rFonts w:ascii="標楷體" w:eastAsia="標楷體" w:hAnsi="標楷體"/>
          <w:sz w:val="28"/>
          <w:szCs w:val="28"/>
        </w:rPr>
        <w:t>、就業服務法與案例研析、移民輔導服務與實務</w:t>
      </w:r>
      <w:r>
        <w:rPr>
          <w:rFonts w:ascii="標楷體" w:eastAsia="標楷體" w:hAnsi="標楷體"/>
          <w:sz w:val="28"/>
          <w:szCs w:val="28"/>
        </w:rPr>
        <w:t xml:space="preserve"> (</w:t>
      </w:r>
      <w:r>
        <w:rPr>
          <w:rFonts w:ascii="標楷體" w:eastAsia="標楷體" w:hAnsi="標楷體"/>
          <w:sz w:val="28"/>
          <w:szCs w:val="28"/>
        </w:rPr>
        <w:t>含社會工作理論</w:t>
      </w:r>
      <w:r>
        <w:rPr>
          <w:rFonts w:ascii="標楷體" w:eastAsia="標楷體" w:hAnsi="標楷體"/>
          <w:sz w:val="28"/>
          <w:szCs w:val="28"/>
        </w:rPr>
        <w:t>)</w:t>
      </w:r>
      <w:r>
        <w:rPr>
          <w:rFonts w:ascii="標楷體" w:eastAsia="標楷體" w:hAnsi="標楷體"/>
          <w:sz w:val="28"/>
          <w:szCs w:val="28"/>
        </w:rPr>
        <w:t>。</w:t>
      </w:r>
    </w:p>
    <w:p w:rsidR="00F85C0C" w:rsidRDefault="003A5445">
      <w:pPr>
        <w:pStyle w:val="Standard"/>
        <w:spacing w:line="480" w:lineRule="exact"/>
        <w:ind w:left="1561" w:hanging="711"/>
        <w:jc w:val="both"/>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）期末綜合測驗占學科成績</w:t>
      </w:r>
      <w:r>
        <w:rPr>
          <w:rFonts w:ascii="標楷體" w:eastAsia="標楷體" w:hAnsi="標楷體"/>
          <w:sz w:val="28"/>
          <w:szCs w:val="28"/>
        </w:rPr>
        <w:t>50%</w:t>
      </w:r>
      <w:r>
        <w:rPr>
          <w:rFonts w:ascii="標楷體" w:eastAsia="標楷體" w:hAnsi="標楷體"/>
          <w:sz w:val="28"/>
          <w:szCs w:val="28"/>
        </w:rPr>
        <w:t>，測驗課程如下：訴願法</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、外國人、臺灣地區無戶籍國民、大陸地區人民及港澳居民停留法令及作業實務、國境事務執勤安全要領</w:t>
      </w:r>
      <w:r>
        <w:rPr>
          <w:rFonts w:ascii="標楷體" w:eastAsia="標楷體" w:hAnsi="標楷體"/>
          <w:sz w:val="28"/>
          <w:szCs w:val="28"/>
        </w:rPr>
        <w:t>(</w:t>
      </w:r>
      <w:r>
        <w:rPr>
          <w:rFonts w:ascii="標楷體" w:eastAsia="標楷體" w:hAnsi="標楷體"/>
          <w:sz w:val="28"/>
          <w:szCs w:val="28"/>
        </w:rPr>
        <w:t>含國境線上調查及案例探討</w:t>
      </w:r>
      <w:r>
        <w:rPr>
          <w:rFonts w:ascii="標楷體" w:eastAsia="標楷體" w:hAnsi="標楷體"/>
          <w:sz w:val="28"/>
          <w:szCs w:val="28"/>
        </w:rPr>
        <w:t>)</w:t>
      </w:r>
      <w:r>
        <w:rPr>
          <w:rFonts w:ascii="標楷體" w:eastAsia="標楷體" w:hAnsi="標楷體"/>
          <w:sz w:val="28"/>
          <w:szCs w:val="28"/>
        </w:rPr>
        <w:t>、行政程序法與案例解析、人口販運防治法令及實務</w:t>
      </w:r>
      <w:r>
        <w:rPr>
          <w:rFonts w:ascii="標楷體" w:eastAsia="標楷體" w:hAnsi="標楷體"/>
          <w:sz w:val="28"/>
          <w:szCs w:val="28"/>
        </w:rPr>
        <w:t>(</w:t>
      </w:r>
      <w:r>
        <w:rPr>
          <w:rFonts w:ascii="標楷體" w:eastAsia="標楷體" w:hAnsi="標楷體"/>
          <w:sz w:val="28"/>
          <w:szCs w:val="28"/>
        </w:rPr>
        <w:t>含案件通報作業程序</w:t>
      </w:r>
      <w:r>
        <w:rPr>
          <w:rFonts w:ascii="標楷體" w:eastAsia="標楷體" w:hAnsi="標楷體"/>
          <w:sz w:val="28"/>
          <w:szCs w:val="28"/>
        </w:rPr>
        <w:t>)</w:t>
      </w:r>
      <w:r>
        <w:rPr>
          <w:rFonts w:ascii="標楷體" w:eastAsia="標楷體" w:hAnsi="標楷體"/>
          <w:sz w:val="28"/>
          <w:szCs w:val="28"/>
        </w:rPr>
        <w:t>。</w:t>
      </w:r>
    </w:p>
    <w:p w:rsidR="00F85C0C" w:rsidRDefault="003A5445">
      <w:pPr>
        <w:pStyle w:val="Standard"/>
        <w:spacing w:line="480" w:lineRule="exact"/>
        <w:ind w:left="7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、四等：</w:t>
      </w:r>
    </w:p>
    <w:p w:rsidR="00F85C0C" w:rsidRDefault="003A5445">
      <w:pPr>
        <w:pStyle w:val="Standard"/>
        <w:spacing w:line="480" w:lineRule="exact"/>
        <w:ind w:left="1134" w:hanging="2"/>
        <w:jc w:val="both"/>
        <w:rPr>
          <w:rFonts w:ascii="標楷體" w:eastAsia="標楷體" w:hAnsi="標楷體"/>
          <w:sz w:val="28"/>
          <w:szCs w:val="28"/>
        </w:rPr>
      </w:pPr>
      <w:r>
        <w:rPr>
          <w:rFonts w:ascii="標楷體" w:eastAsia="標楷體" w:hAnsi="標楷體"/>
          <w:sz w:val="28"/>
          <w:szCs w:val="28"/>
        </w:rPr>
        <w:t>期末綜合測驗占學科成績</w:t>
      </w:r>
      <w:r>
        <w:rPr>
          <w:rFonts w:ascii="標楷體" w:eastAsia="標楷體" w:hAnsi="標楷體"/>
          <w:sz w:val="28"/>
          <w:szCs w:val="28"/>
        </w:rPr>
        <w:t>100%</w:t>
      </w:r>
      <w:r>
        <w:rPr>
          <w:rFonts w:ascii="標楷體" w:eastAsia="標楷體" w:hAnsi="標楷體"/>
          <w:sz w:val="28"/>
          <w:szCs w:val="28"/>
        </w:rPr>
        <w:t>，測驗課程如下：情報蒐集</w:t>
      </w:r>
      <w:r>
        <w:rPr>
          <w:rFonts w:ascii="標楷體" w:eastAsia="標楷體" w:hAnsi="標楷體"/>
          <w:sz w:val="28"/>
          <w:szCs w:val="28"/>
        </w:rPr>
        <w:lastRenderedPageBreak/>
        <w:t>與分析</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、偵訊要領與筆錄製作</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、收容管理、遣送法令及實務</w:t>
      </w:r>
      <w:r>
        <w:rPr>
          <w:rFonts w:ascii="標楷體" w:eastAsia="標楷體" w:hAnsi="標楷體"/>
          <w:sz w:val="28"/>
          <w:szCs w:val="28"/>
        </w:rPr>
        <w:t>(</w:t>
      </w:r>
      <w:r>
        <w:rPr>
          <w:rFonts w:ascii="標楷體" w:eastAsia="標楷體" w:hAnsi="標楷體"/>
          <w:sz w:val="28"/>
          <w:szCs w:val="28"/>
        </w:rPr>
        <w:t>含受收容人入出所借提及遣返出境標準作業流程、收容所緊急狀況情境模擬及收容救濟與延長收容作</w:t>
      </w:r>
      <w:r>
        <w:rPr>
          <w:rFonts w:ascii="標楷體" w:eastAsia="標楷體" w:hAnsi="標楷體"/>
          <w:sz w:val="28"/>
          <w:szCs w:val="28"/>
        </w:rPr>
        <w:t>業流程等</w:t>
      </w:r>
      <w:r>
        <w:rPr>
          <w:rFonts w:ascii="標楷體" w:eastAsia="標楷體" w:hAnsi="標楷體"/>
          <w:sz w:val="28"/>
          <w:szCs w:val="28"/>
        </w:rPr>
        <w:t>)</w:t>
      </w:r>
      <w:r>
        <w:rPr>
          <w:rFonts w:ascii="標楷體" w:eastAsia="標楷體" w:hAnsi="標楷體"/>
          <w:sz w:val="28"/>
          <w:szCs w:val="28"/>
        </w:rPr>
        <w:t>、就業服務法與案例研析、移民輔導服務與實務</w:t>
      </w:r>
      <w:r>
        <w:rPr>
          <w:rFonts w:ascii="標楷體" w:eastAsia="標楷體" w:hAnsi="標楷體"/>
          <w:sz w:val="28"/>
          <w:szCs w:val="28"/>
        </w:rPr>
        <w:t>(</w:t>
      </w:r>
      <w:r>
        <w:rPr>
          <w:rFonts w:ascii="標楷體" w:eastAsia="標楷體" w:hAnsi="標楷體"/>
          <w:sz w:val="28"/>
          <w:szCs w:val="28"/>
        </w:rPr>
        <w:t>含社會工作理論</w:t>
      </w:r>
      <w:r>
        <w:rPr>
          <w:rFonts w:ascii="標楷體" w:eastAsia="標楷體" w:hAnsi="標楷體"/>
          <w:sz w:val="28"/>
          <w:szCs w:val="28"/>
        </w:rPr>
        <w:t>)</w:t>
      </w:r>
      <w:r>
        <w:rPr>
          <w:rFonts w:ascii="標楷體" w:eastAsia="標楷體" w:hAnsi="標楷體"/>
          <w:sz w:val="28"/>
          <w:szCs w:val="28"/>
        </w:rPr>
        <w:t>。</w:t>
      </w:r>
    </w:p>
    <w:p w:rsidR="00F85C0C" w:rsidRDefault="003A5445">
      <w:pPr>
        <w:pStyle w:val="Standard"/>
        <w:spacing w:line="480" w:lineRule="exact"/>
        <w:ind w:left="720"/>
        <w:jc w:val="both"/>
      </w:pPr>
      <w:r>
        <w:rPr>
          <w:rFonts w:ascii="標楷體" w:eastAsia="標楷體" w:hAnsi="標楷體"/>
          <w:sz w:val="28"/>
          <w:szCs w:val="28"/>
        </w:rPr>
        <w:t>3</w:t>
      </w:r>
      <w:r>
        <w:rPr>
          <w:rFonts w:ascii="標楷體" w:eastAsia="標楷體" w:hAnsi="標楷體"/>
          <w:sz w:val="28"/>
          <w:szCs w:val="28"/>
        </w:rPr>
        <w:t>、縮短專業訓練者：</w:t>
      </w:r>
    </w:p>
    <w:p w:rsidR="00F85C0C" w:rsidRDefault="003A5445">
      <w:pPr>
        <w:pStyle w:val="Standard"/>
        <w:spacing w:line="480" w:lineRule="exact"/>
        <w:ind w:left="1134"/>
        <w:jc w:val="both"/>
        <w:rPr>
          <w:rFonts w:ascii="標楷體" w:eastAsia="標楷體" w:hAnsi="標楷體"/>
          <w:sz w:val="28"/>
          <w:szCs w:val="28"/>
        </w:rPr>
      </w:pPr>
      <w:r>
        <w:rPr>
          <w:rFonts w:ascii="標楷體" w:eastAsia="標楷體" w:hAnsi="標楷體"/>
          <w:sz w:val="28"/>
          <w:szCs w:val="28"/>
        </w:rPr>
        <w:t>期末綜合測驗占學科成績</w:t>
      </w:r>
      <w:r>
        <w:rPr>
          <w:rFonts w:ascii="標楷體" w:eastAsia="標楷體" w:hAnsi="標楷體"/>
          <w:sz w:val="28"/>
          <w:szCs w:val="28"/>
        </w:rPr>
        <w:t>100%</w:t>
      </w:r>
      <w:r>
        <w:rPr>
          <w:rFonts w:ascii="標楷體" w:eastAsia="標楷體" w:hAnsi="標楷體"/>
          <w:sz w:val="28"/>
          <w:szCs w:val="28"/>
        </w:rPr>
        <w:t>，測驗課程如下：情報蒐集與分析</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、偵訊要領與筆錄製作</w:t>
      </w:r>
      <w:r>
        <w:rPr>
          <w:rFonts w:ascii="標楷體" w:eastAsia="標楷體" w:hAnsi="標楷體"/>
          <w:sz w:val="28"/>
          <w:szCs w:val="28"/>
        </w:rPr>
        <w:t>(</w:t>
      </w:r>
      <w:r>
        <w:rPr>
          <w:rFonts w:ascii="標楷體" w:eastAsia="標楷體" w:hAnsi="標楷體"/>
          <w:sz w:val="28"/>
          <w:szCs w:val="28"/>
        </w:rPr>
        <w:t>含案例解析與實作</w:t>
      </w:r>
      <w:r>
        <w:rPr>
          <w:rFonts w:ascii="標楷體" w:eastAsia="標楷體" w:hAnsi="標楷體"/>
          <w:sz w:val="28"/>
          <w:szCs w:val="28"/>
        </w:rPr>
        <w:t>)</w:t>
      </w:r>
      <w:r>
        <w:rPr>
          <w:rFonts w:ascii="標楷體" w:eastAsia="標楷體" w:hAnsi="標楷體"/>
          <w:sz w:val="28"/>
          <w:szCs w:val="28"/>
        </w:rPr>
        <w:t>。</w:t>
      </w:r>
    </w:p>
    <w:p w:rsidR="00F85C0C" w:rsidRDefault="003A5445">
      <w:pPr>
        <w:pStyle w:val="Standard"/>
        <w:tabs>
          <w:tab w:val="left" w:pos="1971"/>
          <w:tab w:val="left" w:pos="2121"/>
        </w:tabs>
        <w:spacing w:line="480" w:lineRule="exact"/>
        <w:ind w:left="991"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（二）體技及體能訓練成績考核依「</w:t>
      </w:r>
      <w:r>
        <w:rPr>
          <w:rFonts w:ascii="標楷體" w:eastAsia="標楷體" w:hAnsi="標楷體"/>
          <w:sz w:val="28"/>
          <w:szCs w:val="28"/>
        </w:rPr>
        <w:t>110</w:t>
      </w:r>
      <w:r>
        <w:rPr>
          <w:rFonts w:ascii="標楷體" w:eastAsia="標楷體" w:hAnsi="標楷體"/>
          <w:sz w:val="28"/>
          <w:szCs w:val="28"/>
        </w:rPr>
        <w:t>年公務人員特種考試移民行政人員考試錄取人員專業訓練體技及體能訓練成績考核規定」辦理。</w:t>
      </w:r>
    </w:p>
    <w:p w:rsidR="00F85C0C" w:rsidRDefault="003A5445">
      <w:pPr>
        <w:pStyle w:val="Standard"/>
        <w:spacing w:line="480" w:lineRule="exact"/>
        <w:ind w:left="991"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（三）操行成績考核依「</w:t>
      </w:r>
      <w:r>
        <w:rPr>
          <w:rFonts w:ascii="標楷體" w:eastAsia="標楷體" w:hAnsi="標楷體"/>
          <w:sz w:val="28"/>
          <w:szCs w:val="28"/>
        </w:rPr>
        <w:t>110</w:t>
      </w:r>
      <w:r>
        <w:rPr>
          <w:rFonts w:ascii="標楷體" w:eastAsia="標楷體" w:hAnsi="標楷體"/>
          <w:sz w:val="28"/>
          <w:szCs w:val="28"/>
        </w:rPr>
        <w:t>年公務人員特種考試移民行政人員考試錄取人員專業訓練操行成績考核規定」辦理。</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專業訓練總成績之計算方式：</w:t>
      </w:r>
    </w:p>
    <w:p w:rsidR="00F85C0C" w:rsidRDefault="003A5445">
      <w:pPr>
        <w:pStyle w:val="Standard"/>
        <w:spacing w:line="480" w:lineRule="exact"/>
        <w:ind w:left="1020" w:hanging="112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（一）學科各科目之成績分數乘該科目列入測驗課程已教授之時數，所得分數為該科目之積分，各科目積分總和除以學科列入測驗課程已教授之總時數，為學科總成績。</w:t>
      </w:r>
    </w:p>
    <w:p w:rsidR="00F85C0C" w:rsidRDefault="003A5445">
      <w:pPr>
        <w:pStyle w:val="Standard"/>
        <w:spacing w:line="480" w:lineRule="exact"/>
        <w:ind w:left="1020" w:hanging="112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（二）學科、體技及體能訓練及操行成績按本規定第</w:t>
      </w:r>
      <w:r>
        <w:rPr>
          <w:rFonts w:ascii="標楷體" w:eastAsia="標楷體" w:hAnsi="標楷體"/>
          <w:sz w:val="28"/>
          <w:szCs w:val="28"/>
        </w:rPr>
        <w:t>3</w:t>
      </w:r>
      <w:r>
        <w:rPr>
          <w:rFonts w:ascii="標楷體" w:eastAsia="標楷體" w:hAnsi="標楷體"/>
          <w:sz w:val="28"/>
          <w:szCs w:val="28"/>
        </w:rPr>
        <w:t>點之百分比計算為專業訓練總成績。</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各科試卷及成績單，經任課老師（教官）評分後不得更改，但屬任課教師（教官）之疏失者，應提出書面送交內政部移民署（以下簡稱移民署）相關單位處理。</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依規定請假，不能參加考試者，須事前報請移民署核准方得改期測驗。</w:t>
      </w:r>
    </w:p>
    <w:p w:rsidR="00F85C0C" w:rsidRDefault="003A5445">
      <w:pPr>
        <w:pStyle w:val="Standard"/>
        <w:numPr>
          <w:ilvl w:val="0"/>
          <w:numId w:val="2"/>
        </w:numPr>
        <w:tabs>
          <w:tab w:val="left" w:pos="1440"/>
        </w:tabs>
        <w:spacing w:line="480" w:lineRule="exact"/>
        <w:ind w:left="720" w:hanging="720"/>
        <w:jc w:val="both"/>
        <w:rPr>
          <w:rFonts w:ascii="標楷體" w:eastAsia="標楷體" w:hAnsi="標楷體"/>
          <w:sz w:val="28"/>
          <w:szCs w:val="28"/>
        </w:rPr>
      </w:pPr>
      <w:r>
        <w:rPr>
          <w:rFonts w:ascii="標楷體" w:eastAsia="標楷體" w:hAnsi="標楷體"/>
          <w:sz w:val="28"/>
          <w:szCs w:val="28"/>
        </w:rPr>
        <w:t>曠考者，該曠考科目以零分計算。</w:t>
      </w:r>
    </w:p>
    <w:p w:rsidR="00F85C0C" w:rsidRDefault="003A5445">
      <w:pPr>
        <w:pStyle w:val="Standard"/>
        <w:numPr>
          <w:ilvl w:val="0"/>
          <w:numId w:val="2"/>
        </w:numPr>
        <w:tabs>
          <w:tab w:val="left" w:pos="1418"/>
        </w:tabs>
        <w:spacing w:line="480" w:lineRule="exact"/>
        <w:ind w:left="720" w:hanging="720"/>
        <w:jc w:val="both"/>
        <w:rPr>
          <w:rFonts w:ascii="標楷體" w:eastAsia="標楷體" w:hAnsi="標楷體"/>
          <w:sz w:val="28"/>
          <w:szCs w:val="28"/>
        </w:rPr>
      </w:pPr>
      <w:r>
        <w:rPr>
          <w:rFonts w:ascii="標楷體" w:eastAsia="標楷體" w:hAnsi="標楷體"/>
          <w:sz w:val="28"/>
          <w:szCs w:val="28"/>
        </w:rPr>
        <w:t>學科各種考試試卷保存</w:t>
      </w:r>
      <w:r>
        <w:rPr>
          <w:rFonts w:ascii="標楷體" w:eastAsia="標楷體" w:hAnsi="標楷體"/>
          <w:sz w:val="28"/>
          <w:szCs w:val="28"/>
        </w:rPr>
        <w:t>1</w:t>
      </w:r>
      <w:r>
        <w:rPr>
          <w:rFonts w:ascii="標楷體" w:eastAsia="標楷體" w:hAnsi="標楷體"/>
          <w:sz w:val="28"/>
          <w:szCs w:val="28"/>
        </w:rPr>
        <w:t>年，成績單永久保</w:t>
      </w:r>
      <w:r>
        <w:rPr>
          <w:rFonts w:ascii="標楷體" w:eastAsia="標楷體" w:hAnsi="標楷體"/>
          <w:sz w:val="28"/>
          <w:szCs w:val="28"/>
        </w:rPr>
        <w:t>存。</w:t>
      </w:r>
    </w:p>
    <w:p w:rsidR="00F85C0C" w:rsidRDefault="003A5445">
      <w:pPr>
        <w:pStyle w:val="Standard"/>
        <w:numPr>
          <w:ilvl w:val="0"/>
          <w:numId w:val="2"/>
        </w:numPr>
        <w:tabs>
          <w:tab w:val="left" w:pos="1418"/>
        </w:tabs>
        <w:spacing w:line="480" w:lineRule="exact"/>
        <w:ind w:left="720" w:hanging="720"/>
        <w:jc w:val="both"/>
      </w:pPr>
      <w:r>
        <w:rPr>
          <w:rFonts w:ascii="標楷體" w:eastAsia="標楷體" w:hAnsi="標楷體"/>
          <w:sz w:val="28"/>
          <w:szCs w:val="28"/>
        </w:rPr>
        <w:t>本規定函報公務人員保障暨培訓委員會核定後實施，修正時亦同。</w:t>
      </w:r>
    </w:p>
    <w:sectPr w:rsidR="00F85C0C">
      <w:footerReference w:type="default" r:id="rId7"/>
      <w:pgSz w:w="11906" w:h="16838"/>
      <w:pgMar w:top="1191" w:right="1800" w:bottom="1242" w:left="1800"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5445">
      <w:r>
        <w:separator/>
      </w:r>
    </w:p>
  </w:endnote>
  <w:endnote w:type="continuationSeparator" w:id="0">
    <w:p w:rsidR="00000000" w:rsidRDefault="003A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10" w:rsidRDefault="003A5445">
    <w:pPr>
      <w:pStyle w:val="a8"/>
      <w:jc w:val="center"/>
    </w:pPr>
    <w:r>
      <w:fldChar w:fldCharType="begin"/>
    </w:r>
    <w:r>
      <w:instrText xml:space="preserve"> PAGE </w:instrText>
    </w:r>
    <w:r>
      <w:fldChar w:fldCharType="separate"/>
    </w:r>
    <w:r>
      <w:rPr>
        <w:noProof/>
      </w:rPr>
      <w:t>2</w:t>
    </w:r>
    <w:r>
      <w:fldChar w:fldCharType="end"/>
    </w:r>
  </w:p>
  <w:p w:rsidR="00543810" w:rsidRDefault="003A54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5445">
      <w:r>
        <w:rPr>
          <w:color w:val="000000"/>
        </w:rPr>
        <w:separator/>
      </w:r>
    </w:p>
  </w:footnote>
  <w:footnote w:type="continuationSeparator" w:id="0">
    <w:p w:rsidR="00000000" w:rsidRDefault="003A5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771"/>
    <w:multiLevelType w:val="multilevel"/>
    <w:tmpl w:val="2CF049D0"/>
    <w:styleLink w:val="WWNum2"/>
    <w:lvl w:ilvl="0">
      <w:start w:val="1"/>
      <w:numFmt w:val="japaneseCounting"/>
      <w:lvlText w:val="（%1）"/>
      <w:lvlJc w:val="left"/>
      <w:pPr>
        <w:ind w:left="1135" w:hanging="855"/>
      </w:pPr>
      <w:rPr>
        <w:rFonts w:ascii="標楷體" w:eastAsia="標楷體" w:hAnsi="標楷體"/>
        <w:strike w:val="0"/>
        <w:dstrike w:val="0"/>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81C42E3"/>
    <w:multiLevelType w:val="multilevel"/>
    <w:tmpl w:val="A49A3660"/>
    <w:styleLink w:val="WWNum9"/>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654CCD"/>
    <w:multiLevelType w:val="multilevel"/>
    <w:tmpl w:val="4C9202E4"/>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D22708"/>
    <w:multiLevelType w:val="multilevel"/>
    <w:tmpl w:val="12CA4328"/>
    <w:styleLink w:val="WWNum3"/>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4" w15:restartNumberingAfterBreak="0">
    <w:nsid w:val="1F52353D"/>
    <w:multiLevelType w:val="multilevel"/>
    <w:tmpl w:val="2F401550"/>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CF0F07"/>
    <w:multiLevelType w:val="multilevel"/>
    <w:tmpl w:val="48D2058C"/>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3626A07"/>
    <w:multiLevelType w:val="multilevel"/>
    <w:tmpl w:val="99F4A37A"/>
    <w:styleLink w:val="WWNum8"/>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7" w15:restartNumberingAfterBreak="0">
    <w:nsid w:val="38DA3F9B"/>
    <w:multiLevelType w:val="multilevel"/>
    <w:tmpl w:val="DCF89CF2"/>
    <w:styleLink w:val="WWNum5"/>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8" w15:restartNumberingAfterBreak="0">
    <w:nsid w:val="3E9F2888"/>
    <w:multiLevelType w:val="multilevel"/>
    <w:tmpl w:val="41025374"/>
    <w:styleLink w:val="WWNum1"/>
    <w:lvl w:ilvl="0">
      <w:start w:val="1"/>
      <w:numFmt w:val="japaneseCounting"/>
      <w:lvlText w:val="%1、"/>
      <w:lvlJc w:val="left"/>
      <w:pPr>
        <w:ind w:left="960" w:hanging="960"/>
      </w:pPr>
    </w:lvl>
    <w:lvl w:ilvl="1">
      <w:start w:val="1"/>
      <w:numFmt w:val="decimal"/>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8E82AD8"/>
    <w:multiLevelType w:val="multilevel"/>
    <w:tmpl w:val="D58625AC"/>
    <w:styleLink w:val="WWNum6"/>
    <w:lvl w:ilvl="0">
      <w:start w:val="1"/>
      <w:numFmt w:val="japaneseCounting"/>
      <w:lvlText w:val="（%1）"/>
      <w:lvlJc w:val="left"/>
      <w:pPr>
        <w:ind w:left="113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3B179F6"/>
    <w:multiLevelType w:val="multilevel"/>
    <w:tmpl w:val="672C5AD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8800077"/>
    <w:multiLevelType w:val="multilevel"/>
    <w:tmpl w:val="FB269DDC"/>
    <w:styleLink w:val="WWNum4"/>
    <w:lvl w:ilvl="0">
      <w:start w:val="1"/>
      <w:numFmt w:val="decimal"/>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5A995D13"/>
    <w:multiLevelType w:val="multilevel"/>
    <w:tmpl w:val="F3E412CC"/>
    <w:styleLink w:val="WWNum7"/>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8"/>
  </w:num>
  <w:num w:numId="3">
    <w:abstractNumId w:val="0"/>
  </w:num>
  <w:num w:numId="4">
    <w:abstractNumId w:val="3"/>
  </w:num>
  <w:num w:numId="5">
    <w:abstractNumId w:val="11"/>
  </w:num>
  <w:num w:numId="6">
    <w:abstractNumId w:val="7"/>
  </w:num>
  <w:num w:numId="7">
    <w:abstractNumId w:val="9"/>
  </w:num>
  <w:num w:numId="8">
    <w:abstractNumId w:val="12"/>
  </w:num>
  <w:num w:numId="9">
    <w:abstractNumId w:val="6"/>
  </w:num>
  <w:num w:numId="10">
    <w:abstractNumId w:val="1"/>
  </w:num>
  <w:num w:numId="11">
    <w:abstractNumId w:val="5"/>
  </w:num>
  <w:num w:numId="12">
    <w:abstractNumId w:val="2"/>
  </w:num>
  <w:num w:numId="13">
    <w:abstractNumId w:val="4"/>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85C0C"/>
    <w:rsid w:val="003A5445"/>
    <w:rsid w:val="00F85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97C7-FC50-4381-AA39-EAB8C96D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Balloon Text"/>
    <w:basedOn w:val="Standard"/>
    <w:rPr>
      <w:rFonts w:ascii="Calibri Light" w:hAnsi="Calibri Light" w:cs="Tahoma"/>
      <w:sz w:val="18"/>
      <w:szCs w:val="18"/>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w:hAnsi="新細明體" w:cs="新細明體"/>
      <w:kern w:val="0"/>
    </w:rPr>
  </w:style>
  <w:style w:type="paragraph" w:customStyle="1" w:styleId="cjk">
    <w:name w:val="cjk"/>
    <w:basedOn w:val="Standard"/>
    <w:pPr>
      <w:widowControl/>
      <w:spacing w:before="280" w:after="142" w:line="288" w:lineRule="auto"/>
    </w:pPr>
    <w:rPr>
      <w:rFonts w:ascii="標楷體" w:eastAsia="標楷體" w:hAnsi="標楷體" w:cs="新細明體"/>
      <w:kern w:val="0"/>
      <w:sz w:val="28"/>
      <w:szCs w:val="28"/>
    </w:rPr>
  </w:style>
  <w:style w:type="character" w:customStyle="1" w:styleId="a9">
    <w:name w:val="註解方塊文字 字元"/>
    <w:basedOn w:val="a0"/>
    <w:rPr>
      <w:rFonts w:ascii="Calibri Light" w:eastAsia="新細明體" w:hAnsi="Calibri Light" w:cs="Tahoma"/>
      <w:sz w:val="18"/>
      <w:szCs w:val="18"/>
    </w:rPr>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ListLabel1">
    <w:name w:val="ListLabel 1"/>
    <w:rPr>
      <w:rFonts w:ascii="標楷體" w:eastAsia="標楷體" w:hAnsi="標楷體" w:cs="標楷體"/>
      <w:strike w:val="0"/>
      <w:dstrike w:val="0"/>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2</cp:revision>
  <cp:lastPrinted>2022-03-15T17:02:00Z</cp:lastPrinted>
  <dcterms:created xsi:type="dcterms:W3CDTF">2022-03-28T06:20:00Z</dcterms:created>
  <dcterms:modified xsi:type="dcterms:W3CDTF">2022-03-28T06:20:00Z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