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jc w:val="center"/>
        <w:rPr>
          <w:rFonts w:ascii="標楷體" w:hAnsi="標楷體" w:eastAsia="標楷體"/>
          <w:b/>
          <w:b/>
          <w:bCs/>
          <w:color w:val="000000"/>
          <w:sz w:val="36"/>
          <w:szCs w:val="24"/>
        </w:rPr>
      </w:pPr>
      <w:r>
        <w:rPr>
          <w:rFonts w:eastAsia="標楷體" w:ascii="標楷體" w:hAnsi="標楷體"/>
          <w:b/>
          <w:bCs/>
          <w:color w:val="000000"/>
          <w:sz w:val="36"/>
          <w:szCs w:val="24"/>
        </w:rPr>
        <w:t>110</w:t>
      </w:r>
      <w:r>
        <w:rPr>
          <w:rFonts w:ascii="標楷體" w:hAnsi="標楷體" w:eastAsia="標楷體"/>
          <w:b/>
          <w:bCs/>
          <w:color w:val="000000"/>
          <w:sz w:val="36"/>
          <w:szCs w:val="24"/>
        </w:rPr>
        <w:t>年特種考試地方政府公務人員考試會計、統計類科</w:t>
      </w:r>
    </w:p>
    <w:p>
      <w:pPr>
        <w:pStyle w:val="Normal"/>
        <w:spacing w:lineRule="exact" w:line="500"/>
        <w:jc w:val="center"/>
        <w:rPr/>
      </w:pPr>
      <w:r>
        <w:rPr>
          <w:rStyle w:val="Style14"/>
          <w:rFonts w:ascii="標楷體" w:hAnsi="標楷體" w:eastAsia="標楷體"/>
          <w:b/>
          <w:bCs/>
          <w:color w:val="000000"/>
          <w:sz w:val="36"/>
          <w:szCs w:val="24"/>
        </w:rPr>
        <w:t>錄取人員集中實務訓練計畫</w:t>
      </w:r>
    </w:p>
    <w:p>
      <w:pPr>
        <w:pStyle w:val="Normal"/>
        <w:spacing w:lineRule="exact" w:line="500"/>
        <w:jc w:val="right"/>
        <w:rPr>
          <w:rFonts w:ascii="標楷體" w:hAnsi="標楷體" w:eastAsia="標楷體"/>
          <w:color w:val="000000"/>
          <w:szCs w:val="24"/>
          <w:u w:val="none"/>
        </w:rPr>
      </w:pPr>
      <w:r>
        <w:rPr>
          <w:rFonts w:ascii="標楷體" w:hAnsi="標楷體" w:eastAsia="標楷體"/>
          <w:color w:val="000000"/>
          <w:szCs w:val="24"/>
          <w:u w:val="none"/>
        </w:rPr>
        <w:t>民國</w:t>
      </w:r>
      <w:r>
        <w:rPr>
          <w:rFonts w:eastAsia="標楷體" w:ascii="標楷體" w:hAnsi="標楷體"/>
          <w:color w:val="000000"/>
          <w:szCs w:val="24"/>
          <w:u w:val="none"/>
        </w:rPr>
        <w:t>111</w:t>
      </w:r>
      <w:r>
        <w:rPr>
          <w:rFonts w:ascii="標楷體" w:hAnsi="標楷體" w:cs="Times New Roman" w:eastAsia="標楷體"/>
          <w:color w:val="000000"/>
          <w:szCs w:val="24"/>
          <w:u w:val="none"/>
        </w:rPr>
        <w:t>年</w:t>
      </w:r>
      <w:r>
        <w:rPr>
          <w:rFonts w:eastAsia="標楷體" w:cs="Times New Roman" w:ascii="標楷體" w:hAnsi="標楷體"/>
          <w:color w:val="000000"/>
          <w:szCs w:val="24"/>
          <w:u w:val="none"/>
        </w:rPr>
        <w:t>3</w:t>
      </w:r>
      <w:r>
        <w:rPr>
          <w:rFonts w:ascii="標楷體" w:hAnsi="標楷體" w:cs="標楷體" w:eastAsia="標楷體"/>
          <w:color w:val="000000"/>
          <w:szCs w:val="24"/>
          <w:u w:val="none"/>
        </w:rPr>
        <w:t>月</w:t>
      </w:r>
      <w:r>
        <w:rPr>
          <w:rFonts w:eastAsia="標楷體" w:cs="標楷體" w:ascii="標楷體" w:hAnsi="標楷體"/>
          <w:color w:val="000000"/>
          <w:szCs w:val="24"/>
          <w:u w:val="none"/>
        </w:rPr>
        <w:t>29</w:t>
      </w:r>
      <w:r>
        <w:rPr>
          <w:rFonts w:ascii="標楷體" w:hAnsi="標楷體" w:cs="標楷體" w:eastAsia="標楷體"/>
          <w:color w:val="000000"/>
          <w:szCs w:val="24"/>
          <w:u w:val="none"/>
        </w:rPr>
        <w:t>日保訓會公訓字第</w:t>
      </w:r>
      <w:r>
        <w:rPr>
          <w:rFonts w:eastAsia="標楷體" w:cs="標楷體" w:ascii="標楷體" w:hAnsi="標楷體"/>
          <w:color w:val="000000"/>
          <w:szCs w:val="24"/>
          <w:u w:val="none"/>
        </w:rPr>
        <w:t>1110004475</w:t>
      </w:r>
      <w:r>
        <w:rPr>
          <w:rFonts w:ascii="標楷體" w:hAnsi="標楷體" w:cs="標楷體" w:eastAsia="標楷體"/>
          <w:color w:val="000000"/>
          <w:szCs w:val="24"/>
          <w:u w:val="none"/>
        </w:rPr>
        <w:t>號函核定</w:t>
      </w:r>
    </w:p>
    <w:p>
      <w:pPr>
        <w:pStyle w:val="Normal"/>
        <w:tabs>
          <w:tab w:val="clear" w:pos="480"/>
        </w:tabs>
        <w:spacing w:lineRule="exact" w:line="50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>壹、為期</w:t>
      </w:r>
      <w:r>
        <w:rPr>
          <w:rStyle w:val="Style14"/>
          <w:rFonts w:eastAsia="標楷體" w:ascii="標楷體" w:hAnsi="標楷體"/>
          <w:sz w:val="32"/>
          <w:szCs w:val="32"/>
        </w:rPr>
        <w:t>110</w:t>
      </w:r>
      <w:r>
        <w:rPr>
          <w:rStyle w:val="Style14"/>
          <w:rFonts w:ascii="標楷體" w:hAnsi="標楷體" w:eastAsia="標楷體"/>
          <w:sz w:val="32"/>
          <w:szCs w:val="32"/>
        </w:rPr>
        <w:t>年特種考試地方政府公務人員考試</w:t>
      </w:r>
      <w:r>
        <w:rPr>
          <w:rStyle w:val="Style14"/>
          <w:rFonts w:ascii="標楷體" w:hAnsi="標楷體" w:eastAsia="標楷體"/>
          <w:color w:val="000000"/>
          <w:sz w:val="32"/>
        </w:rPr>
        <w:t>（以下稱本考試）會計、統計類科錄取人員於實務訓練期間充實主計專業法令與實務，強化並提升渠等主計專業服務素質，特訂定本計畫。</w:t>
      </w:r>
    </w:p>
    <w:p>
      <w:pPr>
        <w:pStyle w:val="Normal"/>
        <w:tabs>
          <w:tab w:val="clear" w:pos="480"/>
        </w:tabs>
        <w:spacing w:lineRule="exact" w:line="50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貳、訓練對象</w:t>
      </w:r>
    </w:p>
    <w:p>
      <w:pPr>
        <w:pStyle w:val="Normal"/>
        <w:tabs>
          <w:tab w:val="clear" w:pos="480"/>
        </w:tabs>
        <w:spacing w:lineRule="exact" w:line="500"/>
        <w:ind w:left="616" w:right="0" w:firstLine="24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本考試會計、統計類科正額錄取，經分配現缺人員。另經分配正額預估缺或歷年公務人員高等考試三級考試暨普通考試、本考試 補訓已報到人員，依其分配報到實務訓練時程及人數，由</w:t>
      </w:r>
      <w:r>
        <w:rPr>
          <w:rStyle w:val="Style14"/>
          <w:rFonts w:ascii="標楷體" w:hAnsi="標楷體" w:eastAsia="標楷體"/>
          <w:sz w:val="32"/>
        </w:rPr>
        <w:t>行政院主計總處</w:t>
      </w:r>
      <w:r>
        <w:rPr>
          <w:rStyle w:val="Style14"/>
          <w:rFonts w:ascii="標楷體" w:hAnsi="標楷體" w:eastAsia="標楷體"/>
          <w:color w:val="000000"/>
          <w:sz w:val="32"/>
        </w:rPr>
        <w:t>（</w:t>
      </w:r>
      <w:r>
        <w:rPr>
          <w:rStyle w:val="Style14"/>
          <w:rFonts w:ascii="標楷體" w:hAnsi="標楷體" w:eastAsia="標楷體"/>
          <w:sz w:val="32"/>
        </w:rPr>
        <w:t>以下簡稱主計總處</w:t>
      </w:r>
      <w:r>
        <w:rPr>
          <w:rStyle w:val="Style14"/>
          <w:rFonts w:ascii="標楷體" w:hAnsi="標楷體" w:eastAsia="標楷體"/>
          <w:color w:val="000000"/>
          <w:sz w:val="32"/>
        </w:rPr>
        <w:t>）視錄取人員報到情形、檔期及經費狀況，衡酌開班調訓。</w:t>
      </w:r>
    </w:p>
    <w:p>
      <w:pPr>
        <w:pStyle w:val="Normal"/>
        <w:tabs>
          <w:tab w:val="clear" w:pos="480"/>
        </w:tabs>
        <w:spacing w:lineRule="exact" w:line="500" w:before="50" w:after="0"/>
        <w:ind w:left="2560" w:right="0" w:hanging="256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叁、辦理機關</w:t>
      </w:r>
    </w:p>
    <w:p>
      <w:pPr>
        <w:pStyle w:val="Normal"/>
        <w:tabs>
          <w:tab w:val="clear" w:pos="480"/>
        </w:tabs>
        <w:spacing w:lineRule="exact" w:line="500" w:before="50" w:after="0"/>
        <w:ind w:left="640" w:right="0" w:hanging="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由公務人員保障暨培訓委員會（以下簡稱保訓會）協調委託</w:t>
      </w:r>
      <w:r>
        <w:rPr>
          <w:rStyle w:val="Style14"/>
          <w:rFonts w:ascii="標楷體" w:hAnsi="標楷體" w:eastAsia="標楷體"/>
          <w:sz w:val="32"/>
        </w:rPr>
        <w:t>主計總處</w:t>
      </w:r>
      <w:r>
        <w:rPr>
          <w:rStyle w:val="Style14"/>
          <w:rFonts w:ascii="標楷體" w:hAnsi="標楷體" w:eastAsia="標楷體"/>
          <w:color w:val="000000"/>
          <w:sz w:val="32"/>
        </w:rPr>
        <w:t>辦理。</w:t>
      </w:r>
    </w:p>
    <w:p>
      <w:pPr>
        <w:pStyle w:val="Normal"/>
        <w:spacing w:lineRule="exact" w:line="500" w:before="50" w:after="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肆、訓練地點</w:t>
      </w:r>
    </w:p>
    <w:p>
      <w:pPr>
        <w:pStyle w:val="Normal"/>
        <w:tabs>
          <w:tab w:val="clear" w:pos="480"/>
        </w:tabs>
        <w:spacing w:lineRule="exact" w:line="500" w:before="50" w:after="0"/>
        <w:ind w:left="638" w:right="0" w:hanging="0"/>
        <w:jc w:val="both"/>
        <w:rPr/>
      </w:pP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>主計總處主計人員訓練中心</w:t>
      </w:r>
      <w:r>
        <w:rPr>
          <w:rStyle w:val="Style14"/>
          <w:rFonts w:eastAsia="標楷體" w:cs="標楷體" w:ascii="標楷體" w:hAnsi="標楷體"/>
          <w:color w:val="000000"/>
          <w:kern w:val="0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 xml:space="preserve">地址：新北市新店區新烏路 </w:t>
      </w:r>
      <w:r>
        <w:rPr>
          <w:rStyle w:val="Style14"/>
          <w:rFonts w:eastAsia="標楷體" w:cs="標楷體" w:ascii="標楷體" w:hAnsi="標楷體"/>
          <w:color w:val="000000"/>
          <w:kern w:val="0"/>
          <w:sz w:val="32"/>
          <w:szCs w:val="32"/>
        </w:rPr>
        <w:t xml:space="preserve">2 </w:t>
      </w: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 xml:space="preserve">段 </w:t>
      </w:r>
      <w:r>
        <w:rPr>
          <w:rStyle w:val="Style14"/>
          <w:rFonts w:eastAsia="標楷體" w:cs="標楷體" w:ascii="標楷體" w:hAnsi="標楷體"/>
          <w:color w:val="000000"/>
          <w:kern w:val="0"/>
          <w:sz w:val="32"/>
          <w:szCs w:val="32"/>
        </w:rPr>
        <w:t xml:space="preserve">126 </w:t>
      </w: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>號</w:t>
      </w:r>
      <w:r>
        <w:rPr>
          <w:rStyle w:val="Style14"/>
          <w:rFonts w:eastAsia="標楷體" w:cs="標楷體" w:ascii="標楷體" w:hAnsi="標楷體"/>
          <w:color w:val="000000"/>
          <w:kern w:val="0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>。</w:t>
      </w:r>
      <w:r>
        <w:rPr>
          <w:rStyle w:val="Style14"/>
          <w:rFonts w:ascii="標楷體" w:hAnsi="標楷體" w:eastAsia="標楷體"/>
          <w:color w:val="000000"/>
          <w:sz w:val="32"/>
        </w:rPr>
        <w:t>如因應疫情嚴峻，需採</w:t>
      </w:r>
      <w:r>
        <w:rPr>
          <w:rStyle w:val="Style14"/>
          <w:rFonts w:ascii="標楷體" w:hAnsi="標楷體" w:eastAsia="標楷體"/>
          <w:sz w:val="32"/>
        </w:rPr>
        <w:t>線上視訊授課，其中綜合座談及綜合測驗採實體方式於</w:t>
      </w:r>
      <w:r>
        <w:rPr>
          <w:rStyle w:val="Style14"/>
          <w:rFonts w:ascii="標楷體" w:hAnsi="標楷體" w:cs="標楷體" w:eastAsia="標楷體"/>
          <w:color w:val="000000"/>
          <w:kern w:val="0"/>
          <w:sz w:val="32"/>
          <w:szCs w:val="32"/>
        </w:rPr>
        <w:t>主計總處主計人員訓練中心或適當方式</w:t>
      </w:r>
      <w:r>
        <w:rPr>
          <w:rStyle w:val="Style14"/>
          <w:rFonts w:ascii="標楷體" w:hAnsi="標楷體" w:eastAsia="標楷體"/>
          <w:sz w:val="32"/>
        </w:rPr>
        <w:t>辦理。</w:t>
      </w:r>
    </w:p>
    <w:p>
      <w:pPr>
        <w:pStyle w:val="Normal"/>
        <w:tabs>
          <w:tab w:val="clear" w:pos="480"/>
        </w:tabs>
        <w:spacing w:lineRule="exact" w:line="500" w:before="0" w:after="18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伍、訓練課程及時數配當</w:t>
      </w:r>
    </w:p>
    <w:tbl>
      <w:tblPr>
        <w:tblW w:w="9180" w:type="dxa"/>
        <w:jc w:val="left"/>
        <w:tblInd w:w="19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2229"/>
        <w:gridCol w:w="4252"/>
        <w:gridCol w:w="910"/>
        <w:gridCol w:w="1789"/>
      </w:tblGrid>
      <w:tr>
        <w:trPr>
          <w:trHeight w:val="724" w:hRule="atLeast"/>
          <w:cantSplit w:val="true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訓練主題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課程名稱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20" w:right="1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合計</w:t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主計專業課程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公務預算之編審與執行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含性別預算及宣導戰時預算轉換作業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27</w:t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附屬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單位預算之編審與執行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含性別預算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會計決算法規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統計制度與法規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經濟指標簡介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統計調查結果之推廣應用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基本國勢調查簡介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內部審核法規與實務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政府採購監辦實務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國內外差旅費報支要點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實務及案例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7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政府內部稽核簡介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實務及案例</w:t>
            </w:r>
            <w:r>
              <w:rPr>
                <w:rStyle w:val="Style14"/>
                <w:rFonts w:eastAsia="標楷體" w:ascii="標楷體" w:hAnsi="標楷體"/>
                <w:spacing w:val="-28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3" w:hRule="atLeast"/>
          <w:cantSplit w:val="true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主計資訊課程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主計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資訊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系統簡介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</w:t>
            </w:r>
          </w:p>
        </w:tc>
      </w:tr>
      <w:tr>
        <w:trPr>
          <w:trHeight w:val="694" w:hRule="atLeast"/>
          <w:cantSplit w:val="true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主計人事相關課程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主計</w:t>
            </w:r>
            <w:r>
              <w:rPr>
                <w:rStyle w:val="Style14"/>
                <w:rFonts w:ascii="標楷體" w:hAnsi="標楷體" w:eastAsia="標楷體"/>
                <w:spacing w:val="-28"/>
                <w:sz w:val="32"/>
                <w:szCs w:val="32"/>
              </w:rPr>
              <w:t>人事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法規與公務職涯規劃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</w:t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主計廉政及相關規範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jc w:val="center"/>
              <w:rPr/>
            </w:pPr>
            <w:r>
              <w:rPr>
                <w:rStyle w:val="Style14"/>
                <w:rFonts w:eastAsia="標楷體" w:cs="Arial Unicode MS" w:ascii="標楷體" w:hAnsi="標楷體"/>
                <w:color w:val="000000"/>
                <w:sz w:val="32"/>
                <w:szCs w:val="28"/>
              </w:rPr>
              <w:t>1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個人管理才能課程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5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主計</w:t>
            </w: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人員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服務觀念與溝通技巧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5</w:t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專業英語課程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1" w:right="149" w:hanging="0"/>
              <w:rPr/>
            </w:pP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性別平等進階課程</w:t>
            </w:r>
            <w:r>
              <w:rPr>
                <w:rStyle w:val="Style14"/>
                <w:rFonts w:eastAsia="標楷體" w:ascii="Times New Roman" w:hAnsi="Times New Roman"/>
                <w:kern w:val="0"/>
                <w:sz w:val="32"/>
                <w:szCs w:val="32"/>
              </w:rPr>
              <w:t>(</w:t>
            </w: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含</w:t>
            </w:r>
            <w:r>
              <w:rPr>
                <w:rStyle w:val="Style14"/>
                <w:rFonts w:eastAsia="標楷體" w:ascii="Times New Roman" w:hAnsi="Times New Roman"/>
                <w:kern w:val="0"/>
                <w:sz w:val="32"/>
                <w:szCs w:val="32"/>
              </w:rPr>
              <w:t>CEDAW</w:t>
            </w:r>
            <w:r>
              <w:rPr>
                <w:rStyle w:val="Style14"/>
                <w:rFonts w:ascii="Times New Roman" w:hAnsi="Times New Roman" w:eastAsia="標楷體"/>
                <w:kern w:val="0"/>
                <w:sz w:val="32"/>
                <w:szCs w:val="32"/>
              </w:rPr>
              <w:t>進階</w:t>
            </w:r>
            <w:r>
              <w:rPr>
                <w:rStyle w:val="Style14"/>
                <w:rFonts w:eastAsia="標楷體" w:ascii="Times New Roman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2" w:hRule="atLeast"/>
          <w:cantSplit w:val="true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</w:rPr>
              <w:t>其他課程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EBAS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</w:rPr>
              <w:t>數位學習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7</w:t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>開訓典禮及訓練介紹班務會議與遴選自治幹部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1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綜合測驗（實體或適當方式）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1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  <w:cantSplit w:val="true"/>
        </w:trPr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240" w:right="240" w:hanging="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綜合座談（實體或適當方式）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3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3" w:hRule="atLeast"/>
          <w:cantSplit w:val="true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00" w:right="100" w:firstLine="96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tabs>
                <w:tab w:val="clear" w:pos="480"/>
              </w:tabs>
              <w:spacing w:lineRule="exact" w:line="500"/>
              <w:ind w:left="1315" w:right="240" w:hanging="1075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32"/>
              </w:rPr>
              <w:t>43</w:t>
            </w:r>
          </w:p>
        </w:tc>
      </w:tr>
    </w:tbl>
    <w:p>
      <w:pPr>
        <w:pStyle w:val="Normal"/>
        <w:tabs>
          <w:tab w:val="clear" w:pos="480"/>
        </w:tabs>
        <w:spacing w:lineRule="exact" w:line="440"/>
        <w:ind w:left="1332" w:right="0" w:hanging="1092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【備註】本表訓練主題、課程名稱及時數配當為暫訂內容，將視實需酌予調整。</w:t>
      </w:r>
    </w:p>
    <w:p>
      <w:pPr>
        <w:pStyle w:val="Normal"/>
        <w:tabs>
          <w:tab w:val="clear" w:pos="480"/>
        </w:tabs>
        <w:spacing w:lineRule="exact" w:line="500" w:before="180" w:after="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陸、實施期程及方式</w:t>
      </w:r>
    </w:p>
    <w:p>
      <w:pPr>
        <w:pStyle w:val="Normal"/>
        <w:tabs>
          <w:tab w:val="clear" w:pos="480"/>
        </w:tabs>
        <w:spacing w:lineRule="exact" w:line="500" w:before="50" w:after="0"/>
        <w:ind w:left="100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一、本訓練於本考試會計、統計類科正額錄取分配現缺之錄取人員至各實務訓練機關報到後，擇期於實務訓練</w:t>
      </w:r>
      <w:r>
        <w:rPr>
          <w:rStyle w:val="Style14"/>
          <w:rFonts w:eastAsia="標楷體" w:ascii="標楷體" w:hAnsi="標楷體"/>
          <w:color w:val="000000"/>
          <w:sz w:val="32"/>
        </w:rPr>
        <w:t>4</w:t>
      </w:r>
      <w:r>
        <w:rPr>
          <w:rStyle w:val="Style14"/>
          <w:rFonts w:ascii="標楷體" w:hAnsi="標楷體" w:eastAsia="標楷體"/>
          <w:color w:val="000000"/>
          <w:sz w:val="32"/>
        </w:rPr>
        <w:t>個月期間內調訓。</w:t>
      </w:r>
    </w:p>
    <w:p>
      <w:pPr>
        <w:pStyle w:val="Normal"/>
        <w:tabs>
          <w:tab w:val="clear" w:pos="480"/>
        </w:tabs>
        <w:spacing w:lineRule="exact" w:line="500" w:before="50" w:after="0"/>
        <w:ind w:left="100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二、採密集訓練方式辦理，實體課程提供膳食，</w:t>
      </w:r>
      <w:r>
        <w:rPr>
          <w:rStyle w:val="Style14"/>
          <w:rFonts w:ascii="標楷體" w:hAnsi="標楷體" w:eastAsia="標楷體"/>
          <w:sz w:val="32"/>
        </w:rPr>
        <w:t>並一律住宿</w:t>
      </w:r>
      <w:r>
        <w:rPr>
          <w:rStyle w:val="Style14"/>
          <w:rFonts w:ascii="標楷體" w:hAnsi="標楷體" w:eastAsia="標楷體"/>
          <w:color w:val="000000"/>
          <w:sz w:val="32"/>
        </w:rPr>
        <w:t>。如因應疫情嚴峻，需採</w:t>
      </w:r>
      <w:r>
        <w:rPr>
          <w:rStyle w:val="Style14"/>
          <w:rFonts w:ascii="標楷體" w:hAnsi="標楷體" w:eastAsia="標楷體"/>
          <w:color w:val="000000"/>
          <w:kern w:val="0"/>
          <w:sz w:val="32"/>
        </w:rPr>
        <w:t>線上視訊上課，則不提供膳食，</w:t>
      </w:r>
      <w:r>
        <w:rPr>
          <w:rStyle w:val="Style14"/>
          <w:rFonts w:ascii="標楷體" w:hAnsi="標楷體" w:eastAsia="標楷體"/>
          <w:kern w:val="0"/>
          <w:sz w:val="32"/>
          <w:szCs w:val="32"/>
        </w:rPr>
        <w:t>綜合測驗及綜合座談等採實體課程提供膳食</w:t>
      </w:r>
      <w:r>
        <w:rPr>
          <w:rStyle w:val="Style14"/>
          <w:rFonts w:ascii="標楷體" w:hAnsi="標楷體" w:eastAsia="標楷體"/>
          <w:color w:val="000000"/>
          <w:kern w:val="0"/>
          <w:sz w:val="32"/>
        </w:rPr>
        <w:t>。</w:t>
      </w:r>
    </w:p>
    <w:p>
      <w:pPr>
        <w:pStyle w:val="Normal"/>
        <w:tabs>
          <w:tab w:val="clear" w:pos="480"/>
        </w:tabs>
        <w:spacing w:lineRule="exact" w:line="500" w:before="50" w:after="0"/>
        <w:ind w:left="1000" w:right="0" w:hanging="640"/>
        <w:jc w:val="both"/>
        <w:rPr/>
      </w:pPr>
      <w:r>
        <w:rPr>
          <w:rStyle w:val="Style14"/>
          <w:rFonts w:cs="標楷體" w:eastAsia="標楷體"/>
          <w:sz w:val="32"/>
          <w:szCs w:val="32"/>
        </w:rPr>
        <w:t>三、</w:t>
      </w:r>
      <w:r>
        <w:rPr>
          <w:rStyle w:val="Style14"/>
          <w:rFonts w:cs="標楷體" w:eastAsia="標楷體"/>
          <w:color w:val="000000"/>
          <w:sz w:val="32"/>
          <w:szCs w:val="32"/>
        </w:rPr>
        <w:t>參加集中實務訓練之受訓人員，其訓練期間之學習情形及成績評量結果，由主計總處</w:t>
      </w:r>
      <w:r>
        <w:rPr>
          <w:rStyle w:val="Style14"/>
          <w:rFonts w:cs="標楷體" w:eastAsia="標楷體"/>
          <w:sz w:val="32"/>
          <w:szCs w:val="32"/>
        </w:rPr>
        <w:t>送交</w:t>
      </w:r>
      <w:r>
        <w:rPr>
          <w:rStyle w:val="Style14"/>
          <w:rFonts w:cs="標楷體" w:eastAsia="標楷體"/>
          <w:color w:val="000000"/>
          <w:sz w:val="32"/>
          <w:szCs w:val="32"/>
        </w:rPr>
        <w:t>實務訓練機關（構）學校，作為實務訓練成績考核之參據。</w:t>
      </w:r>
    </w:p>
    <w:p>
      <w:pPr>
        <w:pStyle w:val="Normal"/>
        <w:tabs>
          <w:tab w:val="clear" w:pos="480"/>
        </w:tabs>
        <w:spacing w:lineRule="exact" w:line="500" w:before="50" w:after="0"/>
        <w:ind w:left="1000" w:right="0" w:hanging="640"/>
        <w:jc w:val="both"/>
        <w:rPr/>
      </w:pPr>
      <w:r>
        <w:rPr>
          <w:rStyle w:val="Style14"/>
          <w:rFonts w:cs="標楷體" w:eastAsia="標楷體"/>
          <w:sz w:val="32"/>
          <w:szCs w:val="32"/>
        </w:rPr>
        <w:t>四、</w:t>
      </w: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辦理訓後意見調查（如附件），並於結訓後</w:t>
      </w:r>
      <w:r>
        <w:rPr>
          <w:rStyle w:val="Style14"/>
          <w:rFonts w:eastAsia="標楷體" w:ascii="標楷體" w:hAnsi="標楷體"/>
          <w:color w:val="000000"/>
          <w:sz w:val="32"/>
          <w:szCs w:val="32"/>
        </w:rPr>
        <w:t>1</w:t>
      </w: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週內將調查結果</w:t>
      </w:r>
      <w:r>
        <w:rPr>
          <w:rStyle w:val="Style14"/>
          <w:rFonts w:ascii="標楷體" w:hAnsi="標楷體" w:eastAsia="標楷體"/>
          <w:sz w:val="32"/>
          <w:szCs w:val="32"/>
        </w:rPr>
        <w:t>郵寄</w:t>
      </w: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保訓會，以利瞭解受訓人員反應。</w:t>
      </w:r>
    </w:p>
    <w:p>
      <w:pPr>
        <w:pStyle w:val="Normal"/>
        <w:spacing w:lineRule="exact" w:line="50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柒、訓練經費</w:t>
      </w:r>
    </w:p>
    <w:p>
      <w:pPr>
        <w:pStyle w:val="Normal"/>
        <w:tabs>
          <w:tab w:val="clear" w:pos="480"/>
        </w:tabs>
        <w:spacing w:lineRule="exact" w:line="500" w:before="50" w:after="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 xml:space="preserve">    </w:t>
      </w:r>
      <w:r>
        <w:rPr>
          <w:rStyle w:val="Style14"/>
          <w:rFonts w:ascii="標楷體" w:hAnsi="標楷體" w:eastAsia="標楷體"/>
          <w:color w:val="000000"/>
          <w:sz w:val="32"/>
        </w:rPr>
        <w:t>所需經費於</w:t>
      </w:r>
      <w:r>
        <w:rPr>
          <w:rStyle w:val="Style14"/>
          <w:rFonts w:ascii="標楷體" w:hAnsi="標楷體" w:eastAsia="標楷體"/>
          <w:sz w:val="32"/>
        </w:rPr>
        <w:t>主計總處</w:t>
      </w:r>
      <w:r>
        <w:rPr>
          <w:rStyle w:val="Style14"/>
          <w:rFonts w:ascii="標楷體" w:hAnsi="標楷體" w:eastAsia="標楷體"/>
          <w:color w:val="000000"/>
          <w:sz w:val="32"/>
        </w:rPr>
        <w:t>相關經費項下勻支。</w:t>
      </w:r>
    </w:p>
    <w:p>
      <w:pPr>
        <w:pStyle w:val="Normal"/>
        <w:tabs>
          <w:tab w:val="clear" w:pos="480"/>
        </w:tabs>
        <w:spacing w:lineRule="exact" w:line="500" w:before="50" w:after="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捌、獎勵建議</w:t>
      </w:r>
    </w:p>
    <w:p>
      <w:pPr>
        <w:pStyle w:val="Normal"/>
        <w:tabs>
          <w:tab w:val="clear" w:pos="480"/>
        </w:tabs>
        <w:spacing w:lineRule="exact" w:line="500" w:before="50" w:after="0"/>
        <w:ind w:left="638" w:right="0" w:hanging="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  <w:szCs w:val="32"/>
        </w:rPr>
        <w:t>辦理集中實務訓練之人員，除未依規定辦理績效不佳者外，得酌予敘獎。</w:t>
      </w:r>
    </w:p>
    <w:p>
      <w:pPr>
        <w:pStyle w:val="Normal"/>
        <w:tabs>
          <w:tab w:val="clear" w:pos="480"/>
        </w:tabs>
        <w:spacing w:lineRule="exact" w:line="500" w:before="50" w:after="50"/>
        <w:ind w:left="640" w:right="0" w:hanging="640"/>
        <w:jc w:val="both"/>
        <w:rPr/>
      </w:pPr>
      <w:r>
        <w:rPr>
          <w:rStyle w:val="Style14"/>
          <w:rFonts w:ascii="標楷體" w:hAnsi="標楷體" w:eastAsia="標楷體"/>
          <w:color w:val="000000"/>
          <w:sz w:val="32"/>
        </w:rPr>
        <w:t>玖、本計畫由</w:t>
      </w:r>
      <w:r>
        <w:rPr>
          <w:rStyle w:val="Style14"/>
          <w:rFonts w:ascii="標楷體" w:hAnsi="標楷體" w:eastAsia="標楷體"/>
          <w:sz w:val="32"/>
        </w:rPr>
        <w:t>主計總處</w:t>
      </w:r>
      <w:r>
        <w:rPr>
          <w:rStyle w:val="Style14"/>
          <w:rFonts w:ascii="標楷體" w:hAnsi="標楷體" w:eastAsia="標楷體"/>
          <w:color w:val="000000"/>
          <w:sz w:val="32"/>
        </w:rPr>
        <w:t>函送保訓會核定後實施，並得依實際需要修正之。</w:t>
      </w:r>
    </w:p>
    <w:p>
      <w:pPr>
        <w:pStyle w:val="Normal"/>
        <w:widowControl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</w:r>
      <w:r>
        <w:br w:type="page"/>
      </w:r>
    </w:p>
    <w:p>
      <w:pPr>
        <w:pStyle w:val="Normal"/>
        <w:spacing w:lineRule="exact" w:line="320"/>
        <w:jc w:val="center"/>
        <w:rPr/>
      </w:pPr>
      <w:r>
        <w:rPr>
          <w:rStyle w:val="Style14"/>
          <w:rFonts w:eastAsia="標楷體" w:ascii="標楷體" w:hAnsi="標楷體"/>
          <w:bCs/>
          <w:color w:val="000000"/>
          <w:sz w:val="32"/>
          <w:szCs w:val="32"/>
        </w:rPr>
        <w:t>110</w:t>
      </w:r>
      <w:r>
        <w:rPr>
          <w:rStyle w:val="Style14"/>
          <w:rFonts w:ascii="標楷體" w:hAnsi="標楷體" w:eastAsia="標楷體"/>
          <w:bCs/>
          <w:color w:val="000000"/>
          <w:sz w:val="32"/>
          <w:szCs w:val="32"/>
        </w:rPr>
        <w:t>年特種考試地方政府公務人員考試</w:t>
      </w:r>
      <w:r>
        <w:rPr>
          <w:rStyle w:val="Style14"/>
          <w:rFonts w:ascii="標楷體" w:hAnsi="標楷體" w:eastAsia="標楷體"/>
          <w:bCs/>
          <w:color w:val="000000"/>
          <w:sz w:val="32"/>
          <w:szCs w:val="32"/>
          <w:u w:val="none"/>
        </w:rPr>
        <w:t>會計、統計類科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5664835</wp:posOffset>
                </wp:positionH>
                <wp:positionV relativeFrom="paragraph">
                  <wp:posOffset>-96520</wp:posOffset>
                </wp:positionV>
                <wp:extent cx="654050" cy="320040"/>
                <wp:effectExtent l="0" t="0" r="0" b="0"/>
                <wp:wrapSquare wrapText="largest"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20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3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5pt;height:25.2pt;mso-wrap-distance-left:0pt;mso-wrap-distance-right:0pt;mso-wrap-distance-top:0pt;mso-wrap-distance-bottom:0pt;margin-top:-7.6pt;mso-position-vertical-relative:text;margin-left:446.05pt;mso-position-horizontal-relative:text">
                <v:textbox>
                  <w:txbxContent>
                    <w:p>
                      <w:pPr>
                        <w:pStyle w:val="Style30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lineRule="exact" w:line="320"/>
        <w:jc w:val="center"/>
        <w:rPr/>
      </w:pPr>
      <w:r>
        <w:rPr>
          <w:rStyle w:val="Style14"/>
          <w:rFonts w:ascii="標楷體" w:hAnsi="標楷體" w:eastAsia="標楷體"/>
          <w:bCs/>
          <w:strike w:val="false"/>
          <w:dstrike w:val="false"/>
          <w:color w:val="000000"/>
          <w:sz w:val="32"/>
          <w:szCs w:val="32"/>
          <w:u w:val="none"/>
        </w:rPr>
        <w:t>錄取人員</w:t>
      </w:r>
      <w:r>
        <w:rPr>
          <w:rStyle w:val="Style14"/>
          <w:rFonts w:ascii="標楷體" w:hAnsi="標楷體" w:eastAsia="標楷體"/>
          <w:color w:val="000000"/>
          <w:sz w:val="32"/>
          <w:szCs w:val="32"/>
          <w:u w:val="none"/>
        </w:rPr>
        <w:t>集中實務訓練意見調查表</w:t>
      </w:r>
    </w:p>
    <w:p>
      <w:pPr>
        <w:pStyle w:val="Normal"/>
        <w:spacing w:lineRule="exact" w:line="320"/>
        <w:jc w:val="center"/>
        <w:rPr>
          <w:rFonts w:ascii="標楷體" w:hAnsi="標楷體" w:eastAsia="標楷體"/>
          <w:bCs/>
          <w:color w:val="000000"/>
          <w:sz w:val="32"/>
          <w:szCs w:val="32"/>
        </w:rPr>
      </w:pPr>
      <w:r>
        <w:rPr>
          <w:rFonts w:eastAsia="標楷體" w:ascii="標楷體" w:hAnsi="標楷體"/>
          <w:bCs/>
          <w:color w:val="000000"/>
          <w:sz w:val="32"/>
          <w:szCs w:val="32"/>
        </w:rPr>
      </w:r>
    </w:p>
    <w:tbl>
      <w:tblPr>
        <w:tblW w:w="9540" w:type="dxa"/>
        <w:jc w:val="left"/>
        <w:tblInd w:w="2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40"/>
      </w:tblGrid>
      <w:tr>
        <w:trPr>
          <w:trHeight w:val="2485" w:hRule="atLeast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親愛的受訓人員，您好！</w:t>
            </w:r>
          </w:p>
          <w:p>
            <w:pPr>
              <w:pStyle w:val="Normal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</w:rPr>
              <w:t>依</w:t>
            </w:r>
            <w:r>
              <w:rPr>
                <w:rStyle w:val="Style14"/>
                <w:rFonts w:eastAsia="標楷體" w:ascii="標楷體" w:hAnsi="標楷體"/>
              </w:rPr>
              <w:t>110</w:t>
            </w:r>
            <w:r>
              <w:rPr>
                <w:rStyle w:val="Style14"/>
                <w:rFonts w:ascii="標楷體" w:hAnsi="標楷體" w:eastAsia="標楷體"/>
              </w:rPr>
              <w:t>年特種考試地方政府公務人員考試（以下簡稱地方特考）錄取人員訓練計畫第</w:t>
            </w:r>
            <w:r>
              <w:rPr>
                <w:rStyle w:val="Style14"/>
                <w:rFonts w:eastAsia="標楷體" w:ascii="標楷體" w:hAnsi="標楷體"/>
              </w:rPr>
              <w:t>5</w:t>
            </w:r>
            <w:r>
              <w:rPr>
                <w:rStyle w:val="Style14"/>
                <w:rFonts w:ascii="標楷體" w:hAnsi="標楷體" w:eastAsia="標楷體"/>
              </w:rPr>
              <w:t>點第</w:t>
            </w:r>
            <w:r>
              <w:rPr>
                <w:rStyle w:val="Style14"/>
                <w:rFonts w:eastAsia="標楷體" w:ascii="標楷體" w:hAnsi="標楷體"/>
              </w:rPr>
              <w:t>2</w:t>
            </w:r>
            <w:r>
              <w:rPr>
                <w:rStyle w:val="Style14"/>
                <w:rFonts w:ascii="標楷體" w:hAnsi="標楷體" w:eastAsia="標楷體"/>
              </w:rPr>
              <w:t>款第</w:t>
            </w:r>
            <w:r>
              <w:rPr>
                <w:rStyle w:val="Style14"/>
                <w:rFonts w:eastAsia="標楷體" w:ascii="標楷體" w:hAnsi="標楷體"/>
              </w:rPr>
              <w:t>4</w:t>
            </w:r>
            <w:r>
              <w:rPr>
                <w:rStyle w:val="Style14"/>
                <w:rFonts w:ascii="標楷體" w:hAnsi="標楷體" w:eastAsia="標楷體"/>
              </w:rPr>
              <w:t>目規定，為增進考試錄取人員所需工作知能，保訓會得依公務人員考試錄取人員訓練辦法第</w:t>
            </w:r>
            <w:r>
              <w:rPr>
                <w:rStyle w:val="Style14"/>
                <w:rFonts w:eastAsia="標楷體" w:ascii="標楷體" w:hAnsi="標楷體"/>
              </w:rPr>
              <w:t>6</w:t>
            </w:r>
            <w:r>
              <w:rPr>
                <w:rStyle w:val="Style14"/>
                <w:rFonts w:ascii="標楷體" w:hAnsi="標楷體" w:eastAsia="標楷體"/>
              </w:rPr>
              <w:t>條規定，於實務訓練期間按錄取等級、類科，實施集中訓練，並由保訓會委託相關機關辦理。</w:t>
            </w:r>
          </w:p>
          <w:p>
            <w:pPr>
              <w:pStyle w:val="Normal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</w:rPr>
              <w:t>為瞭解您對於</w:t>
            </w:r>
            <w:r>
              <w:rPr>
                <w:rStyle w:val="Style14"/>
                <w:rFonts w:eastAsia="標楷體" w:ascii="標楷體" w:hAnsi="標楷體"/>
              </w:rPr>
              <w:t>110</w:t>
            </w:r>
            <w:r>
              <w:rPr>
                <w:rStyle w:val="Style14"/>
                <w:rFonts w:ascii="標楷體" w:hAnsi="標楷體" w:eastAsia="標楷體"/>
              </w:rPr>
              <w:t>年地方特考錄取人員集中實務訓練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>
            <w:pPr>
              <w:pStyle w:val="Normal"/>
              <w:spacing w:lineRule="exact" w:line="240" w:before="180" w:after="100"/>
              <w:jc w:val="right"/>
              <w:rPr/>
            </w:pPr>
            <w:r>
              <w:rPr>
                <w:rStyle w:val="Style14"/>
                <w:rFonts w:ascii="標楷體" w:hAnsi="標楷體" w:eastAsia="標楷體"/>
              </w:rPr>
              <w:t>公務人員保障暨培訓委員會    敬啟</w:t>
            </w:r>
          </w:p>
        </w:tc>
      </w:tr>
    </w:tbl>
    <w:p>
      <w:pPr>
        <w:pStyle w:val="Normal"/>
        <w:spacing w:lineRule="exact" w:line="280" w:before="50" w:after="100"/>
        <w:rPr/>
      </w:pPr>
      <w:r>
        <w:rPr>
          <w:rStyle w:val="Style14"/>
          <w:rFonts w:ascii="標楷體" w:hAnsi="標楷體" w:eastAsia="標楷體"/>
          <w:b/>
          <w:sz w:val="28"/>
        </w:rPr>
        <w:t>問卷部分</w:t>
      </w:r>
    </w:p>
    <w:tbl>
      <w:tblPr>
        <w:tblW w:w="95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3"/>
        <w:gridCol w:w="495"/>
        <w:gridCol w:w="463"/>
        <w:gridCol w:w="464"/>
        <w:gridCol w:w="463"/>
        <w:gridCol w:w="499"/>
      </w:tblGrid>
      <w:tr>
        <w:trPr>
          <w:trHeight w:val="1472" w:hRule="atLeast"/>
        </w:trPr>
        <w:tc>
          <w:tcPr>
            <w:tcW w:w="7163" w:type="dxa"/>
            <w:tcBorders/>
          </w:tcPr>
          <w:p>
            <w:pPr>
              <w:pStyle w:val="Normal"/>
              <w:spacing w:lineRule="exact" w:line="280" w:before="50" w:after="100"/>
              <w:rPr>
                <w:rFonts w:ascii="標楷體" w:hAnsi="標楷體" w:eastAsia="標楷體"/>
                <w:b/>
                <w:b/>
                <w:sz w:val="28"/>
                <w:szCs w:val="24"/>
              </w:rPr>
            </w:pPr>
            <w:r>
              <w:rPr>
                <w:rFonts w:eastAsia="標楷體" w:ascii="標楷體" w:hAnsi="標楷體"/>
                <w:b/>
                <w:sz w:val="28"/>
                <w:szCs w:val="24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spacing w:lineRule="exact" w:line="280" w:before="50" w:after="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非常不符合</w:t>
            </w:r>
          </w:p>
        </w:tc>
        <w:tc>
          <w:tcPr>
            <w:tcW w:w="463" w:type="dxa"/>
            <w:tcBorders/>
          </w:tcPr>
          <w:p>
            <w:pPr>
              <w:pStyle w:val="Normal"/>
              <w:spacing w:lineRule="exact" w:line="280" w:before="50" w:after="100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64" w:type="dxa"/>
            <w:tcBorders/>
          </w:tcPr>
          <w:p>
            <w:pPr>
              <w:pStyle w:val="Normal"/>
              <w:spacing w:lineRule="exact" w:line="280" w:before="50" w:after="100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63" w:type="dxa"/>
            <w:tcBorders/>
          </w:tcPr>
          <w:p>
            <w:pPr>
              <w:pStyle w:val="Normal"/>
              <w:spacing w:lineRule="exact" w:line="280" w:before="50" w:after="100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spacing w:lineRule="exact" w:line="340" w:before="50" w:after="100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非常符合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/>
        <w:tc>
          <w:tcPr>
            <w:tcW w:w="7163" w:type="dxa"/>
            <w:tcBorders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exact" w:line="280"/>
              <w:ind w:left="504" w:right="0" w:hanging="50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三、我認為本訓練有助於更有系統並全面地瞭解下列應</w:t>
            </w:r>
          </w:p>
          <w:p>
            <w:pPr>
              <w:pStyle w:val="Normal"/>
              <w:tabs>
                <w:tab w:val="clear" w:pos="480"/>
              </w:tabs>
              <w:snapToGrid w:val="false"/>
              <w:spacing w:lineRule="exact" w:line="280"/>
              <w:ind w:left="504" w:right="0" w:hanging="50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8"/>
              </w:rPr>
              <w:t>備之專業知能：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eastAsia="標楷體" w:ascii="標楷體" w:hAnsi="標楷體"/>
                <w:sz w:val="28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（一）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當前國家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專業領域重要政策措施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（二）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專業法令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（三）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實務運作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四、我認為本訓練有助於更迅速、完整地掌握工作要</w:t>
            </w:r>
          </w:p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8"/>
              </w:rPr>
              <w:t>領。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/>
        <w:tc>
          <w:tcPr>
            <w:tcW w:w="7163" w:type="dxa"/>
            <w:tcBorders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spacing w:lineRule="exact" w:line="280"/>
              <w:ind w:left="504" w:right="0" w:hanging="50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五、整體而言</w:t>
            </w:r>
            <w:r>
              <w:rPr>
                <w:rStyle w:val="Style14"/>
                <w:rFonts w:ascii="標楷體" w:hAnsi="標楷體" w:eastAsia="標楷體"/>
                <w:bCs/>
                <w:sz w:val="28"/>
              </w:rPr>
              <w:t>，我</w:t>
            </w:r>
            <w:r>
              <w:rPr>
                <w:rStyle w:val="Style14"/>
                <w:rFonts w:ascii="標楷體" w:hAnsi="標楷體" w:eastAsia="標楷體"/>
                <w:sz w:val="28"/>
              </w:rPr>
              <w:t>認為本訓練確能</w:t>
            </w:r>
            <w:r>
              <w:rPr>
                <w:rStyle w:val="Style14"/>
                <w:rFonts w:ascii="標楷體" w:hAnsi="標楷體" w:eastAsia="標楷體"/>
                <w:bCs/>
                <w:sz w:val="28"/>
              </w:rPr>
              <w:t>有效提升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工作上的相</w:t>
            </w:r>
          </w:p>
          <w:p>
            <w:pPr>
              <w:pStyle w:val="Normal"/>
              <w:tabs>
                <w:tab w:val="clear" w:pos="480"/>
              </w:tabs>
              <w:snapToGrid w:val="false"/>
              <w:spacing w:lineRule="exact" w:line="280"/>
              <w:ind w:left="504" w:right="0" w:hanging="504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關</w:t>
            </w:r>
            <w:r>
              <w:rPr>
                <w:rStyle w:val="Style14"/>
                <w:rFonts w:ascii="標楷體" w:hAnsi="標楷體" w:eastAsia="標楷體"/>
                <w:bCs/>
                <w:sz w:val="28"/>
              </w:rPr>
              <w:t>專業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</w:rPr>
              <w:t>知能。</w:t>
            </w:r>
          </w:p>
        </w:tc>
        <w:tc>
          <w:tcPr>
            <w:tcW w:w="495" w:type="dxa"/>
            <w:tcBorders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7163" w:type="dxa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六、整體而言，我對本訓練感到滿意。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1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2</w:t>
            </w:r>
          </w:p>
        </w:tc>
        <w:tc>
          <w:tcPr>
            <w:tcW w:w="464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3</w:t>
            </w:r>
          </w:p>
        </w:tc>
        <w:tc>
          <w:tcPr>
            <w:tcW w:w="463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4</w:t>
            </w:r>
          </w:p>
        </w:tc>
        <w:tc>
          <w:tcPr>
            <w:tcW w:w="499" w:type="dxa"/>
            <w:tcBorders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8"/>
              </w:rPr>
              <w:t>5</w:t>
            </w:r>
          </w:p>
        </w:tc>
      </w:tr>
      <w:tr>
        <w:trPr/>
        <w:tc>
          <w:tcPr>
            <w:tcW w:w="9547" w:type="dxa"/>
            <w:gridSpan w:val="6"/>
            <w:tcBorders/>
            <w:vAlign w:val="center"/>
          </w:tcPr>
          <w:p>
            <w:pPr>
              <w:pStyle w:val="Normal"/>
              <w:snapToGrid w:val="false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七、</w:t>
            </w:r>
            <w:r>
              <w:rPr>
                <w:rStyle w:val="Style14"/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>
      <w:pPr>
        <w:pStyle w:val="Normal"/>
        <w:spacing w:lineRule="exact" w:line="2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280" w:before="50" w:after="100"/>
        <w:rPr/>
      </w:pPr>
      <w:r>
        <w:rPr>
          <w:rStyle w:val="Style14"/>
          <w:rFonts w:ascii="標楷體" w:hAnsi="標楷體" w:eastAsia="標楷體"/>
          <w:sz w:val="28"/>
          <w:u w:val="single"/>
        </w:rPr>
        <w:t>　　　　　　　　　　　　　　　　　　　　　　　　　　　　　　　    　</w:t>
      </w:r>
    </w:p>
    <w:p>
      <w:pPr>
        <w:pStyle w:val="Normal"/>
        <w:spacing w:lineRule="exact" w:line="280" w:before="50" w:after="100"/>
        <w:rPr/>
      </w:pPr>
      <w:r>
        <w:rPr>
          <w:rStyle w:val="Style14"/>
          <w:rFonts w:ascii="標楷體" w:hAnsi="標楷體" w:eastAsia="標楷體"/>
          <w:b/>
          <w:bCs/>
          <w:sz w:val="28"/>
        </w:rPr>
        <w:t>基本資料</w:t>
      </w:r>
    </w:p>
    <w:p>
      <w:pPr>
        <w:pStyle w:val="Normal"/>
        <w:spacing w:lineRule="exact" w:line="280" w:before="50" w:after="100"/>
        <w:rPr/>
      </w:pPr>
      <w:r>
        <w:rPr>
          <w:rStyle w:val="Style14"/>
          <w:rFonts w:ascii="標楷體" w:hAnsi="標楷體" w:eastAsia="標楷體"/>
          <w:sz w:val="28"/>
        </w:rPr>
        <w:t>一、考試等級：</w:t>
      </w:r>
    </w:p>
    <w:p>
      <w:pPr>
        <w:pStyle w:val="Default"/>
        <w:tabs>
          <w:tab w:val="clear" w:pos="480"/>
        </w:tabs>
        <w:ind w:left="566" w:right="0" w:hanging="0"/>
        <w:rPr>
          <w:sz w:val="28"/>
          <w:szCs w:val="28"/>
        </w:rPr>
      </w:pPr>
      <w:r>
        <w:rPr>
          <w:sz w:val="28"/>
          <w:szCs w:val="28"/>
        </w:rPr>
        <w:t>1.□</w:t>
      </w:r>
      <w:r>
        <w:rPr>
          <w:sz w:val="28"/>
          <w:szCs w:val="28"/>
        </w:rPr>
        <w:t>地方特考三等</w:t>
      </w:r>
      <w:r>
        <w:rPr>
          <w:sz w:val="28"/>
          <w:szCs w:val="28"/>
        </w:rPr>
        <w:t>2.□</w:t>
      </w:r>
      <w:r>
        <w:rPr>
          <w:sz w:val="28"/>
          <w:szCs w:val="28"/>
        </w:rPr>
        <w:t>地方特考四等</w:t>
      </w:r>
      <w:r>
        <w:rPr>
          <w:sz w:val="28"/>
          <w:szCs w:val="28"/>
        </w:rPr>
        <w:t>3.□</w:t>
      </w:r>
      <w:r>
        <w:rPr>
          <w:sz w:val="28"/>
          <w:szCs w:val="28"/>
        </w:rPr>
        <w:t>地方特考五等</w:t>
      </w:r>
    </w:p>
    <w:p>
      <w:pPr>
        <w:pStyle w:val="Normal"/>
        <w:spacing w:lineRule="exact" w:line="280" w:before="50" w:after="100"/>
        <w:ind w:left="0" w:right="0" w:firstLine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4.□</w:t>
      </w:r>
      <w:r>
        <w:rPr>
          <w:rFonts w:ascii="標楷體" w:hAnsi="標楷體" w:eastAsia="標楷體"/>
          <w:sz w:val="28"/>
          <w:szCs w:val="28"/>
        </w:rPr>
        <w:t>高等考試三級</w:t>
      </w:r>
      <w:r>
        <w:rPr>
          <w:rFonts w:eastAsia="標楷體" w:ascii="標楷體" w:hAnsi="標楷體"/>
          <w:sz w:val="28"/>
          <w:szCs w:val="28"/>
        </w:rPr>
        <w:t>5.□</w:t>
      </w:r>
      <w:r>
        <w:rPr>
          <w:rFonts w:ascii="標楷體" w:hAnsi="標楷體" w:eastAsia="標楷體"/>
          <w:sz w:val="28"/>
          <w:szCs w:val="28"/>
        </w:rPr>
        <w:t>普通考試</w:t>
      </w:r>
      <w:r>
        <w:rPr>
          <w:rFonts w:eastAsia="標楷體" w:ascii="標楷體" w:hAnsi="標楷體"/>
          <w:sz w:val="28"/>
          <w:szCs w:val="28"/>
        </w:rPr>
        <w:t>6.□</w:t>
      </w:r>
      <w:r>
        <w:rPr>
          <w:rFonts w:ascii="標楷體" w:hAnsi="標楷體" w:eastAsia="標楷體"/>
          <w:sz w:val="28"/>
          <w:szCs w:val="28"/>
        </w:rPr>
        <w:t>初等考試</w:t>
      </w:r>
    </w:p>
    <w:p>
      <w:pPr>
        <w:pStyle w:val="Normal"/>
        <w:spacing w:lineRule="exact" w:line="280" w:before="50" w:after="100"/>
        <w:rPr/>
      </w:pPr>
      <w:r>
        <w:rPr>
          <w:rStyle w:val="Style14"/>
          <w:rFonts w:ascii="標楷體" w:hAnsi="標楷體" w:eastAsia="標楷體"/>
          <w:sz w:val="28"/>
        </w:rPr>
        <w:t>二、實務訓練機關（構）屬於：</w:t>
      </w:r>
    </w:p>
    <w:p>
      <w:pPr>
        <w:pStyle w:val="Normal"/>
        <w:spacing w:lineRule="exact" w:line="280" w:before="50" w:after="100"/>
        <w:ind w:left="0" w:right="0" w:firstLine="560"/>
        <w:rPr/>
      </w:pPr>
      <w:r>
        <w:rPr>
          <w:rStyle w:val="Style14"/>
          <w:rFonts w:eastAsia="標楷體" w:ascii="標楷體" w:hAnsi="標楷體"/>
          <w:sz w:val="28"/>
        </w:rPr>
        <w:t>1.□</w:t>
      </w:r>
      <w:r>
        <w:rPr>
          <w:rStyle w:val="Style14"/>
          <w:rFonts w:ascii="標楷體" w:hAnsi="標楷體" w:eastAsia="標楷體"/>
          <w:sz w:val="28"/>
        </w:rPr>
        <w:t xml:space="preserve">中央機關     </w:t>
      </w:r>
      <w:r>
        <w:rPr>
          <w:rStyle w:val="Style14"/>
          <w:rFonts w:eastAsia="標楷體" w:ascii="標楷體" w:hAnsi="標楷體"/>
          <w:sz w:val="28"/>
        </w:rPr>
        <w:t>2.□</w:t>
      </w:r>
      <w:r>
        <w:rPr>
          <w:rStyle w:val="Style14"/>
          <w:rFonts w:ascii="標楷體" w:hAnsi="標楷體" w:eastAsia="標楷體"/>
          <w:sz w:val="28"/>
        </w:rPr>
        <w:t>地方機關（含直轄市、縣﹝市﹞</w:t>
      </w:r>
      <w:r>
        <w:rPr>
          <w:rStyle w:val="Style14"/>
          <w:rFonts w:ascii="標楷體" w:hAnsi="標楷體" w:eastAsia="標楷體"/>
          <w:strike w:val="false"/>
          <w:dstrike w:val="false"/>
          <w:color w:val="000000"/>
          <w:sz w:val="28"/>
        </w:rPr>
        <w:t>機關</w:t>
      </w:r>
      <w:r>
        <w:rPr>
          <w:rStyle w:val="Style14"/>
          <w:rFonts w:eastAsia="標楷體" w:ascii="標楷體" w:hAnsi="標楷體"/>
          <w:strike w:val="false"/>
          <w:dstrike w:val="false"/>
          <w:color w:val="000000"/>
          <w:sz w:val="28"/>
        </w:rPr>
        <w:t>)</w:t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834390</wp:posOffset>
                </wp:positionH>
                <wp:positionV relativeFrom="paragraph">
                  <wp:posOffset>243205</wp:posOffset>
                </wp:positionV>
                <wp:extent cx="4640580" cy="525780"/>
                <wp:effectExtent l="0" t="0" r="0" b="0"/>
                <wp:wrapNone/>
                <wp:docPr id="2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5257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/>
                            </w:pPr>
                            <w:r>
                              <w:rPr>
                                <w:rStyle w:val="Style14"/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65.4pt;height:41.4pt;mso-wrap-distance-left:0pt;mso-wrap-distance-right:0pt;mso-wrap-distance-top:0pt;mso-wrap-distance-bottom:0pt;margin-top:19.15pt;mso-position-vertical-relative:text;margin-left:65.7pt;mso-position-horizontal-relative:text">
                <v:textbox>
                  <w:txbxContent>
                    <w:p>
                      <w:pPr>
                        <w:pStyle w:val="Style30"/>
                        <w:jc w:val="center"/>
                        <w:rPr/>
                      </w:pPr>
                      <w:r>
                        <w:rPr>
                          <w:rStyle w:val="Style14"/>
                          <w:rFonts w:eastAsia="標楷體"/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50" w:after="100"/>
        <w:rPr>
          <w:rFonts w:ascii="標楷體" w:hAnsi="標楷體" w:eastAsia="標楷體"/>
          <w:b/>
          <w:b/>
          <w:bCs/>
          <w:sz w:val="28"/>
        </w:rPr>
      </w:pPr>
      <w:r>
        <w:rPr>
          <w:rFonts w:eastAsia="標楷體" w:ascii="標楷體" w:hAnsi="標楷體"/>
          <w:b/>
          <w:bCs/>
          <w:sz w:val="28"/>
        </w:rPr>
      </w:r>
    </w:p>
    <w:p>
      <w:pPr>
        <w:pStyle w:val="Normal"/>
        <w:spacing w:lineRule="exact" w:line="280" w:before="50" w:after="100"/>
        <w:rPr/>
      </w:pPr>
      <w:r>
        <w:rPr/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0580" cy="457200"/>
                <wp:effectExtent l="0" t="0" r="0" b="0"/>
                <wp:wrapNone/>
                <wp:docPr id="3" name="文字方塊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3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pt;height:36pt;mso-wrap-distance-left:0pt;mso-wrap-distance-right:0pt;mso-wrap-distance-top:0pt;mso-wrap-distance-bottom:0pt;margin-top:12.2pt;mso-position-vertical-relative:text;margin-left:66.05pt;mso-position-horizontal-relative:text">
                <v:textbox>
                  <w:txbxContent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134" w:right="1134" w:header="0" w:top="720" w:footer="992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標楷體">
    <w:charset w:val="88"/>
    <w:family w:val="auto"/>
    <w:pitch w:val="default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  <w:lang w:val="zh-TW"/>
      </w:rPr>
      <w:instrText> PAGE </w:instrText>
    </w:r>
    <w:r>
      <w:rPr>
        <w:rStyle w:val="Style14"/>
        <w:lang w:val="zh-TW"/>
      </w:rPr>
      <w:fldChar w:fldCharType="separate"/>
    </w:r>
    <w:r>
      <w:rPr>
        <w:rStyle w:val="Style14"/>
        <w:lang w:val="zh-TW"/>
      </w:rPr>
      <w:t>4</w:t>
    </w:r>
    <w:r>
      <w:rPr>
        <w:rStyle w:val="Style14"/>
        <w:lang w:val="zh-TW"/>
      </w:rP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6">
    <w:name w:val="頁首 字元"/>
    <w:basedOn w:val="Style14"/>
    <w:qFormat/>
    <w:rPr>
      <w:rFonts w:cs="Times New Roman"/>
      <w:sz w:val="20"/>
      <w:szCs w:val="20"/>
    </w:rPr>
  </w:style>
  <w:style w:type="character" w:styleId="Style17">
    <w:name w:val="頁尾 字元"/>
    <w:basedOn w:val="Style14"/>
    <w:qFormat/>
    <w:rPr>
      <w:rFonts w:cs="Times New Roman"/>
      <w:sz w:val="20"/>
      <w:szCs w:val="20"/>
    </w:rPr>
  </w:style>
  <w:style w:type="character" w:styleId="Style18">
    <w:name w:val="日期 字元"/>
    <w:basedOn w:val="Style14"/>
    <w:qFormat/>
    <w:rPr>
      <w:rFonts w:cs="Times New Roman"/>
    </w:rPr>
  </w:style>
  <w:style w:type="character" w:styleId="Comshowdata">
    <w:name w:val="com_show_data"/>
    <w:basedOn w:val="Style14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ascii="標楷體" w:hAnsi="標楷體" w:cs="Times New Roman"/>
      <w:color w:val="000000"/>
      <w:sz w:val="32"/>
      <w:u w:val="none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paragraph" w:styleId="Style19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Lucida Sans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4">
    <w:name w:val="註解方塊文字"/>
    <w:basedOn w:val="Normal"/>
    <w:qFormat/>
    <w:pPr>
      <w:suppressAutoHyphens w:val="true"/>
    </w:pPr>
    <w:rPr>
      <w:rFonts w:ascii="Calibri Light" w:hAnsi="Calibri Light" w:eastAsia="Calibri Light" w:cs="Calibri Light"/>
      <w:sz w:val="18"/>
      <w:szCs w:val="18"/>
    </w:rPr>
  </w:style>
  <w:style w:type="paragraph" w:styleId="Style25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日期"/>
    <w:basedOn w:val="Normal"/>
    <w:next w:val="Normal"/>
    <w:qFormat/>
    <w:pPr>
      <w:suppressAutoHyphens w:val="true"/>
      <w:jc w:val="right"/>
    </w:pPr>
    <w:rPr/>
  </w:style>
  <w:style w:type="paragraph" w:styleId="Style29">
    <w:name w:val="清單段落"/>
    <w:basedOn w:val="Normal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30">
    <w:name w:val="外框內容"/>
    <w:basedOn w:val="Normal"/>
    <w:qFormat/>
    <w:pPr>
      <w:suppressAutoHyphens w:val="true"/>
    </w:pPr>
    <w:rPr/>
  </w:style>
  <w:style w:type="paragraph" w:styleId="Style31">
    <w:name w:val="表格內容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32">
    <w:name w:val="表格標題"/>
    <w:basedOn w:val="Style3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LibreOffice/7.0.0.3$Windows_X86_64 LibreOffice_project/8061b3e9204bef6b321a21033174034a5e2ea88e</Application>
  <Pages>4</Pages>
  <Words>1770</Words>
  <Characters>1819</Characters>
  <CharactersWithSpaces>1907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2022-03-17T03:34:00Z</dcterms:created>
  <dc:creator>鄭淑菁</dc:creator>
  <dc:description/>
  <dc:language>zh-TW</dc:language>
  <cp:lastModifiedBy/>
  <cp:lastPrinted>2022-03-28T11:10:33Z</cp:lastPrinted>
  <dcterms:modified xsi:type="dcterms:W3CDTF">2022-03-29T13:30:35Z</dcterms:modified>
  <cp:revision>19</cp:revision>
  <dc:subject/>
  <dc:title>107年特種考試地方政府公務人員會計、統計類科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