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24C" w:rsidRDefault="007938BA">
      <w:pPr>
        <w:spacing w:line="0" w:lineRule="atLeast"/>
        <w:jc w:val="right"/>
      </w:pPr>
      <w:bookmarkStart w:id="0" w:name="_GoBack"/>
      <w:bookmarkEnd w:id="0"/>
      <w:r>
        <w:rPr>
          <w:rFonts w:ascii="標楷體" w:eastAsia="標楷體" w:hAnsi="標楷體"/>
          <w:bCs/>
          <w:color w:val="000000"/>
        </w:rPr>
        <w:t>附件</w:t>
      </w:r>
      <w:r>
        <w:rPr>
          <w:rFonts w:ascii="標楷體" w:eastAsia="標楷體" w:hAnsi="標楷體"/>
          <w:bCs/>
        </w:rPr>
        <w:t>14</w:t>
      </w:r>
    </w:p>
    <w:p w:rsidR="00FC324C" w:rsidRDefault="007938BA">
      <w:pPr>
        <w:spacing w:line="0" w:lineRule="atLeast"/>
        <w:jc w:val="both"/>
      </w:pPr>
      <w:r>
        <w:rPr>
          <w:rFonts w:ascii="標楷體" w:eastAsia="標楷體" w:hAnsi="標楷體"/>
          <w:b/>
          <w:color w:val="000000"/>
          <w:sz w:val="36"/>
          <w:szCs w:val="30"/>
        </w:rPr>
        <w:t>110</w:t>
      </w:r>
      <w:r>
        <w:rPr>
          <w:rFonts w:ascii="標楷體" w:eastAsia="標楷體" w:hAnsi="標楷體"/>
          <w:b/>
          <w:color w:val="000000"/>
          <w:sz w:val="36"/>
          <w:szCs w:val="30"/>
        </w:rPr>
        <w:t>年公務人員特種考試海岸巡防人員考試錄取人員專業訓練成績考核規定</w:t>
      </w:r>
    </w:p>
    <w:p w:rsidR="00FC324C" w:rsidRDefault="007938BA">
      <w:pPr>
        <w:suppressAutoHyphens w:val="0"/>
        <w:snapToGrid w:val="0"/>
        <w:jc w:val="right"/>
        <w:textAlignment w:val="auto"/>
      </w:pPr>
      <w:r>
        <w:rPr>
          <w:rFonts w:ascii="標楷體" w:eastAsia="標楷體" w:hAnsi="標楷體"/>
          <w:color w:val="000000"/>
        </w:rPr>
        <w:t>民國</w:t>
      </w:r>
      <w:r>
        <w:rPr>
          <w:rFonts w:ascii="標楷體" w:eastAsia="標楷體" w:hAnsi="標楷體"/>
          <w:color w:val="000000"/>
        </w:rPr>
        <w:t>110</w:t>
      </w:r>
      <w:r>
        <w:rPr>
          <w:rFonts w:ascii="標楷體" w:eastAsia="標楷體" w:hAnsi="標楷體"/>
          <w:color w:val="000000"/>
        </w:rPr>
        <w:t>年</w:t>
      </w:r>
      <w:r>
        <w:rPr>
          <w:rFonts w:ascii="標楷體" w:eastAsia="標楷體" w:hAnsi="標楷體"/>
          <w:color w:val="000000"/>
        </w:rPr>
        <w:t>7</w:t>
      </w:r>
      <w:r>
        <w:rPr>
          <w:rFonts w:ascii="標楷體" w:eastAsia="標楷體" w:hAnsi="標楷體"/>
          <w:color w:val="000000"/>
        </w:rPr>
        <w:t>月</w:t>
      </w:r>
      <w:r>
        <w:rPr>
          <w:rFonts w:ascii="標楷體" w:eastAsia="標楷體" w:hAnsi="標楷體"/>
          <w:color w:val="000000"/>
        </w:rPr>
        <w:t>1</w:t>
      </w:r>
      <w:r>
        <w:rPr>
          <w:rFonts w:ascii="標楷體" w:eastAsia="標楷體" w:hAnsi="標楷體"/>
          <w:color w:val="000000"/>
        </w:rPr>
        <w:t>日</w:t>
      </w:r>
    </w:p>
    <w:p w:rsidR="00FC324C" w:rsidRDefault="007938BA">
      <w:pPr>
        <w:suppressAutoHyphens w:val="0"/>
        <w:snapToGrid w:val="0"/>
        <w:spacing w:after="227"/>
        <w:jc w:val="right"/>
        <w:textAlignment w:val="auto"/>
      </w:pPr>
      <w:r>
        <w:rPr>
          <w:rFonts w:ascii="標楷體" w:eastAsia="標楷體" w:hAnsi="標楷體"/>
          <w:color w:val="000000"/>
        </w:rPr>
        <w:t>保訓會</w:t>
      </w:r>
      <w:proofErr w:type="gramStart"/>
      <w:r>
        <w:rPr>
          <w:rFonts w:ascii="標楷體" w:eastAsia="標楷體" w:hAnsi="標楷體"/>
          <w:color w:val="000000"/>
        </w:rPr>
        <w:t>公訓字第</w:t>
      </w:r>
      <w:r>
        <w:rPr>
          <w:rFonts w:ascii="標楷體" w:eastAsia="標楷體" w:hAnsi="標楷體"/>
          <w:color w:val="000000"/>
        </w:rPr>
        <w:t>1100006309</w:t>
      </w:r>
      <w:r>
        <w:rPr>
          <w:rFonts w:ascii="標楷體" w:eastAsia="標楷體" w:hAnsi="標楷體"/>
          <w:color w:val="000000"/>
        </w:rPr>
        <w:t>號</w:t>
      </w:r>
      <w:proofErr w:type="gramEnd"/>
      <w:r>
        <w:rPr>
          <w:rFonts w:ascii="標楷體" w:eastAsia="標楷體" w:hAnsi="標楷體"/>
          <w:color w:val="000000"/>
        </w:rPr>
        <w:t>函核定</w:t>
      </w:r>
    </w:p>
    <w:p w:rsidR="00FC324C" w:rsidRDefault="007938BA">
      <w:pPr>
        <w:pStyle w:val="aa"/>
        <w:widowControl/>
        <w:numPr>
          <w:ilvl w:val="0"/>
          <w:numId w:val="2"/>
        </w:numPr>
        <w:spacing w:before="36" w:after="36" w:line="460" w:lineRule="exact"/>
        <w:ind w:left="658" w:hanging="658"/>
        <w:jc w:val="both"/>
        <w:rPr>
          <w:rFonts w:ascii="標楷體" w:eastAsia="標楷體" w:hAnsi="標楷體"/>
          <w:color w:val="000000"/>
          <w:sz w:val="32"/>
          <w:szCs w:val="36"/>
        </w:rPr>
      </w:pPr>
      <w:r>
        <w:rPr>
          <w:rFonts w:ascii="標楷體" w:eastAsia="標楷體" w:hAnsi="標楷體"/>
          <w:color w:val="000000"/>
          <w:sz w:val="32"/>
          <w:szCs w:val="36"/>
        </w:rPr>
        <w:t>專業訓練各項</w:t>
      </w:r>
      <w:r>
        <w:rPr>
          <w:rFonts w:ascii="標楷體" w:eastAsia="標楷體" w:hAnsi="標楷體"/>
          <w:color w:val="000000"/>
          <w:sz w:val="32"/>
          <w:szCs w:val="36"/>
        </w:rPr>
        <w:t>(</w:t>
      </w:r>
      <w:r>
        <w:rPr>
          <w:rFonts w:ascii="標楷體" w:eastAsia="標楷體" w:hAnsi="標楷體"/>
          <w:color w:val="000000"/>
          <w:sz w:val="32"/>
          <w:szCs w:val="36"/>
        </w:rPr>
        <w:t>科</w:t>
      </w:r>
      <w:r>
        <w:rPr>
          <w:rFonts w:ascii="標楷體" w:eastAsia="標楷體" w:hAnsi="標楷體"/>
          <w:color w:val="000000"/>
          <w:sz w:val="32"/>
          <w:szCs w:val="36"/>
        </w:rPr>
        <w:t>)</w:t>
      </w:r>
      <w:r>
        <w:rPr>
          <w:rFonts w:ascii="標楷體" w:eastAsia="標楷體" w:hAnsi="標楷體"/>
          <w:color w:val="000000"/>
          <w:sz w:val="32"/>
          <w:szCs w:val="36"/>
        </w:rPr>
        <w:t>目成績標準以</w:t>
      </w:r>
      <w:r>
        <w:rPr>
          <w:rFonts w:ascii="標楷體" w:eastAsia="標楷體" w:hAnsi="標楷體"/>
          <w:color w:val="000000"/>
          <w:sz w:val="32"/>
          <w:szCs w:val="36"/>
        </w:rPr>
        <w:t>100</w:t>
      </w:r>
      <w:r>
        <w:rPr>
          <w:rFonts w:ascii="標楷體" w:eastAsia="標楷體" w:hAnsi="標楷體"/>
          <w:color w:val="000000"/>
          <w:sz w:val="32"/>
          <w:szCs w:val="36"/>
        </w:rPr>
        <w:t>分為滿分，</w:t>
      </w:r>
      <w:r>
        <w:rPr>
          <w:rFonts w:ascii="標楷體" w:eastAsia="標楷體" w:hAnsi="標楷體"/>
          <w:color w:val="000000"/>
          <w:sz w:val="32"/>
          <w:szCs w:val="36"/>
        </w:rPr>
        <w:t>60</w:t>
      </w:r>
      <w:r>
        <w:rPr>
          <w:rFonts w:ascii="標楷體" w:eastAsia="標楷體" w:hAnsi="標楷體"/>
          <w:color w:val="000000"/>
          <w:sz w:val="32"/>
          <w:szCs w:val="36"/>
        </w:rPr>
        <w:t>分為及格，未滿</w:t>
      </w:r>
      <w:r>
        <w:rPr>
          <w:rFonts w:ascii="標楷體" w:eastAsia="標楷體" w:hAnsi="標楷體"/>
          <w:color w:val="000000"/>
          <w:sz w:val="32"/>
          <w:szCs w:val="36"/>
        </w:rPr>
        <w:t>60</w:t>
      </w:r>
      <w:r>
        <w:rPr>
          <w:rFonts w:ascii="標楷體" w:eastAsia="標楷體" w:hAnsi="標楷體"/>
          <w:color w:val="000000"/>
          <w:sz w:val="32"/>
          <w:szCs w:val="36"/>
        </w:rPr>
        <w:t>分為不及格，其小數計到第二位，以下四捨五入。成績考核項目及百分比如下：</w:t>
      </w:r>
    </w:p>
    <w:p w:rsidR="00FC324C" w:rsidRDefault="007938BA">
      <w:pPr>
        <w:pStyle w:val="aa"/>
        <w:widowControl/>
        <w:numPr>
          <w:ilvl w:val="0"/>
          <w:numId w:val="3"/>
        </w:numPr>
        <w:spacing w:before="36" w:after="36" w:line="460" w:lineRule="exact"/>
        <w:ind w:left="812" w:hanging="670"/>
        <w:jc w:val="both"/>
        <w:rPr>
          <w:rFonts w:ascii="標楷體" w:eastAsia="標楷體" w:hAnsi="標楷體"/>
          <w:color w:val="000000"/>
          <w:sz w:val="32"/>
          <w:szCs w:val="36"/>
        </w:rPr>
      </w:pPr>
      <w:r>
        <w:rPr>
          <w:rFonts w:ascii="標楷體" w:eastAsia="標楷體" w:hAnsi="標楷體"/>
          <w:color w:val="000000"/>
          <w:sz w:val="32"/>
          <w:szCs w:val="36"/>
        </w:rPr>
        <w:t>學科成績占總成績</w:t>
      </w:r>
      <w:r>
        <w:rPr>
          <w:rFonts w:ascii="標楷體" w:eastAsia="標楷體" w:hAnsi="標楷體"/>
          <w:color w:val="000000"/>
          <w:sz w:val="32"/>
          <w:szCs w:val="36"/>
        </w:rPr>
        <w:t>50%</w:t>
      </w:r>
      <w:r>
        <w:rPr>
          <w:rFonts w:ascii="標楷體" w:eastAsia="標楷體" w:hAnsi="標楷體"/>
          <w:color w:val="000000"/>
          <w:sz w:val="32"/>
          <w:szCs w:val="36"/>
        </w:rPr>
        <w:t>。</w:t>
      </w:r>
    </w:p>
    <w:p w:rsidR="00FC324C" w:rsidRDefault="007938BA">
      <w:pPr>
        <w:pStyle w:val="aa"/>
        <w:widowControl/>
        <w:numPr>
          <w:ilvl w:val="0"/>
          <w:numId w:val="3"/>
        </w:numPr>
        <w:spacing w:before="36" w:after="36" w:line="460" w:lineRule="exact"/>
        <w:ind w:left="812" w:hanging="670"/>
        <w:jc w:val="both"/>
        <w:rPr>
          <w:rFonts w:ascii="標楷體" w:eastAsia="標楷體" w:hAnsi="標楷體"/>
          <w:color w:val="000000"/>
          <w:sz w:val="32"/>
          <w:szCs w:val="36"/>
        </w:rPr>
      </w:pPr>
      <w:r>
        <w:rPr>
          <w:rFonts w:ascii="標楷體" w:eastAsia="標楷體" w:hAnsi="標楷體"/>
          <w:color w:val="000000"/>
          <w:sz w:val="32"/>
          <w:szCs w:val="36"/>
        </w:rPr>
        <w:t>體技成績占總成績</w:t>
      </w:r>
      <w:r>
        <w:rPr>
          <w:rFonts w:ascii="標楷體" w:eastAsia="標楷體" w:hAnsi="標楷體"/>
          <w:color w:val="000000"/>
          <w:sz w:val="32"/>
          <w:szCs w:val="36"/>
        </w:rPr>
        <w:t>20%</w:t>
      </w:r>
      <w:r>
        <w:rPr>
          <w:rFonts w:ascii="標楷體" w:eastAsia="標楷體" w:hAnsi="標楷體"/>
          <w:color w:val="000000"/>
          <w:sz w:val="32"/>
          <w:szCs w:val="36"/>
        </w:rPr>
        <w:t>。</w:t>
      </w:r>
    </w:p>
    <w:p w:rsidR="00FC324C" w:rsidRDefault="007938BA">
      <w:pPr>
        <w:pStyle w:val="aa"/>
        <w:widowControl/>
        <w:numPr>
          <w:ilvl w:val="0"/>
          <w:numId w:val="3"/>
        </w:numPr>
        <w:spacing w:before="36" w:after="36" w:line="460" w:lineRule="exact"/>
        <w:ind w:left="812" w:hanging="670"/>
        <w:jc w:val="both"/>
        <w:rPr>
          <w:rFonts w:ascii="標楷體" w:eastAsia="標楷體" w:hAnsi="標楷體"/>
          <w:color w:val="000000"/>
          <w:sz w:val="32"/>
          <w:szCs w:val="36"/>
        </w:rPr>
      </w:pPr>
      <w:r>
        <w:rPr>
          <w:rFonts w:ascii="標楷體" w:eastAsia="標楷體" w:hAnsi="標楷體"/>
          <w:color w:val="000000"/>
          <w:sz w:val="32"/>
          <w:szCs w:val="36"/>
        </w:rPr>
        <w:t>操行成績占總成績</w:t>
      </w:r>
      <w:r>
        <w:rPr>
          <w:rFonts w:ascii="標楷體" w:eastAsia="標楷體" w:hAnsi="標楷體"/>
          <w:color w:val="000000"/>
          <w:sz w:val="32"/>
          <w:szCs w:val="36"/>
        </w:rPr>
        <w:t>30%</w:t>
      </w:r>
      <w:r>
        <w:rPr>
          <w:rFonts w:ascii="標楷體" w:eastAsia="標楷體" w:hAnsi="標楷體"/>
          <w:color w:val="000000"/>
          <w:sz w:val="32"/>
          <w:szCs w:val="36"/>
        </w:rPr>
        <w:t>。</w:t>
      </w:r>
    </w:p>
    <w:p w:rsidR="00FC324C" w:rsidRDefault="007938BA">
      <w:pPr>
        <w:pStyle w:val="aa"/>
        <w:widowControl/>
        <w:numPr>
          <w:ilvl w:val="0"/>
          <w:numId w:val="2"/>
        </w:numPr>
        <w:spacing w:before="36" w:after="36" w:line="460" w:lineRule="exact"/>
        <w:ind w:left="672" w:hanging="672"/>
        <w:jc w:val="both"/>
        <w:rPr>
          <w:rFonts w:ascii="標楷體" w:eastAsia="標楷體" w:hAnsi="標楷體"/>
          <w:color w:val="000000"/>
          <w:sz w:val="32"/>
        </w:rPr>
      </w:pPr>
      <w:r>
        <w:rPr>
          <w:rFonts w:ascii="標楷體" w:eastAsia="標楷體" w:hAnsi="標楷體"/>
          <w:color w:val="000000"/>
          <w:sz w:val="32"/>
        </w:rPr>
        <w:t>學科成績按百分法計算，考核方式如下：</w:t>
      </w:r>
    </w:p>
    <w:p w:rsidR="00FC324C" w:rsidRDefault="007938BA">
      <w:pPr>
        <w:pStyle w:val="aa"/>
        <w:widowControl/>
        <w:numPr>
          <w:ilvl w:val="1"/>
          <w:numId w:val="2"/>
        </w:numPr>
        <w:spacing w:before="36" w:after="36" w:line="460" w:lineRule="exact"/>
        <w:ind w:left="851" w:hanging="709"/>
        <w:jc w:val="both"/>
        <w:rPr>
          <w:rFonts w:ascii="標楷體" w:eastAsia="標楷體" w:hAnsi="標楷體"/>
          <w:color w:val="000000"/>
          <w:sz w:val="32"/>
        </w:rPr>
      </w:pPr>
      <w:r>
        <w:rPr>
          <w:rFonts w:ascii="標楷體" w:eastAsia="標楷體" w:hAnsi="標楷體"/>
          <w:color w:val="000000"/>
          <w:sz w:val="32"/>
        </w:rPr>
        <w:t>學科測驗成績包含法律課程及專業</w:t>
      </w:r>
      <w:r>
        <w:rPr>
          <w:rFonts w:ascii="標楷體" w:eastAsia="標楷體" w:hAnsi="標楷體"/>
          <w:color w:val="000000"/>
          <w:sz w:val="32"/>
        </w:rPr>
        <w:t>(</w:t>
      </w:r>
      <w:proofErr w:type="gramStart"/>
      <w:r>
        <w:rPr>
          <w:rFonts w:ascii="標楷體" w:eastAsia="標楷體" w:hAnsi="標楷體"/>
          <w:color w:val="000000"/>
          <w:sz w:val="32"/>
        </w:rPr>
        <w:t>含通識</w:t>
      </w:r>
      <w:proofErr w:type="gramEnd"/>
      <w:r>
        <w:rPr>
          <w:rFonts w:ascii="標楷體" w:eastAsia="標楷體" w:hAnsi="標楷體"/>
          <w:color w:val="000000"/>
          <w:sz w:val="32"/>
        </w:rPr>
        <w:t>)</w:t>
      </w:r>
      <w:r>
        <w:rPr>
          <w:rFonts w:ascii="標楷體" w:eastAsia="標楷體" w:hAnsi="標楷體"/>
          <w:color w:val="000000"/>
          <w:sz w:val="32"/>
        </w:rPr>
        <w:t>課程兩部分，各占學科測驗成績</w:t>
      </w:r>
      <w:r>
        <w:rPr>
          <w:rFonts w:ascii="標楷體" w:eastAsia="標楷體" w:hAnsi="標楷體"/>
          <w:color w:val="000000"/>
          <w:sz w:val="32"/>
        </w:rPr>
        <w:t>50%</w:t>
      </w:r>
      <w:r>
        <w:rPr>
          <w:rFonts w:ascii="標楷體" w:eastAsia="標楷體" w:hAnsi="標楷體"/>
          <w:color w:val="000000"/>
          <w:sz w:val="32"/>
        </w:rPr>
        <w:t>。訓練期間實施學科期中、期末測驗</w:t>
      </w:r>
      <w:r>
        <w:rPr>
          <w:rFonts w:ascii="標楷體" w:eastAsia="標楷體" w:hAnsi="標楷體"/>
          <w:color w:val="000000"/>
          <w:sz w:val="32"/>
        </w:rPr>
        <w:t>(</w:t>
      </w:r>
      <w:r>
        <w:rPr>
          <w:rFonts w:ascii="標楷體" w:eastAsia="標楷體" w:hAnsi="標楷體"/>
          <w:color w:val="000000"/>
          <w:sz w:val="32"/>
        </w:rPr>
        <w:t>各占該學科課程測驗</w:t>
      </w:r>
      <w:r>
        <w:rPr>
          <w:rFonts w:ascii="標楷體" w:eastAsia="標楷體" w:hAnsi="標楷體"/>
          <w:color w:val="000000"/>
          <w:sz w:val="32"/>
        </w:rPr>
        <w:t>50%)</w:t>
      </w:r>
      <w:r>
        <w:rPr>
          <w:rFonts w:ascii="標楷體" w:eastAsia="標楷體" w:hAnsi="標楷體"/>
          <w:color w:val="000000"/>
          <w:sz w:val="32"/>
        </w:rPr>
        <w:t>，測驗範圍以法律課程及專業</w:t>
      </w:r>
      <w:r>
        <w:rPr>
          <w:rFonts w:ascii="標楷體" w:eastAsia="標楷體" w:hAnsi="標楷體"/>
          <w:color w:val="000000"/>
          <w:sz w:val="32"/>
        </w:rPr>
        <w:t>(</w:t>
      </w:r>
      <w:proofErr w:type="gramStart"/>
      <w:r>
        <w:rPr>
          <w:rFonts w:ascii="標楷體" w:eastAsia="標楷體" w:hAnsi="標楷體"/>
          <w:color w:val="000000"/>
          <w:sz w:val="32"/>
        </w:rPr>
        <w:t>含通識</w:t>
      </w:r>
      <w:proofErr w:type="gramEnd"/>
      <w:r>
        <w:rPr>
          <w:rFonts w:ascii="標楷體" w:eastAsia="標楷體" w:hAnsi="標楷體"/>
          <w:color w:val="000000"/>
          <w:sz w:val="32"/>
        </w:rPr>
        <w:t>)</w:t>
      </w:r>
      <w:r>
        <w:rPr>
          <w:rFonts w:ascii="標楷體" w:eastAsia="標楷體" w:hAnsi="標楷體"/>
          <w:color w:val="000000"/>
          <w:sz w:val="32"/>
        </w:rPr>
        <w:t>課程授課結束之相關課程內容為主。</w:t>
      </w:r>
    </w:p>
    <w:p w:rsidR="00FC324C" w:rsidRDefault="007938BA">
      <w:pPr>
        <w:pStyle w:val="aa"/>
        <w:widowControl/>
        <w:numPr>
          <w:ilvl w:val="1"/>
          <w:numId w:val="2"/>
        </w:numPr>
        <w:spacing w:before="36" w:after="36" w:line="460" w:lineRule="exact"/>
        <w:ind w:left="851" w:hanging="709"/>
        <w:jc w:val="both"/>
      </w:pPr>
      <w:r>
        <w:rPr>
          <w:rFonts w:ascii="標楷體" w:eastAsia="標楷體" w:hAnsi="標楷體"/>
          <w:color w:val="000000"/>
          <w:sz w:val="32"/>
        </w:rPr>
        <w:t>學科期中或期末測驗成績不及格者，得補考</w:t>
      </w:r>
      <w:r>
        <w:rPr>
          <w:rFonts w:ascii="標楷體" w:eastAsia="標楷體" w:hAnsi="標楷體"/>
          <w:color w:val="000000"/>
          <w:sz w:val="32"/>
        </w:rPr>
        <w:t>1</w:t>
      </w:r>
      <w:r>
        <w:rPr>
          <w:rFonts w:ascii="標楷體" w:eastAsia="標楷體" w:hAnsi="標楷體"/>
          <w:color w:val="000000"/>
          <w:sz w:val="32"/>
        </w:rPr>
        <w:t>次</w:t>
      </w:r>
      <w:r>
        <w:rPr>
          <w:rFonts w:ascii="標楷體" w:eastAsia="標楷體" w:hAnsi="標楷體"/>
          <w:color w:val="000000"/>
          <w:sz w:val="32"/>
        </w:rPr>
        <w:t>(</w:t>
      </w:r>
      <w:r>
        <w:rPr>
          <w:rFonts w:ascii="標楷體" w:eastAsia="標楷體" w:hAnsi="標楷體"/>
          <w:color w:val="000000"/>
          <w:sz w:val="32"/>
        </w:rPr>
        <w:t>本規定第</w:t>
      </w:r>
      <w:r>
        <w:rPr>
          <w:rFonts w:ascii="標楷體" w:eastAsia="標楷體" w:hAnsi="標楷體"/>
          <w:color w:val="000000"/>
          <w:sz w:val="32"/>
        </w:rPr>
        <w:t>7</w:t>
      </w:r>
      <w:r>
        <w:rPr>
          <w:rFonts w:ascii="標楷體" w:eastAsia="標楷體" w:hAnsi="標楷體"/>
          <w:color w:val="000000"/>
          <w:sz w:val="32"/>
        </w:rPr>
        <w:t>點第</w:t>
      </w:r>
      <w:r>
        <w:rPr>
          <w:rFonts w:ascii="標楷體" w:eastAsia="標楷體" w:hAnsi="標楷體"/>
          <w:color w:val="000000"/>
          <w:sz w:val="32"/>
        </w:rPr>
        <w:t>2</w:t>
      </w:r>
      <w:r>
        <w:rPr>
          <w:rFonts w:ascii="標楷體" w:eastAsia="標楷體" w:hAnsi="標楷體"/>
          <w:color w:val="000000"/>
          <w:sz w:val="32"/>
        </w:rPr>
        <w:t>款及第</w:t>
      </w:r>
      <w:r>
        <w:rPr>
          <w:rFonts w:ascii="標楷體" w:eastAsia="標楷體" w:hAnsi="標楷體"/>
          <w:color w:val="000000"/>
          <w:sz w:val="32"/>
        </w:rPr>
        <w:t>3</w:t>
      </w:r>
      <w:r>
        <w:rPr>
          <w:rFonts w:ascii="標楷體" w:eastAsia="標楷體" w:hAnsi="標楷體"/>
          <w:color w:val="000000"/>
          <w:sz w:val="32"/>
        </w:rPr>
        <w:t>款者除外</w:t>
      </w:r>
      <w:r>
        <w:rPr>
          <w:rFonts w:ascii="標楷體" w:eastAsia="標楷體" w:hAnsi="標楷體"/>
          <w:color w:val="000000"/>
          <w:sz w:val="32"/>
        </w:rPr>
        <w:t>)</w:t>
      </w:r>
      <w:r>
        <w:rPr>
          <w:rFonts w:ascii="標楷體" w:eastAsia="標楷體" w:hAnsi="標楷體"/>
          <w:color w:val="000000"/>
          <w:sz w:val="32"/>
        </w:rPr>
        <w:t>，惟補考後該測驗成績若高於</w:t>
      </w:r>
      <w:r>
        <w:rPr>
          <w:rFonts w:ascii="標楷體" w:eastAsia="標楷體" w:hAnsi="標楷體"/>
          <w:color w:val="000000"/>
          <w:sz w:val="32"/>
        </w:rPr>
        <w:t>60</w:t>
      </w:r>
      <w:r>
        <w:rPr>
          <w:rFonts w:ascii="標楷體" w:eastAsia="標楷體" w:hAnsi="標楷體"/>
          <w:color w:val="000000"/>
          <w:sz w:val="32"/>
        </w:rPr>
        <w:t>分仍以</w:t>
      </w:r>
      <w:r>
        <w:rPr>
          <w:rFonts w:ascii="標楷體" w:eastAsia="標楷體" w:hAnsi="標楷體"/>
          <w:color w:val="000000"/>
          <w:sz w:val="32"/>
        </w:rPr>
        <w:t>60</w:t>
      </w:r>
      <w:r>
        <w:rPr>
          <w:rFonts w:ascii="標楷體" w:eastAsia="標楷體" w:hAnsi="標楷體"/>
          <w:color w:val="000000"/>
          <w:sz w:val="32"/>
        </w:rPr>
        <w:t>分計。補考時間依訓練機關公布補考時間施測；未依公布時間受測者，該項測驗科目補考成績以</w:t>
      </w:r>
      <w:r>
        <w:rPr>
          <w:rFonts w:ascii="標楷體" w:eastAsia="標楷體" w:hAnsi="標楷體"/>
          <w:color w:val="000000"/>
          <w:sz w:val="32"/>
        </w:rPr>
        <w:t>0</w:t>
      </w:r>
      <w:r>
        <w:rPr>
          <w:rFonts w:ascii="標楷體" w:eastAsia="標楷體" w:hAnsi="標楷體"/>
          <w:color w:val="000000"/>
          <w:sz w:val="32"/>
        </w:rPr>
        <w:t>分計。</w:t>
      </w:r>
    </w:p>
    <w:p w:rsidR="00FC324C" w:rsidRDefault="007938BA">
      <w:pPr>
        <w:pStyle w:val="aa"/>
        <w:widowControl/>
        <w:numPr>
          <w:ilvl w:val="1"/>
          <w:numId w:val="2"/>
        </w:numPr>
        <w:spacing w:before="36" w:after="36" w:line="460" w:lineRule="exact"/>
        <w:ind w:left="851" w:hanging="709"/>
        <w:jc w:val="both"/>
      </w:pPr>
      <w:r>
        <w:rPr>
          <w:rFonts w:ascii="標楷體" w:eastAsia="標楷體" w:hAnsi="標楷體"/>
          <w:color w:val="000000"/>
          <w:sz w:val="32"/>
        </w:rPr>
        <w:t>學科成績不及格者，</w:t>
      </w:r>
      <w:r>
        <w:rPr>
          <w:rFonts w:ascii="標楷體" w:eastAsia="標楷體" w:hAnsi="標楷體"/>
          <w:bCs/>
          <w:color w:val="000000"/>
          <w:sz w:val="32"/>
        </w:rPr>
        <w:t>由海洋委員會海巡署教育</w:t>
      </w:r>
      <w:proofErr w:type="gramStart"/>
      <w:r>
        <w:rPr>
          <w:rFonts w:ascii="標楷體" w:eastAsia="標楷體" w:hAnsi="標楷體"/>
          <w:bCs/>
          <w:color w:val="000000"/>
          <w:sz w:val="32"/>
        </w:rPr>
        <w:t>訓練測考中心</w:t>
      </w:r>
      <w:proofErr w:type="gramEnd"/>
      <w:r>
        <w:rPr>
          <w:rFonts w:ascii="標楷體" w:eastAsia="標楷體" w:hAnsi="標楷體"/>
          <w:bCs/>
          <w:color w:val="000000"/>
          <w:sz w:val="32"/>
        </w:rPr>
        <w:t>(</w:t>
      </w:r>
      <w:r>
        <w:rPr>
          <w:rFonts w:ascii="標楷體" w:eastAsia="標楷體" w:hAnsi="標楷體"/>
          <w:bCs/>
          <w:color w:val="000000"/>
          <w:sz w:val="32"/>
        </w:rPr>
        <w:t>以下</w:t>
      </w:r>
      <w:proofErr w:type="gramStart"/>
      <w:r>
        <w:rPr>
          <w:rFonts w:ascii="標楷體" w:eastAsia="標楷體" w:hAnsi="標楷體"/>
          <w:bCs/>
          <w:color w:val="000000"/>
          <w:sz w:val="32"/>
        </w:rPr>
        <w:t>簡稱教測中心</w:t>
      </w:r>
      <w:proofErr w:type="gramEnd"/>
      <w:r>
        <w:rPr>
          <w:rFonts w:ascii="標楷體" w:eastAsia="標楷體" w:hAnsi="標楷體"/>
          <w:bCs/>
          <w:color w:val="000000"/>
          <w:sz w:val="32"/>
        </w:rPr>
        <w:t>)</w:t>
      </w:r>
      <w:r>
        <w:rPr>
          <w:rFonts w:ascii="標楷體" w:eastAsia="標楷體" w:hAnsi="標楷體"/>
          <w:bCs/>
          <w:color w:val="000000"/>
          <w:sz w:val="32"/>
        </w:rPr>
        <w:t>報請海洋委員會海巡署轉陳海洋委員會函送公務人員保障暨培訓委員會廢止其受訓資格。</w:t>
      </w:r>
    </w:p>
    <w:p w:rsidR="00FC324C" w:rsidRDefault="007938BA">
      <w:pPr>
        <w:pStyle w:val="aa"/>
        <w:widowControl/>
        <w:numPr>
          <w:ilvl w:val="0"/>
          <w:numId w:val="2"/>
        </w:numPr>
        <w:spacing w:before="36" w:after="36" w:line="460" w:lineRule="exact"/>
        <w:ind w:left="658" w:hanging="658"/>
        <w:jc w:val="both"/>
      </w:pPr>
      <w:r>
        <w:rPr>
          <w:rFonts w:ascii="標楷體" w:eastAsia="標楷體" w:hAnsi="標楷體"/>
          <w:color w:val="000000"/>
          <w:sz w:val="32"/>
          <w:szCs w:val="36"/>
        </w:rPr>
        <w:t>操行成績考核依「</w:t>
      </w:r>
      <w:r>
        <w:rPr>
          <w:rFonts w:ascii="標楷體" w:eastAsia="標楷體" w:hAnsi="標楷體"/>
          <w:color w:val="000000"/>
          <w:sz w:val="32"/>
          <w:szCs w:val="36"/>
        </w:rPr>
        <w:t>110</w:t>
      </w:r>
      <w:r>
        <w:rPr>
          <w:rFonts w:ascii="標楷體" w:eastAsia="標楷體" w:hAnsi="標楷體"/>
          <w:color w:val="000000"/>
          <w:sz w:val="32"/>
          <w:szCs w:val="36"/>
        </w:rPr>
        <w:t>年公務人員特種考試海岸巡防人員考試錄取人員專業訓練操行成績考核規定」辦理。</w:t>
      </w:r>
    </w:p>
    <w:p w:rsidR="00FC324C" w:rsidRDefault="007938BA">
      <w:pPr>
        <w:pStyle w:val="aa"/>
        <w:widowControl/>
        <w:numPr>
          <w:ilvl w:val="0"/>
          <w:numId w:val="2"/>
        </w:numPr>
        <w:spacing w:before="36" w:after="36" w:line="460" w:lineRule="exact"/>
        <w:ind w:left="658" w:hanging="658"/>
        <w:jc w:val="both"/>
      </w:pPr>
      <w:r>
        <w:rPr>
          <w:rFonts w:ascii="標楷體" w:eastAsia="標楷體" w:hAnsi="標楷體"/>
          <w:color w:val="000000"/>
          <w:sz w:val="32"/>
          <w:szCs w:val="36"/>
        </w:rPr>
        <w:t>體技成績考核依「</w:t>
      </w:r>
      <w:r>
        <w:rPr>
          <w:rFonts w:ascii="標楷體" w:eastAsia="標楷體" w:hAnsi="標楷體"/>
          <w:color w:val="000000"/>
          <w:sz w:val="32"/>
          <w:szCs w:val="36"/>
        </w:rPr>
        <w:t>110</w:t>
      </w:r>
      <w:r>
        <w:rPr>
          <w:rFonts w:ascii="標楷體" w:eastAsia="標楷體" w:hAnsi="標楷體"/>
          <w:color w:val="000000"/>
          <w:sz w:val="32"/>
          <w:szCs w:val="36"/>
        </w:rPr>
        <w:t>年公務人員特種考試海岸巡防人員考試錄取人員專業訓練體技成績考核規定」辦理。</w:t>
      </w:r>
    </w:p>
    <w:p w:rsidR="00FC324C" w:rsidRDefault="007938BA">
      <w:pPr>
        <w:pStyle w:val="aa"/>
        <w:widowControl/>
        <w:numPr>
          <w:ilvl w:val="0"/>
          <w:numId w:val="4"/>
        </w:numPr>
        <w:overflowPunct w:val="0"/>
        <w:spacing w:before="36" w:after="36" w:line="460" w:lineRule="exact"/>
        <w:ind w:left="658" w:hanging="658"/>
        <w:jc w:val="both"/>
      </w:pPr>
      <w:r>
        <w:rPr>
          <w:rFonts w:ascii="標楷體" w:eastAsia="標楷體" w:hAnsi="標楷體"/>
          <w:color w:val="000000"/>
          <w:sz w:val="32"/>
        </w:rPr>
        <w:t>各科</w:t>
      </w:r>
      <w:r>
        <w:rPr>
          <w:rFonts w:ascii="標楷體" w:eastAsia="標楷體" w:hAnsi="標楷體"/>
          <w:sz w:val="32"/>
        </w:rPr>
        <w:t>試卷</w:t>
      </w:r>
      <w:r>
        <w:rPr>
          <w:rFonts w:ascii="標楷體" w:eastAsia="標楷體" w:hAnsi="標楷體"/>
          <w:color w:val="000000"/>
          <w:sz w:val="32"/>
        </w:rPr>
        <w:t>，經授課</w:t>
      </w:r>
      <w:r>
        <w:rPr>
          <w:rFonts w:ascii="標楷體" w:eastAsia="標楷體" w:hAnsi="標楷體"/>
          <w:color w:val="000000"/>
          <w:sz w:val="32"/>
          <w:szCs w:val="36"/>
        </w:rPr>
        <w:t>老師</w:t>
      </w:r>
      <w:r>
        <w:rPr>
          <w:rFonts w:ascii="標楷體" w:eastAsia="標楷體" w:hAnsi="標楷體"/>
          <w:color w:val="000000"/>
          <w:sz w:val="32"/>
        </w:rPr>
        <w:t>評分後不得更改，但屬授課教師之疏失者，應提出書面</w:t>
      </w:r>
      <w:proofErr w:type="gramStart"/>
      <w:r>
        <w:rPr>
          <w:rFonts w:ascii="標楷體" w:eastAsia="標楷體" w:hAnsi="標楷體"/>
          <w:color w:val="000000"/>
          <w:sz w:val="32"/>
        </w:rPr>
        <w:t>送交</w:t>
      </w:r>
      <w:r>
        <w:rPr>
          <w:rFonts w:ascii="標楷體" w:eastAsia="標楷體" w:hAnsi="標楷體"/>
          <w:sz w:val="32"/>
          <w:szCs w:val="36"/>
        </w:rPr>
        <w:t>教測中心</w:t>
      </w:r>
      <w:proofErr w:type="gramEnd"/>
      <w:r>
        <w:rPr>
          <w:rFonts w:ascii="標楷體" w:eastAsia="標楷體" w:hAnsi="標楷體"/>
          <w:color w:val="000000"/>
          <w:sz w:val="32"/>
        </w:rPr>
        <w:t>處理。</w:t>
      </w:r>
    </w:p>
    <w:p w:rsidR="00FC324C" w:rsidRDefault="007938BA">
      <w:pPr>
        <w:pStyle w:val="aa"/>
        <w:widowControl/>
        <w:numPr>
          <w:ilvl w:val="0"/>
          <w:numId w:val="4"/>
        </w:numPr>
        <w:overflowPunct w:val="0"/>
        <w:spacing w:before="36" w:after="36" w:line="460" w:lineRule="exact"/>
        <w:ind w:left="658" w:hanging="658"/>
        <w:jc w:val="both"/>
        <w:rPr>
          <w:rFonts w:ascii="標楷體" w:eastAsia="標楷體" w:hAnsi="標楷體"/>
          <w:sz w:val="32"/>
        </w:rPr>
      </w:pPr>
      <w:r>
        <w:rPr>
          <w:rFonts w:ascii="標楷體" w:eastAsia="標楷體" w:hAnsi="標楷體"/>
          <w:sz w:val="32"/>
        </w:rPr>
        <w:lastRenderedPageBreak/>
        <w:t>訓練期間辦理成績考核相關人員，於其本人、配偶、前配偶、三親等內之血親、姻親參加訓練之評量時，應自行迴避。</w:t>
      </w:r>
    </w:p>
    <w:p w:rsidR="00FC324C" w:rsidRDefault="007938BA">
      <w:pPr>
        <w:pStyle w:val="aa"/>
        <w:widowControl/>
        <w:numPr>
          <w:ilvl w:val="0"/>
          <w:numId w:val="4"/>
        </w:numPr>
        <w:overflowPunct w:val="0"/>
        <w:spacing w:before="36" w:after="36" w:line="460" w:lineRule="exact"/>
        <w:ind w:left="658" w:hanging="658"/>
        <w:jc w:val="both"/>
      </w:pPr>
      <w:r>
        <w:rPr>
          <w:rFonts w:ascii="標楷體" w:eastAsia="標楷體" w:hAnsi="標楷體"/>
          <w:sz w:val="32"/>
        </w:rPr>
        <w:t>學科改期測驗</w:t>
      </w:r>
      <w:r>
        <w:rPr>
          <w:rFonts w:ascii="標楷體" w:eastAsia="標楷體" w:hAnsi="標楷體"/>
          <w:color w:val="000000"/>
          <w:sz w:val="32"/>
        </w:rPr>
        <w:t>規定：</w:t>
      </w:r>
    </w:p>
    <w:p w:rsidR="00FC324C" w:rsidRDefault="007938BA">
      <w:pPr>
        <w:pStyle w:val="2"/>
        <w:overflowPunct w:val="0"/>
        <w:ind w:left="1320" w:hanging="960"/>
      </w:pPr>
      <w:r>
        <w:rPr>
          <w:color w:val="000000"/>
          <w:sz w:val="32"/>
        </w:rPr>
        <w:t>（一）</w:t>
      </w:r>
      <w:r>
        <w:rPr>
          <w:sz w:val="32"/>
        </w:rPr>
        <w:t>因公、病、傷、</w:t>
      </w:r>
      <w:proofErr w:type="gramStart"/>
      <w:r>
        <w:rPr>
          <w:sz w:val="32"/>
        </w:rPr>
        <w:t>喪或事假</w:t>
      </w:r>
      <w:proofErr w:type="gramEnd"/>
      <w:r>
        <w:rPr>
          <w:sz w:val="32"/>
        </w:rPr>
        <w:t>，無法參加期中、期末測驗，</w:t>
      </w:r>
      <w:r>
        <w:rPr>
          <w:sz w:val="32"/>
          <w:szCs w:val="36"/>
        </w:rPr>
        <w:t>得檢具證明申請改期測驗</w:t>
      </w:r>
      <w:r>
        <w:rPr>
          <w:sz w:val="32"/>
        </w:rPr>
        <w:t>，</w:t>
      </w:r>
      <w:proofErr w:type="gramStart"/>
      <w:r>
        <w:rPr>
          <w:sz w:val="32"/>
        </w:rPr>
        <w:t>經教測</w:t>
      </w:r>
      <w:proofErr w:type="gramEnd"/>
      <w:r>
        <w:rPr>
          <w:sz w:val="32"/>
        </w:rPr>
        <w:t>中心秘書以上人員核准者，得予改期測驗</w:t>
      </w:r>
      <w:r>
        <w:rPr>
          <w:sz w:val="32"/>
        </w:rPr>
        <w:t>1</w:t>
      </w:r>
      <w:r>
        <w:rPr>
          <w:sz w:val="32"/>
        </w:rPr>
        <w:t>次</w:t>
      </w:r>
      <w:r>
        <w:rPr>
          <w:sz w:val="32"/>
          <w:szCs w:val="36"/>
        </w:rPr>
        <w:t>，於結訓前另行安排</w:t>
      </w:r>
      <w:r>
        <w:rPr>
          <w:sz w:val="32"/>
        </w:rPr>
        <w:t>改期測驗，其成績以實得分數計算之。</w:t>
      </w:r>
    </w:p>
    <w:p w:rsidR="00FC324C" w:rsidRDefault="007938BA">
      <w:pPr>
        <w:pStyle w:val="2"/>
        <w:overflowPunct w:val="0"/>
        <w:ind w:left="1320" w:hanging="960"/>
      </w:pPr>
      <w:r>
        <w:rPr>
          <w:sz w:val="32"/>
          <w:szCs w:val="36"/>
        </w:rPr>
        <w:t>（二）</w:t>
      </w:r>
      <w:r>
        <w:rPr>
          <w:sz w:val="32"/>
        </w:rPr>
        <w:t>前款人員結訓前仍無法受測者，該項成績以零分計算。</w:t>
      </w:r>
    </w:p>
    <w:p w:rsidR="00FC324C" w:rsidRDefault="007938BA">
      <w:pPr>
        <w:spacing w:before="10" w:after="10" w:line="460" w:lineRule="exact"/>
        <w:ind w:left="1320" w:hanging="960"/>
        <w:jc w:val="both"/>
      </w:pPr>
      <w:r>
        <w:rPr>
          <w:rFonts w:ascii="標楷體" w:eastAsia="標楷體" w:hAnsi="標楷體"/>
          <w:sz w:val="32"/>
          <w:szCs w:val="36"/>
        </w:rPr>
        <w:t>（三）</w:t>
      </w:r>
      <w:proofErr w:type="gramStart"/>
      <w:r>
        <w:rPr>
          <w:rFonts w:ascii="標楷體" w:eastAsia="標楷體" w:hAnsi="標楷體"/>
          <w:sz w:val="32"/>
          <w:szCs w:val="36"/>
        </w:rPr>
        <w:t>曠</w:t>
      </w:r>
      <w:proofErr w:type="gramEnd"/>
      <w:r>
        <w:rPr>
          <w:rFonts w:ascii="標楷體" w:eastAsia="標楷體" w:hAnsi="標楷體"/>
          <w:sz w:val="32"/>
          <w:szCs w:val="36"/>
        </w:rPr>
        <w:t>考者</w:t>
      </w:r>
      <w:r>
        <w:rPr>
          <w:rFonts w:ascii="標楷體" w:eastAsia="標楷體" w:hAnsi="標楷體"/>
          <w:color w:val="000000"/>
          <w:sz w:val="32"/>
          <w:szCs w:val="36"/>
        </w:rPr>
        <w:t>，</w:t>
      </w:r>
      <w:proofErr w:type="gramStart"/>
      <w:r>
        <w:rPr>
          <w:rFonts w:ascii="標楷體" w:eastAsia="標楷體" w:hAnsi="標楷體"/>
          <w:color w:val="000000"/>
          <w:sz w:val="32"/>
          <w:szCs w:val="36"/>
        </w:rPr>
        <w:t>曠</w:t>
      </w:r>
      <w:proofErr w:type="gramEnd"/>
      <w:r>
        <w:rPr>
          <w:rFonts w:ascii="標楷體" w:eastAsia="標楷體" w:hAnsi="標楷體"/>
          <w:color w:val="000000"/>
          <w:sz w:val="32"/>
          <w:szCs w:val="36"/>
        </w:rPr>
        <w:t>考科目以零分計算。</w:t>
      </w:r>
    </w:p>
    <w:p w:rsidR="00FC324C" w:rsidRDefault="007938BA">
      <w:pPr>
        <w:pStyle w:val="aa"/>
        <w:widowControl/>
        <w:numPr>
          <w:ilvl w:val="0"/>
          <w:numId w:val="4"/>
        </w:numPr>
        <w:spacing w:before="36" w:after="36" w:line="460" w:lineRule="exact"/>
        <w:ind w:left="658" w:hanging="658"/>
        <w:jc w:val="both"/>
        <w:rPr>
          <w:rFonts w:ascii="標楷體" w:eastAsia="標楷體" w:hAnsi="標楷體"/>
          <w:color w:val="000000"/>
          <w:sz w:val="32"/>
          <w:szCs w:val="36"/>
        </w:rPr>
      </w:pPr>
      <w:r>
        <w:rPr>
          <w:rFonts w:ascii="標楷體" w:eastAsia="標楷體" w:hAnsi="標楷體"/>
          <w:color w:val="000000"/>
          <w:sz w:val="32"/>
          <w:szCs w:val="36"/>
        </w:rPr>
        <w:t>學科各種考試試卷保存</w:t>
      </w:r>
      <w:r>
        <w:rPr>
          <w:rFonts w:ascii="標楷體" w:eastAsia="標楷體" w:hAnsi="標楷體"/>
          <w:color w:val="000000"/>
          <w:sz w:val="32"/>
          <w:szCs w:val="36"/>
        </w:rPr>
        <w:t>1</w:t>
      </w:r>
      <w:r>
        <w:rPr>
          <w:rFonts w:ascii="標楷體" w:eastAsia="標楷體" w:hAnsi="標楷體"/>
          <w:color w:val="000000"/>
          <w:sz w:val="32"/>
          <w:szCs w:val="36"/>
        </w:rPr>
        <w:t>年，成績單保存</w:t>
      </w:r>
      <w:r>
        <w:rPr>
          <w:rFonts w:ascii="標楷體" w:eastAsia="標楷體" w:hAnsi="標楷體"/>
          <w:color w:val="000000"/>
          <w:sz w:val="32"/>
          <w:szCs w:val="36"/>
        </w:rPr>
        <w:t>3</w:t>
      </w:r>
      <w:r>
        <w:rPr>
          <w:rFonts w:ascii="標楷體" w:eastAsia="標楷體" w:hAnsi="標楷體"/>
          <w:color w:val="000000"/>
          <w:sz w:val="32"/>
          <w:szCs w:val="36"/>
        </w:rPr>
        <w:t>年。</w:t>
      </w:r>
    </w:p>
    <w:p w:rsidR="00FC324C" w:rsidRDefault="00FC324C">
      <w:pPr>
        <w:spacing w:before="10" w:after="10" w:line="460" w:lineRule="exact"/>
        <w:rPr>
          <w:rFonts w:ascii="標楷體" w:eastAsia="標楷體" w:hAnsi="標楷體"/>
          <w:color w:val="000000"/>
          <w:sz w:val="32"/>
          <w:szCs w:val="36"/>
        </w:rPr>
      </w:pPr>
    </w:p>
    <w:sectPr w:rsidR="00FC324C">
      <w:footerReference w:type="default" r:id="rId7"/>
      <w:pgSz w:w="11906" w:h="16838"/>
      <w:pgMar w:top="1418" w:right="1134" w:bottom="1134" w:left="1134" w:header="851" w:footer="992" w:gutter="0"/>
      <w:pgNumType w:start="1"/>
      <w:cols w:space="720"/>
      <w:docGrid w:type="lines" w:linePitch="5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7938BA">
      <w:r>
        <w:separator/>
      </w:r>
    </w:p>
  </w:endnote>
  <w:endnote w:type="continuationSeparator" w:id="0">
    <w:p w:rsidR="00000000" w:rsidRDefault="00793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1EE" w:rsidRDefault="007938BA">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7938BA">
      <w:r>
        <w:rPr>
          <w:color w:val="000000"/>
        </w:rPr>
        <w:separator/>
      </w:r>
    </w:p>
  </w:footnote>
  <w:footnote w:type="continuationSeparator" w:id="0">
    <w:p w:rsidR="00000000" w:rsidRDefault="007938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866F6E"/>
    <w:multiLevelType w:val="multilevel"/>
    <w:tmpl w:val="3D484CCE"/>
    <w:styleLink w:val="LFO1"/>
    <w:lvl w:ilvl="0">
      <w:start w:val="1"/>
      <w:numFmt w:val="taiwaneseCountingThousand"/>
      <w:pStyle w:val="a"/>
      <w:lvlText w:val="(%1)"/>
      <w:lvlJc w:val="left"/>
      <w:pPr>
        <w:ind w:left="1246" w:hanging="60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5C7C4355"/>
    <w:multiLevelType w:val="multilevel"/>
    <w:tmpl w:val="C7E2E20E"/>
    <w:lvl w:ilvl="0">
      <w:start w:val="5"/>
      <w:numFmt w:val="taiwaneseCountingThousand"/>
      <w:lvlText w:val="%1、"/>
      <w:lvlJc w:val="left"/>
      <w:pPr>
        <w:ind w:left="720" w:hanging="720"/>
      </w:pPr>
      <w:rPr>
        <w:rFonts w:ascii="標楷體" w:eastAsia="標楷體" w:hAnsi="標楷體"/>
        <w:color w:val="auto"/>
        <w:sz w:val="32"/>
        <w:u w:val="none"/>
      </w:rPr>
    </w:lvl>
    <w:lvl w:ilvl="1">
      <w:start w:val="1"/>
      <w:numFmt w:val="ideographTraditional"/>
      <w:lvlText w:val="%2、"/>
      <w:lvlJc w:val="left"/>
      <w:pPr>
        <w:ind w:left="480" w:hanging="480"/>
      </w:pPr>
    </w:lvl>
    <w:lvl w:ilvl="2">
      <w:start w:val="1"/>
      <w:numFmt w:val="lowerRoman"/>
      <w:lvlText w:val="%3."/>
      <w:lvlJc w:val="right"/>
      <w:pPr>
        <w:ind w:left="480" w:hanging="480"/>
      </w:pPr>
    </w:lvl>
    <w:lvl w:ilvl="3">
      <w:start w:val="1"/>
      <w:numFmt w:val="decimal"/>
      <w:lvlText w:val="%4."/>
      <w:lvlJc w:val="left"/>
      <w:pPr>
        <w:ind w:left="480" w:hanging="480"/>
      </w:pPr>
    </w:lvl>
    <w:lvl w:ilvl="4">
      <w:start w:val="1"/>
      <w:numFmt w:val="ideographTraditional"/>
      <w:lvlText w:val="%5、"/>
      <w:lvlJc w:val="left"/>
      <w:pPr>
        <w:ind w:left="840" w:hanging="480"/>
      </w:pPr>
    </w:lvl>
    <w:lvl w:ilvl="5">
      <w:start w:val="1"/>
      <w:numFmt w:val="lowerRoman"/>
      <w:lvlText w:val="%6."/>
      <w:lvlJc w:val="right"/>
      <w:pPr>
        <w:ind w:left="1320" w:hanging="480"/>
      </w:pPr>
    </w:lvl>
    <w:lvl w:ilvl="6">
      <w:start w:val="1"/>
      <w:numFmt w:val="decimal"/>
      <w:lvlText w:val="%7."/>
      <w:lvlJc w:val="left"/>
      <w:pPr>
        <w:ind w:left="1800" w:hanging="480"/>
      </w:pPr>
    </w:lvl>
    <w:lvl w:ilvl="7">
      <w:start w:val="1"/>
      <w:numFmt w:val="ideographTraditional"/>
      <w:lvlText w:val="%8、"/>
      <w:lvlJc w:val="left"/>
      <w:pPr>
        <w:ind w:left="2280" w:hanging="480"/>
      </w:pPr>
    </w:lvl>
    <w:lvl w:ilvl="8">
      <w:start w:val="1"/>
      <w:numFmt w:val="lowerRoman"/>
      <w:lvlText w:val="%9."/>
      <w:lvlJc w:val="right"/>
      <w:pPr>
        <w:ind w:left="2760" w:hanging="480"/>
      </w:pPr>
    </w:lvl>
  </w:abstractNum>
  <w:abstractNum w:abstractNumId="2" w15:restartNumberingAfterBreak="0">
    <w:nsid w:val="75A514FE"/>
    <w:multiLevelType w:val="multilevel"/>
    <w:tmpl w:val="0164BDCA"/>
    <w:lvl w:ilvl="0">
      <w:start w:val="1"/>
      <w:numFmt w:val="taiwaneseCountingThousand"/>
      <w:lvlText w:val="%1、"/>
      <w:lvlJc w:val="left"/>
      <w:pPr>
        <w:ind w:left="2280" w:hanging="720"/>
      </w:pPr>
      <w:rPr>
        <w:rFonts w:ascii="標楷體" w:eastAsia="標楷體" w:hAnsi="標楷體"/>
        <w:sz w:val="32"/>
        <w:lang w:val="en-US"/>
      </w:rPr>
    </w:lvl>
    <w:lvl w:ilvl="1">
      <w:start w:val="1"/>
      <w:numFmt w:val="taiwaneseCountingThousand"/>
      <w:lvlText w:val="(%2)"/>
      <w:lvlJc w:val="left"/>
      <w:pPr>
        <w:ind w:left="2182" w:hanging="480"/>
      </w:pPr>
      <w:rPr>
        <w:rFonts w:ascii="標楷體" w:eastAsia="標楷體" w:hAnsi="標楷體"/>
        <w:color w:val="auto"/>
        <w:sz w:val="32"/>
        <w:szCs w:val="32"/>
        <w:shd w:val="clear" w:color="auto" w:fill="auto"/>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78EF2A02"/>
    <w:multiLevelType w:val="multilevel"/>
    <w:tmpl w:val="B91E5FE6"/>
    <w:lvl w:ilvl="0">
      <w:start w:val="1"/>
      <w:numFmt w:val="taiwaneseCountingThousand"/>
      <w:lvlText w:val="(%1)"/>
      <w:lvlJc w:val="left"/>
      <w:pPr>
        <w:ind w:left="1222" w:hanging="1080"/>
      </w:pPr>
      <w:rPr>
        <w:strike w:val="0"/>
        <w:dstrike w:val="0"/>
        <w:color w:val="auto"/>
      </w:rPr>
    </w:lvl>
    <w:lvl w:ilvl="1">
      <w:start w:val="1"/>
      <w:numFmt w:val="ideographTraditional"/>
      <w:lvlText w:val="%2、"/>
      <w:lvlJc w:val="left"/>
      <w:pPr>
        <w:ind w:left="1280" w:hanging="480"/>
      </w:pPr>
    </w:lvl>
    <w:lvl w:ilvl="2">
      <w:start w:val="1"/>
      <w:numFmt w:val="lowerRoman"/>
      <w:lvlText w:val="%3."/>
      <w:lvlJc w:val="right"/>
      <w:pPr>
        <w:ind w:left="1760" w:hanging="480"/>
      </w:pPr>
    </w:lvl>
    <w:lvl w:ilvl="3">
      <w:start w:val="1"/>
      <w:numFmt w:val="decimal"/>
      <w:lvlText w:val="%4."/>
      <w:lvlJc w:val="left"/>
      <w:pPr>
        <w:ind w:left="2240" w:hanging="480"/>
      </w:pPr>
    </w:lvl>
    <w:lvl w:ilvl="4">
      <w:start w:val="1"/>
      <w:numFmt w:val="ideographTraditional"/>
      <w:lvlText w:val="%5、"/>
      <w:lvlJc w:val="left"/>
      <w:pPr>
        <w:ind w:left="2720" w:hanging="480"/>
      </w:pPr>
    </w:lvl>
    <w:lvl w:ilvl="5">
      <w:start w:val="1"/>
      <w:numFmt w:val="lowerRoman"/>
      <w:lvlText w:val="%6."/>
      <w:lvlJc w:val="right"/>
      <w:pPr>
        <w:ind w:left="3200" w:hanging="480"/>
      </w:pPr>
    </w:lvl>
    <w:lvl w:ilvl="6">
      <w:start w:val="1"/>
      <w:numFmt w:val="decimal"/>
      <w:lvlText w:val="%7."/>
      <w:lvlJc w:val="left"/>
      <w:pPr>
        <w:ind w:left="3680" w:hanging="480"/>
      </w:pPr>
    </w:lvl>
    <w:lvl w:ilvl="7">
      <w:start w:val="1"/>
      <w:numFmt w:val="ideographTraditional"/>
      <w:lvlText w:val="%8、"/>
      <w:lvlJc w:val="left"/>
      <w:pPr>
        <w:ind w:left="4160" w:hanging="480"/>
      </w:pPr>
    </w:lvl>
    <w:lvl w:ilvl="8">
      <w:start w:val="1"/>
      <w:numFmt w:val="lowerRoman"/>
      <w:lvlText w:val="%9."/>
      <w:lvlJc w:val="right"/>
      <w:pPr>
        <w:ind w:left="4640" w:hanging="4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FC324C"/>
    <w:rsid w:val="007938BA"/>
    <w:rsid w:val="00FC324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8FEE70-B597-437E-ADB2-BABE78C36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pPr>
      <w:widowControl w:val="0"/>
      <w:suppressAutoHyphens/>
    </w:pPr>
    <w:rPr>
      <w:kern w:val="3"/>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一)"/>
    <w:basedOn w:val="a0"/>
    <w:pPr>
      <w:numPr>
        <w:numId w:val="1"/>
      </w:numPr>
      <w:spacing w:after="120"/>
      <w:jc w:val="both"/>
    </w:pPr>
    <w:rPr>
      <w:rFonts w:eastAsia="標楷體"/>
      <w:sz w:val="36"/>
      <w:szCs w:val="20"/>
    </w:rPr>
  </w:style>
  <w:style w:type="paragraph" w:styleId="a4">
    <w:name w:val="footer"/>
    <w:basedOn w:val="a0"/>
    <w:pPr>
      <w:tabs>
        <w:tab w:val="center" w:pos="4153"/>
        <w:tab w:val="right" w:pos="8306"/>
      </w:tabs>
      <w:snapToGrid w:val="0"/>
    </w:pPr>
    <w:rPr>
      <w:sz w:val="20"/>
      <w:szCs w:val="20"/>
    </w:rPr>
  </w:style>
  <w:style w:type="character" w:styleId="a5">
    <w:name w:val="page number"/>
    <w:basedOn w:val="a1"/>
  </w:style>
  <w:style w:type="paragraph" w:styleId="a6">
    <w:name w:val="Body Text Indent"/>
    <w:basedOn w:val="a0"/>
    <w:pPr>
      <w:spacing w:line="0" w:lineRule="atLeast"/>
      <w:ind w:firstLine="9180"/>
    </w:pPr>
    <w:rPr>
      <w:rFonts w:ascii="標楷體" w:eastAsia="標楷體" w:hAnsi="標楷體"/>
      <w:bCs/>
      <w:sz w:val="20"/>
      <w:szCs w:val="30"/>
    </w:rPr>
  </w:style>
  <w:style w:type="paragraph" w:styleId="2">
    <w:name w:val="Body Text Indent 2"/>
    <w:basedOn w:val="a0"/>
    <w:pPr>
      <w:widowControl/>
      <w:spacing w:before="36" w:after="36" w:line="460" w:lineRule="exact"/>
      <w:ind w:left="1438" w:hanging="1037"/>
      <w:jc w:val="both"/>
    </w:pPr>
    <w:rPr>
      <w:rFonts w:ascii="標楷體" w:eastAsia="標楷體" w:hAnsi="標楷體"/>
      <w:sz w:val="36"/>
    </w:rPr>
  </w:style>
  <w:style w:type="paragraph" w:styleId="a7">
    <w:name w:val="header"/>
    <w:basedOn w:val="a0"/>
    <w:pPr>
      <w:tabs>
        <w:tab w:val="center" w:pos="4153"/>
        <w:tab w:val="right" w:pos="8306"/>
      </w:tabs>
      <w:snapToGrid w:val="0"/>
    </w:pPr>
    <w:rPr>
      <w:sz w:val="20"/>
      <w:szCs w:val="20"/>
    </w:rPr>
  </w:style>
  <w:style w:type="paragraph" w:styleId="a8">
    <w:name w:val="Balloon Text"/>
    <w:basedOn w:val="a0"/>
    <w:rPr>
      <w:rFonts w:ascii="Cambria" w:hAnsi="Cambria"/>
      <w:sz w:val="18"/>
      <w:szCs w:val="18"/>
    </w:rPr>
  </w:style>
  <w:style w:type="character" w:customStyle="1" w:styleId="a9">
    <w:name w:val="註解方塊文字 字元"/>
    <w:rPr>
      <w:rFonts w:ascii="Cambria" w:eastAsia="新細明體" w:hAnsi="Cambria" w:cs="Times New Roman"/>
      <w:kern w:val="3"/>
      <w:sz w:val="18"/>
      <w:szCs w:val="18"/>
    </w:rPr>
  </w:style>
  <w:style w:type="paragraph" w:styleId="aa">
    <w:name w:val="List Paragraph"/>
    <w:basedOn w:val="a0"/>
    <w:pPr>
      <w:ind w:left="480"/>
    </w:pPr>
  </w:style>
  <w:style w:type="numbering" w:customStyle="1" w:styleId="LFO1">
    <w:name w:val="LFO1"/>
    <w:basedOn w:val="a3"/>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126</Words>
  <Characters>722</Characters>
  <Application>Microsoft Office Word</Application>
  <DocSecurity>0</DocSecurity>
  <Lines>6</Lines>
  <Paragraphs>1</Paragraphs>
  <ScaleCrop>false</ScaleCrop>
  <Company/>
  <LinksUpToDate>false</LinksUpToDate>
  <CharactersWithSpaces>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九十三年公務人員特種考試海岸巡防人員考試海巡行政類科錄取人員教育訓練成績考核規定</dc:title>
  <dc:creator>朱宜忠</dc:creator>
  <cp:lastModifiedBy>范勻蔚</cp:lastModifiedBy>
  <cp:revision>2</cp:revision>
  <cp:lastPrinted>2020-06-08T10:22:00Z</cp:lastPrinted>
  <dcterms:created xsi:type="dcterms:W3CDTF">2022-03-24T06:11:00Z</dcterms:created>
  <dcterms:modified xsi:type="dcterms:W3CDTF">2022-03-24T06:11:00Z</dcterms:modified>
</cp:coreProperties>
</file>