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7B" w:rsidRPr="00B337D2" w:rsidRDefault="0007167B" w:rsidP="00B337D2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 w:rsidRPr="00B337D2">
        <w:rPr>
          <w:rFonts w:eastAsia="標楷體"/>
          <w:b/>
          <w:sz w:val="32"/>
          <w:szCs w:val="28"/>
        </w:rPr>
        <w:t>國家文官學院處</w:t>
      </w:r>
      <w:proofErr w:type="gramStart"/>
      <w:r w:rsidRPr="00B337D2">
        <w:rPr>
          <w:rFonts w:eastAsia="標楷體"/>
          <w:b/>
          <w:sz w:val="32"/>
          <w:szCs w:val="28"/>
        </w:rPr>
        <w:t>務</w:t>
      </w:r>
      <w:proofErr w:type="gramEnd"/>
      <w:r w:rsidRPr="00B337D2">
        <w:rPr>
          <w:rFonts w:eastAsia="標楷體"/>
          <w:b/>
          <w:sz w:val="32"/>
          <w:szCs w:val="28"/>
        </w:rPr>
        <w:t>規程</w:t>
      </w:r>
    </w:p>
    <w:p w:rsidR="00B337D2" w:rsidRDefault="0007167B" w:rsidP="00B337D2">
      <w:pPr>
        <w:spacing w:line="400" w:lineRule="exact"/>
        <w:ind w:right="86"/>
        <w:jc w:val="right"/>
        <w:rPr>
          <w:rFonts w:eastAsia="標楷體" w:hint="eastAsia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98</w:t>
      </w:r>
      <w:r w:rsidRPr="00B337D2">
        <w:rPr>
          <w:rFonts w:eastAsia="標楷體"/>
          <w:sz w:val="28"/>
          <w:szCs w:val="28"/>
        </w:rPr>
        <w:t>年</w:t>
      </w:r>
      <w:r w:rsidRPr="00B337D2">
        <w:rPr>
          <w:rFonts w:eastAsia="標楷體"/>
          <w:sz w:val="28"/>
          <w:szCs w:val="28"/>
        </w:rPr>
        <w:t>12</w:t>
      </w:r>
      <w:r w:rsidRPr="00B337D2">
        <w:rPr>
          <w:rFonts w:eastAsia="標楷體"/>
          <w:sz w:val="28"/>
          <w:szCs w:val="28"/>
        </w:rPr>
        <w:t>月</w:t>
      </w:r>
      <w:r w:rsidRPr="00B337D2">
        <w:rPr>
          <w:rFonts w:eastAsia="標楷體"/>
          <w:sz w:val="28"/>
          <w:szCs w:val="28"/>
        </w:rPr>
        <w:t>17</w:t>
      </w:r>
      <w:r w:rsidRPr="00B337D2">
        <w:rPr>
          <w:rFonts w:eastAsia="標楷體"/>
          <w:sz w:val="28"/>
          <w:szCs w:val="28"/>
        </w:rPr>
        <w:t>日考試院第</w:t>
      </w:r>
      <w:r w:rsidRPr="00B337D2">
        <w:rPr>
          <w:rFonts w:eastAsia="標楷體"/>
          <w:sz w:val="28"/>
          <w:szCs w:val="28"/>
        </w:rPr>
        <w:t>11</w:t>
      </w:r>
      <w:r w:rsidRPr="00B337D2">
        <w:rPr>
          <w:rFonts w:eastAsia="標楷體"/>
          <w:sz w:val="28"/>
          <w:szCs w:val="28"/>
        </w:rPr>
        <w:t>屆第</w:t>
      </w:r>
      <w:r w:rsidRPr="00B337D2">
        <w:rPr>
          <w:rFonts w:eastAsia="標楷體"/>
          <w:sz w:val="28"/>
          <w:szCs w:val="28"/>
        </w:rPr>
        <w:t>65</w:t>
      </w:r>
      <w:r w:rsidRPr="00B337D2">
        <w:rPr>
          <w:rFonts w:eastAsia="標楷體"/>
          <w:sz w:val="28"/>
          <w:szCs w:val="28"/>
        </w:rPr>
        <w:t>次會議審議通過</w:t>
      </w:r>
    </w:p>
    <w:p w:rsidR="003069E9" w:rsidRPr="00B337D2" w:rsidRDefault="003069E9" w:rsidP="00B337D2">
      <w:pPr>
        <w:spacing w:line="400" w:lineRule="exact"/>
        <w:ind w:right="86"/>
        <w:jc w:val="right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公務人員保障暨培訓委員會</w:t>
      </w:r>
      <w:r w:rsidRPr="00B337D2">
        <w:rPr>
          <w:rFonts w:eastAsia="標楷體"/>
          <w:sz w:val="28"/>
          <w:szCs w:val="28"/>
        </w:rPr>
        <w:t>98</w:t>
      </w:r>
      <w:r w:rsidRPr="00B337D2">
        <w:rPr>
          <w:rFonts w:eastAsia="標楷體"/>
          <w:sz w:val="28"/>
          <w:szCs w:val="28"/>
        </w:rPr>
        <w:t>年</w:t>
      </w:r>
      <w:r w:rsidRPr="00B337D2">
        <w:rPr>
          <w:rFonts w:eastAsia="標楷體"/>
          <w:sz w:val="28"/>
          <w:szCs w:val="28"/>
        </w:rPr>
        <w:t>12</w:t>
      </w:r>
      <w:r w:rsidRPr="00B337D2">
        <w:rPr>
          <w:rFonts w:eastAsia="標楷體"/>
          <w:sz w:val="28"/>
          <w:szCs w:val="28"/>
        </w:rPr>
        <w:t>月</w:t>
      </w:r>
      <w:r w:rsidRPr="00B337D2">
        <w:rPr>
          <w:rFonts w:eastAsia="標楷體"/>
          <w:sz w:val="28"/>
          <w:szCs w:val="28"/>
        </w:rPr>
        <w:t>31</w:t>
      </w:r>
      <w:r w:rsidRPr="00B337D2">
        <w:rPr>
          <w:rFonts w:eastAsia="標楷體"/>
          <w:sz w:val="28"/>
          <w:szCs w:val="28"/>
        </w:rPr>
        <w:t>日公人字第</w:t>
      </w:r>
      <w:r w:rsidRPr="00B337D2">
        <w:rPr>
          <w:rFonts w:eastAsia="標楷體"/>
          <w:sz w:val="28"/>
          <w:szCs w:val="28"/>
        </w:rPr>
        <w:t>0980013096B</w:t>
      </w:r>
      <w:r w:rsidRPr="00B337D2">
        <w:rPr>
          <w:rFonts w:eastAsia="標楷體"/>
          <w:sz w:val="28"/>
          <w:szCs w:val="28"/>
        </w:rPr>
        <w:t>號令</w:t>
      </w:r>
      <w:r w:rsidR="004A3EE9" w:rsidRPr="00B337D2">
        <w:rPr>
          <w:rFonts w:eastAsia="標楷體"/>
          <w:sz w:val="28"/>
          <w:szCs w:val="28"/>
        </w:rPr>
        <w:t>修正發布</w:t>
      </w:r>
    </w:p>
    <w:p w:rsidR="009119F3" w:rsidRPr="00B337D2" w:rsidRDefault="009533B0" w:rsidP="00B337D2">
      <w:pPr>
        <w:pStyle w:val="Web"/>
        <w:spacing w:line="400" w:lineRule="exact"/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公務人員保障暨培訓委員會</w:t>
      </w:r>
      <w:r w:rsidR="00101B73"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103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101B73"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101B73"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13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日公人字第</w:t>
      </w:r>
      <w:r w:rsidR="00101B73"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1030006704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號令修正發布</w:t>
      </w:r>
    </w:p>
    <w:p w:rsidR="009533B0" w:rsidRPr="00B337D2" w:rsidRDefault="009119F3" w:rsidP="00B337D2">
      <w:pPr>
        <w:pStyle w:val="Web"/>
        <w:spacing w:line="400" w:lineRule="exact"/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公務人員保障暨培訓委員會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103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日公人字第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1030013031</w:t>
      </w:r>
      <w:r w:rsidRPr="00B337D2">
        <w:rPr>
          <w:rFonts w:ascii="Times New Roman" w:eastAsia="標楷體" w:hAnsi="Times New Roman" w:cs="Times New Roman"/>
          <w:color w:val="000000"/>
          <w:sz w:val="28"/>
          <w:szCs w:val="28"/>
        </w:rPr>
        <w:t>號令修正發布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第一條</w:t>
      </w:r>
      <w:r w:rsidRPr="00B337D2">
        <w:rPr>
          <w:rFonts w:eastAsia="標楷體" w:hint="eastAsia"/>
          <w:sz w:val="28"/>
          <w:szCs w:val="28"/>
        </w:rPr>
        <w:t xml:space="preserve">　　國家文官學院（以下簡稱本學院）為處理內部單位之分工職掌，訂定本規程。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第二條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本</w:t>
      </w:r>
      <w:r w:rsidRPr="00B337D2">
        <w:rPr>
          <w:rFonts w:eastAsia="標楷體" w:hint="eastAsia"/>
          <w:sz w:val="28"/>
          <w:szCs w:val="28"/>
        </w:rPr>
        <w:t>學院</w:t>
      </w:r>
      <w:r w:rsidRPr="00B337D2">
        <w:rPr>
          <w:rFonts w:eastAsia="標楷體"/>
          <w:sz w:val="28"/>
          <w:szCs w:val="28"/>
        </w:rPr>
        <w:t>處理</w:t>
      </w:r>
      <w:r w:rsidRPr="00B337D2">
        <w:rPr>
          <w:rFonts w:eastAsia="標楷體" w:hint="eastAsia"/>
          <w:sz w:val="28"/>
          <w:szCs w:val="28"/>
        </w:rPr>
        <w:t>院</w:t>
      </w:r>
      <w:proofErr w:type="gramStart"/>
      <w:r w:rsidRPr="00B337D2">
        <w:rPr>
          <w:rFonts w:eastAsia="標楷體"/>
          <w:sz w:val="28"/>
          <w:szCs w:val="28"/>
        </w:rPr>
        <w:t>務</w:t>
      </w:r>
      <w:proofErr w:type="gramEnd"/>
      <w:r w:rsidRPr="00B337D2">
        <w:rPr>
          <w:rFonts w:eastAsia="標楷體"/>
          <w:sz w:val="28"/>
          <w:szCs w:val="28"/>
        </w:rPr>
        <w:t>，除法令另有規定外，依本</w:t>
      </w:r>
      <w:r w:rsidRPr="00B337D2">
        <w:rPr>
          <w:rFonts w:eastAsia="標楷體" w:hint="eastAsia"/>
          <w:sz w:val="28"/>
          <w:szCs w:val="28"/>
        </w:rPr>
        <w:t>規程</w:t>
      </w:r>
      <w:r w:rsidRPr="00B337D2">
        <w:rPr>
          <w:rFonts w:eastAsia="標楷體"/>
          <w:sz w:val="28"/>
          <w:szCs w:val="28"/>
        </w:rPr>
        <w:t>之規定辦理。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</w:t>
      </w:r>
      <w:r w:rsidRPr="00B337D2">
        <w:rPr>
          <w:rFonts w:eastAsia="標楷體" w:hint="eastAsia"/>
          <w:sz w:val="28"/>
          <w:szCs w:val="28"/>
        </w:rPr>
        <w:t>三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　本學院院長綜理院</w:t>
      </w:r>
      <w:proofErr w:type="gramStart"/>
      <w:r w:rsidRPr="00B337D2">
        <w:rPr>
          <w:rFonts w:eastAsia="標楷體" w:hint="eastAsia"/>
          <w:sz w:val="28"/>
          <w:szCs w:val="28"/>
        </w:rPr>
        <w:t>務</w:t>
      </w:r>
      <w:proofErr w:type="gramEnd"/>
      <w:r w:rsidRPr="00B337D2">
        <w:rPr>
          <w:rFonts w:eastAsia="標楷體" w:hint="eastAsia"/>
          <w:sz w:val="28"/>
          <w:szCs w:val="28"/>
        </w:rPr>
        <w:t>，並指揮、監督所屬人員；副院長襄助院長處理院</w:t>
      </w:r>
      <w:proofErr w:type="gramStart"/>
      <w:r w:rsidRPr="00B337D2">
        <w:rPr>
          <w:rFonts w:eastAsia="標楷體" w:hint="eastAsia"/>
          <w:sz w:val="28"/>
          <w:szCs w:val="28"/>
        </w:rPr>
        <w:t>務</w:t>
      </w:r>
      <w:proofErr w:type="gramEnd"/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第四條　　主任秘書之權責如下：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一、關於各單位文稿之綜核</w:t>
      </w:r>
      <w:proofErr w:type="gramStart"/>
      <w:r w:rsidRPr="00B337D2">
        <w:rPr>
          <w:rFonts w:eastAsia="標楷體" w:hint="eastAsia"/>
          <w:sz w:val="28"/>
          <w:szCs w:val="28"/>
        </w:rPr>
        <w:t>及代判</w:t>
      </w:r>
      <w:proofErr w:type="gramEnd"/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二、關於特定機密及重要文件之處理。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三、關於各單位之協調及權責問題之核議事項。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四、其他交辦事項。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第五條　　本學院設下列各組、中心、室：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一、研究發展組。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二、訓練發展組。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三、交流合作組。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四、評鑑發展中心</w:t>
      </w:r>
      <w:r w:rsidR="009119F3" w:rsidRPr="00B337D2">
        <w:rPr>
          <w:rFonts w:eastAsia="標楷體" w:hint="eastAsia"/>
          <w:sz w:val="28"/>
          <w:szCs w:val="28"/>
        </w:rPr>
        <w:t>：分二科辦事</w:t>
      </w:r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五、數位學習中心</w:t>
      </w:r>
      <w:r w:rsidR="009119F3" w:rsidRPr="00B337D2">
        <w:rPr>
          <w:rFonts w:eastAsia="標楷體" w:hint="eastAsia"/>
          <w:sz w:val="28"/>
          <w:szCs w:val="28"/>
        </w:rPr>
        <w:t>：分二科辦事</w:t>
      </w:r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lastRenderedPageBreak/>
        <w:t>六、秘書室。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七、人事室。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八、</w:t>
      </w:r>
      <w:r w:rsidR="009533B0" w:rsidRPr="00B337D2">
        <w:rPr>
          <w:rFonts w:eastAsia="標楷體" w:hint="eastAsia"/>
          <w:sz w:val="28"/>
          <w:szCs w:val="28"/>
        </w:rPr>
        <w:t>主</w:t>
      </w:r>
      <w:r w:rsidRPr="00B337D2">
        <w:rPr>
          <w:rFonts w:eastAsia="標楷體" w:hint="eastAsia"/>
          <w:sz w:val="28"/>
          <w:szCs w:val="28"/>
        </w:rPr>
        <w:t>計室。</w:t>
      </w:r>
    </w:p>
    <w:p w:rsidR="0007167B" w:rsidRPr="00B337D2" w:rsidRDefault="0007167B" w:rsidP="00B337D2">
      <w:pPr>
        <w:spacing w:line="500" w:lineRule="exact"/>
        <w:ind w:leftChars="525" w:left="1680" w:hangingChars="150" w:hanging="420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九、政風室。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</w:t>
      </w:r>
      <w:r w:rsidRPr="00B337D2">
        <w:rPr>
          <w:rFonts w:eastAsia="標楷體" w:hint="eastAsia"/>
          <w:sz w:val="28"/>
          <w:szCs w:val="28"/>
        </w:rPr>
        <w:t>六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　研究</w:t>
      </w:r>
      <w:proofErr w:type="gramStart"/>
      <w:r w:rsidRPr="00B337D2">
        <w:rPr>
          <w:rFonts w:eastAsia="標楷體" w:hint="eastAsia"/>
          <w:sz w:val="28"/>
          <w:szCs w:val="28"/>
        </w:rPr>
        <w:t>發展組掌理事</w:t>
      </w:r>
      <w:proofErr w:type="gramEnd"/>
      <w:r w:rsidRPr="00B337D2">
        <w:rPr>
          <w:rFonts w:eastAsia="標楷體" w:hint="eastAsia"/>
          <w:sz w:val="28"/>
          <w:szCs w:val="28"/>
        </w:rPr>
        <w:t xml:space="preserve">項如下：　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一、關於</w:t>
      </w:r>
      <w:r w:rsidRPr="00B337D2">
        <w:rPr>
          <w:rFonts w:eastAsia="標楷體"/>
          <w:sz w:val="28"/>
          <w:szCs w:val="28"/>
        </w:rPr>
        <w:t>年度施政方針</w:t>
      </w:r>
      <w:r w:rsidRPr="00B337D2">
        <w:rPr>
          <w:rFonts w:eastAsia="標楷體" w:hint="eastAsia"/>
          <w:sz w:val="28"/>
          <w:szCs w:val="28"/>
        </w:rPr>
        <w:t>及</w:t>
      </w:r>
      <w:r w:rsidRPr="00B337D2">
        <w:rPr>
          <w:rFonts w:eastAsia="標楷體"/>
          <w:sz w:val="28"/>
          <w:szCs w:val="28"/>
        </w:rPr>
        <w:t>計畫</w:t>
      </w:r>
      <w:r w:rsidRPr="00B337D2">
        <w:rPr>
          <w:rFonts w:eastAsia="標楷體" w:hint="eastAsia"/>
          <w:sz w:val="28"/>
          <w:szCs w:val="28"/>
        </w:rPr>
        <w:t>之</w:t>
      </w:r>
      <w:proofErr w:type="gramStart"/>
      <w:r w:rsidRPr="00B337D2">
        <w:rPr>
          <w:rFonts w:eastAsia="標楷體" w:hint="eastAsia"/>
          <w:sz w:val="28"/>
          <w:szCs w:val="28"/>
        </w:rPr>
        <w:t>研</w:t>
      </w:r>
      <w:proofErr w:type="gramEnd"/>
      <w:r w:rsidRPr="00B337D2">
        <w:rPr>
          <w:rFonts w:eastAsia="標楷體" w:hint="eastAsia"/>
          <w:sz w:val="28"/>
          <w:szCs w:val="28"/>
        </w:rPr>
        <w:t>擬</w:t>
      </w:r>
      <w:r w:rsidRPr="00B337D2">
        <w:rPr>
          <w:rFonts w:eastAsia="標楷體"/>
          <w:sz w:val="28"/>
          <w:szCs w:val="28"/>
        </w:rPr>
        <w:t>事項</w:t>
      </w:r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二、關於</w:t>
      </w:r>
      <w:r w:rsidRPr="00B337D2">
        <w:rPr>
          <w:rFonts w:eastAsia="標楷體"/>
          <w:sz w:val="28"/>
          <w:szCs w:val="28"/>
        </w:rPr>
        <w:t>培訓技術與方法</w:t>
      </w:r>
      <w:r w:rsidRPr="00B337D2">
        <w:rPr>
          <w:rFonts w:eastAsia="標楷體" w:hint="eastAsia"/>
          <w:sz w:val="28"/>
          <w:szCs w:val="28"/>
        </w:rPr>
        <w:t>之研究發展</w:t>
      </w:r>
      <w:r w:rsidRPr="00B337D2">
        <w:rPr>
          <w:rFonts w:eastAsia="標楷體"/>
          <w:sz w:val="28"/>
          <w:szCs w:val="28"/>
        </w:rPr>
        <w:t>事項</w:t>
      </w:r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三、關於培訓教材之研究發展事項。</w:t>
      </w:r>
    </w:p>
    <w:p w:rsidR="0007167B" w:rsidRPr="00B337D2" w:rsidRDefault="0007167B" w:rsidP="00B337D2">
      <w:pPr>
        <w:spacing w:line="500" w:lineRule="exact"/>
        <w:ind w:leftChars="475" w:left="1734" w:hangingChars="212" w:hanging="594"/>
        <w:jc w:val="both"/>
        <w:rPr>
          <w:rFonts w:eastAsia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四、關於各項公務人員訓練</w:t>
      </w:r>
      <w:r w:rsidRPr="00B337D2">
        <w:rPr>
          <w:rFonts w:eastAsia="標楷體"/>
          <w:sz w:val="28"/>
          <w:szCs w:val="28"/>
        </w:rPr>
        <w:t>講座薦</w:t>
      </w:r>
      <w:proofErr w:type="gramStart"/>
      <w:r w:rsidRPr="00B337D2">
        <w:rPr>
          <w:rFonts w:eastAsia="標楷體"/>
          <w:sz w:val="28"/>
          <w:szCs w:val="28"/>
        </w:rPr>
        <w:t>介</w:t>
      </w:r>
      <w:proofErr w:type="gramEnd"/>
      <w:r w:rsidRPr="00B337D2">
        <w:rPr>
          <w:rFonts w:eastAsia="標楷體"/>
          <w:sz w:val="28"/>
          <w:szCs w:val="28"/>
        </w:rPr>
        <w:t>名單之</w:t>
      </w:r>
      <w:proofErr w:type="gramStart"/>
      <w:r w:rsidRPr="00B337D2">
        <w:rPr>
          <w:rFonts w:eastAsia="標楷體"/>
          <w:sz w:val="28"/>
          <w:szCs w:val="28"/>
        </w:rPr>
        <w:t>研</w:t>
      </w:r>
      <w:proofErr w:type="gramEnd"/>
      <w:r w:rsidRPr="00B337D2">
        <w:rPr>
          <w:rFonts w:eastAsia="標楷體"/>
          <w:sz w:val="28"/>
          <w:szCs w:val="28"/>
        </w:rPr>
        <w:t>擬及執行事項。</w:t>
      </w:r>
    </w:p>
    <w:p w:rsidR="0007167B" w:rsidRPr="00B337D2" w:rsidRDefault="0007167B" w:rsidP="00B337D2">
      <w:pPr>
        <w:spacing w:line="500" w:lineRule="exact"/>
        <w:ind w:leftChars="475" w:left="1734" w:hangingChars="212" w:hanging="594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五</w:t>
      </w:r>
      <w:r w:rsidRPr="00B337D2">
        <w:rPr>
          <w:rFonts w:eastAsia="標楷體"/>
          <w:sz w:val="28"/>
          <w:szCs w:val="28"/>
        </w:rPr>
        <w:t>、關於</w:t>
      </w:r>
      <w:r w:rsidRPr="00B337D2">
        <w:rPr>
          <w:rFonts w:eastAsia="標楷體" w:hint="eastAsia"/>
          <w:sz w:val="28"/>
          <w:szCs w:val="28"/>
        </w:rPr>
        <w:t>受訓</w:t>
      </w:r>
      <w:r w:rsidRPr="00B337D2">
        <w:rPr>
          <w:rFonts w:eastAsia="標楷體"/>
          <w:sz w:val="28"/>
          <w:szCs w:val="28"/>
        </w:rPr>
        <w:t>學員服務、輔導技術與方法之研究</w:t>
      </w:r>
      <w:r w:rsidRPr="00B337D2">
        <w:rPr>
          <w:rFonts w:eastAsia="標楷體" w:hint="eastAsia"/>
          <w:sz w:val="28"/>
          <w:szCs w:val="28"/>
        </w:rPr>
        <w:t>及</w:t>
      </w:r>
      <w:r w:rsidRPr="00B337D2">
        <w:rPr>
          <w:rFonts w:eastAsia="標楷體"/>
          <w:sz w:val="28"/>
          <w:szCs w:val="28"/>
        </w:rPr>
        <w:t>評估事項。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六、關於各項研究成果之推廣事項。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七、關於受訓學員及講座資料庫之建立事項。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八、關於本學院其他研究發展事項。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第七條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</w:t>
      </w:r>
      <w:r w:rsidRPr="00B337D2">
        <w:rPr>
          <w:rFonts w:eastAsia="標楷體" w:hint="eastAsia"/>
          <w:sz w:val="28"/>
          <w:szCs w:val="28"/>
        </w:rPr>
        <w:t>訓練</w:t>
      </w:r>
      <w:proofErr w:type="gramStart"/>
      <w:r w:rsidRPr="00B337D2">
        <w:rPr>
          <w:rFonts w:eastAsia="標楷體" w:hint="eastAsia"/>
          <w:sz w:val="28"/>
          <w:szCs w:val="28"/>
        </w:rPr>
        <w:t>發展</w:t>
      </w:r>
      <w:r w:rsidRPr="00B337D2">
        <w:rPr>
          <w:rFonts w:eastAsia="標楷體"/>
          <w:sz w:val="28"/>
          <w:szCs w:val="28"/>
        </w:rPr>
        <w:t>組掌理事</w:t>
      </w:r>
      <w:proofErr w:type="gramEnd"/>
      <w:r w:rsidRPr="00B337D2">
        <w:rPr>
          <w:rFonts w:eastAsia="標楷體"/>
          <w:sz w:val="28"/>
          <w:szCs w:val="28"/>
        </w:rPr>
        <w:t>項如下：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一、關於公務人員考試錄取人員訓練之執行事項。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二、關於公務人員行政中立訓練之執行事項。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三、關於人事人員訓練、進修之執行事項。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四、關於受訓學員研習輔導及服務事項。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lastRenderedPageBreak/>
        <w:t>五、關於其他公務人員訓練及諮詢服務之執行事項。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第八條　　交流</w:t>
      </w:r>
      <w:proofErr w:type="gramStart"/>
      <w:r w:rsidRPr="00B337D2">
        <w:rPr>
          <w:rFonts w:ascii="標楷體" w:eastAsia="標楷體" w:hAnsi="標楷體" w:hint="eastAsia"/>
          <w:sz w:val="28"/>
          <w:szCs w:val="28"/>
        </w:rPr>
        <w:t>合作</w:t>
      </w:r>
      <w:r w:rsidRPr="00B337D2">
        <w:rPr>
          <w:rFonts w:eastAsia="標楷體"/>
          <w:sz w:val="28"/>
          <w:szCs w:val="28"/>
        </w:rPr>
        <w:t>組掌理事</w:t>
      </w:r>
      <w:proofErr w:type="gramEnd"/>
      <w:r w:rsidRPr="00B337D2">
        <w:rPr>
          <w:rFonts w:eastAsia="標楷體"/>
          <w:sz w:val="28"/>
          <w:szCs w:val="28"/>
        </w:rPr>
        <w:t>項如下：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一、關於國際培訓組織交流合作之執行事項。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二、關於國內外學術研究機關（構）策略聯盟與民間交流合作之執行事項。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三、關於國內外學術研討會之規劃執行事項。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四、關於國外委託、交換訓練之規劃執行事項。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五、關於各機關（構）委託辦理培訓事項。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六、關於國際人力資源發展新知之蒐集、研究及推廣事項。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七、關於其他國內外交流合作事項。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</w:t>
      </w:r>
      <w:r w:rsidRPr="00B337D2">
        <w:rPr>
          <w:rFonts w:eastAsia="標楷體" w:hint="eastAsia"/>
          <w:sz w:val="28"/>
          <w:szCs w:val="28"/>
        </w:rPr>
        <w:t>九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評鑑發展中心掌理事項如下：</w:t>
      </w:r>
    </w:p>
    <w:p w:rsidR="0007167B" w:rsidRPr="00B337D2" w:rsidRDefault="0007167B" w:rsidP="00B337D2">
      <w:pPr>
        <w:spacing w:line="500" w:lineRule="exact"/>
        <w:ind w:leftChars="500" w:left="14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一、</w:t>
      </w:r>
      <w:r w:rsidRPr="00B337D2">
        <w:rPr>
          <w:rFonts w:eastAsia="標楷體"/>
          <w:sz w:val="28"/>
          <w:szCs w:val="28"/>
        </w:rPr>
        <w:t>關於高階公務人員</w:t>
      </w:r>
      <w:r w:rsidRPr="00B337D2">
        <w:rPr>
          <w:rFonts w:eastAsia="標楷體" w:hint="eastAsia"/>
          <w:sz w:val="28"/>
          <w:szCs w:val="28"/>
        </w:rPr>
        <w:t>中長期培訓</w:t>
      </w:r>
      <w:r w:rsidRPr="00B337D2">
        <w:rPr>
          <w:rFonts w:ascii="標楷體" w:eastAsia="標楷體" w:hAnsi="標楷體" w:hint="eastAsia"/>
          <w:sz w:val="28"/>
          <w:szCs w:val="28"/>
        </w:rPr>
        <w:t>、性向測驗</w:t>
      </w:r>
      <w:r w:rsidRPr="00B337D2">
        <w:rPr>
          <w:rFonts w:eastAsia="標楷體" w:hint="eastAsia"/>
          <w:sz w:val="28"/>
          <w:szCs w:val="28"/>
        </w:rPr>
        <w:t>、工作職能之研究及</w:t>
      </w:r>
      <w:r w:rsidRPr="00B337D2">
        <w:rPr>
          <w:rFonts w:eastAsia="標楷體"/>
          <w:sz w:val="28"/>
          <w:szCs w:val="28"/>
        </w:rPr>
        <w:t>執行事項。</w:t>
      </w:r>
    </w:p>
    <w:p w:rsidR="0007167B" w:rsidRPr="00B337D2" w:rsidRDefault="0007167B" w:rsidP="00B337D2">
      <w:pPr>
        <w:spacing w:line="500" w:lineRule="exact"/>
        <w:ind w:leftChars="500" w:left="1760" w:hangingChars="200" w:hanging="560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二、</w:t>
      </w:r>
      <w:r w:rsidRPr="00B337D2">
        <w:rPr>
          <w:rFonts w:ascii="標楷體" w:eastAsia="標楷體" w:hAnsi="標楷體" w:hint="eastAsia"/>
          <w:sz w:val="28"/>
          <w:szCs w:val="28"/>
        </w:rPr>
        <w:t>關於公務人員升任官等訓練之執行事項。</w:t>
      </w:r>
    </w:p>
    <w:p w:rsidR="0007167B" w:rsidRPr="00B337D2" w:rsidRDefault="0007167B" w:rsidP="00B337D2">
      <w:pPr>
        <w:spacing w:line="500" w:lineRule="exact"/>
        <w:ind w:leftChars="500" w:left="1760" w:hangingChars="200" w:hanging="560"/>
        <w:jc w:val="both"/>
        <w:rPr>
          <w:rFonts w:eastAsia="標楷體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三、</w:t>
      </w:r>
      <w:r w:rsidRPr="00B337D2">
        <w:rPr>
          <w:rFonts w:eastAsia="標楷體"/>
          <w:sz w:val="28"/>
          <w:szCs w:val="28"/>
        </w:rPr>
        <w:t>關於</w:t>
      </w:r>
      <w:r w:rsidRPr="00B337D2">
        <w:rPr>
          <w:rFonts w:eastAsia="標楷體" w:hint="eastAsia"/>
          <w:sz w:val="28"/>
          <w:szCs w:val="28"/>
        </w:rPr>
        <w:t>高階公務人員培訓技術、方法與教材</w:t>
      </w:r>
      <w:r w:rsidRPr="00B337D2">
        <w:rPr>
          <w:rFonts w:eastAsia="標楷體"/>
          <w:sz w:val="28"/>
          <w:szCs w:val="28"/>
        </w:rPr>
        <w:t>之研究</w:t>
      </w:r>
      <w:r w:rsidRPr="00B337D2">
        <w:rPr>
          <w:rFonts w:eastAsia="標楷體" w:hint="eastAsia"/>
          <w:sz w:val="28"/>
          <w:szCs w:val="28"/>
        </w:rPr>
        <w:t>及執行</w:t>
      </w:r>
      <w:r w:rsidRPr="00B337D2">
        <w:rPr>
          <w:rFonts w:eastAsia="標楷體"/>
          <w:sz w:val="28"/>
          <w:szCs w:val="28"/>
        </w:rPr>
        <w:t>事項。</w:t>
      </w:r>
    </w:p>
    <w:p w:rsidR="0007167B" w:rsidRPr="00B337D2" w:rsidRDefault="0007167B" w:rsidP="00B337D2">
      <w:pPr>
        <w:spacing w:line="500" w:lineRule="exact"/>
        <w:ind w:leftChars="500" w:left="1760" w:hangingChars="200" w:hanging="56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四、</w:t>
      </w:r>
      <w:r w:rsidRPr="00B337D2">
        <w:rPr>
          <w:rFonts w:ascii="標楷體" w:eastAsia="標楷體" w:hAnsi="標楷體" w:hint="eastAsia"/>
          <w:sz w:val="28"/>
          <w:szCs w:val="28"/>
        </w:rPr>
        <w:t>關於評鑑訓練課程、教材、評鑑向度、評鑑量表及評鑑標準之研究發展事項。</w:t>
      </w:r>
    </w:p>
    <w:p w:rsidR="0007167B" w:rsidRPr="00B337D2" w:rsidRDefault="0007167B" w:rsidP="00B337D2">
      <w:pPr>
        <w:spacing w:line="500" w:lineRule="exact"/>
        <w:ind w:leftChars="500" w:left="17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五、</w:t>
      </w:r>
      <w:r w:rsidRPr="00B337D2">
        <w:rPr>
          <w:rFonts w:ascii="標楷體" w:eastAsia="標楷體" w:hAnsi="標楷體" w:hint="eastAsia"/>
          <w:sz w:val="28"/>
          <w:szCs w:val="28"/>
        </w:rPr>
        <w:t>關於受訓學員訓後服務規劃執行事項。</w:t>
      </w:r>
    </w:p>
    <w:p w:rsidR="0007167B" w:rsidRPr="00B337D2" w:rsidRDefault="0007167B" w:rsidP="00B337D2">
      <w:pPr>
        <w:spacing w:line="500" w:lineRule="exact"/>
        <w:ind w:leftChars="500" w:left="1760" w:hangingChars="200" w:hanging="560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六、關於</w:t>
      </w:r>
      <w:r w:rsidRPr="00B337D2">
        <w:rPr>
          <w:rFonts w:eastAsia="標楷體"/>
          <w:sz w:val="28"/>
          <w:szCs w:val="28"/>
        </w:rPr>
        <w:t>其他</w:t>
      </w:r>
      <w:r w:rsidRPr="00B337D2">
        <w:rPr>
          <w:rFonts w:ascii="標楷體" w:eastAsia="標楷體" w:hAnsi="標楷體" w:hint="eastAsia"/>
          <w:sz w:val="28"/>
          <w:szCs w:val="28"/>
        </w:rPr>
        <w:t>評鑑研究及執行</w:t>
      </w:r>
      <w:r w:rsidRPr="00B337D2">
        <w:rPr>
          <w:rFonts w:eastAsia="標楷體"/>
          <w:sz w:val="28"/>
          <w:szCs w:val="28"/>
        </w:rPr>
        <w:t>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第十條　　數位學習中心掌理事項如下：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一、關於公務人員終身學習之研究及執行事項。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lastRenderedPageBreak/>
        <w:t>二、關於數位學習及混成學習執行事項。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三、關於公務人員專書閱讀推廣活動事項。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四、關於圖書典藏、服務及培訓出版事項。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五、關於培訓資訊業務之規劃、推動、管理及維護事項。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六、關於培訓機關（構）數位學習網路平台之推動事項。</w:t>
      </w:r>
    </w:p>
    <w:p w:rsidR="0007167B" w:rsidRPr="00B337D2" w:rsidRDefault="0007167B" w:rsidP="00B337D2">
      <w:pPr>
        <w:spacing w:line="500" w:lineRule="exact"/>
        <w:ind w:leftChars="475" w:left="1700" w:hangingChars="200" w:hanging="560"/>
        <w:jc w:val="both"/>
        <w:rPr>
          <w:rFonts w:eastAsia="標楷體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七、關於其他數位學習及圖書資訊事項。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 xml:space="preserve">第十一條　　</w:t>
      </w:r>
      <w:r w:rsidRPr="00B337D2">
        <w:rPr>
          <w:rFonts w:eastAsia="標楷體"/>
          <w:sz w:val="28"/>
          <w:szCs w:val="28"/>
        </w:rPr>
        <w:t>秘書室掌理事項如下：</w:t>
      </w:r>
    </w:p>
    <w:p w:rsidR="0007167B" w:rsidRPr="00B337D2" w:rsidRDefault="0007167B" w:rsidP="00B337D2">
      <w:pPr>
        <w:spacing w:line="500" w:lineRule="exact"/>
        <w:ind w:leftChars="625" w:left="20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一、關於院</w:t>
      </w:r>
      <w:proofErr w:type="gramStart"/>
      <w:r w:rsidRPr="00B337D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337D2">
        <w:rPr>
          <w:rFonts w:ascii="標楷體" w:eastAsia="標楷體" w:hAnsi="標楷體" w:hint="eastAsia"/>
          <w:sz w:val="28"/>
          <w:szCs w:val="28"/>
        </w:rPr>
        <w:t>會議之議事事項。</w:t>
      </w:r>
    </w:p>
    <w:p w:rsidR="0007167B" w:rsidRPr="00B337D2" w:rsidRDefault="0007167B" w:rsidP="00B337D2">
      <w:pPr>
        <w:spacing w:line="500" w:lineRule="exact"/>
        <w:ind w:leftChars="625" w:left="20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二、關於國會聯絡、新聞聯絡及公共關係等事項。</w:t>
      </w:r>
    </w:p>
    <w:p w:rsidR="0007167B" w:rsidRPr="00B337D2" w:rsidRDefault="0007167B" w:rsidP="00B337D2">
      <w:pPr>
        <w:spacing w:line="500" w:lineRule="exact"/>
        <w:ind w:leftChars="625" w:left="20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三、關於文書、檔案、印信、庶務、出納及財產管理等事項。</w:t>
      </w:r>
    </w:p>
    <w:p w:rsidR="0007167B" w:rsidRPr="00B337D2" w:rsidRDefault="0007167B" w:rsidP="00B337D2">
      <w:pPr>
        <w:spacing w:line="500" w:lineRule="exact"/>
        <w:ind w:leftChars="625" w:left="20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B337D2">
        <w:rPr>
          <w:rFonts w:ascii="標楷體" w:eastAsia="標楷體" w:hAnsi="標楷體" w:hint="eastAsia"/>
          <w:sz w:val="28"/>
          <w:szCs w:val="28"/>
        </w:rPr>
        <w:t>四、關於不屬其他各組、中心、室事項。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第十</w:t>
      </w:r>
      <w:r w:rsidRPr="00B337D2">
        <w:rPr>
          <w:rFonts w:eastAsia="標楷體" w:hint="eastAsia"/>
          <w:sz w:val="28"/>
          <w:szCs w:val="28"/>
        </w:rPr>
        <w:t>二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人事室掌理</w:t>
      </w:r>
      <w:r w:rsidRPr="00B337D2">
        <w:rPr>
          <w:rFonts w:eastAsia="標楷體" w:hint="eastAsia"/>
          <w:sz w:val="28"/>
          <w:szCs w:val="28"/>
        </w:rPr>
        <w:t>本學院人事</w:t>
      </w:r>
      <w:r w:rsidRPr="00B337D2">
        <w:rPr>
          <w:rFonts w:eastAsia="標楷體"/>
          <w:sz w:val="28"/>
          <w:szCs w:val="28"/>
        </w:rPr>
        <w:t>事項</w:t>
      </w:r>
      <w:r w:rsidRPr="00B337D2">
        <w:rPr>
          <w:rFonts w:eastAsia="標楷體" w:hint="eastAsia"/>
          <w:sz w:val="28"/>
          <w:szCs w:val="28"/>
        </w:rPr>
        <w:t>。</w:t>
      </w:r>
    </w:p>
    <w:p w:rsidR="0007167B" w:rsidRPr="00B337D2" w:rsidRDefault="0007167B" w:rsidP="00B337D2">
      <w:pPr>
        <w:spacing w:line="500" w:lineRule="exact"/>
        <w:ind w:left="280" w:hangingChars="100" w:hanging="28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第十</w:t>
      </w:r>
      <w:r w:rsidRPr="00B337D2">
        <w:rPr>
          <w:rFonts w:eastAsia="標楷體" w:hint="eastAsia"/>
          <w:sz w:val="28"/>
          <w:szCs w:val="28"/>
        </w:rPr>
        <w:t>三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</w:t>
      </w:r>
      <w:r w:rsidR="009533B0" w:rsidRPr="00B337D2">
        <w:rPr>
          <w:rFonts w:eastAsia="標楷體" w:hint="eastAsia"/>
          <w:sz w:val="28"/>
          <w:szCs w:val="28"/>
        </w:rPr>
        <w:t>主</w:t>
      </w:r>
      <w:r w:rsidRPr="00B337D2">
        <w:rPr>
          <w:rFonts w:eastAsia="標楷體"/>
          <w:sz w:val="28"/>
          <w:szCs w:val="28"/>
        </w:rPr>
        <w:t>計室掌理</w:t>
      </w:r>
      <w:r w:rsidRPr="00B337D2">
        <w:rPr>
          <w:rFonts w:eastAsia="標楷體" w:hint="eastAsia"/>
          <w:sz w:val="28"/>
          <w:szCs w:val="28"/>
        </w:rPr>
        <w:t>本學院歲計、會計及統計事項。</w:t>
      </w:r>
    </w:p>
    <w:p w:rsidR="0007167B" w:rsidRPr="00B337D2" w:rsidRDefault="0007167B" w:rsidP="00B337D2">
      <w:pPr>
        <w:spacing w:line="500" w:lineRule="exact"/>
        <w:jc w:val="both"/>
        <w:rPr>
          <w:rFonts w:eastAsia="標楷體"/>
          <w:sz w:val="28"/>
          <w:szCs w:val="28"/>
        </w:rPr>
      </w:pPr>
      <w:r w:rsidRPr="00B337D2">
        <w:rPr>
          <w:rFonts w:eastAsia="標楷體" w:hint="eastAsia"/>
          <w:sz w:val="28"/>
          <w:szCs w:val="28"/>
        </w:rPr>
        <w:t>第十四條　　政風室掌理本學院政風事項。</w:t>
      </w:r>
    </w:p>
    <w:p w:rsidR="0007167B" w:rsidRPr="00B337D2" w:rsidRDefault="0007167B" w:rsidP="00B337D2">
      <w:pPr>
        <w:spacing w:line="500" w:lineRule="exact"/>
        <w:ind w:left="1100" w:hangingChars="393" w:hanging="110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第十</w:t>
      </w:r>
      <w:r w:rsidRPr="00B337D2">
        <w:rPr>
          <w:rFonts w:eastAsia="標楷體" w:hint="eastAsia"/>
          <w:sz w:val="28"/>
          <w:szCs w:val="28"/>
        </w:rPr>
        <w:t>五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本</w:t>
      </w:r>
      <w:r w:rsidRPr="00B337D2">
        <w:rPr>
          <w:rFonts w:eastAsia="標楷體" w:hint="eastAsia"/>
          <w:sz w:val="28"/>
          <w:szCs w:val="28"/>
        </w:rPr>
        <w:t>學院</w:t>
      </w:r>
      <w:r w:rsidRPr="00B337D2">
        <w:rPr>
          <w:rFonts w:eastAsia="標楷體"/>
          <w:sz w:val="28"/>
          <w:szCs w:val="28"/>
        </w:rPr>
        <w:t>處理</w:t>
      </w:r>
      <w:r w:rsidRPr="00B337D2">
        <w:rPr>
          <w:rFonts w:eastAsia="標楷體" w:hint="eastAsia"/>
          <w:sz w:val="28"/>
          <w:szCs w:val="28"/>
        </w:rPr>
        <w:t>院</w:t>
      </w:r>
      <w:proofErr w:type="gramStart"/>
      <w:r w:rsidRPr="00B337D2">
        <w:rPr>
          <w:rFonts w:eastAsia="標楷體"/>
          <w:sz w:val="28"/>
          <w:szCs w:val="28"/>
        </w:rPr>
        <w:t>務</w:t>
      </w:r>
      <w:proofErr w:type="gramEnd"/>
      <w:r w:rsidRPr="00B337D2">
        <w:rPr>
          <w:rFonts w:eastAsia="標楷體"/>
          <w:sz w:val="28"/>
          <w:szCs w:val="28"/>
        </w:rPr>
        <w:t>，實施分層負責制度，逐</w:t>
      </w:r>
      <w:r w:rsidRPr="00B337D2">
        <w:rPr>
          <w:rFonts w:eastAsia="標楷體" w:hint="eastAsia"/>
          <w:sz w:val="28"/>
          <w:szCs w:val="28"/>
        </w:rPr>
        <w:t>級</w:t>
      </w:r>
      <w:r w:rsidRPr="00B337D2">
        <w:rPr>
          <w:rFonts w:eastAsia="標楷體"/>
          <w:sz w:val="28"/>
          <w:szCs w:val="28"/>
        </w:rPr>
        <w:t>授權決定，其分層負責明</w:t>
      </w:r>
      <w:proofErr w:type="gramStart"/>
      <w:r w:rsidRPr="00B337D2">
        <w:rPr>
          <w:rFonts w:eastAsia="標楷體"/>
          <w:sz w:val="28"/>
          <w:szCs w:val="28"/>
        </w:rPr>
        <w:t>細表另定</w:t>
      </w:r>
      <w:proofErr w:type="gramEnd"/>
      <w:r w:rsidRPr="00B337D2">
        <w:rPr>
          <w:rFonts w:eastAsia="標楷體"/>
          <w:sz w:val="28"/>
          <w:szCs w:val="28"/>
        </w:rPr>
        <w:t>之。</w:t>
      </w:r>
    </w:p>
    <w:p w:rsidR="0007167B" w:rsidRPr="00B337D2" w:rsidRDefault="0007167B" w:rsidP="00B337D2">
      <w:pPr>
        <w:spacing w:line="500" w:lineRule="exact"/>
        <w:ind w:left="1100" w:hangingChars="393" w:hanging="110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第十</w:t>
      </w:r>
      <w:r w:rsidRPr="00B337D2">
        <w:rPr>
          <w:rFonts w:eastAsia="標楷體" w:hint="eastAsia"/>
          <w:sz w:val="28"/>
          <w:szCs w:val="28"/>
        </w:rPr>
        <w:t>六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本</w:t>
      </w:r>
      <w:r w:rsidRPr="00B337D2">
        <w:rPr>
          <w:rFonts w:eastAsia="標楷體" w:hint="eastAsia"/>
          <w:sz w:val="28"/>
          <w:szCs w:val="28"/>
        </w:rPr>
        <w:t>學院</w:t>
      </w:r>
      <w:r w:rsidRPr="00B337D2">
        <w:rPr>
          <w:rFonts w:eastAsia="標楷體"/>
          <w:sz w:val="28"/>
          <w:szCs w:val="28"/>
        </w:rPr>
        <w:t>人員因故不能執行職務或請假時，應依規定指定適當人員代理，代理人就代理職務負其責任。</w:t>
      </w:r>
    </w:p>
    <w:p w:rsidR="0007167B" w:rsidRPr="00B337D2" w:rsidRDefault="0007167B" w:rsidP="00B337D2">
      <w:pPr>
        <w:spacing w:line="500" w:lineRule="exact"/>
        <w:ind w:left="1120" w:hangingChars="400" w:hanging="1120"/>
        <w:jc w:val="both"/>
        <w:rPr>
          <w:rFonts w:eastAsia="標楷體" w:hint="eastAsia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第十</w:t>
      </w:r>
      <w:r w:rsidRPr="00B337D2">
        <w:rPr>
          <w:rFonts w:eastAsia="標楷體" w:hint="eastAsia"/>
          <w:sz w:val="28"/>
          <w:szCs w:val="28"/>
        </w:rPr>
        <w:t>七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本</w:t>
      </w:r>
      <w:r w:rsidRPr="00B337D2">
        <w:rPr>
          <w:rFonts w:eastAsia="標楷體" w:hint="eastAsia"/>
          <w:sz w:val="28"/>
          <w:szCs w:val="28"/>
        </w:rPr>
        <w:t>學院</w:t>
      </w:r>
      <w:proofErr w:type="gramStart"/>
      <w:r w:rsidRPr="00B337D2">
        <w:rPr>
          <w:rFonts w:eastAsia="標楷體" w:hint="eastAsia"/>
          <w:sz w:val="28"/>
          <w:szCs w:val="28"/>
        </w:rPr>
        <w:t>院</w:t>
      </w:r>
      <w:r w:rsidRPr="00B337D2">
        <w:rPr>
          <w:rFonts w:eastAsia="標楷體"/>
          <w:sz w:val="28"/>
          <w:szCs w:val="28"/>
        </w:rPr>
        <w:t>務</w:t>
      </w:r>
      <w:proofErr w:type="gramEnd"/>
      <w:r w:rsidRPr="00B337D2">
        <w:rPr>
          <w:rFonts w:eastAsia="標楷體"/>
          <w:sz w:val="28"/>
          <w:szCs w:val="28"/>
        </w:rPr>
        <w:t>會議由</w:t>
      </w:r>
      <w:r w:rsidRPr="00B337D2">
        <w:rPr>
          <w:rFonts w:eastAsia="標楷體" w:hint="eastAsia"/>
          <w:sz w:val="28"/>
          <w:szCs w:val="28"/>
        </w:rPr>
        <w:t>院</w:t>
      </w:r>
      <w:r w:rsidRPr="00B337D2">
        <w:rPr>
          <w:rFonts w:eastAsia="標楷體"/>
          <w:sz w:val="28"/>
          <w:szCs w:val="28"/>
        </w:rPr>
        <w:t>長主持，</w:t>
      </w:r>
      <w:r w:rsidRPr="00B337D2">
        <w:rPr>
          <w:rFonts w:eastAsia="標楷體" w:hint="eastAsia"/>
          <w:sz w:val="28"/>
          <w:szCs w:val="28"/>
        </w:rPr>
        <w:t>副院長、主任秘書、各單位主管、簡任以上人員及區域培訓中心主任</w:t>
      </w:r>
      <w:r w:rsidRPr="00B337D2">
        <w:rPr>
          <w:rFonts w:eastAsia="標楷體"/>
          <w:sz w:val="28"/>
          <w:szCs w:val="28"/>
        </w:rPr>
        <w:t>參加。必要時，得指定其他有關人員出（列）席。</w:t>
      </w:r>
    </w:p>
    <w:p w:rsidR="0007167B" w:rsidRPr="00B337D2" w:rsidRDefault="0007167B" w:rsidP="00B337D2">
      <w:pPr>
        <w:spacing w:line="500" w:lineRule="exact"/>
        <w:ind w:leftChars="100" w:left="240" w:firstLineChars="500" w:firstLine="1400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lastRenderedPageBreak/>
        <w:t>前項</w:t>
      </w:r>
      <w:r w:rsidRPr="00B337D2">
        <w:rPr>
          <w:rFonts w:eastAsia="標楷體" w:hint="eastAsia"/>
          <w:sz w:val="28"/>
          <w:szCs w:val="28"/>
        </w:rPr>
        <w:t>院</w:t>
      </w:r>
      <w:proofErr w:type="gramStart"/>
      <w:r w:rsidRPr="00B337D2">
        <w:rPr>
          <w:rFonts w:eastAsia="標楷體"/>
          <w:sz w:val="28"/>
          <w:szCs w:val="28"/>
        </w:rPr>
        <w:t>務</w:t>
      </w:r>
      <w:proofErr w:type="gramEnd"/>
      <w:r w:rsidRPr="00B337D2">
        <w:rPr>
          <w:rFonts w:eastAsia="標楷體"/>
          <w:sz w:val="28"/>
          <w:szCs w:val="28"/>
        </w:rPr>
        <w:t>會議以每月召開</w:t>
      </w:r>
      <w:r w:rsidRPr="00B337D2">
        <w:rPr>
          <w:rFonts w:eastAsia="標楷體" w:hint="eastAsia"/>
          <w:sz w:val="28"/>
          <w:szCs w:val="28"/>
        </w:rPr>
        <w:t>一</w:t>
      </w:r>
      <w:r w:rsidRPr="00B337D2">
        <w:rPr>
          <w:rFonts w:eastAsia="標楷體"/>
          <w:sz w:val="28"/>
          <w:szCs w:val="28"/>
        </w:rPr>
        <w:t>次為原則。必要時，得召開臨時會議。</w:t>
      </w:r>
    </w:p>
    <w:p w:rsidR="0007167B" w:rsidRPr="00B337D2" w:rsidRDefault="0007167B" w:rsidP="00B337D2">
      <w:pPr>
        <w:spacing w:line="500" w:lineRule="exact"/>
        <w:ind w:leftChars="-22" w:left="210" w:hangingChars="94" w:hanging="263"/>
        <w:jc w:val="both"/>
        <w:rPr>
          <w:rFonts w:eastAsia="標楷體"/>
          <w:sz w:val="28"/>
          <w:szCs w:val="28"/>
        </w:rPr>
      </w:pPr>
      <w:r w:rsidRPr="00B337D2">
        <w:rPr>
          <w:rFonts w:eastAsia="標楷體"/>
          <w:sz w:val="28"/>
          <w:szCs w:val="28"/>
        </w:rPr>
        <w:t>第</w:t>
      </w:r>
      <w:r w:rsidRPr="00B337D2">
        <w:rPr>
          <w:rFonts w:eastAsia="標楷體" w:hint="eastAsia"/>
          <w:sz w:val="28"/>
          <w:szCs w:val="28"/>
        </w:rPr>
        <w:t>十八</w:t>
      </w:r>
      <w:r w:rsidRPr="00B337D2">
        <w:rPr>
          <w:rFonts w:eastAsia="標楷體"/>
          <w:sz w:val="28"/>
          <w:szCs w:val="28"/>
        </w:rPr>
        <w:t>條</w:t>
      </w:r>
      <w:r w:rsidRPr="00B337D2">
        <w:rPr>
          <w:rFonts w:eastAsia="標楷體" w:hint="eastAsia"/>
          <w:sz w:val="28"/>
          <w:szCs w:val="28"/>
        </w:rPr>
        <w:t xml:space="preserve">　</w:t>
      </w:r>
      <w:r w:rsidRPr="00B337D2">
        <w:rPr>
          <w:rFonts w:eastAsia="標楷體"/>
          <w:sz w:val="28"/>
          <w:szCs w:val="28"/>
        </w:rPr>
        <w:t xml:space="preserve">　</w:t>
      </w:r>
      <w:r w:rsidRPr="00B337D2">
        <w:rPr>
          <w:rFonts w:ascii="標楷體" w:eastAsia="標楷體" w:hAnsi="標楷體" w:hint="eastAsia"/>
          <w:sz w:val="28"/>
          <w:szCs w:val="28"/>
        </w:rPr>
        <w:t>本規程施行日期，由公務人員保障暨培訓委員會定之。</w:t>
      </w:r>
    </w:p>
    <w:sectPr w:rsidR="0007167B" w:rsidRPr="00B337D2" w:rsidSect="00B337D2">
      <w:footerReference w:type="even" r:id="rId8"/>
      <w:footerReference w:type="default" r:id="rId9"/>
      <w:pgSz w:w="16838" w:h="11906" w:orient="landscape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5F" w:rsidRDefault="000B605F">
      <w:r>
        <w:separator/>
      </w:r>
    </w:p>
  </w:endnote>
  <w:endnote w:type="continuationSeparator" w:id="0">
    <w:p w:rsidR="000B605F" w:rsidRDefault="000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7B" w:rsidRDefault="000716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67B" w:rsidRDefault="000716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7B" w:rsidRDefault="0007167B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CFF">
      <w:rPr>
        <w:rStyle w:val="a5"/>
        <w:noProof/>
      </w:rPr>
      <w:t>2</w:t>
    </w:r>
    <w:r>
      <w:rPr>
        <w:rStyle w:val="a5"/>
      </w:rPr>
      <w:fldChar w:fldCharType="end"/>
    </w:r>
  </w:p>
  <w:p w:rsidR="0007167B" w:rsidRDefault="0007167B">
    <w:pPr>
      <w:pStyle w:val="a4"/>
      <w:framePr w:wrap="around" w:vAnchor="text" w:hAnchor="margin" w:xAlign="center" w:y="1"/>
      <w:rPr>
        <w:rStyle w:val="a5"/>
      </w:rPr>
    </w:pPr>
  </w:p>
  <w:p w:rsidR="0007167B" w:rsidRDefault="00071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5F" w:rsidRDefault="000B605F">
      <w:r>
        <w:separator/>
      </w:r>
    </w:p>
  </w:footnote>
  <w:footnote w:type="continuationSeparator" w:id="0">
    <w:p w:rsidR="000B605F" w:rsidRDefault="000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B10"/>
    <w:multiLevelType w:val="hybridMultilevel"/>
    <w:tmpl w:val="EFD67642"/>
    <w:lvl w:ilvl="0" w:tplc="62326E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2608B8"/>
    <w:multiLevelType w:val="hybridMultilevel"/>
    <w:tmpl w:val="4A9E0998"/>
    <w:lvl w:ilvl="0" w:tplc="AFAE1B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31456F"/>
    <w:multiLevelType w:val="hybridMultilevel"/>
    <w:tmpl w:val="DA30DEC2"/>
    <w:lvl w:ilvl="0" w:tplc="7A28D4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B1471F"/>
    <w:multiLevelType w:val="hybridMultilevel"/>
    <w:tmpl w:val="7FD2182E"/>
    <w:lvl w:ilvl="0" w:tplc="18E20C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31E2A"/>
    <w:multiLevelType w:val="hybridMultilevel"/>
    <w:tmpl w:val="83783AA2"/>
    <w:lvl w:ilvl="0" w:tplc="6F8E13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9D7BA6"/>
    <w:multiLevelType w:val="hybridMultilevel"/>
    <w:tmpl w:val="A514863C"/>
    <w:lvl w:ilvl="0" w:tplc="83A2516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3713A"/>
    <w:multiLevelType w:val="hybridMultilevel"/>
    <w:tmpl w:val="7CC8751A"/>
    <w:lvl w:ilvl="0" w:tplc="8A58EE4C">
      <w:start w:val="10"/>
      <w:numFmt w:val="taiwaneseCountingThousand"/>
      <w:lvlText w:val="第%1條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B428F"/>
    <w:multiLevelType w:val="hybridMultilevel"/>
    <w:tmpl w:val="ADA2C366"/>
    <w:lvl w:ilvl="0" w:tplc="98FEB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25694C"/>
    <w:multiLevelType w:val="hybridMultilevel"/>
    <w:tmpl w:val="6A7CB770"/>
    <w:lvl w:ilvl="0" w:tplc="B692A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95384C"/>
    <w:multiLevelType w:val="hybridMultilevel"/>
    <w:tmpl w:val="31BEBBC2"/>
    <w:lvl w:ilvl="0" w:tplc="8DEE8D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606E24"/>
    <w:multiLevelType w:val="hybridMultilevel"/>
    <w:tmpl w:val="B08EE4B0"/>
    <w:lvl w:ilvl="0" w:tplc="DDC678A4">
      <w:start w:val="1"/>
      <w:numFmt w:val="taiwaneseCountingThousand"/>
      <w:lvlText w:val="%1、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1">
    <w:nsid w:val="1EFC6881"/>
    <w:multiLevelType w:val="hybridMultilevel"/>
    <w:tmpl w:val="A5B80C7A"/>
    <w:lvl w:ilvl="0" w:tplc="F640A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1C35E77"/>
    <w:multiLevelType w:val="hybridMultilevel"/>
    <w:tmpl w:val="ED5A395E"/>
    <w:lvl w:ilvl="0" w:tplc="D4B48A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8D3809"/>
    <w:multiLevelType w:val="hybridMultilevel"/>
    <w:tmpl w:val="91EC85E8"/>
    <w:lvl w:ilvl="0" w:tplc="4F829B76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9F39A2"/>
    <w:multiLevelType w:val="hybridMultilevel"/>
    <w:tmpl w:val="C0ECA568"/>
    <w:lvl w:ilvl="0" w:tplc="C2942F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2A1FB4"/>
    <w:multiLevelType w:val="hybridMultilevel"/>
    <w:tmpl w:val="1858642A"/>
    <w:lvl w:ilvl="0" w:tplc="3EEA23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8A56AB"/>
    <w:multiLevelType w:val="hybridMultilevel"/>
    <w:tmpl w:val="1534F2B8"/>
    <w:lvl w:ilvl="0" w:tplc="268059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5EC06F5"/>
    <w:multiLevelType w:val="hybridMultilevel"/>
    <w:tmpl w:val="4E9AC22E"/>
    <w:lvl w:ilvl="0" w:tplc="9640B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5C01A9"/>
    <w:multiLevelType w:val="hybridMultilevel"/>
    <w:tmpl w:val="CEA8AE40"/>
    <w:lvl w:ilvl="0" w:tplc="D29C490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A791D46"/>
    <w:multiLevelType w:val="hybridMultilevel"/>
    <w:tmpl w:val="C066A126"/>
    <w:lvl w:ilvl="0" w:tplc="D3388E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887149"/>
    <w:multiLevelType w:val="hybridMultilevel"/>
    <w:tmpl w:val="4CD023A6"/>
    <w:lvl w:ilvl="0" w:tplc="875C36B6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AE96E75"/>
    <w:multiLevelType w:val="hybridMultilevel"/>
    <w:tmpl w:val="1C786D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DA42E5A"/>
    <w:multiLevelType w:val="hybridMultilevel"/>
    <w:tmpl w:val="68621078"/>
    <w:lvl w:ilvl="0" w:tplc="B9E6553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22B6910"/>
    <w:multiLevelType w:val="hybridMultilevel"/>
    <w:tmpl w:val="5A3E68F0"/>
    <w:lvl w:ilvl="0" w:tplc="BB5AE644">
      <w:start w:val="10"/>
      <w:numFmt w:val="taiwaneseCountingThousand"/>
      <w:lvlText w:val="第%1條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26B71A1"/>
    <w:multiLevelType w:val="hybridMultilevel"/>
    <w:tmpl w:val="650E3C80"/>
    <w:lvl w:ilvl="0" w:tplc="BF303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7904447"/>
    <w:multiLevelType w:val="hybridMultilevel"/>
    <w:tmpl w:val="B768A6B6"/>
    <w:lvl w:ilvl="0" w:tplc="C18003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8CB7156"/>
    <w:multiLevelType w:val="hybridMultilevel"/>
    <w:tmpl w:val="90B63404"/>
    <w:lvl w:ilvl="0" w:tplc="D01C60A2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E5E631A"/>
    <w:multiLevelType w:val="hybridMultilevel"/>
    <w:tmpl w:val="65E43A1E"/>
    <w:lvl w:ilvl="0" w:tplc="512EB8E2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2E28CD"/>
    <w:multiLevelType w:val="hybridMultilevel"/>
    <w:tmpl w:val="03FC574A"/>
    <w:lvl w:ilvl="0" w:tplc="3B8854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2853D6B"/>
    <w:multiLevelType w:val="hybridMultilevel"/>
    <w:tmpl w:val="2FFE680E"/>
    <w:lvl w:ilvl="0" w:tplc="0E4E12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2E22A0A"/>
    <w:multiLevelType w:val="hybridMultilevel"/>
    <w:tmpl w:val="7A5EDC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E1D7B12"/>
    <w:multiLevelType w:val="hybridMultilevel"/>
    <w:tmpl w:val="95AA22F8"/>
    <w:lvl w:ilvl="0" w:tplc="C0D8C7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0255137"/>
    <w:multiLevelType w:val="hybridMultilevel"/>
    <w:tmpl w:val="D518A0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68E4E38"/>
    <w:multiLevelType w:val="hybridMultilevel"/>
    <w:tmpl w:val="AA0AF70A"/>
    <w:lvl w:ilvl="0" w:tplc="1750A1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396AA9"/>
    <w:multiLevelType w:val="hybridMultilevel"/>
    <w:tmpl w:val="DB0034FE"/>
    <w:lvl w:ilvl="0" w:tplc="18A6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243455"/>
    <w:multiLevelType w:val="hybridMultilevel"/>
    <w:tmpl w:val="9990D834"/>
    <w:lvl w:ilvl="0" w:tplc="06AE7B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0805FA5"/>
    <w:multiLevelType w:val="hybridMultilevel"/>
    <w:tmpl w:val="69AC8A10"/>
    <w:lvl w:ilvl="0" w:tplc="2E4432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677ACF"/>
    <w:multiLevelType w:val="hybridMultilevel"/>
    <w:tmpl w:val="6060C0C8"/>
    <w:lvl w:ilvl="0" w:tplc="50FC6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2E0428"/>
    <w:multiLevelType w:val="hybridMultilevel"/>
    <w:tmpl w:val="C23CF400"/>
    <w:lvl w:ilvl="0" w:tplc="ED8CDD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FFA1D6F"/>
    <w:multiLevelType w:val="hybridMultilevel"/>
    <w:tmpl w:val="F7CCDA8A"/>
    <w:lvl w:ilvl="0" w:tplc="84C01E9E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30674CB"/>
    <w:multiLevelType w:val="hybridMultilevel"/>
    <w:tmpl w:val="A596F064"/>
    <w:lvl w:ilvl="0" w:tplc="065899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5A45A27"/>
    <w:multiLevelType w:val="hybridMultilevel"/>
    <w:tmpl w:val="B450CEFE"/>
    <w:lvl w:ilvl="0" w:tplc="73C82674">
      <w:start w:val="1"/>
      <w:numFmt w:val="taiwaneseCountingThousand"/>
      <w:lvlText w:val="%1、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42">
    <w:nsid w:val="7BA24A65"/>
    <w:multiLevelType w:val="hybridMultilevel"/>
    <w:tmpl w:val="F65CB9C6"/>
    <w:lvl w:ilvl="0" w:tplc="AE28A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064F67"/>
    <w:multiLevelType w:val="hybridMultilevel"/>
    <w:tmpl w:val="48E85892"/>
    <w:lvl w:ilvl="0" w:tplc="7D4AED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D981535"/>
    <w:multiLevelType w:val="hybridMultilevel"/>
    <w:tmpl w:val="EE468624"/>
    <w:lvl w:ilvl="0" w:tplc="1204A7EE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23"/>
  </w:num>
  <w:num w:numId="5">
    <w:abstractNumId w:val="0"/>
  </w:num>
  <w:num w:numId="6">
    <w:abstractNumId w:val="24"/>
  </w:num>
  <w:num w:numId="7">
    <w:abstractNumId w:val="3"/>
  </w:num>
  <w:num w:numId="8">
    <w:abstractNumId w:val="1"/>
  </w:num>
  <w:num w:numId="9">
    <w:abstractNumId w:val="36"/>
  </w:num>
  <w:num w:numId="10">
    <w:abstractNumId w:val="14"/>
  </w:num>
  <w:num w:numId="11">
    <w:abstractNumId w:val="8"/>
  </w:num>
  <w:num w:numId="12">
    <w:abstractNumId w:val="42"/>
  </w:num>
  <w:num w:numId="13">
    <w:abstractNumId w:val="28"/>
  </w:num>
  <w:num w:numId="14">
    <w:abstractNumId w:val="12"/>
  </w:num>
  <w:num w:numId="15">
    <w:abstractNumId w:val="16"/>
  </w:num>
  <w:num w:numId="16">
    <w:abstractNumId w:val="17"/>
  </w:num>
  <w:num w:numId="17">
    <w:abstractNumId w:val="40"/>
  </w:num>
  <w:num w:numId="18">
    <w:abstractNumId w:val="35"/>
  </w:num>
  <w:num w:numId="19">
    <w:abstractNumId w:val="38"/>
  </w:num>
  <w:num w:numId="20">
    <w:abstractNumId w:val="37"/>
  </w:num>
  <w:num w:numId="21">
    <w:abstractNumId w:val="15"/>
  </w:num>
  <w:num w:numId="22">
    <w:abstractNumId w:val="7"/>
  </w:num>
  <w:num w:numId="23">
    <w:abstractNumId w:val="33"/>
  </w:num>
  <w:num w:numId="24">
    <w:abstractNumId w:val="43"/>
  </w:num>
  <w:num w:numId="25">
    <w:abstractNumId w:val="19"/>
  </w:num>
  <w:num w:numId="26">
    <w:abstractNumId w:val="11"/>
  </w:num>
  <w:num w:numId="27">
    <w:abstractNumId w:val="31"/>
  </w:num>
  <w:num w:numId="28">
    <w:abstractNumId w:val="4"/>
  </w:num>
  <w:num w:numId="29">
    <w:abstractNumId w:val="25"/>
  </w:num>
  <w:num w:numId="30">
    <w:abstractNumId w:val="9"/>
  </w:num>
  <w:num w:numId="31">
    <w:abstractNumId w:val="29"/>
  </w:num>
  <w:num w:numId="32">
    <w:abstractNumId w:val="32"/>
  </w:num>
  <w:num w:numId="33">
    <w:abstractNumId w:val="20"/>
  </w:num>
  <w:num w:numId="34">
    <w:abstractNumId w:val="10"/>
  </w:num>
  <w:num w:numId="35">
    <w:abstractNumId w:val="39"/>
  </w:num>
  <w:num w:numId="36">
    <w:abstractNumId w:val="22"/>
  </w:num>
  <w:num w:numId="37">
    <w:abstractNumId w:val="18"/>
  </w:num>
  <w:num w:numId="38">
    <w:abstractNumId w:val="41"/>
  </w:num>
  <w:num w:numId="39">
    <w:abstractNumId w:val="26"/>
  </w:num>
  <w:num w:numId="40">
    <w:abstractNumId w:val="44"/>
  </w:num>
  <w:num w:numId="41">
    <w:abstractNumId w:val="30"/>
  </w:num>
  <w:num w:numId="42">
    <w:abstractNumId w:val="2"/>
  </w:num>
  <w:num w:numId="43">
    <w:abstractNumId w:val="5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D2"/>
    <w:rsid w:val="00024C39"/>
    <w:rsid w:val="0007167B"/>
    <w:rsid w:val="000B605F"/>
    <w:rsid w:val="00101B73"/>
    <w:rsid w:val="002E4ED1"/>
    <w:rsid w:val="003069E9"/>
    <w:rsid w:val="0039021B"/>
    <w:rsid w:val="004A3EE9"/>
    <w:rsid w:val="005D1CFF"/>
    <w:rsid w:val="005E3BC0"/>
    <w:rsid w:val="007821E6"/>
    <w:rsid w:val="00880FBB"/>
    <w:rsid w:val="008A2186"/>
    <w:rsid w:val="008F77F9"/>
    <w:rsid w:val="009119F3"/>
    <w:rsid w:val="009303C4"/>
    <w:rsid w:val="009533B0"/>
    <w:rsid w:val="00AC16C3"/>
    <w:rsid w:val="00B337D2"/>
    <w:rsid w:val="00BE2FED"/>
    <w:rsid w:val="00D9705B"/>
    <w:rsid w:val="00EE6AD2"/>
    <w:rsid w:val="00F16AA7"/>
    <w:rsid w:val="00F5388F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00" w:lineRule="exact"/>
      <w:ind w:leftChars="100" w:left="716" w:hangingChars="170" w:hanging="476"/>
      <w:jc w:val="both"/>
    </w:pPr>
    <w:rPr>
      <w:rFonts w:eastAsia="標楷體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500" w:lineRule="exact"/>
      <w:ind w:leftChars="72" w:left="629" w:hangingChars="163" w:hanging="456"/>
      <w:jc w:val="both"/>
    </w:pPr>
    <w:rPr>
      <w:rFonts w:eastAsia="標楷體"/>
      <w:sz w:val="28"/>
      <w:szCs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460" w:lineRule="exact"/>
      <w:ind w:leftChars="100" w:left="689" w:hangingChars="187" w:hanging="449"/>
      <w:jc w:val="both"/>
    </w:pPr>
    <w:rPr>
      <w:rFonts w:eastAsia="標楷體"/>
      <w:szCs w:val="28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9533B0"/>
    <w:pPr>
      <w:widowControl/>
    </w:pPr>
    <w:rPr>
      <w:rFonts w:ascii="Arial" w:hAnsi="Arial" w:cs="Arial"/>
      <w:color w:val="66666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00" w:lineRule="exact"/>
      <w:ind w:leftChars="100" w:left="716" w:hangingChars="170" w:hanging="476"/>
      <w:jc w:val="both"/>
    </w:pPr>
    <w:rPr>
      <w:rFonts w:eastAsia="標楷體"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500" w:lineRule="exact"/>
      <w:ind w:leftChars="72" w:left="629" w:hangingChars="163" w:hanging="456"/>
      <w:jc w:val="both"/>
    </w:pPr>
    <w:rPr>
      <w:rFonts w:eastAsia="標楷體"/>
      <w:sz w:val="28"/>
      <w:szCs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460" w:lineRule="exact"/>
      <w:ind w:leftChars="100" w:left="689" w:hangingChars="187" w:hanging="449"/>
      <w:jc w:val="both"/>
    </w:pPr>
    <w:rPr>
      <w:rFonts w:eastAsia="標楷體"/>
      <w:szCs w:val="28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9533B0"/>
    <w:pPr>
      <w:widowControl/>
    </w:pPr>
    <w:rPr>
      <w:rFonts w:ascii="Arial" w:hAnsi="Arial" w:cs="Arial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國家文官培訓所辦事細則修正草案條文對照表</dc:title>
  <dc:creator>n0122</dc:creator>
  <cp:lastModifiedBy>人事室吳武源</cp:lastModifiedBy>
  <cp:revision>2</cp:revision>
  <cp:lastPrinted>2009-11-13T02:26:00Z</cp:lastPrinted>
  <dcterms:created xsi:type="dcterms:W3CDTF">2021-09-14T07:09:00Z</dcterms:created>
  <dcterms:modified xsi:type="dcterms:W3CDTF">2021-09-14T07:09:00Z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1302028534</vt:i4>
  </property>
  <property fmtid="{D5CDD505-2E9C-101B-9397-08002B2CF9AE}" pid="3" name="_EmailSubject">
    <vt:lpwstr>本所辦事細則</vt:lpwstr>
  </property>
  <property fmtid="{D5CDD505-2E9C-101B-9397-08002B2CF9AE}" pid="4" name="_AuthorEmail">
    <vt:lpwstr>rita@ncsi.gov.tw</vt:lpwstr>
  </property>
  <property fmtid="{D5CDD505-2E9C-101B-9397-08002B2CF9AE}" pid="5" name="_AuthorEmailDisplayName">
    <vt:lpwstr>rita</vt:lpwstr>
  </property>
  <property fmtid="{D5CDD505-2E9C-101B-9397-08002B2CF9AE}" pid="6" name="_ReviewingToolsShownOnce">
    <vt:lpwstr/>
  </property>
</Properties>
</file>